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alibri" w:cs="Calibri" w:eastAsia="Calibri" w:hAnsi="Calibri"/>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600710</wp:posOffset>
            </wp:positionV>
            <wp:extent cx="7135495" cy="16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5495" cy="1651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9" w:lineRule="exact"/>
        <w:rPr>
          <w:sz w:val="24"/>
          <w:szCs w:val="24"/>
          <w:color w:val="auto"/>
        </w:rPr>
      </w:pPr>
    </w:p>
    <w:p>
      <w:pPr>
        <w:jc w:val="center"/>
        <w:ind w:right="-59"/>
        <w:spacing w:after="0"/>
        <w:rPr>
          <w:sz w:val="20"/>
          <w:szCs w:val="20"/>
          <w:color w:val="auto"/>
        </w:rPr>
      </w:pPr>
      <w:r>
        <w:rPr>
          <w:rFonts w:ascii="Calibri" w:cs="Calibri" w:eastAsia="Calibri" w:hAnsi="Calibri"/>
          <w:sz w:val="21"/>
          <w:szCs w:val="21"/>
          <w:b w:val="1"/>
          <w:bCs w:val="1"/>
          <w:color w:val="auto"/>
        </w:rPr>
        <w:t>UNITED STATES SECURITIES AND EXCHANGE COMMISSION</w:t>
      </w:r>
    </w:p>
    <w:p>
      <w:pPr>
        <w:spacing w:after="0" w:line="34" w:lineRule="exact"/>
        <w:rPr>
          <w:sz w:val="24"/>
          <w:szCs w:val="24"/>
          <w:color w:val="auto"/>
        </w:rPr>
      </w:pPr>
    </w:p>
    <w:p>
      <w:pPr>
        <w:jc w:val="center"/>
        <w:ind w:right="-59"/>
        <w:spacing w:after="0"/>
        <w:rPr>
          <w:sz w:val="20"/>
          <w:szCs w:val="20"/>
          <w:color w:val="auto"/>
        </w:rPr>
      </w:pPr>
      <w:r>
        <w:rPr>
          <w:rFonts w:ascii="Calibri" w:cs="Calibri" w:eastAsia="Calibri" w:hAnsi="Calibri"/>
          <w:sz w:val="21"/>
          <w:szCs w:val="21"/>
          <w:b w:val="1"/>
          <w:bCs w:val="1"/>
          <w:color w:val="auto"/>
        </w:rPr>
        <w:t>Washington, DC 20549</w:t>
      </w:r>
    </w:p>
    <w:p>
      <w:pPr>
        <w:spacing w:after="0" w:line="34" w:lineRule="exact"/>
        <w:rPr>
          <w:sz w:val="24"/>
          <w:szCs w:val="24"/>
          <w:color w:val="auto"/>
        </w:rPr>
      </w:pPr>
    </w:p>
    <w:p>
      <w:pPr>
        <w:jc w:val="center"/>
        <w:ind w:right="-59"/>
        <w:spacing w:after="0"/>
        <w:rPr>
          <w:sz w:val="20"/>
          <w:szCs w:val="20"/>
          <w:color w:val="auto"/>
        </w:rPr>
      </w:pPr>
      <w:r>
        <w:rPr>
          <w:rFonts w:ascii="Calibri" w:cs="Calibri" w:eastAsia="Calibri" w:hAnsi="Calibri"/>
          <w:sz w:val="21"/>
          <w:szCs w:val="21"/>
          <w:b w:val="1"/>
          <w:bCs w:val="1"/>
          <w:color w:val="auto"/>
        </w:rPr>
        <w:t>Form 10-K</w:t>
      </w:r>
    </w:p>
    <w:p>
      <w:pPr>
        <w:spacing w:after="0" w:line="36" w:lineRule="exact"/>
        <w:rPr>
          <w:sz w:val="24"/>
          <w:szCs w:val="24"/>
          <w:color w:val="auto"/>
        </w:rPr>
      </w:pPr>
    </w:p>
    <w:p>
      <w:pPr>
        <w:ind w:left="160"/>
        <w:spacing w:after="0"/>
        <w:rPr>
          <w:sz w:val="20"/>
          <w:szCs w:val="20"/>
          <w:color w:val="auto"/>
        </w:rPr>
      </w:pPr>
      <w:r>
        <w:rPr>
          <w:rFonts w:ascii="Calibri" w:cs="Calibri" w:eastAsia="Calibri" w:hAnsi="Calibri"/>
          <w:sz w:val="14"/>
          <w:szCs w:val="14"/>
          <w:b w:val="1"/>
          <w:bCs w:val="1"/>
          <w:color w:val="auto"/>
        </w:rPr>
        <w:t>(MARK ONE)</w:t>
      </w:r>
    </w:p>
    <w:p>
      <w:pPr>
        <w:spacing w:after="0" w:line="38" w:lineRule="exact"/>
        <w:rPr>
          <w:sz w:val="24"/>
          <w:szCs w:val="24"/>
          <w:color w:val="auto"/>
        </w:rPr>
      </w:pPr>
    </w:p>
    <w:p>
      <w:pPr>
        <w:ind w:left="1160" w:hanging="719"/>
        <w:spacing w:after="0"/>
        <w:tabs>
          <w:tab w:leader="none" w:pos="1160" w:val="left"/>
        </w:tabs>
        <w:numPr>
          <w:ilvl w:val="0"/>
          <w:numId w:val="1"/>
        </w:numPr>
        <w:rPr>
          <w:rFonts w:ascii="MS PGothic" w:cs="MS PGothic" w:eastAsia="MS PGothic" w:hAnsi="MS PGothic"/>
          <w:sz w:val="17"/>
          <w:szCs w:val="17"/>
          <w:color w:val="333333"/>
        </w:rPr>
      </w:pPr>
      <w:r>
        <w:rPr>
          <w:rFonts w:ascii="Calibri" w:cs="Calibri" w:eastAsia="Calibri" w:hAnsi="Calibri"/>
          <w:sz w:val="17"/>
          <w:szCs w:val="17"/>
          <w:b w:val="1"/>
          <w:bCs w:val="1"/>
          <w:color w:val="auto"/>
        </w:rPr>
        <w:t>ANNUAL REPORT PURSUANT TO SECTION 13 OR 15(d) OF THE SECURITIES EXCHANGE ACT OF 1934</w:t>
      </w:r>
    </w:p>
    <w:p>
      <w:pPr>
        <w:spacing w:after="0" w:line="86" w:lineRule="exact"/>
        <w:rPr>
          <w:sz w:val="24"/>
          <w:szCs w:val="24"/>
          <w:color w:val="auto"/>
        </w:rPr>
      </w:pPr>
    </w:p>
    <w:p>
      <w:pPr>
        <w:ind w:left="960"/>
        <w:spacing w:after="0"/>
        <w:rPr>
          <w:sz w:val="20"/>
          <w:szCs w:val="20"/>
          <w:color w:val="auto"/>
        </w:rPr>
      </w:pPr>
      <w:r>
        <w:rPr>
          <w:rFonts w:ascii="Calibri" w:cs="Calibri" w:eastAsia="Calibri" w:hAnsi="Calibri"/>
          <w:sz w:val="18"/>
          <w:szCs w:val="18"/>
          <w:b w:val="1"/>
          <w:bCs w:val="1"/>
          <w:color w:val="auto"/>
        </w:rPr>
        <w:t>For the fscal year ended October 29, 2023</w:t>
      </w:r>
    </w:p>
    <w:p>
      <w:pPr>
        <w:jc w:val="center"/>
        <w:ind w:right="-59"/>
        <w:spacing w:after="0" w:line="230" w:lineRule="auto"/>
        <w:rPr>
          <w:sz w:val="20"/>
          <w:szCs w:val="20"/>
          <w:color w:val="auto"/>
        </w:rPr>
      </w:pPr>
      <w:r>
        <w:rPr>
          <w:rFonts w:ascii="Calibri" w:cs="Calibri" w:eastAsia="Calibri" w:hAnsi="Calibri"/>
          <w:sz w:val="18"/>
          <w:szCs w:val="18"/>
          <w:b w:val="1"/>
          <w:bCs w:val="1"/>
          <w:color w:val="auto"/>
        </w:rPr>
        <w:t>OR</w:t>
      </w:r>
    </w:p>
    <w:p>
      <w:pPr>
        <w:spacing w:after="0" w:line="42" w:lineRule="exact"/>
        <w:rPr>
          <w:sz w:val="24"/>
          <w:szCs w:val="24"/>
          <w:color w:val="auto"/>
        </w:rPr>
      </w:pPr>
    </w:p>
    <w:p>
      <w:pPr>
        <w:ind w:left="1160" w:hanging="719"/>
        <w:spacing w:after="0"/>
        <w:tabs>
          <w:tab w:leader="none" w:pos="1160" w:val="left"/>
        </w:tabs>
        <w:numPr>
          <w:ilvl w:val="0"/>
          <w:numId w:val="2"/>
        </w:numPr>
        <w:rPr>
          <w:rFonts w:ascii="MS PGothic" w:cs="MS PGothic" w:eastAsia="MS PGothic" w:hAnsi="MS PGothic"/>
          <w:sz w:val="17"/>
          <w:szCs w:val="17"/>
          <w:color w:val="333333"/>
        </w:rPr>
      </w:pPr>
      <w:r>
        <w:rPr>
          <w:rFonts w:ascii="Calibri" w:cs="Calibri" w:eastAsia="Calibri" w:hAnsi="Calibri"/>
          <w:sz w:val="17"/>
          <w:szCs w:val="17"/>
          <w:b w:val="1"/>
          <w:bCs w:val="1"/>
          <w:color w:val="auto"/>
        </w:rPr>
        <w:t>TRANSITION REPORT PURSUANT TO SECTION 13 OR 15(d) OF THE SECURITIES EXCHANGE ACT OF 1934</w:t>
      </w:r>
    </w:p>
    <w:p>
      <w:pPr>
        <w:spacing w:after="0" w:line="86" w:lineRule="exact"/>
        <w:rPr>
          <w:sz w:val="24"/>
          <w:szCs w:val="24"/>
          <w:color w:val="auto"/>
        </w:rPr>
      </w:pPr>
    </w:p>
    <w:p>
      <w:pPr>
        <w:ind w:left="960"/>
        <w:spacing w:after="0"/>
        <w:tabs>
          <w:tab w:leader="none" w:pos="3260" w:val="left"/>
        </w:tabs>
        <w:rPr>
          <w:sz w:val="20"/>
          <w:szCs w:val="20"/>
          <w:color w:val="auto"/>
        </w:rPr>
      </w:pPr>
      <w:r>
        <w:rPr>
          <w:rFonts w:ascii="Calibri" w:cs="Calibri" w:eastAsia="Calibri" w:hAnsi="Calibri"/>
          <w:sz w:val="18"/>
          <w:szCs w:val="18"/>
          <w:b w:val="1"/>
          <w:bCs w:val="1"/>
          <w:color w:val="auto"/>
        </w:rPr>
        <w:t>For the transiton period from</w:t>
      </w:r>
      <w:r>
        <w:rPr>
          <w:sz w:val="20"/>
          <w:szCs w:val="20"/>
          <w:color w:val="auto"/>
        </w:rPr>
        <w:tab/>
      </w:r>
      <w:r>
        <w:rPr>
          <w:rFonts w:ascii="Calibri" w:cs="Calibri" w:eastAsia="Calibri" w:hAnsi="Calibri"/>
          <w:sz w:val="15"/>
          <w:szCs w:val="15"/>
          <w:b w:val="1"/>
          <w:bCs w:val="1"/>
          <w:color w:val="auto"/>
        </w:rPr>
        <w:t>to</w:t>
      </w:r>
    </w:p>
    <w:p>
      <w:pPr>
        <w:spacing w:after="0" w:line="14" w:lineRule="exact"/>
        <w:rPr>
          <w:sz w:val="24"/>
          <w:szCs w:val="24"/>
          <w:color w:val="auto"/>
        </w:rPr>
      </w:pPr>
    </w:p>
    <w:p>
      <w:pPr>
        <w:jc w:val="center"/>
        <w:ind w:right="-319"/>
        <w:spacing w:after="0"/>
        <w:rPr>
          <w:sz w:val="20"/>
          <w:szCs w:val="20"/>
          <w:color w:val="auto"/>
        </w:rPr>
      </w:pPr>
      <w:r>
        <w:rPr>
          <w:rFonts w:ascii="Calibri" w:cs="Calibri" w:eastAsia="Calibri" w:hAnsi="Calibri"/>
          <w:sz w:val="28"/>
          <w:szCs w:val="28"/>
          <w:b w:val="1"/>
          <w:bCs w:val="1"/>
          <w:color w:val="auto"/>
        </w:rPr>
        <w:t>Broadcom Inc.</w:t>
      </w:r>
    </w:p>
    <w:p>
      <w:pPr>
        <w:sectPr>
          <w:pgSz w:w="11900" w:h="16838" w:orient="portrait"/>
          <w:cols w:equalWidth="0" w:num="1">
            <w:col w:w="11200"/>
          </w:cols>
          <w:pgMar w:left="320" w:top="215" w:right="379" w:bottom="1440" w:gutter="0" w:footer="0" w:header="0"/>
        </w:sectPr>
      </w:pPr>
    </w:p>
    <w:p>
      <w:pPr>
        <w:spacing w:after="0" w:line="5" w:lineRule="exact"/>
        <w:rPr>
          <w:sz w:val="24"/>
          <w:szCs w:val="24"/>
          <w:color w:val="auto"/>
        </w:rPr>
      </w:pPr>
    </w:p>
    <w:p>
      <w:pPr>
        <w:jc w:val="center"/>
        <w:ind w:left="20"/>
        <w:spacing w:after="0"/>
        <w:rPr>
          <w:sz w:val="20"/>
          <w:szCs w:val="20"/>
          <w:color w:val="auto"/>
        </w:rPr>
      </w:pPr>
      <w:r>
        <w:rPr>
          <w:rFonts w:ascii="Calibri" w:cs="Calibri" w:eastAsia="Calibri" w:hAnsi="Calibri"/>
          <w:sz w:val="18"/>
          <w:szCs w:val="18"/>
          <w:b w:val="1"/>
          <w:bCs w:val="1"/>
          <w:color w:val="auto"/>
        </w:rPr>
        <w:t>Delaware</w:t>
      </w:r>
    </w:p>
    <w:p>
      <w:pPr>
        <w:ind w:left="840"/>
        <w:spacing w:after="0" w:line="234" w:lineRule="auto"/>
        <w:rPr>
          <w:sz w:val="20"/>
          <w:szCs w:val="20"/>
          <w:color w:val="auto"/>
        </w:rPr>
      </w:pPr>
      <w:r>
        <w:rPr>
          <w:rFonts w:ascii="Calibri" w:cs="Calibri" w:eastAsia="Calibri" w:hAnsi="Calibri"/>
          <w:sz w:val="14"/>
          <w:szCs w:val="14"/>
          <w:b w:val="1"/>
          <w:bCs w:val="1"/>
          <w:color w:val="auto"/>
        </w:rPr>
        <w:t>(State or Other Jurisdicton of</w:t>
      </w:r>
    </w:p>
    <w:p>
      <w:pPr>
        <w:ind w:left="800"/>
        <w:spacing w:after="0" w:line="196" w:lineRule="auto"/>
        <w:rPr>
          <w:sz w:val="20"/>
          <w:szCs w:val="20"/>
          <w:color w:val="auto"/>
        </w:rPr>
      </w:pPr>
      <w:r>
        <w:rPr>
          <w:rFonts w:ascii="Calibri" w:cs="Calibri" w:eastAsia="Calibri" w:hAnsi="Calibri"/>
          <w:sz w:val="14"/>
          <w:szCs w:val="14"/>
          <w:b w:val="1"/>
          <w:bCs w:val="1"/>
          <w:color w:val="auto"/>
        </w:rPr>
        <w:t>Incorporaton or Organizaton)</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0"/>
        </w:trPr>
        <w:tc>
          <w:tcPr>
            <w:tcW w:w="3700" w:type="dxa"/>
            <w:vAlign w:val="bottom"/>
          </w:tcPr>
          <w:p>
            <w:pPr>
              <w:jc w:val="center"/>
              <w:ind w:right="321"/>
              <w:spacing w:after="0"/>
              <w:rPr>
                <w:sz w:val="20"/>
                <w:szCs w:val="20"/>
                <w:color w:val="auto"/>
              </w:rPr>
            </w:pPr>
            <w:r>
              <w:rPr>
                <w:rFonts w:ascii="Calibri" w:cs="Calibri" w:eastAsia="Calibri" w:hAnsi="Calibri"/>
                <w:sz w:val="18"/>
                <w:szCs w:val="18"/>
                <w:b w:val="1"/>
                <w:bCs w:val="1"/>
                <w:color w:val="auto"/>
                <w:w w:val="94"/>
              </w:rPr>
              <w:t>3421 Hillview Ave</w:t>
            </w:r>
          </w:p>
        </w:tc>
        <w:tc>
          <w:tcPr>
            <w:tcW w:w="2100" w:type="dxa"/>
            <w:vAlign w:val="bottom"/>
          </w:tcPr>
          <w:p>
            <w:pPr>
              <w:jc w:val="right"/>
              <w:ind w:right="501"/>
              <w:spacing w:after="0"/>
              <w:rPr>
                <w:sz w:val="20"/>
                <w:szCs w:val="20"/>
                <w:color w:val="auto"/>
              </w:rPr>
            </w:pPr>
            <w:r>
              <w:rPr>
                <w:rFonts w:ascii="Calibri" w:cs="Calibri" w:eastAsia="Calibri" w:hAnsi="Calibri"/>
                <w:sz w:val="18"/>
                <w:szCs w:val="18"/>
                <w:b w:val="1"/>
                <w:bCs w:val="1"/>
                <w:color w:val="auto"/>
              </w:rPr>
              <w:t>001-38449</w:t>
            </w:r>
          </w:p>
        </w:tc>
        <w:tc>
          <w:tcPr>
            <w:tcW w:w="1120" w:type="dxa"/>
            <w:vAlign w:val="bottom"/>
          </w:tcPr>
          <w:p>
            <w:pPr>
              <w:jc w:val="center"/>
              <w:ind w:left="130"/>
              <w:spacing w:after="0"/>
              <w:rPr>
                <w:sz w:val="20"/>
                <w:szCs w:val="20"/>
                <w:color w:val="auto"/>
              </w:rPr>
            </w:pPr>
            <w:r>
              <w:rPr>
                <w:rFonts w:ascii="Calibri" w:cs="Calibri" w:eastAsia="Calibri" w:hAnsi="Calibri"/>
                <w:sz w:val="18"/>
                <w:szCs w:val="18"/>
                <w:b w:val="1"/>
                <w:bCs w:val="1"/>
                <w:color w:val="auto"/>
                <w:w w:val="95"/>
              </w:rPr>
              <w:t>35-2617337</w:t>
            </w:r>
          </w:p>
        </w:tc>
        <w:tc>
          <w:tcPr>
            <w:tcW w:w="0" w:type="dxa"/>
            <w:vAlign w:val="bottom"/>
          </w:tcPr>
          <w:p>
            <w:pPr>
              <w:spacing w:after="0"/>
              <w:rPr>
                <w:sz w:val="1"/>
                <w:szCs w:val="1"/>
                <w:color w:val="auto"/>
              </w:rPr>
            </w:pPr>
          </w:p>
        </w:tc>
      </w:tr>
      <w:tr>
        <w:trPr>
          <w:trHeight w:val="167"/>
        </w:trPr>
        <w:tc>
          <w:tcPr>
            <w:tcW w:w="3700" w:type="dxa"/>
            <w:vAlign w:val="bottom"/>
          </w:tcPr>
          <w:p>
            <w:pPr>
              <w:jc w:val="right"/>
              <w:ind w:right="1161"/>
              <w:spacing w:after="0" w:line="167" w:lineRule="exact"/>
              <w:rPr>
                <w:sz w:val="20"/>
                <w:szCs w:val="20"/>
                <w:color w:val="auto"/>
              </w:rPr>
            </w:pPr>
            <w:r>
              <w:rPr>
                <w:rFonts w:ascii="Calibri" w:cs="Calibri" w:eastAsia="Calibri" w:hAnsi="Calibri"/>
                <w:sz w:val="18"/>
                <w:szCs w:val="18"/>
                <w:b w:val="1"/>
                <w:bCs w:val="1"/>
                <w:color w:val="auto"/>
              </w:rPr>
              <w:t>Palo Alto,   CA   94304</w:t>
            </w:r>
          </w:p>
        </w:tc>
        <w:tc>
          <w:tcPr>
            <w:tcW w:w="2100" w:type="dxa"/>
            <w:vAlign w:val="bottom"/>
          </w:tcPr>
          <w:p>
            <w:pPr>
              <w:jc w:val="center"/>
              <w:ind w:left="121"/>
              <w:spacing w:after="0" w:line="167" w:lineRule="exact"/>
              <w:rPr>
                <w:sz w:val="20"/>
                <w:szCs w:val="20"/>
                <w:color w:val="auto"/>
              </w:rPr>
            </w:pPr>
            <w:r>
              <w:rPr>
                <w:rFonts w:ascii="Calibri" w:cs="Calibri" w:eastAsia="Calibri" w:hAnsi="Calibri"/>
                <w:sz w:val="14"/>
                <w:szCs w:val="14"/>
                <w:b w:val="1"/>
                <w:bCs w:val="1"/>
                <w:color w:val="auto"/>
              </w:rPr>
              <w:t>(Commission File Number)</w:t>
            </w:r>
          </w:p>
        </w:tc>
        <w:tc>
          <w:tcPr>
            <w:tcW w:w="1120" w:type="dxa"/>
            <w:vAlign w:val="bottom"/>
          </w:tcPr>
          <w:p>
            <w:pPr>
              <w:jc w:val="center"/>
              <w:ind w:left="130"/>
              <w:spacing w:after="0"/>
              <w:rPr>
                <w:sz w:val="20"/>
                <w:szCs w:val="20"/>
                <w:color w:val="auto"/>
              </w:rPr>
            </w:pPr>
            <w:r>
              <w:rPr>
                <w:rFonts w:ascii="Calibri" w:cs="Calibri" w:eastAsia="Calibri" w:hAnsi="Calibri"/>
                <w:sz w:val="12"/>
                <w:szCs w:val="12"/>
                <w:b w:val="1"/>
                <w:bCs w:val="1"/>
                <w:color w:val="auto"/>
              </w:rPr>
              <w:t>(I.R.S. Employer</w:t>
            </w:r>
          </w:p>
        </w:tc>
        <w:tc>
          <w:tcPr>
            <w:tcW w:w="0" w:type="dxa"/>
            <w:vAlign w:val="bottom"/>
          </w:tcPr>
          <w:p>
            <w:pPr>
              <w:spacing w:after="0"/>
              <w:rPr>
                <w:sz w:val="1"/>
                <w:szCs w:val="1"/>
                <w:color w:val="auto"/>
              </w:rPr>
            </w:pPr>
          </w:p>
        </w:tc>
      </w:tr>
      <w:tr>
        <w:trPr>
          <w:trHeight w:val="146"/>
        </w:trPr>
        <w:tc>
          <w:tcPr>
            <w:tcW w:w="3700" w:type="dxa"/>
            <w:vAlign w:val="bottom"/>
            <w:vMerge w:val="restart"/>
          </w:tcPr>
          <w:p>
            <w:pPr>
              <w:jc w:val="right"/>
              <w:ind w:right="1261"/>
              <w:spacing w:after="0"/>
              <w:rPr>
                <w:sz w:val="20"/>
                <w:szCs w:val="20"/>
                <w:color w:val="auto"/>
              </w:rPr>
            </w:pPr>
            <w:r>
              <w:rPr>
                <w:rFonts w:ascii="Calibri" w:cs="Calibri" w:eastAsia="Calibri" w:hAnsi="Calibri"/>
                <w:sz w:val="18"/>
                <w:szCs w:val="18"/>
                <w:b w:val="1"/>
                <w:bCs w:val="1"/>
                <w:color w:val="auto"/>
              </w:rPr>
              <w:t>(650) 427-6000</w:t>
            </w:r>
          </w:p>
        </w:tc>
        <w:tc>
          <w:tcPr>
            <w:tcW w:w="2100" w:type="dxa"/>
            <w:vAlign w:val="bottom"/>
          </w:tcPr>
          <w:p>
            <w:pPr>
              <w:spacing w:after="0"/>
              <w:rPr>
                <w:sz w:val="12"/>
                <w:szCs w:val="12"/>
                <w:color w:val="auto"/>
              </w:rPr>
            </w:pPr>
          </w:p>
        </w:tc>
        <w:tc>
          <w:tcPr>
            <w:tcW w:w="1120" w:type="dxa"/>
            <w:vAlign w:val="bottom"/>
          </w:tcPr>
          <w:p>
            <w:pPr>
              <w:jc w:val="center"/>
              <w:ind w:left="130"/>
              <w:spacing w:after="0"/>
              <w:rPr>
                <w:sz w:val="20"/>
                <w:szCs w:val="20"/>
                <w:color w:val="auto"/>
              </w:rPr>
            </w:pPr>
            <w:r>
              <w:rPr>
                <w:rFonts w:ascii="Calibri" w:cs="Calibri" w:eastAsia="Calibri" w:hAnsi="Calibri"/>
                <w:sz w:val="12"/>
                <w:szCs w:val="12"/>
                <w:b w:val="1"/>
                <w:bCs w:val="1"/>
                <w:color w:val="auto"/>
              </w:rPr>
              <w:t>Identfcaton No.)</w:t>
            </w:r>
          </w:p>
        </w:tc>
        <w:tc>
          <w:tcPr>
            <w:tcW w:w="0" w:type="dxa"/>
            <w:vAlign w:val="bottom"/>
          </w:tcPr>
          <w:p>
            <w:pPr>
              <w:spacing w:after="0"/>
              <w:rPr>
                <w:sz w:val="1"/>
                <w:szCs w:val="1"/>
                <w:color w:val="auto"/>
              </w:rPr>
            </w:pPr>
          </w:p>
        </w:tc>
      </w:tr>
      <w:tr>
        <w:trPr>
          <w:trHeight w:val="162"/>
        </w:trPr>
        <w:tc>
          <w:tcPr>
            <w:tcW w:w="3700" w:type="dxa"/>
            <w:vAlign w:val="bottom"/>
            <w:vMerge w:val="continue"/>
          </w:tcPr>
          <w:p>
            <w:pPr>
              <w:spacing w:after="0"/>
              <w:rPr>
                <w:sz w:val="14"/>
                <w:szCs w:val="14"/>
                <w:color w:val="auto"/>
              </w:rPr>
            </w:pPr>
          </w:p>
        </w:tc>
        <w:tc>
          <w:tcPr>
            <w:tcW w:w="2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3700" w:type="dxa"/>
            <w:vAlign w:val="bottom"/>
          </w:tcPr>
          <w:p>
            <w:pPr>
              <w:jc w:val="center"/>
              <w:ind w:right="301"/>
              <w:spacing w:after="0"/>
              <w:rPr>
                <w:sz w:val="20"/>
                <w:szCs w:val="20"/>
                <w:color w:val="auto"/>
              </w:rPr>
            </w:pPr>
            <w:r>
              <w:rPr>
                <w:rFonts w:ascii="Calibri" w:cs="Calibri" w:eastAsia="Calibri" w:hAnsi="Calibri"/>
                <w:sz w:val="14"/>
                <w:szCs w:val="14"/>
                <w:b w:val="1"/>
                <w:bCs w:val="1"/>
                <w:color w:val="auto"/>
              </w:rPr>
              <w:t>(Exact Name of Registrant as Specifed in Its Charter</w:t>
            </w:r>
          </w:p>
        </w:tc>
        <w:tc>
          <w:tcPr>
            <w:tcW w:w="2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2"/>
        </w:trPr>
        <w:tc>
          <w:tcPr>
            <w:tcW w:w="3700" w:type="dxa"/>
            <w:vAlign w:val="bottom"/>
          </w:tcPr>
          <w:p>
            <w:pPr>
              <w:jc w:val="center"/>
              <w:ind w:right="301"/>
              <w:spacing w:after="0"/>
              <w:rPr>
                <w:sz w:val="20"/>
                <w:szCs w:val="20"/>
                <w:color w:val="auto"/>
              </w:rPr>
            </w:pPr>
            <w:r>
              <w:rPr>
                <w:rFonts w:ascii="Calibri" w:cs="Calibri" w:eastAsia="Calibri" w:hAnsi="Calibri"/>
                <w:sz w:val="14"/>
                <w:szCs w:val="14"/>
                <w:b w:val="1"/>
                <w:bCs w:val="1"/>
                <w:color w:val="auto"/>
              </w:rPr>
              <w:t>Address of Principal Executve Ofces, Including Zip Code</w:t>
            </w:r>
          </w:p>
        </w:tc>
        <w:tc>
          <w:tcPr>
            <w:tcW w:w="2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3700" w:type="dxa"/>
            <w:vAlign w:val="bottom"/>
          </w:tcPr>
          <w:p>
            <w:pPr>
              <w:jc w:val="center"/>
              <w:ind w:right="321"/>
              <w:spacing w:after="0"/>
              <w:rPr>
                <w:sz w:val="20"/>
                <w:szCs w:val="20"/>
                <w:color w:val="auto"/>
              </w:rPr>
            </w:pPr>
            <w:r>
              <w:rPr>
                <w:rFonts w:ascii="Calibri" w:cs="Calibri" w:eastAsia="Calibri" w:hAnsi="Calibri"/>
                <w:sz w:val="14"/>
                <w:szCs w:val="14"/>
                <w:b w:val="1"/>
                <w:bCs w:val="1"/>
                <w:color w:val="auto"/>
                <w:w w:val="99"/>
              </w:rPr>
              <w:t>Registrant’s Telephone Number, Including Area Code)</w:t>
            </w:r>
          </w:p>
        </w:tc>
        <w:tc>
          <w:tcPr>
            <w:tcW w:w="2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78" w:lineRule="exact"/>
        <w:rPr>
          <w:sz w:val="24"/>
          <w:szCs w:val="24"/>
          <w:color w:val="auto"/>
        </w:rPr>
      </w:pPr>
    </w:p>
    <w:p>
      <w:pPr>
        <w:sectPr>
          <w:pgSz w:w="11900" w:h="16838" w:orient="portrait"/>
          <w:cols w:equalWidth="0" w:num="2">
            <w:col w:w="3380" w:space="720"/>
            <w:col w:w="7100"/>
          </w:cols>
          <w:pgMar w:left="320" w:top="215" w:right="379" w:bottom="1440" w:gutter="0" w:footer="0" w:header="0"/>
          <w:type w:val="continuous"/>
        </w:sectPr>
      </w:pPr>
    </w:p>
    <w:p>
      <w:pPr>
        <w:jc w:val="center"/>
        <w:ind w:right="-39"/>
        <w:spacing w:after="0"/>
        <w:rPr>
          <w:sz w:val="20"/>
          <w:szCs w:val="20"/>
          <w:color w:val="auto"/>
        </w:rPr>
      </w:pPr>
      <w:r>
        <w:rPr>
          <w:rFonts w:ascii="Calibri" w:cs="Calibri" w:eastAsia="Calibri" w:hAnsi="Calibri"/>
          <w:sz w:val="16"/>
          <w:szCs w:val="16"/>
          <w:b w:val="1"/>
          <w:bCs w:val="1"/>
          <w:color w:val="auto"/>
        </w:rPr>
        <w:t>Securites registered pursuant to Secton 12(b) of the Act:</w:t>
      </w:r>
    </w:p>
    <w:p>
      <w:pPr>
        <w:spacing w:after="0" w:line="10" w:lineRule="exact"/>
        <w:rPr>
          <w:sz w:val="24"/>
          <w:szCs w:val="24"/>
          <w:color w:val="auto"/>
        </w:rPr>
      </w:pPr>
    </w:p>
    <w:tbl>
      <w:tblPr>
        <w:tblLayout w:type="fixed"/>
        <w:tblInd w:w="320" w:type="dxa"/>
        <w:tblCellMar>
          <w:top w:w="0" w:type="dxa"/>
          <w:left w:w="0" w:type="dxa"/>
          <w:bottom w:w="0" w:type="dxa"/>
          <w:right w:w="0" w:type="dxa"/>
        </w:tblCellMar>
      </w:tblPr>
      <w:tr>
        <w:trPr>
          <w:trHeight w:val="171"/>
        </w:trPr>
        <w:tc>
          <w:tcPr>
            <w:tcW w:w="2920" w:type="dxa"/>
            <w:vAlign w:val="bottom"/>
            <w:gridSpan w:val="2"/>
          </w:tcPr>
          <w:p>
            <w:pPr>
              <w:jc w:val="center"/>
              <w:ind w:left="124"/>
              <w:spacing w:after="0"/>
              <w:rPr>
                <w:sz w:val="20"/>
                <w:szCs w:val="20"/>
                <w:color w:val="auto"/>
              </w:rPr>
            </w:pPr>
            <w:r>
              <w:rPr>
                <w:rFonts w:ascii="Calibri" w:cs="Calibri" w:eastAsia="Calibri" w:hAnsi="Calibri"/>
                <w:sz w:val="14"/>
                <w:szCs w:val="14"/>
                <w:b w:val="1"/>
                <w:bCs w:val="1"/>
                <w:color w:val="auto"/>
              </w:rPr>
              <w:t>Title of Each Class</w:t>
            </w:r>
          </w:p>
        </w:tc>
        <w:tc>
          <w:tcPr>
            <w:tcW w:w="4580" w:type="dxa"/>
            <w:vAlign w:val="bottom"/>
          </w:tcPr>
          <w:p>
            <w:pPr>
              <w:jc w:val="center"/>
              <w:ind w:left="104"/>
              <w:spacing w:after="0"/>
              <w:rPr>
                <w:sz w:val="20"/>
                <w:szCs w:val="20"/>
                <w:color w:val="auto"/>
              </w:rPr>
            </w:pPr>
            <w:r>
              <w:rPr>
                <w:rFonts w:ascii="Calibri" w:cs="Calibri" w:eastAsia="Calibri" w:hAnsi="Calibri"/>
                <w:sz w:val="14"/>
                <w:szCs w:val="14"/>
                <w:b w:val="1"/>
                <w:bCs w:val="1"/>
                <w:color w:val="auto"/>
                <w:w w:val="99"/>
              </w:rPr>
              <w:t>Trading Symbol(s)</w:t>
            </w:r>
          </w:p>
        </w:tc>
        <w:tc>
          <w:tcPr>
            <w:tcW w:w="2860" w:type="dxa"/>
            <w:vAlign w:val="bottom"/>
            <w:gridSpan w:val="2"/>
          </w:tcPr>
          <w:p>
            <w:pPr>
              <w:jc w:val="center"/>
              <w:ind w:left="164"/>
              <w:spacing w:after="0"/>
              <w:rPr>
                <w:sz w:val="20"/>
                <w:szCs w:val="20"/>
                <w:color w:val="auto"/>
              </w:rPr>
            </w:pPr>
            <w:r>
              <w:rPr>
                <w:rFonts w:ascii="Calibri" w:cs="Calibri" w:eastAsia="Calibri" w:hAnsi="Calibri"/>
                <w:sz w:val="14"/>
                <w:szCs w:val="14"/>
                <w:b w:val="1"/>
                <w:bCs w:val="1"/>
                <w:color w:val="auto"/>
              </w:rPr>
              <w:t>Name of Each Exchange on Which Registered</w:t>
            </w:r>
          </w:p>
        </w:tc>
      </w:tr>
      <w:tr>
        <w:trPr>
          <w:trHeight w:val="228"/>
        </w:trPr>
        <w:tc>
          <w:tcPr>
            <w:tcW w:w="2920" w:type="dxa"/>
            <w:vAlign w:val="bottom"/>
            <w:gridSpan w:val="2"/>
          </w:tcPr>
          <w:p>
            <w:pPr>
              <w:jc w:val="center"/>
              <w:ind w:left="124"/>
              <w:spacing w:after="0"/>
              <w:rPr>
                <w:sz w:val="20"/>
                <w:szCs w:val="20"/>
                <w:color w:val="auto"/>
              </w:rPr>
            </w:pPr>
            <w:r>
              <w:rPr>
                <w:rFonts w:ascii="Calibri" w:cs="Calibri" w:eastAsia="Calibri" w:hAnsi="Calibri"/>
                <w:sz w:val="16"/>
                <w:szCs w:val="16"/>
                <w:color w:val="auto"/>
                <w:w w:val="98"/>
              </w:rPr>
              <w:t>Common Stock, $0.001 par value</w:t>
            </w:r>
          </w:p>
        </w:tc>
        <w:tc>
          <w:tcPr>
            <w:tcW w:w="4580" w:type="dxa"/>
            <w:vAlign w:val="bottom"/>
          </w:tcPr>
          <w:p>
            <w:pPr>
              <w:jc w:val="center"/>
              <w:ind w:left="84"/>
              <w:spacing w:after="0"/>
              <w:rPr>
                <w:sz w:val="20"/>
                <w:szCs w:val="20"/>
                <w:color w:val="auto"/>
              </w:rPr>
            </w:pPr>
            <w:r>
              <w:rPr>
                <w:rFonts w:ascii="Calibri" w:cs="Calibri" w:eastAsia="Calibri" w:hAnsi="Calibri"/>
                <w:sz w:val="16"/>
                <w:szCs w:val="16"/>
                <w:color w:val="auto"/>
                <w:w w:val="97"/>
              </w:rPr>
              <w:t>AVGO</w:t>
            </w:r>
          </w:p>
        </w:tc>
        <w:tc>
          <w:tcPr>
            <w:tcW w:w="2860" w:type="dxa"/>
            <w:vAlign w:val="bottom"/>
            <w:gridSpan w:val="2"/>
          </w:tcPr>
          <w:p>
            <w:pPr>
              <w:jc w:val="center"/>
              <w:ind w:left="164"/>
              <w:spacing w:after="0"/>
              <w:rPr>
                <w:sz w:val="20"/>
                <w:szCs w:val="20"/>
                <w:color w:val="auto"/>
              </w:rPr>
            </w:pPr>
            <w:r>
              <w:rPr>
                <w:rFonts w:ascii="Calibri" w:cs="Calibri" w:eastAsia="Calibri" w:hAnsi="Calibri"/>
                <w:sz w:val="16"/>
                <w:szCs w:val="16"/>
                <w:color w:val="auto"/>
                <w:w w:val="99"/>
              </w:rPr>
              <w:t>The NASDAQ Global Select Market</w:t>
            </w:r>
          </w:p>
        </w:tc>
      </w:tr>
      <w:tr>
        <w:trPr>
          <w:trHeight w:val="357"/>
        </w:trPr>
        <w:tc>
          <w:tcPr>
            <w:tcW w:w="24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580" w:type="dxa"/>
            <w:vAlign w:val="bottom"/>
          </w:tcPr>
          <w:p>
            <w:pPr>
              <w:jc w:val="center"/>
              <w:ind w:left="44"/>
              <w:spacing w:after="0"/>
              <w:rPr>
                <w:sz w:val="20"/>
                <w:szCs w:val="20"/>
                <w:color w:val="auto"/>
              </w:rPr>
            </w:pPr>
            <w:r>
              <w:rPr>
                <w:rFonts w:ascii="Calibri" w:cs="Calibri" w:eastAsia="Calibri" w:hAnsi="Calibri"/>
                <w:sz w:val="16"/>
                <w:szCs w:val="16"/>
                <w:b w:val="1"/>
                <w:bCs w:val="1"/>
                <w:color w:val="auto"/>
              </w:rPr>
              <w:t>Securites registered pursuant to Secton 12(g) of the Act: None</w:t>
            </w:r>
          </w:p>
        </w:tc>
        <w:tc>
          <w:tcPr>
            <w:tcW w:w="660" w:type="dxa"/>
            <w:vAlign w:val="bottom"/>
          </w:tcPr>
          <w:p>
            <w:pPr>
              <w:spacing w:after="0"/>
              <w:rPr>
                <w:sz w:val="24"/>
                <w:szCs w:val="24"/>
                <w:color w:val="auto"/>
              </w:rPr>
            </w:pPr>
          </w:p>
        </w:tc>
        <w:tc>
          <w:tcPr>
            <w:tcW w:w="2200" w:type="dxa"/>
            <w:vAlign w:val="bottom"/>
          </w:tcPr>
          <w:p>
            <w:pPr>
              <w:spacing w:after="0"/>
              <w:rPr>
                <w:sz w:val="24"/>
                <w:szCs w:val="24"/>
                <w:color w:val="auto"/>
              </w:rPr>
            </w:pPr>
          </w:p>
        </w:tc>
      </w:tr>
      <w:tr>
        <w:trPr>
          <w:trHeight w:val="41"/>
        </w:trPr>
        <w:tc>
          <w:tcPr>
            <w:tcW w:w="2400" w:type="dxa"/>
            <w:vAlign w:val="bottom"/>
          </w:tcPr>
          <w:p>
            <w:pPr>
              <w:spacing w:after="0"/>
              <w:rPr>
                <w:sz w:val="3"/>
                <w:szCs w:val="3"/>
                <w:color w:val="auto"/>
              </w:rPr>
            </w:pPr>
          </w:p>
        </w:tc>
        <w:tc>
          <w:tcPr>
            <w:tcW w:w="5100" w:type="dxa"/>
            <w:vAlign w:val="bottom"/>
            <w:tcBorders>
              <w:bottom w:val="single" w:sz="8" w:color="auto"/>
            </w:tcBorders>
            <w:gridSpan w:val="2"/>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2200" w:type="dxa"/>
            <w:vAlign w:val="bottom"/>
          </w:tcPr>
          <w:p>
            <w:pPr>
              <w:spacing w:after="0"/>
              <w:rPr>
                <w:sz w:val="3"/>
                <w:szCs w:val="3"/>
                <w:color w:val="auto"/>
              </w:rPr>
            </w:pPr>
          </w:p>
        </w:tc>
      </w:tr>
      <w:tr>
        <w:trPr>
          <w:trHeight w:val="342"/>
        </w:trPr>
        <w:tc>
          <w:tcPr>
            <w:tcW w:w="7500" w:type="dxa"/>
            <w:vAlign w:val="bottom"/>
            <w:gridSpan w:val="3"/>
          </w:tcPr>
          <w:p>
            <w:pPr>
              <w:spacing w:after="0"/>
              <w:rPr>
                <w:sz w:val="20"/>
                <w:szCs w:val="20"/>
                <w:color w:val="auto"/>
              </w:rPr>
            </w:pPr>
            <w:r>
              <w:rPr>
                <w:rFonts w:ascii="Calibri" w:cs="Calibri" w:eastAsia="Calibri" w:hAnsi="Calibri"/>
                <w:sz w:val="16"/>
                <w:szCs w:val="16"/>
                <w:color w:val="auto"/>
              </w:rPr>
              <w:t>Indicate by check mark if the registrant is a well-known seasoned issuer, as defned in Rule 405 of the Securites Act.</w:t>
            </w:r>
          </w:p>
        </w:tc>
        <w:tc>
          <w:tcPr>
            <w:tcW w:w="2860" w:type="dxa"/>
            <w:vAlign w:val="bottom"/>
            <w:gridSpan w:val="2"/>
          </w:tcPr>
          <w:p>
            <w:pPr>
              <w:ind w:left="80"/>
              <w:spacing w:after="0" w:line="196" w:lineRule="exact"/>
              <w:rPr>
                <w:sz w:val="20"/>
                <w:szCs w:val="20"/>
                <w:color w:val="auto"/>
              </w:rPr>
            </w:pPr>
            <w:r>
              <w:rPr>
                <w:rFonts w:ascii="Calibri" w:cs="Calibri" w:eastAsia="Calibri" w:hAnsi="Calibri"/>
                <w:sz w:val="16"/>
                <w:szCs w:val="16"/>
                <w:color w:val="auto"/>
              </w:rPr>
              <w:t xml:space="preserve">Yes </w:t>
            </w:r>
            <w:r>
              <w:rPr>
                <w:rFonts w:ascii="MS PGothic" w:cs="MS PGothic" w:eastAsia="MS PGothic" w:hAnsi="MS PGothic"/>
                <w:sz w:val="16"/>
                <w:szCs w:val="16"/>
                <w:color w:val="auto"/>
              </w:rPr>
              <w:t>☑</w:t>
            </w:r>
            <w:r>
              <w:rPr>
                <w:rFonts w:ascii="Calibri" w:cs="Calibri" w:eastAsia="Calibri" w:hAnsi="Calibri"/>
                <w:sz w:val="16"/>
                <w:szCs w:val="16"/>
                <w:color w:val="auto"/>
              </w:rPr>
              <w:t xml:space="preserve">  No </w:t>
            </w:r>
            <w:r>
              <w:rPr>
                <w:rFonts w:ascii="MS PGothic" w:cs="MS PGothic" w:eastAsia="MS PGothic" w:hAnsi="MS PGothic"/>
                <w:sz w:val="16"/>
                <w:szCs w:val="16"/>
                <w:color w:val="auto"/>
              </w:rPr>
              <w:t>☐</w:t>
            </w:r>
          </w:p>
        </w:tc>
      </w:tr>
    </w:tbl>
    <w:p>
      <w:pPr>
        <w:ind w:left="320"/>
        <w:spacing w:after="0" w:line="196" w:lineRule="exact"/>
        <w:tabs>
          <w:tab w:leader="none" w:pos="8080" w:val="left"/>
          <w:tab w:leader="none" w:pos="8660" w:val="left"/>
        </w:tabs>
        <w:rPr>
          <w:sz w:val="20"/>
          <w:szCs w:val="20"/>
          <w:color w:val="auto"/>
        </w:rPr>
      </w:pPr>
      <w:r>
        <w:rPr>
          <w:rFonts w:ascii="Calibri" w:cs="Calibri" w:eastAsia="Calibri" w:hAnsi="Calibri"/>
          <w:sz w:val="16"/>
          <w:szCs w:val="16"/>
          <w:color w:val="auto"/>
        </w:rPr>
        <w:t>Indicate by check mark if the registrant is not required to fle reports pursuant to Secton 13 or Secton 15(d) of the Act.</w:t>
        <w:tab/>
        <w:t xml:space="preserve">Yes </w:t>
      </w:r>
      <w:r>
        <w:rPr>
          <w:rFonts w:ascii="MS PGothic" w:cs="MS PGothic" w:eastAsia="MS PGothic" w:hAnsi="MS PGothic"/>
          <w:sz w:val="16"/>
          <w:szCs w:val="16"/>
          <w:color w:val="auto"/>
        </w:rPr>
        <w:t>☐</w:t>
      </w:r>
      <w:r>
        <w:rPr>
          <w:sz w:val="20"/>
          <w:szCs w:val="20"/>
          <w:color w:val="auto"/>
        </w:rPr>
        <w:tab/>
      </w:r>
      <w:r>
        <w:rPr>
          <w:rFonts w:ascii="Calibri" w:cs="Calibri" w:eastAsia="Calibri" w:hAnsi="Calibri"/>
          <w:sz w:val="14"/>
          <w:szCs w:val="14"/>
          <w:color w:val="auto"/>
        </w:rPr>
        <w:t xml:space="preserve">No </w:t>
      </w:r>
      <w:r>
        <w:rPr>
          <w:rFonts w:ascii="MS PGothic" w:cs="MS PGothic" w:eastAsia="MS PGothic" w:hAnsi="MS PGothic"/>
          <w:sz w:val="14"/>
          <w:szCs w:val="14"/>
          <w:color w:val="auto"/>
        </w:rPr>
        <w:t>☑</w:t>
      </w:r>
    </w:p>
    <w:p>
      <w:pPr>
        <w:spacing w:after="0" w:line="84" w:lineRule="exact"/>
        <w:rPr>
          <w:sz w:val="24"/>
          <w:szCs w:val="24"/>
          <w:color w:val="auto"/>
        </w:rPr>
      </w:pPr>
    </w:p>
    <w:p>
      <w:pPr>
        <w:jc w:val="both"/>
        <w:ind w:right="540" w:firstLine="317"/>
        <w:spacing w:after="0" w:line="206" w:lineRule="exact"/>
        <w:rPr>
          <w:sz w:val="20"/>
          <w:szCs w:val="20"/>
          <w:color w:val="auto"/>
        </w:rPr>
      </w:pPr>
      <w:r>
        <w:rPr>
          <w:rFonts w:ascii="Calibri" w:cs="Calibri" w:eastAsia="Calibri" w:hAnsi="Calibri"/>
          <w:sz w:val="16"/>
          <w:szCs w:val="16"/>
          <w:color w:val="auto"/>
        </w:rPr>
        <w:t xml:space="preserve">Indicate by check mark whether the registrant (1) has fled all reports required to be fled by Secton 13 or 15(d) of the Securites Exchange Act of 1934 during the preceding 12 months (or for such shorter period that the registrant was required to fle such reports), and (2) has been subject to such fling requirements for the past 90 days. Yes </w:t>
      </w:r>
      <w:r>
        <w:rPr>
          <w:rFonts w:ascii="MS PGothic" w:cs="MS PGothic" w:eastAsia="MS PGothic" w:hAnsi="MS PGothic"/>
          <w:sz w:val="16"/>
          <w:szCs w:val="16"/>
          <w:color w:val="auto"/>
        </w:rPr>
        <w:t>☑</w:t>
      </w:r>
      <w:r>
        <w:rPr>
          <w:rFonts w:ascii="Calibri" w:cs="Calibri" w:eastAsia="Calibri" w:hAnsi="Calibri"/>
          <w:sz w:val="16"/>
          <w:szCs w:val="16"/>
          <w:color w:val="auto"/>
        </w:rPr>
        <w:t xml:space="preserve"> No </w:t>
      </w:r>
      <w:r>
        <w:rPr>
          <w:rFonts w:ascii="MS PGothic" w:cs="MS PGothic" w:eastAsia="MS PGothic" w:hAnsi="MS PGothic"/>
          <w:sz w:val="16"/>
          <w:szCs w:val="16"/>
          <w:color w:val="auto"/>
        </w:rPr>
        <w:t>☐</w:t>
      </w:r>
    </w:p>
    <w:p>
      <w:pPr>
        <w:spacing w:after="0" w:line="16" w:lineRule="exact"/>
        <w:rPr>
          <w:sz w:val="24"/>
          <w:szCs w:val="24"/>
          <w:color w:val="auto"/>
        </w:rPr>
      </w:pPr>
    </w:p>
    <w:p>
      <w:pPr>
        <w:ind w:right="240" w:firstLine="317"/>
        <w:spacing w:after="0" w:line="217" w:lineRule="exact"/>
        <w:rPr>
          <w:sz w:val="20"/>
          <w:szCs w:val="20"/>
          <w:color w:val="auto"/>
        </w:rPr>
      </w:pPr>
      <w:r>
        <w:rPr>
          <w:rFonts w:ascii="Calibri" w:cs="Calibri" w:eastAsia="Calibri" w:hAnsi="Calibri"/>
          <w:sz w:val="16"/>
          <w:szCs w:val="16"/>
          <w:color w:val="auto"/>
        </w:rPr>
        <w:t xml:space="preserve">Indicate by check mark whether the registrant has submited electronically every Interactve Data File required to be submited pursuant to Rule 405 of Regulaton S-T (§232.405 of this chapter) during the preceding 12 months (or for such shorter period that the registrant was required to submit such fles). Yes </w:t>
      </w:r>
      <w:r>
        <w:rPr>
          <w:rFonts w:ascii="MS PGothic" w:cs="MS PGothic" w:eastAsia="MS PGothic" w:hAnsi="MS PGothic"/>
          <w:sz w:val="16"/>
          <w:szCs w:val="16"/>
          <w:color w:val="auto"/>
        </w:rPr>
        <w:t>☑</w:t>
      </w:r>
      <w:r>
        <w:rPr>
          <w:rFonts w:ascii="Calibri" w:cs="Calibri" w:eastAsia="Calibri" w:hAnsi="Calibri"/>
          <w:sz w:val="16"/>
          <w:szCs w:val="16"/>
          <w:color w:val="auto"/>
        </w:rPr>
        <w:t xml:space="preserve"> No </w:t>
      </w:r>
      <w:r>
        <w:rPr>
          <w:rFonts w:ascii="MS PGothic" w:cs="MS PGothic" w:eastAsia="MS PGothic" w:hAnsi="MS PGothic"/>
          <w:sz w:val="16"/>
          <w:szCs w:val="16"/>
          <w:color w:val="auto"/>
        </w:rPr>
        <w:t>☐</w:t>
      </w:r>
    </w:p>
    <w:p>
      <w:pPr>
        <w:spacing w:after="0" w:line="16" w:lineRule="exact"/>
        <w:rPr>
          <w:sz w:val="24"/>
          <w:szCs w:val="24"/>
          <w:color w:val="auto"/>
        </w:rPr>
      </w:pPr>
    </w:p>
    <w:p>
      <w:pPr>
        <w:ind w:right="20" w:firstLine="317"/>
        <w:spacing w:after="0" w:line="253" w:lineRule="auto"/>
        <w:rPr>
          <w:sz w:val="20"/>
          <w:szCs w:val="20"/>
          <w:color w:val="auto"/>
        </w:rPr>
      </w:pPr>
      <w:r>
        <w:rPr>
          <w:rFonts w:ascii="Calibri" w:cs="Calibri" w:eastAsia="Calibri" w:hAnsi="Calibri"/>
          <w:sz w:val="15"/>
          <w:szCs w:val="15"/>
          <w:color w:val="auto"/>
        </w:rPr>
        <w:t>Indicate by check mark whether the registrant is a large accelerated fler, an accelerated fler, a non-accelerated fler, a smaller reportng company, or an emerging growth company. See the defnitons of “large accelerated fler,” “accelerated fler,” “smaller reportng company,” and “emerging growth company” in Rule 12b-2 of the Exchange Act.</w:t>
      </w:r>
    </w:p>
    <w:p>
      <w:pPr>
        <w:ind w:left="220"/>
        <w:spacing w:after="0" w:line="190" w:lineRule="exact"/>
        <w:tabs>
          <w:tab w:leader="none" w:pos="1920" w:val="left"/>
          <w:tab w:leader="none" w:pos="2460" w:val="left"/>
          <w:tab w:leader="none" w:pos="3900" w:val="left"/>
          <w:tab w:leader="none" w:pos="4340" w:val="left"/>
          <w:tab w:leader="none" w:pos="6000" w:val="left"/>
          <w:tab w:leader="none" w:pos="6460" w:val="left"/>
          <w:tab w:leader="none" w:pos="8500" w:val="left"/>
          <w:tab w:leader="none" w:pos="8960" w:val="left"/>
          <w:tab w:leader="none" w:pos="10980" w:val="left"/>
        </w:tabs>
        <w:rPr>
          <w:sz w:val="20"/>
          <w:szCs w:val="20"/>
          <w:color w:val="auto"/>
        </w:rPr>
      </w:pPr>
      <w:r>
        <w:rPr>
          <w:rFonts w:ascii="Calibri" w:cs="Calibri" w:eastAsia="Calibri" w:hAnsi="Calibri"/>
          <w:sz w:val="16"/>
          <w:szCs w:val="16"/>
          <w:color w:val="auto"/>
        </w:rPr>
        <w:t>Large accelerated fler</w:t>
      </w:r>
      <w:r>
        <w:rPr>
          <w:sz w:val="20"/>
          <w:szCs w:val="20"/>
          <w:color w:val="auto"/>
        </w:rPr>
        <w:tab/>
      </w:r>
      <w:r>
        <w:rPr>
          <w:rFonts w:ascii="MS PGothic" w:cs="MS PGothic" w:eastAsia="MS PGothic" w:hAnsi="MS PGothic"/>
          <w:sz w:val="18"/>
          <w:szCs w:val="18"/>
          <w:color w:val="333333"/>
        </w:rPr>
        <w:t>☑</w:t>
      </w:r>
      <w:r>
        <w:rPr>
          <w:sz w:val="20"/>
          <w:szCs w:val="20"/>
          <w:color w:val="auto"/>
        </w:rPr>
        <w:tab/>
      </w:r>
      <w:r>
        <w:rPr>
          <w:rFonts w:ascii="Calibri" w:cs="Calibri" w:eastAsia="Calibri" w:hAnsi="Calibri"/>
          <w:sz w:val="16"/>
          <w:szCs w:val="16"/>
          <w:color w:val="auto"/>
        </w:rPr>
        <w:t>Accelerated fler</w:t>
      </w:r>
      <w:r>
        <w:rPr>
          <w:sz w:val="20"/>
          <w:szCs w:val="20"/>
          <w:color w:val="auto"/>
        </w:rPr>
        <w:tab/>
      </w:r>
      <w:r>
        <w:rPr>
          <w:rFonts w:ascii="MS PGothic" w:cs="MS PGothic" w:eastAsia="MS PGothic" w:hAnsi="MS PGothic"/>
          <w:sz w:val="18"/>
          <w:szCs w:val="18"/>
          <w:color w:val="333333"/>
        </w:rPr>
        <w:t>☐</w:t>
      </w:r>
      <w:r>
        <w:rPr>
          <w:sz w:val="20"/>
          <w:szCs w:val="20"/>
          <w:color w:val="auto"/>
        </w:rPr>
        <w:tab/>
      </w:r>
      <w:r>
        <w:rPr>
          <w:rFonts w:ascii="Calibri" w:cs="Calibri" w:eastAsia="Calibri" w:hAnsi="Calibri"/>
          <w:sz w:val="16"/>
          <w:szCs w:val="16"/>
          <w:color w:val="auto"/>
        </w:rPr>
        <w:t>Non-accelerated fler</w:t>
      </w:r>
      <w:r>
        <w:rPr>
          <w:sz w:val="20"/>
          <w:szCs w:val="20"/>
          <w:color w:val="auto"/>
        </w:rPr>
        <w:tab/>
      </w:r>
      <w:r>
        <w:rPr>
          <w:rFonts w:ascii="MS PGothic" w:cs="MS PGothic" w:eastAsia="MS PGothic" w:hAnsi="MS PGothic"/>
          <w:sz w:val="18"/>
          <w:szCs w:val="18"/>
          <w:color w:val="333333"/>
        </w:rPr>
        <w:t>☐</w:t>
      </w:r>
      <w:r>
        <w:rPr>
          <w:sz w:val="20"/>
          <w:szCs w:val="20"/>
          <w:color w:val="auto"/>
        </w:rPr>
        <w:tab/>
      </w:r>
      <w:r>
        <w:rPr>
          <w:rFonts w:ascii="Calibri" w:cs="Calibri" w:eastAsia="Calibri" w:hAnsi="Calibri"/>
          <w:sz w:val="16"/>
          <w:szCs w:val="16"/>
          <w:color w:val="auto"/>
        </w:rPr>
        <w:t>Smaller reportng company</w:t>
      </w:r>
      <w:r>
        <w:rPr>
          <w:sz w:val="20"/>
          <w:szCs w:val="20"/>
          <w:color w:val="auto"/>
        </w:rPr>
        <w:tab/>
      </w:r>
      <w:r>
        <w:rPr>
          <w:rFonts w:ascii="MS PGothic" w:cs="MS PGothic" w:eastAsia="MS PGothic" w:hAnsi="MS PGothic"/>
          <w:sz w:val="18"/>
          <w:szCs w:val="18"/>
          <w:color w:val="333333"/>
        </w:rPr>
        <w:t>☐</w:t>
      </w:r>
      <w:r>
        <w:rPr>
          <w:sz w:val="20"/>
          <w:szCs w:val="20"/>
          <w:color w:val="auto"/>
        </w:rPr>
        <w:tab/>
      </w:r>
      <w:r>
        <w:rPr>
          <w:rFonts w:ascii="Calibri" w:cs="Calibri" w:eastAsia="Calibri" w:hAnsi="Calibri"/>
          <w:sz w:val="16"/>
          <w:szCs w:val="16"/>
          <w:color w:val="auto"/>
        </w:rPr>
        <w:t>Emerging growth company</w:t>
      </w:r>
      <w:r>
        <w:rPr>
          <w:sz w:val="20"/>
          <w:szCs w:val="20"/>
          <w:color w:val="auto"/>
        </w:rPr>
        <w:tab/>
      </w:r>
      <w:r>
        <w:rPr>
          <w:rFonts w:ascii="MS PGothic" w:cs="MS PGothic" w:eastAsia="MS PGothic" w:hAnsi="MS PGothic"/>
          <w:sz w:val="15"/>
          <w:szCs w:val="15"/>
          <w:color w:val="333333"/>
        </w:rPr>
        <w:t>☐</w:t>
      </w:r>
    </w:p>
    <w:p>
      <w:pPr>
        <w:spacing w:after="0" w:line="203" w:lineRule="exact"/>
        <w:rPr>
          <w:sz w:val="24"/>
          <w:szCs w:val="24"/>
          <w:color w:val="auto"/>
        </w:rPr>
      </w:pPr>
    </w:p>
    <w:p>
      <w:pPr>
        <w:ind w:right="340" w:firstLine="317"/>
        <w:spacing w:after="0" w:line="210" w:lineRule="exact"/>
        <w:rPr>
          <w:sz w:val="20"/>
          <w:szCs w:val="20"/>
          <w:color w:val="auto"/>
        </w:rPr>
      </w:pPr>
      <w:r>
        <w:rPr>
          <w:rFonts w:ascii="Calibri" w:cs="Calibri" w:eastAsia="Calibri" w:hAnsi="Calibri"/>
          <w:sz w:val="16"/>
          <w:szCs w:val="16"/>
          <w:color w:val="auto"/>
        </w:rPr>
        <w:t xml:space="preserve">If an emerging growth company, indicate by check mark if the registrant has elected not to use the extended transiton period for complying with any new or revised fnancial accountng standards provided pursuant to Secton 13(a) of the Exchange Act. </w:t>
      </w:r>
      <w:r>
        <w:rPr>
          <w:rFonts w:ascii="MS PGothic" w:cs="MS PGothic" w:eastAsia="MS PGothic" w:hAnsi="MS PGothic"/>
          <w:sz w:val="16"/>
          <w:szCs w:val="16"/>
          <w:color w:val="auto"/>
        </w:rPr>
        <w:t>☐</w:t>
      </w:r>
    </w:p>
    <w:p>
      <w:pPr>
        <w:spacing w:after="0" w:line="16" w:lineRule="exact"/>
        <w:rPr>
          <w:sz w:val="24"/>
          <w:szCs w:val="24"/>
          <w:color w:val="auto"/>
        </w:rPr>
      </w:pPr>
    </w:p>
    <w:p>
      <w:pPr>
        <w:ind w:right="340" w:firstLine="317"/>
        <w:spacing w:after="0" w:line="221" w:lineRule="exact"/>
        <w:rPr>
          <w:sz w:val="20"/>
          <w:szCs w:val="20"/>
          <w:color w:val="auto"/>
        </w:rPr>
      </w:pPr>
      <w:r>
        <w:rPr>
          <w:rFonts w:ascii="Calibri" w:cs="Calibri" w:eastAsia="Calibri" w:hAnsi="Calibri"/>
          <w:sz w:val="16"/>
          <w:szCs w:val="16"/>
          <w:color w:val="auto"/>
        </w:rPr>
        <w:t xml:space="preserve">Indicate by check mark whether the registrant has fled a report on and atestaton to its management’s assessment of the efectveness of its internal control over fnancial reportng under Secton 404(b) of the Sarbanes-Oxley Act (15 U.S.C. 7262(b)) by the registered public accountng frm that prepared or issued its audit report. </w:t>
      </w:r>
      <w:r>
        <w:rPr>
          <w:rFonts w:ascii="MS PGothic" w:cs="MS PGothic" w:eastAsia="MS PGothic" w:hAnsi="MS PGothic"/>
          <w:sz w:val="17"/>
          <w:szCs w:val="17"/>
          <w:color w:val="auto"/>
        </w:rPr>
        <w:t>☑</w:t>
      </w:r>
    </w:p>
    <w:p>
      <w:pPr>
        <w:spacing w:after="0" w:line="21" w:lineRule="exact"/>
        <w:rPr>
          <w:sz w:val="24"/>
          <w:szCs w:val="24"/>
          <w:color w:val="auto"/>
        </w:rPr>
      </w:pPr>
    </w:p>
    <w:p>
      <w:pPr>
        <w:ind w:right="60" w:firstLine="317"/>
        <w:spacing w:after="0" w:line="210" w:lineRule="exact"/>
        <w:rPr>
          <w:sz w:val="20"/>
          <w:szCs w:val="20"/>
          <w:color w:val="auto"/>
        </w:rPr>
      </w:pPr>
      <w:r>
        <w:rPr>
          <w:rFonts w:ascii="Calibri" w:cs="Calibri" w:eastAsia="Calibri" w:hAnsi="Calibri"/>
          <w:sz w:val="16"/>
          <w:szCs w:val="16"/>
          <w:color w:val="auto"/>
        </w:rPr>
        <w:t xml:space="preserve">If securites are registered pursuant to Secton 12(b) of the Act, indicate by check mark whether the fnancial statements of the registrant included in the fling refect the correcton of an error to previously issued fnancial statements. </w:t>
      </w:r>
      <w:r>
        <w:rPr>
          <w:rFonts w:ascii="MS PGothic" w:cs="MS PGothic" w:eastAsia="MS PGothic" w:hAnsi="MS PGothic"/>
          <w:sz w:val="16"/>
          <w:szCs w:val="16"/>
          <w:color w:val="auto"/>
        </w:rPr>
        <w:t>☐</w:t>
      </w:r>
    </w:p>
    <w:p>
      <w:pPr>
        <w:spacing w:after="0" w:line="29" w:lineRule="exact"/>
        <w:rPr>
          <w:sz w:val="24"/>
          <w:szCs w:val="24"/>
          <w:color w:val="auto"/>
        </w:rPr>
      </w:pPr>
    </w:p>
    <w:p>
      <w:pPr>
        <w:ind w:firstLine="317"/>
        <w:spacing w:after="0" w:line="210" w:lineRule="exact"/>
        <w:rPr>
          <w:sz w:val="20"/>
          <w:szCs w:val="20"/>
          <w:color w:val="auto"/>
        </w:rPr>
      </w:pPr>
      <w:r>
        <w:rPr>
          <w:rFonts w:ascii="Calibri" w:cs="Calibri" w:eastAsia="Calibri" w:hAnsi="Calibri"/>
          <w:sz w:val="16"/>
          <w:szCs w:val="16"/>
          <w:color w:val="auto"/>
        </w:rPr>
        <w:t xml:space="preserve">Indicate by check mark whether any of those error correctons are restatements that required a recovery analysis of incentve-based compensaton received by any of the registrant’s executve ofcers during the relevant recovery period pursuant to §240.10D-1(b). </w:t>
      </w:r>
      <w:r>
        <w:rPr>
          <w:rFonts w:ascii="MS PGothic" w:cs="MS PGothic" w:eastAsia="MS PGothic" w:hAnsi="MS PGothic"/>
          <w:sz w:val="16"/>
          <w:szCs w:val="16"/>
          <w:color w:val="auto"/>
        </w:rPr>
        <w:t>☐</w:t>
      </w:r>
    </w:p>
    <w:p>
      <w:pPr>
        <w:spacing w:after="0" w:line="1" w:lineRule="exact"/>
        <w:rPr>
          <w:sz w:val="24"/>
          <w:szCs w:val="24"/>
          <w:color w:val="auto"/>
        </w:rPr>
      </w:pPr>
    </w:p>
    <w:p>
      <w:pPr>
        <w:ind w:left="320"/>
        <w:spacing w:after="0" w:line="196" w:lineRule="exact"/>
        <w:rPr>
          <w:sz w:val="20"/>
          <w:szCs w:val="20"/>
          <w:color w:val="auto"/>
        </w:rPr>
      </w:pPr>
      <w:r>
        <w:rPr>
          <w:rFonts w:ascii="Calibri" w:cs="Calibri" w:eastAsia="Calibri" w:hAnsi="Calibri"/>
          <w:sz w:val="16"/>
          <w:szCs w:val="16"/>
          <w:color w:val="auto"/>
        </w:rPr>
        <w:t xml:space="preserve">Indicate by check mark whether the registrant is a shell company (as defned in Rule 12b-2 of the Act). Yes </w:t>
      </w:r>
      <w:r>
        <w:rPr>
          <w:rFonts w:ascii="MS PGothic" w:cs="MS PGothic" w:eastAsia="MS PGothic" w:hAnsi="MS PGothic"/>
          <w:sz w:val="16"/>
          <w:szCs w:val="16"/>
          <w:color w:val="auto"/>
        </w:rPr>
        <w:t>☐</w:t>
      </w:r>
      <w:r>
        <w:rPr>
          <w:rFonts w:ascii="Calibri" w:cs="Calibri" w:eastAsia="Calibri" w:hAnsi="Calibri"/>
          <w:sz w:val="16"/>
          <w:szCs w:val="16"/>
          <w:color w:val="auto"/>
        </w:rPr>
        <w:t xml:space="preserve"> No </w:t>
      </w:r>
      <w:r>
        <w:rPr>
          <w:rFonts w:ascii="MS PGothic" w:cs="MS PGothic" w:eastAsia="MS PGothic" w:hAnsi="MS PGothic"/>
          <w:sz w:val="16"/>
          <w:szCs w:val="16"/>
          <w:color w:val="auto"/>
        </w:rPr>
        <w:t>☑</w:t>
      </w:r>
    </w:p>
    <w:p>
      <w:pPr>
        <w:spacing w:after="0" w:line="84" w:lineRule="exact"/>
        <w:rPr>
          <w:sz w:val="24"/>
          <w:szCs w:val="24"/>
          <w:color w:val="auto"/>
        </w:rPr>
      </w:pPr>
    </w:p>
    <w:p>
      <w:pPr>
        <w:ind w:right="140" w:firstLine="317"/>
        <w:spacing w:after="0" w:line="229" w:lineRule="auto"/>
        <w:rPr>
          <w:sz w:val="20"/>
          <w:szCs w:val="20"/>
          <w:color w:val="auto"/>
        </w:rPr>
      </w:pPr>
      <w:r>
        <w:rPr>
          <w:rFonts w:ascii="Calibri" w:cs="Calibri" w:eastAsia="Calibri" w:hAnsi="Calibri"/>
          <w:sz w:val="16"/>
          <w:szCs w:val="16"/>
          <w:color w:val="auto"/>
        </w:rPr>
        <w:t>The aggregate market value of votng and non-votng common equity held by non-afliates as of April 28, 2023, based upon the closing sale price of such shares on The Nasdaq Global Select Market on such date was approximately $253.7 billion.</w:t>
      </w:r>
    </w:p>
    <w:p>
      <w:pPr>
        <w:spacing w:after="0" w:line="57" w:lineRule="exact"/>
        <w:rPr>
          <w:sz w:val="24"/>
          <w:szCs w:val="24"/>
          <w:color w:val="auto"/>
        </w:rPr>
      </w:pPr>
    </w:p>
    <w:p>
      <w:pPr>
        <w:ind w:left="320"/>
        <w:spacing w:after="0"/>
        <w:rPr>
          <w:sz w:val="20"/>
          <w:szCs w:val="20"/>
          <w:color w:val="auto"/>
        </w:rPr>
      </w:pPr>
      <w:r>
        <w:rPr>
          <w:rFonts w:ascii="Calibri" w:cs="Calibri" w:eastAsia="Calibri" w:hAnsi="Calibri"/>
          <w:sz w:val="16"/>
          <w:szCs w:val="16"/>
          <w:color w:val="auto"/>
        </w:rPr>
        <w:t>As of November 24, 2023, there were 468,140,569 shares of our common stock outstanding.</w:t>
      </w:r>
    </w:p>
    <w:p>
      <w:pPr>
        <w:spacing w:after="0" w:line="37" w:lineRule="exact"/>
        <w:rPr>
          <w:sz w:val="24"/>
          <w:szCs w:val="24"/>
          <w:color w:val="auto"/>
        </w:rPr>
      </w:pPr>
    </w:p>
    <w:p>
      <w:pPr>
        <w:jc w:val="center"/>
        <w:ind w:right="-39"/>
        <w:spacing w:after="0"/>
        <w:rPr>
          <w:sz w:val="20"/>
          <w:szCs w:val="20"/>
          <w:color w:val="auto"/>
        </w:rPr>
      </w:pPr>
      <w:r>
        <w:rPr>
          <w:rFonts w:ascii="Calibri" w:cs="Calibri" w:eastAsia="Calibri" w:hAnsi="Calibri"/>
          <w:sz w:val="18"/>
          <w:szCs w:val="18"/>
          <w:b w:val="1"/>
          <w:bCs w:val="1"/>
          <w:color w:val="auto"/>
        </w:rPr>
        <w:t>Documents Incorporated by Reference</w:t>
      </w:r>
    </w:p>
    <w:p>
      <w:pPr>
        <w:spacing w:after="0" w:line="109" w:lineRule="exact"/>
        <w:rPr>
          <w:sz w:val="24"/>
          <w:szCs w:val="24"/>
          <w:color w:val="auto"/>
        </w:rPr>
      </w:pPr>
    </w:p>
    <w:p>
      <w:pPr>
        <w:ind w:right="280" w:firstLine="317"/>
        <w:spacing w:after="0" w:line="229" w:lineRule="auto"/>
        <w:rPr>
          <w:sz w:val="20"/>
          <w:szCs w:val="20"/>
          <w:color w:val="auto"/>
        </w:rPr>
      </w:pPr>
      <w:r>
        <w:rPr>
          <w:rFonts w:ascii="Calibri" w:cs="Calibri" w:eastAsia="Calibri" w:hAnsi="Calibri"/>
          <w:sz w:val="16"/>
          <w:szCs w:val="16"/>
          <w:color w:val="auto"/>
        </w:rPr>
        <w:t>Portons of the registrant’s defnitve Proxy Statement for its 2024 Annual Meetng of Stockholders are incorporated by reference into Part III of this Annual Report on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wp:posOffset>
            </wp:positionH>
            <wp:positionV relativeFrom="paragraph">
              <wp:posOffset>676275</wp:posOffset>
            </wp:positionV>
            <wp:extent cx="7160895" cy="419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0895" cy="4191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85725</wp:posOffset>
            </wp:positionV>
            <wp:extent cx="7135495" cy="165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5495" cy="16510"/>
                    </a:xfrm>
                    <a:prstGeom prst="rect">
                      <a:avLst/>
                    </a:prstGeom>
                    <a:noFill/>
                  </pic:spPr>
                </pic:pic>
              </a:graphicData>
            </a:graphic>
          </wp:anchor>
        </w:drawing>
      </w:r>
    </w:p>
    <w:p>
      <w:pPr>
        <w:sectPr>
          <w:pgSz w:w="11900" w:h="16838" w:orient="portrait"/>
          <w:cols w:equalWidth="0" w:num="1">
            <w:col w:w="11200"/>
          </w:cols>
          <w:pgMar w:left="320" w:top="215" w:right="379" w:bottom="1440" w:gutter="0" w:footer="0" w:header="0"/>
          <w:type w:val="continuous"/>
        </w:sectPr>
      </w:pPr>
    </w:p>
    <w:bookmarkStart w:id="1" w:name="page2"/>
    <w:bookmarkEnd w:id="1"/>
    <w:p>
      <w:pPr>
        <w:spacing w:after="0"/>
        <w:rPr>
          <w:sz w:val="20"/>
          <w:szCs w:val="20"/>
          <w:color w:val="auto"/>
        </w:rPr>
      </w:pPr>
      <w:r>
        <w:rPr>
          <w:rFonts w:ascii="Calibri" w:cs="Calibri" w:eastAsia="Calibri" w:hAnsi="Calibri"/>
          <w:sz w:val="18"/>
          <w:szCs w:val="18"/>
          <w:u w:val="single" w:color="auto"/>
          <w:color w:val="0000FF"/>
        </w:rPr>
        <w:t>Table of Contents</w:t>
      </w:r>
    </w:p>
    <w:p>
      <w:pPr>
        <w:spacing w:after="0" w:line="200" w:lineRule="exact"/>
        <w:rPr>
          <w:sz w:val="20"/>
          <w:szCs w:val="20"/>
          <w:color w:val="auto"/>
        </w:rPr>
      </w:pPr>
    </w:p>
    <w:p>
      <w:pPr>
        <w:spacing w:after="0" w:line="373" w:lineRule="exact"/>
        <w:rPr>
          <w:sz w:val="20"/>
          <w:szCs w:val="20"/>
          <w:color w:val="auto"/>
        </w:rPr>
      </w:pPr>
    </w:p>
    <w:tbl>
      <w:tblPr>
        <w:tblLayout w:type="fixed"/>
        <w:tblInd w:w="20" w:type="dxa"/>
        <w:tblCellMar>
          <w:top w:w="0" w:type="dxa"/>
          <w:left w:w="0" w:type="dxa"/>
          <w:bottom w:w="0" w:type="dxa"/>
          <w:right w:w="0" w:type="dxa"/>
        </w:tblCellMar>
      </w:tblPr>
      <w:tr>
        <w:trPr>
          <w:trHeight w:val="220"/>
        </w:trPr>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080" w:type="dxa"/>
            <w:vAlign w:val="bottom"/>
            <w:gridSpan w:val="16"/>
          </w:tcPr>
          <w:p>
            <w:pPr>
              <w:jc w:val="center"/>
              <w:ind w:right="3480"/>
              <w:spacing w:after="0"/>
              <w:rPr>
                <w:sz w:val="20"/>
                <w:szCs w:val="20"/>
                <w:color w:val="auto"/>
              </w:rPr>
            </w:pPr>
            <w:r>
              <w:rPr>
                <w:rFonts w:ascii="Calibri" w:cs="Calibri" w:eastAsia="Calibri" w:hAnsi="Calibri"/>
                <w:sz w:val="18"/>
                <w:szCs w:val="18"/>
                <w:b w:val="1"/>
                <w:bCs w:val="1"/>
                <w:color w:val="auto"/>
                <w:w w:val="94"/>
              </w:rPr>
              <w:t>BROADCOM INC.</w:t>
            </w:r>
          </w:p>
        </w:tc>
        <w:tc>
          <w:tcPr>
            <w:tcW w:w="5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80" w:type="dxa"/>
            <w:vAlign w:val="bottom"/>
            <w:gridSpan w:val="18"/>
          </w:tcPr>
          <w:p>
            <w:pPr>
              <w:jc w:val="center"/>
              <w:ind w:right="2280"/>
              <w:spacing w:after="0" w:line="211" w:lineRule="exact"/>
              <w:rPr>
                <w:sz w:val="20"/>
                <w:szCs w:val="20"/>
                <w:color w:val="auto"/>
              </w:rPr>
            </w:pPr>
            <w:r>
              <w:rPr>
                <w:rFonts w:ascii="Calibri" w:cs="Calibri" w:eastAsia="Calibri" w:hAnsi="Calibri"/>
                <w:sz w:val="18"/>
                <w:szCs w:val="18"/>
                <w:b w:val="1"/>
                <w:bCs w:val="1"/>
                <w:color w:val="auto"/>
                <w:w w:val="95"/>
              </w:rPr>
              <w:t>2023 ANNUAL REPORT ON FORM 10-K</w:t>
            </w: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49"/>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80" w:type="dxa"/>
            <w:vAlign w:val="bottom"/>
            <w:gridSpan w:val="16"/>
          </w:tcPr>
          <w:p>
            <w:pPr>
              <w:jc w:val="center"/>
              <w:ind w:right="3460"/>
              <w:spacing w:after="0"/>
              <w:rPr>
                <w:sz w:val="20"/>
                <w:szCs w:val="20"/>
                <w:color w:val="auto"/>
              </w:rPr>
            </w:pPr>
            <w:r>
              <w:rPr>
                <w:rFonts w:ascii="Calibri" w:cs="Calibri" w:eastAsia="Calibri" w:hAnsi="Calibri"/>
                <w:sz w:val="18"/>
                <w:szCs w:val="18"/>
                <w:b w:val="1"/>
                <w:bCs w:val="1"/>
                <w:color w:val="auto"/>
                <w:w w:val="93"/>
              </w:rPr>
              <w:t>TABLE OF CONTENTS</w:t>
            </w: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20" w:type="dxa"/>
            <w:vAlign w:val="bottom"/>
            <w:gridSpan w:val="5"/>
          </w:tcPr>
          <w:p>
            <w:pPr>
              <w:ind w:left="540"/>
              <w:spacing w:after="0"/>
              <w:rPr>
                <w:sz w:val="20"/>
                <w:szCs w:val="20"/>
                <w:color w:val="auto"/>
              </w:rPr>
            </w:pPr>
            <w:r>
              <w:rPr>
                <w:rFonts w:ascii="Calibri" w:cs="Calibri" w:eastAsia="Calibri" w:hAnsi="Calibri"/>
                <w:sz w:val="14"/>
                <w:szCs w:val="14"/>
                <w:b w:val="1"/>
                <w:bCs w:val="1"/>
                <w:color w:val="auto"/>
              </w:rPr>
              <w:t>Page</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vMerge w:val="restart"/>
          </w:tcPr>
          <w:p>
            <w:pPr>
              <w:spacing w:after="0"/>
              <w:rPr>
                <w:sz w:val="3"/>
                <w:szCs w:val="3"/>
                <w:color w:val="auto"/>
              </w:rPr>
            </w:pPr>
          </w:p>
        </w:tc>
        <w:tc>
          <w:tcPr>
            <w:tcW w:w="120" w:type="dxa"/>
            <w:vAlign w:val="bottom"/>
            <w:vMerge w:val="restart"/>
          </w:tcPr>
          <w:p>
            <w:pPr>
              <w:spacing w:after="0"/>
              <w:rPr>
                <w:sz w:val="3"/>
                <w:szCs w:val="3"/>
                <w:color w:val="auto"/>
              </w:rPr>
            </w:pPr>
          </w:p>
        </w:tc>
        <w:tc>
          <w:tcPr>
            <w:tcW w:w="20" w:type="dxa"/>
            <w:vAlign w:val="bottom"/>
            <w:vMerge w:val="restart"/>
          </w:tcPr>
          <w:p>
            <w:pPr>
              <w:spacing w:after="0"/>
              <w:rPr>
                <w:sz w:val="3"/>
                <w:szCs w:val="3"/>
                <w:color w:val="auto"/>
              </w:rPr>
            </w:pPr>
          </w:p>
        </w:tc>
        <w:tc>
          <w:tcPr>
            <w:tcW w:w="20" w:type="dxa"/>
            <w:vAlign w:val="bottom"/>
            <w:vMerge w:val="restart"/>
          </w:tcPr>
          <w:p>
            <w:pPr>
              <w:spacing w:after="0"/>
              <w:rPr>
                <w:sz w:val="3"/>
                <w:szCs w:val="3"/>
                <w:color w:val="auto"/>
              </w:rPr>
            </w:pPr>
          </w:p>
        </w:tc>
        <w:tc>
          <w:tcPr>
            <w:tcW w:w="120" w:type="dxa"/>
            <w:vAlign w:val="bottom"/>
            <w:vMerge w:val="restart"/>
          </w:tcPr>
          <w:p>
            <w:pPr>
              <w:spacing w:after="0"/>
              <w:rPr>
                <w:sz w:val="3"/>
                <w:szCs w:val="3"/>
                <w:color w:val="auto"/>
              </w:rPr>
            </w:pPr>
          </w:p>
        </w:tc>
        <w:tc>
          <w:tcPr>
            <w:tcW w:w="520" w:type="dxa"/>
            <w:vAlign w:val="bottom"/>
            <w:vMerge w:val="restart"/>
          </w:tcPr>
          <w:p>
            <w:pPr>
              <w:spacing w:after="0"/>
              <w:rPr>
                <w:sz w:val="3"/>
                <w:szCs w:val="3"/>
                <w:color w:val="auto"/>
              </w:rPr>
            </w:pPr>
          </w:p>
        </w:tc>
        <w:tc>
          <w:tcPr>
            <w:tcW w:w="60" w:type="dxa"/>
            <w:vAlign w:val="bottom"/>
            <w:vMerge w:val="restart"/>
          </w:tcPr>
          <w:p>
            <w:pPr>
              <w:spacing w:after="0"/>
              <w:rPr>
                <w:sz w:val="3"/>
                <w:szCs w:val="3"/>
                <w:color w:val="auto"/>
              </w:rPr>
            </w:pPr>
          </w:p>
        </w:tc>
        <w:tc>
          <w:tcPr>
            <w:tcW w:w="40" w:type="dxa"/>
            <w:vAlign w:val="bottom"/>
            <w:vMerge w:val="restart"/>
          </w:tcPr>
          <w:p>
            <w:pPr>
              <w:spacing w:after="0"/>
              <w:rPr>
                <w:sz w:val="3"/>
                <w:szCs w:val="3"/>
                <w:color w:val="auto"/>
              </w:rPr>
            </w:pPr>
          </w:p>
        </w:tc>
        <w:tc>
          <w:tcPr>
            <w:tcW w:w="340" w:type="dxa"/>
            <w:vAlign w:val="bottom"/>
            <w:vMerge w:val="restart"/>
          </w:tcPr>
          <w:p>
            <w:pPr>
              <w:spacing w:after="0"/>
              <w:rPr>
                <w:sz w:val="3"/>
                <w:szCs w:val="3"/>
                <w:color w:val="auto"/>
              </w:rPr>
            </w:pPr>
          </w:p>
        </w:tc>
        <w:tc>
          <w:tcPr>
            <w:tcW w:w="40" w:type="dxa"/>
            <w:vAlign w:val="bottom"/>
            <w:vMerge w:val="restart"/>
          </w:tcPr>
          <w:p>
            <w:pPr>
              <w:spacing w:after="0"/>
              <w:rPr>
                <w:sz w:val="3"/>
                <w:szCs w:val="3"/>
                <w:color w:val="auto"/>
              </w:rPr>
            </w:pPr>
          </w:p>
        </w:tc>
        <w:tc>
          <w:tcPr>
            <w:tcW w:w="140" w:type="dxa"/>
            <w:vAlign w:val="bottom"/>
            <w:vMerge w:val="restart"/>
          </w:tcPr>
          <w:p>
            <w:pPr>
              <w:spacing w:after="0"/>
              <w:rPr>
                <w:sz w:val="3"/>
                <w:szCs w:val="3"/>
                <w:color w:val="auto"/>
              </w:rPr>
            </w:pPr>
          </w:p>
        </w:tc>
        <w:tc>
          <w:tcPr>
            <w:tcW w:w="180" w:type="dxa"/>
            <w:vAlign w:val="bottom"/>
            <w:vMerge w:val="restart"/>
          </w:tcPr>
          <w:p>
            <w:pPr>
              <w:spacing w:after="0"/>
              <w:rPr>
                <w:sz w:val="3"/>
                <w:szCs w:val="3"/>
                <w:color w:val="auto"/>
              </w:rPr>
            </w:pPr>
          </w:p>
        </w:tc>
        <w:tc>
          <w:tcPr>
            <w:tcW w:w="860" w:type="dxa"/>
            <w:vAlign w:val="bottom"/>
            <w:vMerge w:val="restart"/>
          </w:tcPr>
          <w:p>
            <w:pPr>
              <w:spacing w:after="0"/>
              <w:rPr>
                <w:sz w:val="3"/>
                <w:szCs w:val="3"/>
                <w:color w:val="auto"/>
              </w:rPr>
            </w:pPr>
          </w:p>
        </w:tc>
        <w:tc>
          <w:tcPr>
            <w:tcW w:w="340" w:type="dxa"/>
            <w:vAlign w:val="bottom"/>
            <w:vMerge w:val="restart"/>
          </w:tcPr>
          <w:p>
            <w:pPr>
              <w:spacing w:after="0"/>
              <w:rPr>
                <w:sz w:val="3"/>
                <w:szCs w:val="3"/>
                <w:color w:val="auto"/>
              </w:rPr>
            </w:pPr>
          </w:p>
        </w:tc>
        <w:tc>
          <w:tcPr>
            <w:tcW w:w="220" w:type="dxa"/>
            <w:vAlign w:val="bottom"/>
            <w:vMerge w:val="restart"/>
          </w:tcPr>
          <w:p>
            <w:pPr>
              <w:spacing w:after="0"/>
              <w:rPr>
                <w:sz w:val="3"/>
                <w:szCs w:val="3"/>
                <w:color w:val="auto"/>
              </w:rPr>
            </w:pPr>
          </w:p>
        </w:tc>
        <w:tc>
          <w:tcPr>
            <w:tcW w:w="300" w:type="dxa"/>
            <w:vAlign w:val="bottom"/>
            <w:vMerge w:val="restart"/>
          </w:tcPr>
          <w:p>
            <w:pPr>
              <w:spacing w:after="0"/>
              <w:rPr>
                <w:sz w:val="3"/>
                <w:szCs w:val="3"/>
                <w:color w:val="auto"/>
              </w:rPr>
            </w:pPr>
          </w:p>
        </w:tc>
        <w:tc>
          <w:tcPr>
            <w:tcW w:w="20" w:type="dxa"/>
            <w:vAlign w:val="bottom"/>
            <w:vMerge w:val="restart"/>
          </w:tcPr>
          <w:p>
            <w:pPr>
              <w:spacing w:after="0"/>
              <w:rPr>
                <w:sz w:val="3"/>
                <w:szCs w:val="3"/>
                <w:color w:val="auto"/>
              </w:rPr>
            </w:pPr>
          </w:p>
        </w:tc>
        <w:tc>
          <w:tcPr>
            <w:tcW w:w="4540" w:type="dxa"/>
            <w:vAlign w:val="bottom"/>
            <w:gridSpan w:val="13"/>
            <w:vMerge w:val="restart"/>
          </w:tcPr>
          <w:p>
            <w:pPr>
              <w:jc w:val="center"/>
              <w:ind w:right="4000"/>
              <w:spacing w:after="0" w:line="217" w:lineRule="exact"/>
              <w:rPr>
                <w:sz w:val="20"/>
                <w:szCs w:val="20"/>
                <w:color w:val="auto"/>
              </w:rPr>
            </w:pPr>
            <w:r>
              <w:rPr>
                <w:rFonts w:ascii="Calibri" w:cs="Calibri" w:eastAsia="Calibri" w:hAnsi="Calibri"/>
                <w:sz w:val="18"/>
                <w:szCs w:val="18"/>
                <w:b w:val="1"/>
                <w:bCs w:val="1"/>
                <w:color w:val="0000FF"/>
                <w:w w:val="93"/>
              </w:rPr>
              <w:t>PART I.</w:t>
            </w:r>
          </w:p>
        </w:tc>
        <w:tc>
          <w:tcPr>
            <w:tcW w:w="58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vMerge w:val="continue"/>
          </w:tcPr>
          <w:p>
            <w:pPr>
              <w:spacing w:after="0"/>
              <w:rPr>
                <w:sz w:val="13"/>
                <w:szCs w:val="13"/>
                <w:color w:val="auto"/>
              </w:rPr>
            </w:pPr>
          </w:p>
        </w:tc>
        <w:tc>
          <w:tcPr>
            <w:tcW w:w="12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120" w:type="dxa"/>
            <w:vAlign w:val="bottom"/>
            <w:vMerge w:val="continue"/>
          </w:tcPr>
          <w:p>
            <w:pPr>
              <w:spacing w:after="0"/>
              <w:rPr>
                <w:sz w:val="13"/>
                <w:szCs w:val="13"/>
                <w:color w:val="auto"/>
              </w:rPr>
            </w:pPr>
          </w:p>
        </w:tc>
        <w:tc>
          <w:tcPr>
            <w:tcW w:w="520" w:type="dxa"/>
            <w:vAlign w:val="bottom"/>
            <w:vMerge w:val="continue"/>
          </w:tcPr>
          <w:p>
            <w:pPr>
              <w:spacing w:after="0"/>
              <w:rPr>
                <w:sz w:val="13"/>
                <w:szCs w:val="13"/>
                <w:color w:val="auto"/>
              </w:rPr>
            </w:pPr>
          </w:p>
        </w:tc>
        <w:tc>
          <w:tcPr>
            <w:tcW w:w="60" w:type="dxa"/>
            <w:vAlign w:val="bottom"/>
            <w:vMerge w:val="continue"/>
          </w:tcPr>
          <w:p>
            <w:pPr>
              <w:spacing w:after="0"/>
              <w:rPr>
                <w:sz w:val="13"/>
                <w:szCs w:val="13"/>
                <w:color w:val="auto"/>
              </w:rPr>
            </w:pPr>
          </w:p>
        </w:tc>
        <w:tc>
          <w:tcPr>
            <w:tcW w:w="40" w:type="dxa"/>
            <w:vAlign w:val="bottom"/>
            <w:vMerge w:val="continue"/>
          </w:tcPr>
          <w:p>
            <w:pPr>
              <w:spacing w:after="0"/>
              <w:rPr>
                <w:sz w:val="13"/>
                <w:szCs w:val="13"/>
                <w:color w:val="auto"/>
              </w:rPr>
            </w:pPr>
          </w:p>
        </w:tc>
        <w:tc>
          <w:tcPr>
            <w:tcW w:w="340" w:type="dxa"/>
            <w:vAlign w:val="bottom"/>
            <w:vMerge w:val="continue"/>
          </w:tcPr>
          <w:p>
            <w:pPr>
              <w:spacing w:after="0"/>
              <w:rPr>
                <w:sz w:val="13"/>
                <w:szCs w:val="13"/>
                <w:color w:val="auto"/>
              </w:rPr>
            </w:pPr>
          </w:p>
        </w:tc>
        <w:tc>
          <w:tcPr>
            <w:tcW w:w="40" w:type="dxa"/>
            <w:vAlign w:val="bottom"/>
            <w:vMerge w:val="continue"/>
          </w:tcPr>
          <w:p>
            <w:pPr>
              <w:spacing w:after="0"/>
              <w:rPr>
                <w:sz w:val="13"/>
                <w:szCs w:val="13"/>
                <w:color w:val="auto"/>
              </w:rPr>
            </w:pPr>
          </w:p>
        </w:tc>
        <w:tc>
          <w:tcPr>
            <w:tcW w:w="140" w:type="dxa"/>
            <w:vAlign w:val="bottom"/>
            <w:vMerge w:val="continue"/>
          </w:tcPr>
          <w:p>
            <w:pPr>
              <w:spacing w:after="0"/>
              <w:rPr>
                <w:sz w:val="13"/>
                <w:szCs w:val="13"/>
                <w:color w:val="auto"/>
              </w:rPr>
            </w:pPr>
          </w:p>
        </w:tc>
        <w:tc>
          <w:tcPr>
            <w:tcW w:w="180" w:type="dxa"/>
            <w:vAlign w:val="bottom"/>
            <w:vMerge w:val="continue"/>
          </w:tcPr>
          <w:p>
            <w:pPr>
              <w:spacing w:after="0"/>
              <w:rPr>
                <w:sz w:val="13"/>
                <w:szCs w:val="13"/>
                <w:color w:val="auto"/>
              </w:rPr>
            </w:pPr>
          </w:p>
        </w:tc>
        <w:tc>
          <w:tcPr>
            <w:tcW w:w="860" w:type="dxa"/>
            <w:vAlign w:val="bottom"/>
            <w:vMerge w:val="continue"/>
          </w:tcPr>
          <w:p>
            <w:pPr>
              <w:spacing w:after="0"/>
              <w:rPr>
                <w:sz w:val="13"/>
                <w:szCs w:val="13"/>
                <w:color w:val="auto"/>
              </w:rPr>
            </w:pPr>
          </w:p>
        </w:tc>
        <w:tc>
          <w:tcPr>
            <w:tcW w:w="340" w:type="dxa"/>
            <w:vAlign w:val="bottom"/>
            <w:vMerge w:val="continue"/>
          </w:tcPr>
          <w:p>
            <w:pPr>
              <w:spacing w:after="0"/>
              <w:rPr>
                <w:sz w:val="13"/>
                <w:szCs w:val="13"/>
                <w:color w:val="auto"/>
              </w:rPr>
            </w:pPr>
          </w:p>
        </w:tc>
        <w:tc>
          <w:tcPr>
            <w:tcW w:w="220" w:type="dxa"/>
            <w:vAlign w:val="bottom"/>
            <w:vMerge w:val="continue"/>
          </w:tcPr>
          <w:p>
            <w:pPr>
              <w:spacing w:after="0"/>
              <w:rPr>
                <w:sz w:val="13"/>
                <w:szCs w:val="13"/>
                <w:color w:val="auto"/>
              </w:rPr>
            </w:pPr>
          </w:p>
        </w:tc>
        <w:tc>
          <w:tcPr>
            <w:tcW w:w="30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4540" w:type="dxa"/>
            <w:vAlign w:val="bottom"/>
            <w:gridSpan w:val="13"/>
            <w:vMerge w:val="continue"/>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4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500" w:type="dxa"/>
            <w:vAlign w:val="bottom"/>
            <w:tcBorders>
              <w:top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5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2"/>
        </w:trPr>
        <w:tc>
          <w:tcPr>
            <w:tcW w:w="20" w:type="dxa"/>
            <w:vAlign w:val="bottom"/>
            <w:shd w:val="clear" w:color="auto" w:fill="CCEEFF"/>
          </w:tcPr>
          <w:p>
            <w:pPr>
              <w:spacing w:after="0"/>
              <w:rPr>
                <w:sz w:val="14"/>
                <w:szCs w:val="14"/>
                <w:color w:val="auto"/>
              </w:rPr>
            </w:pPr>
          </w:p>
        </w:tc>
        <w:tc>
          <w:tcPr>
            <w:tcW w:w="1300" w:type="dxa"/>
            <w:vAlign w:val="bottom"/>
            <w:gridSpan w:val="5"/>
            <w:shd w:val="clear" w:color="auto" w:fill="CCEEFF"/>
          </w:tcPr>
          <w:p>
            <w:pPr>
              <w:spacing w:after="0" w:line="172" w:lineRule="exact"/>
              <w:rPr>
                <w:sz w:val="20"/>
                <w:szCs w:val="20"/>
                <w:color w:val="auto"/>
              </w:rPr>
            </w:pPr>
            <w:r>
              <w:rPr>
                <w:rFonts w:ascii="Calibri" w:cs="Calibri" w:eastAsia="Calibri" w:hAnsi="Calibri"/>
                <w:sz w:val="18"/>
                <w:szCs w:val="18"/>
                <w:color w:val="0000FF"/>
              </w:rPr>
              <w:t>ITEM 1.</w:t>
            </w:r>
          </w:p>
        </w:tc>
        <w:tc>
          <w:tcPr>
            <w:tcW w:w="8560" w:type="dxa"/>
            <w:vAlign w:val="bottom"/>
            <w:gridSpan w:val="30"/>
            <w:shd w:val="clear" w:color="auto" w:fill="CCEEFF"/>
          </w:tcPr>
          <w:p>
            <w:pPr>
              <w:spacing w:after="0" w:line="172" w:lineRule="exact"/>
              <w:rPr>
                <w:sz w:val="20"/>
                <w:szCs w:val="20"/>
                <w:color w:val="auto"/>
              </w:rPr>
            </w:pPr>
            <w:r>
              <w:rPr>
                <w:rFonts w:ascii="Calibri" w:cs="Calibri" w:eastAsia="Calibri" w:hAnsi="Calibri"/>
                <w:sz w:val="18"/>
                <w:szCs w:val="18"/>
                <w:color w:val="0000FF"/>
              </w:rPr>
              <w:t>BUSINESS</w:t>
            </w:r>
          </w:p>
        </w:tc>
        <w:tc>
          <w:tcPr>
            <w:tcW w:w="760" w:type="dxa"/>
            <w:vAlign w:val="bottom"/>
            <w:gridSpan w:val="4"/>
            <w:shd w:val="clear" w:color="auto" w:fill="CCEEFF"/>
          </w:tcPr>
          <w:p>
            <w:pPr>
              <w:jc w:val="center"/>
              <w:ind w:left="493"/>
              <w:spacing w:after="0" w:line="172" w:lineRule="exact"/>
              <w:rPr>
                <w:sz w:val="20"/>
                <w:szCs w:val="20"/>
                <w:color w:val="auto"/>
              </w:rPr>
            </w:pPr>
            <w:r>
              <w:rPr>
                <w:rFonts w:ascii="Calibri" w:cs="Calibri" w:eastAsia="Calibri" w:hAnsi="Calibri"/>
                <w:sz w:val="18"/>
                <w:szCs w:val="18"/>
                <w:color w:val="0000FF"/>
              </w:rPr>
              <w:t>3</w:t>
            </w:r>
          </w:p>
        </w:tc>
        <w:tc>
          <w:tcPr>
            <w:tcW w:w="5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33"/>
        </w:trPr>
        <w:tc>
          <w:tcPr>
            <w:tcW w:w="20" w:type="dxa"/>
            <w:vAlign w:val="bottom"/>
            <w:tcBorders>
              <w:top w:val="single" w:sz="8" w:color="CCEEFF"/>
            </w:tcBorders>
            <w:shd w:val="clear" w:color="auto" w:fill="CCEEFF"/>
          </w:tcPr>
          <w:p>
            <w:pPr>
              <w:spacing w:after="0"/>
              <w:rPr>
                <w:sz w:val="2"/>
                <w:szCs w:val="2"/>
                <w:color w:val="auto"/>
              </w:rPr>
            </w:pPr>
          </w:p>
        </w:tc>
        <w:tc>
          <w:tcPr>
            <w:tcW w:w="520" w:type="dxa"/>
            <w:vAlign w:val="bottom"/>
            <w:tcBorders>
              <w:top w:val="single" w:sz="8" w:color="0000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680" w:type="dxa"/>
            <w:vAlign w:val="bottom"/>
            <w:tcBorders>
              <w:top w:val="single" w:sz="8" w:color="0000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5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86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740" w:type="dxa"/>
            <w:vAlign w:val="bottom"/>
            <w:tcBorders>
              <w:top w:val="single" w:sz="8" w:color="CCEEFF"/>
            </w:tcBorders>
            <w:shd w:val="clear" w:color="auto" w:fill="CCEEFF"/>
          </w:tcPr>
          <w:p>
            <w:pPr>
              <w:spacing w:after="0"/>
              <w:rPr>
                <w:sz w:val="2"/>
                <w:szCs w:val="2"/>
                <w:color w:val="auto"/>
              </w:rPr>
            </w:pPr>
          </w:p>
        </w:tc>
        <w:tc>
          <w:tcPr>
            <w:tcW w:w="560" w:type="dxa"/>
            <w:vAlign w:val="bottom"/>
            <w:tcBorders>
              <w:top w:val="single" w:sz="8" w:color="CCEEFF"/>
            </w:tcBorders>
            <w:shd w:val="clear" w:color="auto" w:fill="CCEEFF"/>
          </w:tcPr>
          <w:p>
            <w:pPr>
              <w:spacing w:after="0"/>
              <w:rPr>
                <w:sz w:val="2"/>
                <w:szCs w:val="2"/>
                <w:color w:val="auto"/>
              </w:rPr>
            </w:pPr>
          </w:p>
        </w:tc>
        <w:tc>
          <w:tcPr>
            <w:tcW w:w="10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8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5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56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2"/>
        </w:trPr>
        <w:tc>
          <w:tcPr>
            <w:tcW w:w="20" w:type="dxa"/>
            <w:vAlign w:val="bottom"/>
          </w:tcPr>
          <w:p>
            <w:pPr>
              <w:spacing w:after="0"/>
              <w:rPr>
                <w:sz w:val="14"/>
                <w:szCs w:val="14"/>
                <w:color w:val="auto"/>
              </w:rPr>
            </w:pPr>
          </w:p>
        </w:tc>
        <w:tc>
          <w:tcPr>
            <w:tcW w:w="1300" w:type="dxa"/>
            <w:vAlign w:val="bottom"/>
            <w:gridSpan w:val="5"/>
          </w:tcPr>
          <w:p>
            <w:pPr>
              <w:spacing w:after="0" w:line="172" w:lineRule="exact"/>
              <w:rPr>
                <w:sz w:val="20"/>
                <w:szCs w:val="20"/>
                <w:color w:val="auto"/>
              </w:rPr>
            </w:pPr>
            <w:r>
              <w:rPr>
                <w:rFonts w:ascii="Calibri" w:cs="Calibri" w:eastAsia="Calibri" w:hAnsi="Calibri"/>
                <w:sz w:val="18"/>
                <w:szCs w:val="18"/>
                <w:color w:val="0000FF"/>
              </w:rPr>
              <w:t>ITEM 1A.</w:t>
            </w:r>
          </w:p>
        </w:tc>
        <w:tc>
          <w:tcPr>
            <w:tcW w:w="8560" w:type="dxa"/>
            <w:vAlign w:val="bottom"/>
            <w:gridSpan w:val="30"/>
          </w:tcPr>
          <w:p>
            <w:pPr>
              <w:spacing w:after="0" w:line="172" w:lineRule="exact"/>
              <w:rPr>
                <w:sz w:val="20"/>
                <w:szCs w:val="20"/>
                <w:color w:val="auto"/>
              </w:rPr>
            </w:pPr>
            <w:r>
              <w:rPr>
                <w:rFonts w:ascii="Calibri" w:cs="Calibri" w:eastAsia="Calibri" w:hAnsi="Calibri"/>
                <w:sz w:val="18"/>
                <w:szCs w:val="18"/>
                <w:color w:val="0000FF"/>
              </w:rPr>
              <w:t>RISK FACTORS</w:t>
            </w:r>
          </w:p>
        </w:tc>
        <w:tc>
          <w:tcPr>
            <w:tcW w:w="1320" w:type="dxa"/>
            <w:vAlign w:val="bottom"/>
            <w:gridSpan w:val="5"/>
          </w:tcPr>
          <w:p>
            <w:pPr>
              <w:jc w:val="center"/>
              <w:spacing w:after="0" w:line="172" w:lineRule="exact"/>
              <w:rPr>
                <w:sz w:val="20"/>
                <w:szCs w:val="20"/>
                <w:color w:val="auto"/>
              </w:rPr>
            </w:pPr>
            <w:r>
              <w:rPr>
                <w:rFonts w:ascii="Calibri" w:cs="Calibri" w:eastAsia="Calibri" w:hAnsi="Calibri"/>
                <w:sz w:val="18"/>
                <w:szCs w:val="18"/>
                <w:color w:val="0000FF"/>
                <w:w w:val="98"/>
              </w:rPr>
              <w:t>14</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52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60" w:type="dxa"/>
            <w:vAlign w:val="bottom"/>
          </w:tcPr>
          <w:p>
            <w:pPr>
              <w:spacing w:after="0"/>
              <w:rPr>
                <w:sz w:val="2"/>
                <w:szCs w:val="2"/>
                <w:color w:val="auto"/>
              </w:rPr>
            </w:pPr>
          </w:p>
        </w:tc>
        <w:tc>
          <w:tcPr>
            <w:tcW w:w="420" w:type="dxa"/>
            <w:vAlign w:val="bottom"/>
          </w:tcPr>
          <w:p>
            <w:pPr>
              <w:spacing w:after="0"/>
              <w:rPr>
                <w:sz w:val="2"/>
                <w:szCs w:val="2"/>
                <w:color w:val="auto"/>
              </w:rPr>
            </w:pPr>
          </w:p>
        </w:tc>
        <w:tc>
          <w:tcPr>
            <w:tcW w:w="68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5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580" w:type="dxa"/>
            <w:vAlign w:val="bottom"/>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4"/>
        </w:trPr>
        <w:tc>
          <w:tcPr>
            <w:tcW w:w="2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0000FF"/>
            </w:tcBorders>
            <w:gridSpan w:val="3"/>
            <w:shd w:val="clear" w:color="auto" w:fill="CCEEFF"/>
          </w:tcPr>
          <w:p>
            <w:pPr>
              <w:spacing w:after="0" w:line="172" w:lineRule="exact"/>
              <w:rPr>
                <w:sz w:val="20"/>
                <w:szCs w:val="20"/>
                <w:color w:val="auto"/>
              </w:rPr>
            </w:pPr>
            <w:r>
              <w:rPr>
                <w:rFonts w:ascii="Calibri" w:cs="Calibri" w:eastAsia="Calibri" w:hAnsi="Calibri"/>
                <w:sz w:val="18"/>
                <w:szCs w:val="18"/>
                <w:color w:val="0000FF"/>
                <w:w w:val="92"/>
              </w:rPr>
              <w:t>ITEM 1B.</w:t>
            </w:r>
          </w:p>
        </w:tc>
        <w:tc>
          <w:tcPr>
            <w:tcW w:w="680" w:type="dxa"/>
            <w:vAlign w:val="bottom"/>
            <w:tcBorders>
              <w:bottom w:val="single" w:sz="8" w:color="CCEEFF"/>
            </w:tcBorders>
            <w:gridSpan w:val="2"/>
            <w:shd w:val="clear" w:color="auto" w:fill="CCEEFF"/>
          </w:tcPr>
          <w:p>
            <w:pPr>
              <w:spacing w:after="0"/>
              <w:rPr>
                <w:sz w:val="17"/>
                <w:szCs w:val="17"/>
                <w:color w:val="auto"/>
              </w:rPr>
            </w:pPr>
          </w:p>
        </w:tc>
        <w:tc>
          <w:tcPr>
            <w:tcW w:w="2280" w:type="dxa"/>
            <w:vAlign w:val="bottom"/>
            <w:tcBorders>
              <w:bottom w:val="single" w:sz="8" w:color="0000FF"/>
            </w:tcBorders>
            <w:gridSpan w:val="12"/>
            <w:shd w:val="clear" w:color="auto" w:fill="CCEEFF"/>
          </w:tcPr>
          <w:p>
            <w:pPr>
              <w:spacing w:after="0" w:line="172" w:lineRule="exact"/>
              <w:rPr>
                <w:sz w:val="20"/>
                <w:szCs w:val="20"/>
                <w:color w:val="auto"/>
              </w:rPr>
            </w:pPr>
            <w:r>
              <w:rPr>
                <w:rFonts w:ascii="Calibri" w:cs="Calibri" w:eastAsia="Calibri" w:hAnsi="Calibri"/>
                <w:sz w:val="18"/>
                <w:szCs w:val="18"/>
                <w:color w:val="0000FF"/>
                <w:w w:val="93"/>
              </w:rPr>
              <w:t>UNRESOLVED STAFF COMMENTS</w:t>
            </w:r>
          </w:p>
        </w:tc>
        <w:tc>
          <w:tcPr>
            <w:tcW w:w="6280" w:type="dxa"/>
            <w:vAlign w:val="bottom"/>
            <w:tcBorders>
              <w:bottom w:val="single" w:sz="8" w:color="CCEEFF"/>
            </w:tcBorders>
            <w:gridSpan w:val="18"/>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0000FF"/>
            </w:tcBorders>
            <w:gridSpan w:val="3"/>
            <w:shd w:val="clear" w:color="auto" w:fill="CCEEFF"/>
          </w:tcPr>
          <w:p>
            <w:pPr>
              <w:jc w:val="center"/>
              <w:spacing w:after="0" w:line="172" w:lineRule="exact"/>
              <w:rPr>
                <w:sz w:val="20"/>
                <w:szCs w:val="20"/>
                <w:color w:val="auto"/>
              </w:rPr>
            </w:pPr>
            <w:r>
              <w:rPr>
                <w:rFonts w:ascii="Calibri" w:cs="Calibri" w:eastAsia="Calibri" w:hAnsi="Calibri"/>
                <w:sz w:val="18"/>
                <w:szCs w:val="18"/>
                <w:color w:val="0000FF"/>
                <w:w w:val="98"/>
              </w:rPr>
              <w:t>34</w:t>
            </w:r>
          </w:p>
        </w:tc>
        <w:tc>
          <w:tcPr>
            <w:tcW w:w="5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300" w:type="dxa"/>
            <w:vAlign w:val="bottom"/>
            <w:gridSpan w:val="5"/>
          </w:tcPr>
          <w:p>
            <w:pPr>
              <w:spacing w:after="0" w:line="172" w:lineRule="exact"/>
              <w:rPr>
                <w:sz w:val="20"/>
                <w:szCs w:val="20"/>
                <w:color w:val="auto"/>
              </w:rPr>
            </w:pPr>
            <w:r>
              <w:rPr>
                <w:rFonts w:ascii="Calibri" w:cs="Calibri" w:eastAsia="Calibri" w:hAnsi="Calibri"/>
                <w:sz w:val="18"/>
                <w:szCs w:val="18"/>
                <w:color w:val="0000FF"/>
              </w:rPr>
              <w:t>ITEM 2.</w:t>
            </w:r>
          </w:p>
        </w:tc>
        <w:tc>
          <w:tcPr>
            <w:tcW w:w="8560" w:type="dxa"/>
            <w:vAlign w:val="bottom"/>
            <w:gridSpan w:val="30"/>
          </w:tcPr>
          <w:p>
            <w:pPr>
              <w:spacing w:after="0" w:line="172" w:lineRule="exact"/>
              <w:rPr>
                <w:sz w:val="20"/>
                <w:szCs w:val="20"/>
                <w:color w:val="auto"/>
              </w:rPr>
            </w:pPr>
            <w:r>
              <w:rPr>
                <w:rFonts w:ascii="Calibri" w:cs="Calibri" w:eastAsia="Calibri" w:hAnsi="Calibri"/>
                <w:sz w:val="18"/>
                <w:szCs w:val="18"/>
                <w:color w:val="0000FF"/>
              </w:rPr>
              <w:t>PROPERTIES</w:t>
            </w:r>
          </w:p>
        </w:tc>
        <w:tc>
          <w:tcPr>
            <w:tcW w:w="1320" w:type="dxa"/>
            <w:vAlign w:val="bottom"/>
            <w:gridSpan w:val="5"/>
          </w:tcPr>
          <w:p>
            <w:pPr>
              <w:jc w:val="center"/>
              <w:spacing w:after="0" w:line="172" w:lineRule="exact"/>
              <w:rPr>
                <w:sz w:val="20"/>
                <w:szCs w:val="20"/>
                <w:color w:val="auto"/>
              </w:rPr>
            </w:pPr>
            <w:r>
              <w:rPr>
                <w:rFonts w:ascii="Calibri" w:cs="Calibri" w:eastAsia="Calibri" w:hAnsi="Calibri"/>
                <w:sz w:val="18"/>
                <w:szCs w:val="18"/>
                <w:color w:val="0000FF"/>
                <w:w w:val="98"/>
              </w:rPr>
              <w:t>34</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520" w:type="dxa"/>
            <w:vAlign w:val="bottom"/>
            <w:tcBorders>
              <w:top w:val="single" w:sz="8" w:color="0000FF"/>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420" w:type="dxa"/>
            <w:vAlign w:val="bottom"/>
          </w:tcPr>
          <w:p>
            <w:pPr>
              <w:spacing w:after="0"/>
              <w:rPr>
                <w:sz w:val="2"/>
                <w:szCs w:val="2"/>
                <w:color w:val="auto"/>
              </w:rPr>
            </w:pPr>
          </w:p>
        </w:tc>
        <w:tc>
          <w:tcPr>
            <w:tcW w:w="68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580" w:type="dxa"/>
            <w:vAlign w:val="bottom"/>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2"/>
        </w:trPr>
        <w:tc>
          <w:tcPr>
            <w:tcW w:w="20" w:type="dxa"/>
            <w:vAlign w:val="bottom"/>
            <w:shd w:val="clear" w:color="auto" w:fill="CCEEFF"/>
          </w:tcPr>
          <w:p>
            <w:pPr>
              <w:spacing w:after="0"/>
              <w:rPr>
                <w:sz w:val="14"/>
                <w:szCs w:val="14"/>
                <w:color w:val="auto"/>
              </w:rPr>
            </w:pPr>
          </w:p>
        </w:tc>
        <w:tc>
          <w:tcPr>
            <w:tcW w:w="1300" w:type="dxa"/>
            <w:vAlign w:val="bottom"/>
            <w:gridSpan w:val="5"/>
            <w:shd w:val="clear" w:color="auto" w:fill="CCEEFF"/>
          </w:tcPr>
          <w:p>
            <w:pPr>
              <w:spacing w:after="0" w:line="172" w:lineRule="exact"/>
              <w:rPr>
                <w:sz w:val="20"/>
                <w:szCs w:val="20"/>
                <w:color w:val="auto"/>
              </w:rPr>
            </w:pPr>
            <w:r>
              <w:rPr>
                <w:rFonts w:ascii="Calibri" w:cs="Calibri" w:eastAsia="Calibri" w:hAnsi="Calibri"/>
                <w:sz w:val="18"/>
                <w:szCs w:val="18"/>
                <w:color w:val="0000FF"/>
              </w:rPr>
              <w:t>ITEM 3.</w:t>
            </w:r>
          </w:p>
        </w:tc>
        <w:tc>
          <w:tcPr>
            <w:tcW w:w="8560" w:type="dxa"/>
            <w:vAlign w:val="bottom"/>
            <w:gridSpan w:val="30"/>
            <w:shd w:val="clear" w:color="auto" w:fill="CCEEFF"/>
          </w:tcPr>
          <w:p>
            <w:pPr>
              <w:spacing w:after="0" w:line="172" w:lineRule="exact"/>
              <w:rPr>
                <w:sz w:val="20"/>
                <w:szCs w:val="20"/>
                <w:color w:val="auto"/>
              </w:rPr>
            </w:pPr>
            <w:r>
              <w:rPr>
                <w:rFonts w:ascii="Calibri" w:cs="Calibri" w:eastAsia="Calibri" w:hAnsi="Calibri"/>
                <w:sz w:val="18"/>
                <w:szCs w:val="18"/>
                <w:color w:val="0000FF"/>
              </w:rPr>
              <w:t>LEGAL PROCEEDINGS</w:t>
            </w:r>
          </w:p>
        </w:tc>
        <w:tc>
          <w:tcPr>
            <w:tcW w:w="1320" w:type="dxa"/>
            <w:vAlign w:val="bottom"/>
            <w:gridSpan w:val="5"/>
            <w:shd w:val="clear" w:color="auto" w:fill="CCEEFF"/>
          </w:tcPr>
          <w:p>
            <w:pPr>
              <w:jc w:val="center"/>
              <w:spacing w:after="0" w:line="172" w:lineRule="exact"/>
              <w:rPr>
                <w:sz w:val="20"/>
                <w:szCs w:val="20"/>
                <w:color w:val="auto"/>
              </w:rPr>
            </w:pPr>
            <w:r>
              <w:rPr>
                <w:rFonts w:ascii="Calibri" w:cs="Calibri" w:eastAsia="Calibri" w:hAnsi="Calibri"/>
                <w:sz w:val="18"/>
                <w:szCs w:val="18"/>
                <w:color w:val="0000FF"/>
                <w:w w:val="98"/>
              </w:rPr>
              <w:t>34</w:t>
            </w:r>
          </w:p>
        </w:tc>
        <w:tc>
          <w:tcPr>
            <w:tcW w:w="0" w:type="dxa"/>
            <w:vAlign w:val="bottom"/>
          </w:tcPr>
          <w:p>
            <w:pPr>
              <w:spacing w:after="0"/>
              <w:rPr>
                <w:sz w:val="1"/>
                <w:szCs w:val="1"/>
                <w:color w:val="auto"/>
              </w:rPr>
            </w:pPr>
          </w:p>
        </w:tc>
      </w:tr>
      <w:tr>
        <w:trPr>
          <w:trHeight w:val="33"/>
        </w:trPr>
        <w:tc>
          <w:tcPr>
            <w:tcW w:w="20" w:type="dxa"/>
            <w:vAlign w:val="bottom"/>
            <w:tcBorders>
              <w:top w:val="single" w:sz="8" w:color="CCEEFF"/>
            </w:tcBorders>
            <w:shd w:val="clear" w:color="auto" w:fill="CCEEFF"/>
          </w:tcPr>
          <w:p>
            <w:pPr>
              <w:spacing w:after="0"/>
              <w:rPr>
                <w:sz w:val="2"/>
                <w:szCs w:val="2"/>
                <w:color w:val="auto"/>
              </w:rPr>
            </w:pPr>
          </w:p>
        </w:tc>
        <w:tc>
          <w:tcPr>
            <w:tcW w:w="520" w:type="dxa"/>
            <w:vAlign w:val="bottom"/>
            <w:tcBorders>
              <w:top w:val="single" w:sz="8" w:color="0000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680" w:type="dxa"/>
            <w:vAlign w:val="bottom"/>
            <w:tcBorders>
              <w:top w:val="single" w:sz="8" w:color="0000FF"/>
            </w:tcBorders>
            <w:shd w:val="clear" w:color="auto" w:fill="CCEEFF"/>
          </w:tcPr>
          <w:p>
            <w:pPr>
              <w:spacing w:after="0"/>
              <w:rPr>
                <w:sz w:val="2"/>
                <w:szCs w:val="2"/>
                <w:color w:val="auto"/>
              </w:rPr>
            </w:pPr>
          </w:p>
        </w:tc>
        <w:tc>
          <w:tcPr>
            <w:tcW w:w="12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120" w:type="dxa"/>
            <w:vAlign w:val="bottom"/>
            <w:tcBorders>
              <w:top w:val="single" w:sz="8" w:color="0000FF"/>
            </w:tcBorders>
            <w:shd w:val="clear" w:color="auto" w:fill="CCEEFF"/>
          </w:tcPr>
          <w:p>
            <w:pPr>
              <w:spacing w:after="0"/>
              <w:rPr>
                <w:sz w:val="2"/>
                <w:szCs w:val="2"/>
                <w:color w:val="auto"/>
              </w:rPr>
            </w:pPr>
          </w:p>
        </w:tc>
        <w:tc>
          <w:tcPr>
            <w:tcW w:w="520" w:type="dxa"/>
            <w:vAlign w:val="bottom"/>
            <w:tcBorders>
              <w:top w:val="single" w:sz="8" w:color="0000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86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740" w:type="dxa"/>
            <w:vAlign w:val="bottom"/>
            <w:tcBorders>
              <w:top w:val="single" w:sz="8" w:color="CCEEFF"/>
            </w:tcBorders>
            <w:shd w:val="clear" w:color="auto" w:fill="CCEEFF"/>
          </w:tcPr>
          <w:p>
            <w:pPr>
              <w:spacing w:after="0"/>
              <w:rPr>
                <w:sz w:val="2"/>
                <w:szCs w:val="2"/>
                <w:color w:val="auto"/>
              </w:rPr>
            </w:pPr>
          </w:p>
        </w:tc>
        <w:tc>
          <w:tcPr>
            <w:tcW w:w="560" w:type="dxa"/>
            <w:vAlign w:val="bottom"/>
            <w:tcBorders>
              <w:top w:val="single" w:sz="8" w:color="CCEEFF"/>
            </w:tcBorders>
            <w:shd w:val="clear" w:color="auto" w:fill="CCEEFF"/>
          </w:tcPr>
          <w:p>
            <w:pPr>
              <w:spacing w:after="0"/>
              <w:rPr>
                <w:sz w:val="2"/>
                <w:szCs w:val="2"/>
                <w:color w:val="auto"/>
              </w:rPr>
            </w:pPr>
          </w:p>
        </w:tc>
        <w:tc>
          <w:tcPr>
            <w:tcW w:w="10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8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5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10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56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2"/>
        </w:trPr>
        <w:tc>
          <w:tcPr>
            <w:tcW w:w="20" w:type="dxa"/>
            <w:vAlign w:val="bottom"/>
          </w:tcPr>
          <w:p>
            <w:pPr>
              <w:spacing w:after="0"/>
              <w:rPr>
                <w:sz w:val="14"/>
                <w:szCs w:val="14"/>
                <w:color w:val="auto"/>
              </w:rPr>
            </w:pPr>
          </w:p>
        </w:tc>
        <w:tc>
          <w:tcPr>
            <w:tcW w:w="1300" w:type="dxa"/>
            <w:vAlign w:val="bottom"/>
            <w:gridSpan w:val="5"/>
          </w:tcPr>
          <w:p>
            <w:pPr>
              <w:spacing w:after="0" w:line="172" w:lineRule="exact"/>
              <w:rPr>
                <w:sz w:val="20"/>
                <w:szCs w:val="20"/>
                <w:color w:val="auto"/>
              </w:rPr>
            </w:pPr>
            <w:r>
              <w:rPr>
                <w:rFonts w:ascii="Calibri" w:cs="Calibri" w:eastAsia="Calibri" w:hAnsi="Calibri"/>
                <w:sz w:val="18"/>
                <w:szCs w:val="18"/>
                <w:color w:val="0000FF"/>
              </w:rPr>
              <w:t>ITEM 4.</w:t>
            </w:r>
          </w:p>
        </w:tc>
        <w:tc>
          <w:tcPr>
            <w:tcW w:w="8560" w:type="dxa"/>
            <w:vAlign w:val="bottom"/>
            <w:gridSpan w:val="30"/>
          </w:tcPr>
          <w:p>
            <w:pPr>
              <w:spacing w:after="0" w:line="172" w:lineRule="exact"/>
              <w:rPr>
                <w:sz w:val="20"/>
                <w:szCs w:val="20"/>
                <w:color w:val="auto"/>
              </w:rPr>
            </w:pPr>
            <w:r>
              <w:rPr>
                <w:rFonts w:ascii="Calibri" w:cs="Calibri" w:eastAsia="Calibri" w:hAnsi="Calibri"/>
                <w:sz w:val="18"/>
                <w:szCs w:val="18"/>
                <w:color w:val="0000FF"/>
              </w:rPr>
              <w:t>MINE SAFETY DISCLOSURES</w:t>
            </w:r>
          </w:p>
        </w:tc>
        <w:tc>
          <w:tcPr>
            <w:tcW w:w="1320" w:type="dxa"/>
            <w:vAlign w:val="bottom"/>
            <w:gridSpan w:val="5"/>
          </w:tcPr>
          <w:p>
            <w:pPr>
              <w:jc w:val="center"/>
              <w:spacing w:after="0" w:line="172" w:lineRule="exact"/>
              <w:rPr>
                <w:sz w:val="20"/>
                <w:szCs w:val="20"/>
                <w:color w:val="auto"/>
              </w:rPr>
            </w:pPr>
            <w:r>
              <w:rPr>
                <w:rFonts w:ascii="Calibri" w:cs="Calibri" w:eastAsia="Calibri" w:hAnsi="Calibri"/>
                <w:sz w:val="18"/>
                <w:szCs w:val="18"/>
                <w:color w:val="0000FF"/>
                <w:w w:val="98"/>
              </w:rPr>
              <w:t>34</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520" w:type="dxa"/>
            <w:vAlign w:val="bottom"/>
            <w:tcBorders>
              <w:top w:val="single" w:sz="8" w:color="0000FF"/>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420" w:type="dxa"/>
            <w:vAlign w:val="bottom"/>
          </w:tcPr>
          <w:p>
            <w:pPr>
              <w:spacing w:after="0"/>
              <w:rPr>
                <w:sz w:val="2"/>
                <w:szCs w:val="2"/>
                <w:color w:val="auto"/>
              </w:rPr>
            </w:pPr>
          </w:p>
        </w:tc>
        <w:tc>
          <w:tcPr>
            <w:tcW w:w="68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52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340" w:type="dxa"/>
            <w:vAlign w:val="bottom"/>
            <w:tcBorders>
              <w:top w:val="single" w:sz="8" w:color="0000FF"/>
            </w:tcBorders>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580" w:type="dxa"/>
            <w:vAlign w:val="bottom"/>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5"/>
        </w:trPr>
        <w:tc>
          <w:tcPr>
            <w:tcW w:w="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540" w:type="dxa"/>
            <w:vAlign w:val="bottom"/>
            <w:gridSpan w:val="13"/>
          </w:tcPr>
          <w:p>
            <w:pPr>
              <w:jc w:val="center"/>
              <w:ind w:right="4000"/>
              <w:spacing w:after="0" w:line="172" w:lineRule="exact"/>
              <w:rPr>
                <w:sz w:val="20"/>
                <w:szCs w:val="20"/>
                <w:color w:val="auto"/>
              </w:rPr>
            </w:pPr>
            <w:r>
              <w:rPr>
                <w:rFonts w:ascii="Calibri" w:cs="Calibri" w:eastAsia="Calibri" w:hAnsi="Calibri"/>
                <w:sz w:val="18"/>
                <w:szCs w:val="18"/>
                <w:b w:val="1"/>
                <w:bCs w:val="1"/>
                <w:color w:val="0000FF"/>
                <w:w w:val="92"/>
              </w:rPr>
              <w:t>PART II.</w:t>
            </w: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4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50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5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2"/>
        </w:trPr>
        <w:tc>
          <w:tcPr>
            <w:tcW w:w="20" w:type="dxa"/>
            <w:vAlign w:val="bottom"/>
            <w:shd w:val="clear" w:color="auto" w:fill="CCEEFF"/>
          </w:tcPr>
          <w:p>
            <w:pPr>
              <w:spacing w:after="0"/>
              <w:rPr>
                <w:sz w:val="14"/>
                <w:szCs w:val="14"/>
                <w:color w:val="auto"/>
              </w:rPr>
            </w:pPr>
          </w:p>
        </w:tc>
        <w:tc>
          <w:tcPr>
            <w:tcW w:w="1300" w:type="dxa"/>
            <w:vAlign w:val="bottom"/>
            <w:gridSpan w:val="5"/>
            <w:shd w:val="clear" w:color="auto" w:fill="CCEEFF"/>
          </w:tcPr>
          <w:p>
            <w:pPr>
              <w:spacing w:after="0" w:line="172" w:lineRule="exact"/>
              <w:rPr>
                <w:sz w:val="20"/>
                <w:szCs w:val="20"/>
                <w:color w:val="auto"/>
              </w:rPr>
            </w:pPr>
            <w:r>
              <w:rPr>
                <w:rFonts w:ascii="Calibri" w:cs="Calibri" w:eastAsia="Calibri" w:hAnsi="Calibri"/>
                <w:sz w:val="18"/>
                <w:szCs w:val="18"/>
                <w:color w:val="0000FF"/>
              </w:rPr>
              <w:t>ITEM 5.</w:t>
            </w:r>
          </w:p>
        </w:tc>
        <w:tc>
          <w:tcPr>
            <w:tcW w:w="8560" w:type="dxa"/>
            <w:vAlign w:val="bottom"/>
            <w:gridSpan w:val="30"/>
            <w:shd w:val="clear" w:color="auto" w:fill="CCEEFF"/>
          </w:tcPr>
          <w:p>
            <w:pPr>
              <w:spacing w:after="0" w:line="172" w:lineRule="exact"/>
              <w:rPr>
                <w:sz w:val="20"/>
                <w:szCs w:val="20"/>
                <w:color w:val="auto"/>
              </w:rPr>
            </w:pPr>
            <w:r>
              <w:rPr>
                <w:rFonts w:ascii="Calibri" w:cs="Calibri" w:eastAsia="Calibri" w:hAnsi="Calibri"/>
                <w:sz w:val="18"/>
                <w:szCs w:val="18"/>
                <w:color w:val="0000FF"/>
                <w:w w:val="98"/>
              </w:rPr>
              <w:t>MARKET FOR REGISTRANT’S COMMON EQUITY, RELATED STOCKHOLDER MATTERS AND ISSUER PURCHASES OF EQUITY</w:t>
            </w:r>
          </w:p>
        </w:tc>
        <w:tc>
          <w:tcPr>
            <w:tcW w:w="580" w:type="dxa"/>
            <w:vAlign w:val="bottom"/>
            <w:vMerge w:val="restart"/>
            <w:shd w:val="clear" w:color="auto" w:fill="CCEEFF"/>
          </w:tcPr>
          <w:p>
            <w:pPr>
              <w:spacing w:after="0"/>
              <w:rPr>
                <w:sz w:val="14"/>
                <w:szCs w:val="14"/>
                <w:color w:val="auto"/>
              </w:rPr>
            </w:pPr>
          </w:p>
        </w:tc>
        <w:tc>
          <w:tcPr>
            <w:tcW w:w="180" w:type="dxa"/>
            <w:vAlign w:val="bottom"/>
            <w:gridSpan w:val="3"/>
            <w:vMerge w:val="restart"/>
            <w:shd w:val="clear" w:color="auto" w:fill="CCEEFF"/>
          </w:tcPr>
          <w:p>
            <w:pPr>
              <w:jc w:val="center"/>
              <w:spacing w:after="0"/>
              <w:rPr>
                <w:sz w:val="20"/>
                <w:szCs w:val="20"/>
                <w:color w:val="auto"/>
              </w:rPr>
            </w:pPr>
            <w:r>
              <w:rPr>
                <w:rFonts w:ascii="Calibri" w:cs="Calibri" w:eastAsia="Calibri" w:hAnsi="Calibri"/>
                <w:sz w:val="18"/>
                <w:szCs w:val="18"/>
                <w:color w:val="0000FF"/>
                <w:w w:val="98"/>
              </w:rPr>
              <w:t>35</w:t>
            </w:r>
          </w:p>
        </w:tc>
        <w:tc>
          <w:tcPr>
            <w:tcW w:w="560" w:type="dxa"/>
            <w:vAlign w:val="bottom"/>
            <w:vMerge w:val="restart"/>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520" w:type="dxa"/>
            <w:vAlign w:val="bottom"/>
            <w:tcBorders>
              <w:top w:val="single" w:sz="8" w:color="0000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260" w:type="dxa"/>
            <w:vAlign w:val="bottom"/>
            <w:tcBorders>
              <w:top w:val="single" w:sz="8" w:color="CCEEFF"/>
              <w:bottom w:val="single" w:sz="8" w:color="CCEEFF"/>
            </w:tcBorders>
            <w:shd w:val="clear" w:color="auto" w:fill="CCEEFF"/>
          </w:tcPr>
          <w:p>
            <w:pPr>
              <w:spacing w:after="0"/>
              <w:rPr>
                <w:sz w:val="17"/>
                <w:szCs w:val="17"/>
                <w:color w:val="auto"/>
              </w:rPr>
            </w:pPr>
          </w:p>
        </w:tc>
        <w:tc>
          <w:tcPr>
            <w:tcW w:w="420" w:type="dxa"/>
            <w:vAlign w:val="bottom"/>
            <w:tcBorders>
              <w:top w:val="single" w:sz="8" w:color="CCEEFF"/>
              <w:bottom w:val="single" w:sz="8" w:color="CCEEFF"/>
            </w:tcBorders>
            <w:shd w:val="clear" w:color="auto" w:fill="CCEEFF"/>
          </w:tcPr>
          <w:p>
            <w:pPr>
              <w:spacing w:after="0"/>
              <w:rPr>
                <w:sz w:val="17"/>
                <w:szCs w:val="17"/>
                <w:color w:val="auto"/>
              </w:rPr>
            </w:pPr>
          </w:p>
        </w:tc>
        <w:tc>
          <w:tcPr>
            <w:tcW w:w="800" w:type="dxa"/>
            <w:vAlign w:val="bottom"/>
            <w:tcBorders>
              <w:top w:val="single" w:sz="8" w:color="0000FF"/>
              <w:bottom w:val="single" w:sz="8" w:color="0000FF"/>
            </w:tcBorders>
            <w:gridSpan w:val="2"/>
            <w:shd w:val="clear" w:color="auto" w:fill="CCEEFF"/>
          </w:tcPr>
          <w:p>
            <w:pPr>
              <w:spacing w:after="0" w:line="139" w:lineRule="exact"/>
              <w:rPr>
                <w:sz w:val="20"/>
                <w:szCs w:val="20"/>
                <w:color w:val="auto"/>
              </w:rPr>
            </w:pPr>
            <w:r>
              <w:rPr>
                <w:rFonts w:ascii="Calibri" w:cs="Calibri" w:eastAsia="Calibri" w:hAnsi="Calibri"/>
                <w:sz w:val="15"/>
                <w:szCs w:val="15"/>
                <w:color w:val="0000FF"/>
              </w:rPr>
              <w:t>SECURITIES</w:t>
            </w:r>
          </w:p>
        </w:tc>
        <w:tc>
          <w:tcPr>
            <w:tcW w:w="7440" w:type="dxa"/>
            <w:vAlign w:val="bottom"/>
            <w:tcBorders>
              <w:top w:val="single" w:sz="8" w:color="0000FF"/>
              <w:bottom w:val="single" w:sz="8" w:color="CCEEFF"/>
            </w:tcBorders>
            <w:gridSpan w:val="27"/>
            <w:shd w:val="clear" w:color="auto" w:fill="CCEEFF"/>
          </w:tcPr>
          <w:p>
            <w:pPr>
              <w:spacing w:after="0"/>
              <w:rPr>
                <w:sz w:val="17"/>
                <w:szCs w:val="17"/>
                <w:color w:val="auto"/>
              </w:rPr>
            </w:pPr>
          </w:p>
        </w:tc>
        <w:tc>
          <w:tcPr>
            <w:tcW w:w="320" w:type="dxa"/>
            <w:vAlign w:val="bottom"/>
            <w:tcBorders>
              <w:top w:val="single" w:sz="8" w:color="CCEEFF"/>
              <w:bottom w:val="single" w:sz="8" w:color="CCEEFF"/>
            </w:tcBorders>
            <w:shd w:val="clear" w:color="auto" w:fill="CCEEFF"/>
          </w:tcPr>
          <w:p>
            <w:pPr>
              <w:spacing w:after="0"/>
              <w:rPr>
                <w:sz w:val="17"/>
                <w:szCs w:val="17"/>
                <w:color w:val="auto"/>
              </w:rPr>
            </w:pPr>
          </w:p>
        </w:tc>
        <w:tc>
          <w:tcPr>
            <w:tcW w:w="580" w:type="dxa"/>
            <w:vAlign w:val="bottom"/>
            <w:tcBorders>
              <w:top w:val="single" w:sz="8" w:color="CCEEFF"/>
              <w:bottom w:val="single" w:sz="8" w:color="CCEEFF"/>
            </w:tcBorders>
            <w:vMerge w:val="continue"/>
            <w:shd w:val="clear" w:color="auto" w:fill="CCEEFF"/>
          </w:tcPr>
          <w:p>
            <w:pPr>
              <w:spacing w:after="0"/>
              <w:rPr>
                <w:sz w:val="17"/>
                <w:szCs w:val="17"/>
                <w:color w:val="auto"/>
              </w:rPr>
            </w:pPr>
          </w:p>
        </w:tc>
        <w:tc>
          <w:tcPr>
            <w:tcW w:w="180" w:type="dxa"/>
            <w:vAlign w:val="bottom"/>
            <w:tcBorders>
              <w:top w:val="single" w:sz="8" w:color="CCEEFF"/>
              <w:bottom w:val="single" w:sz="8" w:color="0000FF"/>
            </w:tcBorders>
            <w:gridSpan w:val="3"/>
            <w:vMerge w:val="continue"/>
            <w:shd w:val="clear" w:color="auto" w:fill="CCEEFF"/>
          </w:tcPr>
          <w:p>
            <w:pPr>
              <w:spacing w:after="0"/>
              <w:rPr>
                <w:sz w:val="17"/>
                <w:szCs w:val="17"/>
                <w:color w:val="auto"/>
              </w:rPr>
            </w:pPr>
          </w:p>
        </w:tc>
        <w:tc>
          <w:tcPr>
            <w:tcW w:w="560" w:type="dxa"/>
            <w:vAlign w:val="bottom"/>
            <w:tcBorders>
              <w:top w:val="single" w:sz="8" w:color="CCEEFF"/>
              <w:bottom w:val="single" w:sz="8" w:color="CCEEFF"/>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300" w:type="dxa"/>
            <w:vAlign w:val="bottom"/>
            <w:gridSpan w:val="5"/>
          </w:tcPr>
          <w:p>
            <w:pPr>
              <w:spacing w:after="0" w:line="172" w:lineRule="exact"/>
              <w:rPr>
                <w:sz w:val="20"/>
                <w:szCs w:val="20"/>
                <w:color w:val="auto"/>
              </w:rPr>
            </w:pPr>
            <w:r>
              <w:rPr>
                <w:rFonts w:ascii="Calibri" w:cs="Calibri" w:eastAsia="Calibri" w:hAnsi="Calibri"/>
                <w:sz w:val="18"/>
                <w:szCs w:val="18"/>
                <w:color w:val="0000FF"/>
              </w:rPr>
              <w:t>ITEM 6.</w:t>
            </w:r>
          </w:p>
        </w:tc>
        <w:tc>
          <w:tcPr>
            <w:tcW w:w="8560" w:type="dxa"/>
            <w:vAlign w:val="bottom"/>
            <w:gridSpan w:val="30"/>
          </w:tcPr>
          <w:p>
            <w:pPr>
              <w:spacing w:after="0" w:line="172" w:lineRule="exact"/>
              <w:rPr>
                <w:sz w:val="20"/>
                <w:szCs w:val="20"/>
                <w:color w:val="auto"/>
              </w:rPr>
            </w:pPr>
            <w:r>
              <w:rPr>
                <w:rFonts w:ascii="Calibri" w:cs="Calibri" w:eastAsia="Calibri" w:hAnsi="Calibri"/>
                <w:sz w:val="18"/>
                <w:szCs w:val="18"/>
                <w:color w:val="0000FF"/>
              </w:rPr>
              <w:t>[RESERVED]</w:t>
            </w:r>
          </w:p>
        </w:tc>
        <w:tc>
          <w:tcPr>
            <w:tcW w:w="1320" w:type="dxa"/>
            <w:vAlign w:val="bottom"/>
            <w:gridSpan w:val="5"/>
          </w:tcPr>
          <w:p>
            <w:pPr>
              <w:jc w:val="center"/>
              <w:spacing w:after="0" w:line="172" w:lineRule="exact"/>
              <w:rPr>
                <w:sz w:val="20"/>
                <w:szCs w:val="20"/>
                <w:color w:val="auto"/>
              </w:rPr>
            </w:pPr>
            <w:r>
              <w:rPr>
                <w:rFonts w:ascii="Calibri" w:cs="Calibri" w:eastAsia="Calibri" w:hAnsi="Calibri"/>
                <w:sz w:val="18"/>
                <w:szCs w:val="18"/>
                <w:color w:val="0000FF"/>
                <w:w w:val="98"/>
              </w:rPr>
              <w:t>36</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520" w:type="dxa"/>
            <w:vAlign w:val="bottom"/>
            <w:tcBorders>
              <w:top w:val="single" w:sz="8" w:color="0000FF"/>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420" w:type="dxa"/>
            <w:vAlign w:val="bottom"/>
          </w:tcPr>
          <w:p>
            <w:pPr>
              <w:spacing w:after="0"/>
              <w:rPr>
                <w:sz w:val="2"/>
                <w:szCs w:val="2"/>
                <w:color w:val="auto"/>
              </w:rPr>
            </w:pPr>
          </w:p>
        </w:tc>
        <w:tc>
          <w:tcPr>
            <w:tcW w:w="68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580" w:type="dxa"/>
            <w:vAlign w:val="bottom"/>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2"/>
        </w:trPr>
        <w:tc>
          <w:tcPr>
            <w:tcW w:w="20" w:type="dxa"/>
            <w:vAlign w:val="bottom"/>
            <w:shd w:val="clear" w:color="auto" w:fill="CCEEFF"/>
          </w:tcPr>
          <w:p>
            <w:pPr>
              <w:spacing w:after="0"/>
              <w:rPr>
                <w:sz w:val="14"/>
                <w:szCs w:val="14"/>
                <w:color w:val="auto"/>
              </w:rPr>
            </w:pPr>
          </w:p>
        </w:tc>
        <w:tc>
          <w:tcPr>
            <w:tcW w:w="1300" w:type="dxa"/>
            <w:vAlign w:val="bottom"/>
            <w:gridSpan w:val="5"/>
            <w:shd w:val="clear" w:color="auto" w:fill="CCEEFF"/>
          </w:tcPr>
          <w:p>
            <w:pPr>
              <w:spacing w:after="0" w:line="172" w:lineRule="exact"/>
              <w:rPr>
                <w:sz w:val="20"/>
                <w:szCs w:val="20"/>
                <w:color w:val="auto"/>
              </w:rPr>
            </w:pPr>
            <w:r>
              <w:rPr>
                <w:rFonts w:ascii="Calibri" w:cs="Calibri" w:eastAsia="Calibri" w:hAnsi="Calibri"/>
                <w:sz w:val="18"/>
                <w:szCs w:val="18"/>
                <w:color w:val="0000FF"/>
              </w:rPr>
              <w:t>ITEM 7.</w:t>
            </w:r>
          </w:p>
        </w:tc>
        <w:tc>
          <w:tcPr>
            <w:tcW w:w="8560" w:type="dxa"/>
            <w:vAlign w:val="bottom"/>
            <w:gridSpan w:val="30"/>
            <w:shd w:val="clear" w:color="auto" w:fill="CCEEFF"/>
          </w:tcPr>
          <w:p>
            <w:pPr>
              <w:spacing w:after="0" w:line="172" w:lineRule="exact"/>
              <w:rPr>
                <w:sz w:val="20"/>
                <w:szCs w:val="20"/>
                <w:color w:val="auto"/>
              </w:rPr>
            </w:pPr>
            <w:r>
              <w:rPr>
                <w:rFonts w:ascii="Calibri" w:cs="Calibri" w:eastAsia="Calibri" w:hAnsi="Calibri"/>
                <w:sz w:val="18"/>
                <w:szCs w:val="18"/>
                <w:color w:val="0000FF"/>
              </w:rPr>
              <w:t>MANAGEMENT’S DISCUSSION AND ANALYSIS OF FINANCIAL CONDITION AND RESULTS OF OPERATIONS</w:t>
            </w:r>
          </w:p>
        </w:tc>
        <w:tc>
          <w:tcPr>
            <w:tcW w:w="1320" w:type="dxa"/>
            <w:vAlign w:val="bottom"/>
            <w:gridSpan w:val="5"/>
            <w:shd w:val="clear" w:color="auto" w:fill="CCEEFF"/>
          </w:tcPr>
          <w:p>
            <w:pPr>
              <w:jc w:val="center"/>
              <w:spacing w:after="0" w:line="172" w:lineRule="exact"/>
              <w:rPr>
                <w:sz w:val="20"/>
                <w:szCs w:val="20"/>
                <w:color w:val="auto"/>
              </w:rPr>
            </w:pPr>
            <w:r>
              <w:rPr>
                <w:rFonts w:ascii="Calibri" w:cs="Calibri" w:eastAsia="Calibri" w:hAnsi="Calibri"/>
                <w:sz w:val="18"/>
                <w:szCs w:val="18"/>
                <w:color w:val="0000FF"/>
                <w:w w:val="98"/>
              </w:rPr>
              <w:t>37</w:t>
            </w:r>
          </w:p>
        </w:tc>
        <w:tc>
          <w:tcPr>
            <w:tcW w:w="0" w:type="dxa"/>
            <w:vAlign w:val="bottom"/>
          </w:tcPr>
          <w:p>
            <w:pPr>
              <w:spacing w:after="0"/>
              <w:rPr>
                <w:sz w:val="1"/>
                <w:szCs w:val="1"/>
                <w:color w:val="auto"/>
              </w:rPr>
            </w:pPr>
          </w:p>
        </w:tc>
      </w:tr>
      <w:tr>
        <w:trPr>
          <w:trHeight w:val="33"/>
        </w:trPr>
        <w:tc>
          <w:tcPr>
            <w:tcW w:w="20" w:type="dxa"/>
            <w:vAlign w:val="bottom"/>
            <w:tcBorders>
              <w:top w:val="single" w:sz="8" w:color="CCEEFF"/>
            </w:tcBorders>
            <w:shd w:val="clear" w:color="auto" w:fill="CCEEFF"/>
          </w:tcPr>
          <w:p>
            <w:pPr>
              <w:spacing w:after="0"/>
              <w:rPr>
                <w:sz w:val="2"/>
                <w:szCs w:val="2"/>
                <w:color w:val="auto"/>
              </w:rPr>
            </w:pPr>
          </w:p>
        </w:tc>
        <w:tc>
          <w:tcPr>
            <w:tcW w:w="520" w:type="dxa"/>
            <w:vAlign w:val="bottom"/>
            <w:tcBorders>
              <w:top w:val="single" w:sz="8" w:color="0000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680" w:type="dxa"/>
            <w:vAlign w:val="bottom"/>
            <w:tcBorders>
              <w:top w:val="single" w:sz="8" w:color="0000FF"/>
            </w:tcBorders>
            <w:shd w:val="clear" w:color="auto" w:fill="CCEEFF"/>
          </w:tcPr>
          <w:p>
            <w:pPr>
              <w:spacing w:after="0"/>
              <w:rPr>
                <w:sz w:val="2"/>
                <w:szCs w:val="2"/>
                <w:color w:val="auto"/>
              </w:rPr>
            </w:pPr>
          </w:p>
        </w:tc>
        <w:tc>
          <w:tcPr>
            <w:tcW w:w="12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120" w:type="dxa"/>
            <w:vAlign w:val="bottom"/>
            <w:tcBorders>
              <w:top w:val="single" w:sz="8" w:color="0000FF"/>
            </w:tcBorders>
            <w:shd w:val="clear" w:color="auto" w:fill="CCEEFF"/>
          </w:tcPr>
          <w:p>
            <w:pPr>
              <w:spacing w:after="0"/>
              <w:rPr>
                <w:sz w:val="2"/>
                <w:szCs w:val="2"/>
                <w:color w:val="auto"/>
              </w:rPr>
            </w:pPr>
          </w:p>
        </w:tc>
        <w:tc>
          <w:tcPr>
            <w:tcW w:w="520" w:type="dxa"/>
            <w:vAlign w:val="bottom"/>
            <w:tcBorders>
              <w:top w:val="single" w:sz="8" w:color="0000FF"/>
            </w:tcBorders>
            <w:shd w:val="clear" w:color="auto" w:fill="CCEEFF"/>
          </w:tcPr>
          <w:p>
            <w:pPr>
              <w:spacing w:after="0"/>
              <w:rPr>
                <w:sz w:val="2"/>
                <w:szCs w:val="2"/>
                <w:color w:val="auto"/>
              </w:rPr>
            </w:pPr>
          </w:p>
        </w:tc>
        <w:tc>
          <w:tcPr>
            <w:tcW w:w="6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34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140" w:type="dxa"/>
            <w:vAlign w:val="bottom"/>
            <w:tcBorders>
              <w:top w:val="single" w:sz="8" w:color="0000FF"/>
            </w:tcBorders>
            <w:shd w:val="clear" w:color="auto" w:fill="CCEEFF"/>
          </w:tcPr>
          <w:p>
            <w:pPr>
              <w:spacing w:after="0"/>
              <w:rPr>
                <w:sz w:val="2"/>
                <w:szCs w:val="2"/>
                <w:color w:val="auto"/>
              </w:rPr>
            </w:pPr>
          </w:p>
        </w:tc>
        <w:tc>
          <w:tcPr>
            <w:tcW w:w="180" w:type="dxa"/>
            <w:vAlign w:val="bottom"/>
            <w:tcBorders>
              <w:top w:val="single" w:sz="8" w:color="0000FF"/>
            </w:tcBorders>
            <w:shd w:val="clear" w:color="auto" w:fill="CCEEFF"/>
          </w:tcPr>
          <w:p>
            <w:pPr>
              <w:spacing w:after="0"/>
              <w:rPr>
                <w:sz w:val="2"/>
                <w:szCs w:val="2"/>
                <w:color w:val="auto"/>
              </w:rPr>
            </w:pPr>
          </w:p>
        </w:tc>
        <w:tc>
          <w:tcPr>
            <w:tcW w:w="860" w:type="dxa"/>
            <w:vAlign w:val="bottom"/>
            <w:tcBorders>
              <w:top w:val="single" w:sz="8" w:color="0000FF"/>
            </w:tcBorders>
            <w:shd w:val="clear" w:color="auto" w:fill="CCEEFF"/>
          </w:tcPr>
          <w:p>
            <w:pPr>
              <w:spacing w:after="0"/>
              <w:rPr>
                <w:sz w:val="2"/>
                <w:szCs w:val="2"/>
                <w:color w:val="auto"/>
              </w:rPr>
            </w:pPr>
          </w:p>
        </w:tc>
        <w:tc>
          <w:tcPr>
            <w:tcW w:w="340" w:type="dxa"/>
            <w:vAlign w:val="bottom"/>
            <w:tcBorders>
              <w:top w:val="single" w:sz="8" w:color="0000FF"/>
            </w:tcBorders>
            <w:shd w:val="clear" w:color="auto" w:fill="CCEEFF"/>
          </w:tcPr>
          <w:p>
            <w:pPr>
              <w:spacing w:after="0"/>
              <w:rPr>
                <w:sz w:val="2"/>
                <w:szCs w:val="2"/>
                <w:color w:val="auto"/>
              </w:rPr>
            </w:pPr>
          </w:p>
        </w:tc>
        <w:tc>
          <w:tcPr>
            <w:tcW w:w="220" w:type="dxa"/>
            <w:vAlign w:val="bottom"/>
            <w:tcBorders>
              <w:top w:val="single" w:sz="8" w:color="0000FF"/>
            </w:tcBorders>
            <w:shd w:val="clear" w:color="auto" w:fill="CCEEFF"/>
          </w:tcPr>
          <w:p>
            <w:pPr>
              <w:spacing w:after="0"/>
              <w:rPr>
                <w:sz w:val="2"/>
                <w:szCs w:val="2"/>
                <w:color w:val="auto"/>
              </w:rPr>
            </w:pPr>
          </w:p>
        </w:tc>
        <w:tc>
          <w:tcPr>
            <w:tcW w:w="30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50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220" w:type="dxa"/>
            <w:vAlign w:val="bottom"/>
            <w:tcBorders>
              <w:top w:val="single" w:sz="8" w:color="0000FF"/>
            </w:tcBorders>
            <w:shd w:val="clear" w:color="auto" w:fill="CCEEFF"/>
          </w:tcPr>
          <w:p>
            <w:pPr>
              <w:spacing w:after="0"/>
              <w:rPr>
                <w:sz w:val="2"/>
                <w:szCs w:val="2"/>
                <w:color w:val="auto"/>
              </w:rPr>
            </w:pPr>
          </w:p>
        </w:tc>
        <w:tc>
          <w:tcPr>
            <w:tcW w:w="740" w:type="dxa"/>
            <w:vAlign w:val="bottom"/>
            <w:tcBorders>
              <w:top w:val="single" w:sz="8" w:color="0000FF"/>
            </w:tcBorders>
            <w:shd w:val="clear" w:color="auto" w:fill="CCEEFF"/>
          </w:tcPr>
          <w:p>
            <w:pPr>
              <w:spacing w:after="0"/>
              <w:rPr>
                <w:sz w:val="2"/>
                <w:szCs w:val="2"/>
                <w:color w:val="auto"/>
              </w:rPr>
            </w:pPr>
          </w:p>
        </w:tc>
        <w:tc>
          <w:tcPr>
            <w:tcW w:w="560" w:type="dxa"/>
            <w:vAlign w:val="bottom"/>
            <w:tcBorders>
              <w:top w:val="single" w:sz="8" w:color="0000FF"/>
            </w:tcBorders>
            <w:shd w:val="clear" w:color="auto" w:fill="CCEEFF"/>
          </w:tcPr>
          <w:p>
            <w:pPr>
              <w:spacing w:after="0"/>
              <w:rPr>
                <w:sz w:val="2"/>
                <w:szCs w:val="2"/>
                <w:color w:val="auto"/>
              </w:rPr>
            </w:pPr>
          </w:p>
        </w:tc>
        <w:tc>
          <w:tcPr>
            <w:tcW w:w="1040" w:type="dxa"/>
            <w:vAlign w:val="bottom"/>
            <w:tcBorders>
              <w:top w:val="single" w:sz="8" w:color="0000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8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5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10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56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2"/>
        </w:trPr>
        <w:tc>
          <w:tcPr>
            <w:tcW w:w="20" w:type="dxa"/>
            <w:vAlign w:val="bottom"/>
          </w:tcPr>
          <w:p>
            <w:pPr>
              <w:spacing w:after="0"/>
              <w:rPr>
                <w:sz w:val="14"/>
                <w:szCs w:val="14"/>
                <w:color w:val="auto"/>
              </w:rPr>
            </w:pPr>
          </w:p>
        </w:tc>
        <w:tc>
          <w:tcPr>
            <w:tcW w:w="1300" w:type="dxa"/>
            <w:vAlign w:val="bottom"/>
            <w:gridSpan w:val="5"/>
          </w:tcPr>
          <w:p>
            <w:pPr>
              <w:spacing w:after="0" w:line="172" w:lineRule="exact"/>
              <w:rPr>
                <w:sz w:val="20"/>
                <w:szCs w:val="20"/>
                <w:color w:val="auto"/>
              </w:rPr>
            </w:pPr>
            <w:r>
              <w:rPr>
                <w:rFonts w:ascii="Calibri" w:cs="Calibri" w:eastAsia="Calibri" w:hAnsi="Calibri"/>
                <w:sz w:val="18"/>
                <w:szCs w:val="18"/>
                <w:color w:val="0000FF"/>
              </w:rPr>
              <w:t>ITEM 7A.</w:t>
            </w:r>
          </w:p>
        </w:tc>
        <w:tc>
          <w:tcPr>
            <w:tcW w:w="8560" w:type="dxa"/>
            <w:vAlign w:val="bottom"/>
            <w:gridSpan w:val="30"/>
          </w:tcPr>
          <w:p>
            <w:pPr>
              <w:spacing w:after="0" w:line="172" w:lineRule="exact"/>
              <w:rPr>
                <w:sz w:val="20"/>
                <w:szCs w:val="20"/>
                <w:color w:val="auto"/>
              </w:rPr>
            </w:pPr>
            <w:r>
              <w:rPr>
                <w:rFonts w:ascii="Calibri" w:cs="Calibri" w:eastAsia="Calibri" w:hAnsi="Calibri"/>
                <w:sz w:val="18"/>
                <w:szCs w:val="18"/>
                <w:color w:val="0000FF"/>
              </w:rPr>
              <w:t>QUANTITATIVE AND QUALITATIVE DISCLOSURES ABOUT MARKET RISK</w:t>
            </w:r>
          </w:p>
        </w:tc>
        <w:tc>
          <w:tcPr>
            <w:tcW w:w="1320" w:type="dxa"/>
            <w:vAlign w:val="bottom"/>
            <w:gridSpan w:val="5"/>
          </w:tcPr>
          <w:p>
            <w:pPr>
              <w:jc w:val="center"/>
              <w:spacing w:after="0" w:line="172" w:lineRule="exact"/>
              <w:rPr>
                <w:sz w:val="20"/>
                <w:szCs w:val="20"/>
                <w:color w:val="auto"/>
              </w:rPr>
            </w:pPr>
            <w:r>
              <w:rPr>
                <w:rFonts w:ascii="Calibri" w:cs="Calibri" w:eastAsia="Calibri" w:hAnsi="Calibri"/>
                <w:sz w:val="18"/>
                <w:szCs w:val="18"/>
                <w:color w:val="0000FF"/>
                <w:w w:val="98"/>
              </w:rPr>
              <w:t>47</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52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60" w:type="dxa"/>
            <w:vAlign w:val="bottom"/>
          </w:tcPr>
          <w:p>
            <w:pPr>
              <w:spacing w:after="0"/>
              <w:rPr>
                <w:sz w:val="2"/>
                <w:szCs w:val="2"/>
                <w:color w:val="auto"/>
              </w:rPr>
            </w:pPr>
          </w:p>
        </w:tc>
        <w:tc>
          <w:tcPr>
            <w:tcW w:w="420" w:type="dxa"/>
            <w:vAlign w:val="bottom"/>
          </w:tcPr>
          <w:p>
            <w:pPr>
              <w:spacing w:after="0"/>
              <w:rPr>
                <w:sz w:val="2"/>
                <w:szCs w:val="2"/>
                <w:color w:val="auto"/>
              </w:rPr>
            </w:pPr>
          </w:p>
        </w:tc>
        <w:tc>
          <w:tcPr>
            <w:tcW w:w="68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52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34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860" w:type="dxa"/>
            <w:vAlign w:val="bottom"/>
            <w:tcBorders>
              <w:top w:val="single" w:sz="8" w:color="0000FF"/>
            </w:tcBorders>
          </w:tcPr>
          <w:p>
            <w:pPr>
              <w:spacing w:after="0"/>
              <w:rPr>
                <w:sz w:val="2"/>
                <w:szCs w:val="2"/>
                <w:color w:val="auto"/>
              </w:rPr>
            </w:pPr>
          </w:p>
        </w:tc>
        <w:tc>
          <w:tcPr>
            <w:tcW w:w="34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50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7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580" w:type="dxa"/>
            <w:vAlign w:val="bottom"/>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2"/>
        </w:trPr>
        <w:tc>
          <w:tcPr>
            <w:tcW w:w="20" w:type="dxa"/>
            <w:vAlign w:val="bottom"/>
            <w:shd w:val="clear" w:color="auto" w:fill="CCEEFF"/>
          </w:tcPr>
          <w:p>
            <w:pPr>
              <w:spacing w:after="0"/>
              <w:rPr>
                <w:sz w:val="14"/>
                <w:szCs w:val="14"/>
                <w:color w:val="auto"/>
              </w:rPr>
            </w:pPr>
          </w:p>
        </w:tc>
        <w:tc>
          <w:tcPr>
            <w:tcW w:w="1300" w:type="dxa"/>
            <w:vAlign w:val="bottom"/>
            <w:gridSpan w:val="5"/>
            <w:shd w:val="clear" w:color="auto" w:fill="CCEEFF"/>
          </w:tcPr>
          <w:p>
            <w:pPr>
              <w:spacing w:after="0" w:line="172" w:lineRule="exact"/>
              <w:rPr>
                <w:sz w:val="20"/>
                <w:szCs w:val="20"/>
                <w:color w:val="auto"/>
              </w:rPr>
            </w:pPr>
            <w:r>
              <w:rPr>
                <w:rFonts w:ascii="Calibri" w:cs="Calibri" w:eastAsia="Calibri" w:hAnsi="Calibri"/>
                <w:sz w:val="18"/>
                <w:szCs w:val="18"/>
                <w:color w:val="0000FF"/>
              </w:rPr>
              <w:t>ITEM 8.</w:t>
            </w:r>
          </w:p>
        </w:tc>
        <w:tc>
          <w:tcPr>
            <w:tcW w:w="8560" w:type="dxa"/>
            <w:vAlign w:val="bottom"/>
            <w:gridSpan w:val="30"/>
            <w:shd w:val="clear" w:color="auto" w:fill="CCEEFF"/>
          </w:tcPr>
          <w:p>
            <w:pPr>
              <w:spacing w:after="0" w:line="172" w:lineRule="exact"/>
              <w:rPr>
                <w:sz w:val="20"/>
                <w:szCs w:val="20"/>
                <w:color w:val="auto"/>
              </w:rPr>
            </w:pPr>
            <w:r>
              <w:rPr>
                <w:rFonts w:ascii="Calibri" w:cs="Calibri" w:eastAsia="Calibri" w:hAnsi="Calibri"/>
                <w:sz w:val="18"/>
                <w:szCs w:val="18"/>
                <w:color w:val="0000FF"/>
              </w:rPr>
              <w:t>FINANCIAL STATEMENTS AND SUPPLEMENTARY DATA</w:t>
            </w:r>
          </w:p>
        </w:tc>
        <w:tc>
          <w:tcPr>
            <w:tcW w:w="1320" w:type="dxa"/>
            <w:vAlign w:val="bottom"/>
            <w:gridSpan w:val="5"/>
            <w:shd w:val="clear" w:color="auto" w:fill="CCEEFF"/>
          </w:tcPr>
          <w:p>
            <w:pPr>
              <w:jc w:val="center"/>
              <w:spacing w:after="0" w:line="172" w:lineRule="exact"/>
              <w:rPr>
                <w:sz w:val="20"/>
                <w:szCs w:val="20"/>
                <w:color w:val="auto"/>
              </w:rPr>
            </w:pPr>
            <w:r>
              <w:rPr>
                <w:rFonts w:ascii="Calibri" w:cs="Calibri" w:eastAsia="Calibri" w:hAnsi="Calibri"/>
                <w:sz w:val="18"/>
                <w:szCs w:val="18"/>
                <w:color w:val="0000FF"/>
                <w:w w:val="98"/>
              </w:rPr>
              <w:t>48</w:t>
            </w:r>
          </w:p>
        </w:tc>
        <w:tc>
          <w:tcPr>
            <w:tcW w:w="0" w:type="dxa"/>
            <w:vAlign w:val="bottom"/>
          </w:tcPr>
          <w:p>
            <w:pPr>
              <w:spacing w:after="0"/>
              <w:rPr>
                <w:sz w:val="1"/>
                <w:szCs w:val="1"/>
                <w:color w:val="auto"/>
              </w:rPr>
            </w:pPr>
          </w:p>
        </w:tc>
      </w:tr>
      <w:tr>
        <w:trPr>
          <w:trHeight w:val="33"/>
        </w:trPr>
        <w:tc>
          <w:tcPr>
            <w:tcW w:w="20" w:type="dxa"/>
            <w:vAlign w:val="bottom"/>
            <w:tcBorders>
              <w:top w:val="single" w:sz="8" w:color="CCEEFF"/>
            </w:tcBorders>
            <w:shd w:val="clear" w:color="auto" w:fill="CCEEFF"/>
          </w:tcPr>
          <w:p>
            <w:pPr>
              <w:spacing w:after="0"/>
              <w:rPr>
                <w:sz w:val="2"/>
                <w:szCs w:val="2"/>
                <w:color w:val="auto"/>
              </w:rPr>
            </w:pPr>
          </w:p>
        </w:tc>
        <w:tc>
          <w:tcPr>
            <w:tcW w:w="520" w:type="dxa"/>
            <w:vAlign w:val="bottom"/>
            <w:tcBorders>
              <w:top w:val="single" w:sz="8" w:color="0000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680" w:type="dxa"/>
            <w:vAlign w:val="bottom"/>
            <w:tcBorders>
              <w:top w:val="single" w:sz="8" w:color="0000FF"/>
            </w:tcBorders>
            <w:shd w:val="clear" w:color="auto" w:fill="CCEEFF"/>
          </w:tcPr>
          <w:p>
            <w:pPr>
              <w:spacing w:after="0"/>
              <w:rPr>
                <w:sz w:val="2"/>
                <w:szCs w:val="2"/>
                <w:color w:val="auto"/>
              </w:rPr>
            </w:pPr>
          </w:p>
        </w:tc>
        <w:tc>
          <w:tcPr>
            <w:tcW w:w="12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120" w:type="dxa"/>
            <w:vAlign w:val="bottom"/>
            <w:tcBorders>
              <w:top w:val="single" w:sz="8" w:color="0000FF"/>
            </w:tcBorders>
            <w:shd w:val="clear" w:color="auto" w:fill="CCEEFF"/>
          </w:tcPr>
          <w:p>
            <w:pPr>
              <w:spacing w:after="0"/>
              <w:rPr>
                <w:sz w:val="2"/>
                <w:szCs w:val="2"/>
                <w:color w:val="auto"/>
              </w:rPr>
            </w:pPr>
          </w:p>
        </w:tc>
        <w:tc>
          <w:tcPr>
            <w:tcW w:w="520" w:type="dxa"/>
            <w:vAlign w:val="bottom"/>
            <w:tcBorders>
              <w:top w:val="single" w:sz="8" w:color="0000FF"/>
            </w:tcBorders>
            <w:shd w:val="clear" w:color="auto" w:fill="CCEEFF"/>
          </w:tcPr>
          <w:p>
            <w:pPr>
              <w:spacing w:after="0"/>
              <w:rPr>
                <w:sz w:val="2"/>
                <w:szCs w:val="2"/>
                <w:color w:val="auto"/>
              </w:rPr>
            </w:pPr>
          </w:p>
        </w:tc>
        <w:tc>
          <w:tcPr>
            <w:tcW w:w="6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34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140" w:type="dxa"/>
            <w:vAlign w:val="bottom"/>
            <w:tcBorders>
              <w:top w:val="single" w:sz="8" w:color="0000FF"/>
            </w:tcBorders>
            <w:shd w:val="clear" w:color="auto" w:fill="CCEEFF"/>
          </w:tcPr>
          <w:p>
            <w:pPr>
              <w:spacing w:after="0"/>
              <w:rPr>
                <w:sz w:val="2"/>
                <w:szCs w:val="2"/>
                <w:color w:val="auto"/>
              </w:rPr>
            </w:pPr>
          </w:p>
        </w:tc>
        <w:tc>
          <w:tcPr>
            <w:tcW w:w="180" w:type="dxa"/>
            <w:vAlign w:val="bottom"/>
            <w:tcBorders>
              <w:top w:val="single" w:sz="8" w:color="0000FF"/>
            </w:tcBorders>
            <w:shd w:val="clear" w:color="auto" w:fill="CCEEFF"/>
          </w:tcPr>
          <w:p>
            <w:pPr>
              <w:spacing w:after="0"/>
              <w:rPr>
                <w:sz w:val="2"/>
                <w:szCs w:val="2"/>
                <w:color w:val="auto"/>
              </w:rPr>
            </w:pPr>
          </w:p>
        </w:tc>
        <w:tc>
          <w:tcPr>
            <w:tcW w:w="860" w:type="dxa"/>
            <w:vAlign w:val="bottom"/>
            <w:tcBorders>
              <w:top w:val="single" w:sz="8" w:color="0000FF"/>
            </w:tcBorders>
            <w:shd w:val="clear" w:color="auto" w:fill="CCEEFF"/>
          </w:tcPr>
          <w:p>
            <w:pPr>
              <w:spacing w:after="0"/>
              <w:rPr>
                <w:sz w:val="2"/>
                <w:szCs w:val="2"/>
                <w:color w:val="auto"/>
              </w:rPr>
            </w:pPr>
          </w:p>
        </w:tc>
        <w:tc>
          <w:tcPr>
            <w:tcW w:w="340" w:type="dxa"/>
            <w:vAlign w:val="bottom"/>
            <w:tcBorders>
              <w:top w:val="single" w:sz="8" w:color="0000FF"/>
            </w:tcBorders>
            <w:shd w:val="clear" w:color="auto" w:fill="CCEEFF"/>
          </w:tcPr>
          <w:p>
            <w:pPr>
              <w:spacing w:after="0"/>
              <w:rPr>
                <w:sz w:val="2"/>
                <w:szCs w:val="2"/>
                <w:color w:val="auto"/>
              </w:rPr>
            </w:pPr>
          </w:p>
        </w:tc>
        <w:tc>
          <w:tcPr>
            <w:tcW w:w="220" w:type="dxa"/>
            <w:vAlign w:val="bottom"/>
            <w:tcBorders>
              <w:top w:val="single" w:sz="8" w:color="0000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740" w:type="dxa"/>
            <w:vAlign w:val="bottom"/>
            <w:tcBorders>
              <w:top w:val="single" w:sz="8" w:color="CCEEFF"/>
            </w:tcBorders>
            <w:shd w:val="clear" w:color="auto" w:fill="CCEEFF"/>
          </w:tcPr>
          <w:p>
            <w:pPr>
              <w:spacing w:after="0"/>
              <w:rPr>
                <w:sz w:val="2"/>
                <w:szCs w:val="2"/>
                <w:color w:val="auto"/>
              </w:rPr>
            </w:pPr>
          </w:p>
        </w:tc>
        <w:tc>
          <w:tcPr>
            <w:tcW w:w="560" w:type="dxa"/>
            <w:vAlign w:val="bottom"/>
            <w:tcBorders>
              <w:top w:val="single" w:sz="8" w:color="CCEEFF"/>
            </w:tcBorders>
            <w:shd w:val="clear" w:color="auto" w:fill="CCEEFF"/>
          </w:tcPr>
          <w:p>
            <w:pPr>
              <w:spacing w:after="0"/>
              <w:rPr>
                <w:sz w:val="2"/>
                <w:szCs w:val="2"/>
                <w:color w:val="auto"/>
              </w:rPr>
            </w:pPr>
          </w:p>
        </w:tc>
        <w:tc>
          <w:tcPr>
            <w:tcW w:w="10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8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5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10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56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2"/>
        </w:trPr>
        <w:tc>
          <w:tcPr>
            <w:tcW w:w="20" w:type="dxa"/>
            <w:vAlign w:val="bottom"/>
          </w:tcPr>
          <w:p>
            <w:pPr>
              <w:spacing w:after="0"/>
              <w:rPr>
                <w:sz w:val="14"/>
                <w:szCs w:val="14"/>
                <w:color w:val="auto"/>
              </w:rPr>
            </w:pPr>
          </w:p>
        </w:tc>
        <w:tc>
          <w:tcPr>
            <w:tcW w:w="1300" w:type="dxa"/>
            <w:vAlign w:val="bottom"/>
            <w:gridSpan w:val="5"/>
          </w:tcPr>
          <w:p>
            <w:pPr>
              <w:spacing w:after="0" w:line="172" w:lineRule="exact"/>
              <w:rPr>
                <w:sz w:val="20"/>
                <w:szCs w:val="20"/>
                <w:color w:val="auto"/>
              </w:rPr>
            </w:pPr>
            <w:r>
              <w:rPr>
                <w:rFonts w:ascii="Calibri" w:cs="Calibri" w:eastAsia="Calibri" w:hAnsi="Calibri"/>
                <w:sz w:val="18"/>
                <w:szCs w:val="18"/>
                <w:color w:val="0000FF"/>
              </w:rPr>
              <w:t>ITEM 9.</w:t>
            </w:r>
          </w:p>
        </w:tc>
        <w:tc>
          <w:tcPr>
            <w:tcW w:w="8560" w:type="dxa"/>
            <w:vAlign w:val="bottom"/>
            <w:gridSpan w:val="30"/>
          </w:tcPr>
          <w:p>
            <w:pPr>
              <w:spacing w:after="0" w:line="172" w:lineRule="exact"/>
              <w:rPr>
                <w:sz w:val="20"/>
                <w:szCs w:val="20"/>
                <w:color w:val="auto"/>
              </w:rPr>
            </w:pPr>
            <w:r>
              <w:rPr>
                <w:rFonts w:ascii="Calibri" w:cs="Calibri" w:eastAsia="Calibri" w:hAnsi="Calibri"/>
                <w:sz w:val="18"/>
                <w:szCs w:val="18"/>
                <w:color w:val="0000FF"/>
              </w:rPr>
              <w:t>CHANGES IN AND DISAGREEMENTS WITH ACCOUNTANTS ON ACCOUNTING AND FINANCIAL DISCLOSURE</w:t>
            </w:r>
          </w:p>
        </w:tc>
        <w:tc>
          <w:tcPr>
            <w:tcW w:w="1320" w:type="dxa"/>
            <w:vAlign w:val="bottom"/>
            <w:gridSpan w:val="5"/>
          </w:tcPr>
          <w:p>
            <w:pPr>
              <w:jc w:val="center"/>
              <w:spacing w:after="0" w:line="172" w:lineRule="exact"/>
              <w:rPr>
                <w:sz w:val="20"/>
                <w:szCs w:val="20"/>
                <w:color w:val="auto"/>
              </w:rPr>
            </w:pPr>
            <w:r>
              <w:rPr>
                <w:rFonts w:ascii="Calibri" w:cs="Calibri" w:eastAsia="Calibri" w:hAnsi="Calibri"/>
                <w:sz w:val="18"/>
                <w:szCs w:val="18"/>
                <w:color w:val="0000FF"/>
                <w:w w:val="98"/>
              </w:rPr>
              <w:t>88</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520" w:type="dxa"/>
            <w:vAlign w:val="bottom"/>
            <w:tcBorders>
              <w:top w:val="single" w:sz="8" w:color="0000FF"/>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420" w:type="dxa"/>
            <w:vAlign w:val="bottom"/>
          </w:tcPr>
          <w:p>
            <w:pPr>
              <w:spacing w:after="0"/>
              <w:rPr>
                <w:sz w:val="2"/>
                <w:szCs w:val="2"/>
                <w:color w:val="auto"/>
              </w:rPr>
            </w:pPr>
          </w:p>
        </w:tc>
        <w:tc>
          <w:tcPr>
            <w:tcW w:w="68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52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34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860" w:type="dxa"/>
            <w:vAlign w:val="bottom"/>
            <w:tcBorders>
              <w:top w:val="single" w:sz="8" w:color="0000FF"/>
            </w:tcBorders>
          </w:tcPr>
          <w:p>
            <w:pPr>
              <w:spacing w:after="0"/>
              <w:rPr>
                <w:sz w:val="2"/>
                <w:szCs w:val="2"/>
                <w:color w:val="auto"/>
              </w:rPr>
            </w:pPr>
          </w:p>
        </w:tc>
        <w:tc>
          <w:tcPr>
            <w:tcW w:w="34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50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740" w:type="dxa"/>
            <w:vAlign w:val="bottom"/>
            <w:tcBorders>
              <w:top w:val="single" w:sz="8" w:color="0000FF"/>
            </w:tcBorders>
          </w:tcPr>
          <w:p>
            <w:pPr>
              <w:spacing w:after="0"/>
              <w:rPr>
                <w:sz w:val="2"/>
                <w:szCs w:val="2"/>
                <w:color w:val="auto"/>
              </w:rPr>
            </w:pPr>
          </w:p>
        </w:tc>
        <w:tc>
          <w:tcPr>
            <w:tcW w:w="560" w:type="dxa"/>
            <w:vAlign w:val="bottom"/>
            <w:tcBorders>
              <w:top w:val="single" w:sz="8" w:color="0000FF"/>
            </w:tcBorders>
          </w:tcPr>
          <w:p>
            <w:pPr>
              <w:spacing w:after="0"/>
              <w:rPr>
                <w:sz w:val="2"/>
                <w:szCs w:val="2"/>
                <w:color w:val="auto"/>
              </w:rPr>
            </w:pPr>
          </w:p>
        </w:tc>
        <w:tc>
          <w:tcPr>
            <w:tcW w:w="104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580" w:type="dxa"/>
            <w:vAlign w:val="bottom"/>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4"/>
        </w:trPr>
        <w:tc>
          <w:tcPr>
            <w:tcW w:w="20" w:type="dxa"/>
            <w:vAlign w:val="bottom"/>
            <w:shd w:val="clear" w:color="auto" w:fill="CCEEFF"/>
          </w:tcPr>
          <w:p>
            <w:pPr>
              <w:spacing w:after="0"/>
              <w:rPr>
                <w:sz w:val="17"/>
                <w:szCs w:val="17"/>
                <w:color w:val="auto"/>
              </w:rPr>
            </w:pPr>
          </w:p>
        </w:tc>
        <w:tc>
          <w:tcPr>
            <w:tcW w:w="1300" w:type="dxa"/>
            <w:vAlign w:val="bottom"/>
            <w:gridSpan w:val="5"/>
            <w:shd w:val="clear" w:color="auto" w:fill="CCEEFF"/>
          </w:tcPr>
          <w:p>
            <w:pPr>
              <w:spacing w:after="0" w:line="172" w:lineRule="exact"/>
              <w:rPr>
                <w:sz w:val="20"/>
                <w:szCs w:val="20"/>
                <w:color w:val="auto"/>
              </w:rPr>
            </w:pPr>
            <w:r>
              <w:rPr>
                <w:rFonts w:ascii="Calibri" w:cs="Calibri" w:eastAsia="Calibri" w:hAnsi="Calibri"/>
                <w:sz w:val="18"/>
                <w:szCs w:val="18"/>
                <w:color w:val="0000FF"/>
              </w:rPr>
              <w:t>ITEM 9A.</w:t>
            </w:r>
          </w:p>
        </w:tc>
        <w:tc>
          <w:tcPr>
            <w:tcW w:w="8560" w:type="dxa"/>
            <w:vAlign w:val="bottom"/>
            <w:gridSpan w:val="30"/>
            <w:shd w:val="clear" w:color="auto" w:fill="CCEEFF"/>
          </w:tcPr>
          <w:p>
            <w:pPr>
              <w:spacing w:after="0" w:line="172" w:lineRule="exact"/>
              <w:rPr>
                <w:sz w:val="20"/>
                <w:szCs w:val="20"/>
                <w:color w:val="auto"/>
              </w:rPr>
            </w:pPr>
            <w:r>
              <w:rPr>
                <w:rFonts w:ascii="Calibri" w:cs="Calibri" w:eastAsia="Calibri" w:hAnsi="Calibri"/>
                <w:sz w:val="18"/>
                <w:szCs w:val="18"/>
                <w:color w:val="0000FF"/>
              </w:rPr>
              <w:t>CONTROLS AND PROCEDURES</w:t>
            </w:r>
          </w:p>
        </w:tc>
        <w:tc>
          <w:tcPr>
            <w:tcW w:w="1320" w:type="dxa"/>
            <w:vAlign w:val="bottom"/>
            <w:gridSpan w:val="5"/>
            <w:shd w:val="clear" w:color="auto" w:fill="CCEEFF"/>
          </w:tcPr>
          <w:p>
            <w:pPr>
              <w:jc w:val="center"/>
              <w:spacing w:after="0" w:line="172" w:lineRule="exact"/>
              <w:rPr>
                <w:sz w:val="20"/>
                <w:szCs w:val="20"/>
                <w:color w:val="auto"/>
              </w:rPr>
            </w:pPr>
            <w:r>
              <w:rPr>
                <w:rFonts w:ascii="Calibri" w:cs="Calibri" w:eastAsia="Calibri" w:hAnsi="Calibri"/>
                <w:sz w:val="18"/>
                <w:szCs w:val="18"/>
                <w:color w:val="0000FF"/>
                <w:w w:val="98"/>
              </w:rPr>
              <w:t>88</w:t>
            </w:r>
          </w:p>
        </w:tc>
        <w:tc>
          <w:tcPr>
            <w:tcW w:w="0" w:type="dxa"/>
            <w:vAlign w:val="bottom"/>
          </w:tcPr>
          <w:p>
            <w:pPr>
              <w:spacing w:after="0"/>
              <w:rPr>
                <w:sz w:val="1"/>
                <w:szCs w:val="1"/>
                <w:color w:val="auto"/>
              </w:rPr>
            </w:pPr>
          </w:p>
        </w:tc>
      </w:tr>
      <w:tr>
        <w:trPr>
          <w:trHeight w:val="172"/>
        </w:trPr>
        <w:tc>
          <w:tcPr>
            <w:tcW w:w="20" w:type="dxa"/>
            <w:vAlign w:val="bottom"/>
            <w:tcBorders>
              <w:top w:val="single" w:sz="8" w:color="CCEEFF"/>
            </w:tcBorders>
          </w:tcPr>
          <w:p>
            <w:pPr>
              <w:spacing w:after="0"/>
              <w:rPr>
                <w:sz w:val="14"/>
                <w:szCs w:val="14"/>
                <w:color w:val="auto"/>
              </w:rPr>
            </w:pPr>
          </w:p>
        </w:tc>
        <w:tc>
          <w:tcPr>
            <w:tcW w:w="620" w:type="dxa"/>
            <w:vAlign w:val="bottom"/>
            <w:tcBorders>
              <w:top w:val="single" w:sz="8" w:color="0000FF"/>
            </w:tcBorders>
            <w:gridSpan w:val="3"/>
          </w:tcPr>
          <w:p>
            <w:pPr>
              <w:spacing w:after="0" w:line="172" w:lineRule="exact"/>
              <w:rPr>
                <w:sz w:val="20"/>
                <w:szCs w:val="20"/>
                <w:color w:val="auto"/>
              </w:rPr>
            </w:pPr>
            <w:r>
              <w:rPr>
                <w:rFonts w:ascii="Calibri" w:cs="Calibri" w:eastAsia="Calibri" w:hAnsi="Calibri"/>
                <w:sz w:val="18"/>
                <w:szCs w:val="18"/>
                <w:color w:val="0000FF"/>
                <w:w w:val="92"/>
              </w:rPr>
              <w:t>ITEM 9B.</w:t>
            </w:r>
          </w:p>
        </w:tc>
        <w:tc>
          <w:tcPr>
            <w:tcW w:w="680" w:type="dxa"/>
            <w:vAlign w:val="bottom"/>
            <w:tcBorders>
              <w:top w:val="single" w:sz="8" w:color="CCEEFF"/>
            </w:tcBorders>
            <w:gridSpan w:val="2"/>
          </w:tcPr>
          <w:p>
            <w:pPr>
              <w:spacing w:after="0"/>
              <w:rPr>
                <w:sz w:val="14"/>
                <w:szCs w:val="14"/>
                <w:color w:val="auto"/>
              </w:rPr>
            </w:pPr>
          </w:p>
        </w:tc>
        <w:tc>
          <w:tcPr>
            <w:tcW w:w="2100" w:type="dxa"/>
            <w:vAlign w:val="bottom"/>
            <w:tcBorders>
              <w:top w:val="single" w:sz="8" w:color="0000FF"/>
            </w:tcBorders>
            <w:gridSpan w:val="11"/>
          </w:tcPr>
          <w:p>
            <w:pPr>
              <w:spacing w:after="0" w:line="172" w:lineRule="exact"/>
              <w:rPr>
                <w:sz w:val="20"/>
                <w:szCs w:val="20"/>
                <w:color w:val="auto"/>
              </w:rPr>
            </w:pPr>
            <w:r>
              <w:rPr>
                <w:rFonts w:ascii="Calibri" w:cs="Calibri" w:eastAsia="Calibri" w:hAnsi="Calibri"/>
                <w:sz w:val="18"/>
                <w:szCs w:val="18"/>
                <w:color w:val="0000FF"/>
              </w:rPr>
              <w:t>OTHER INFORMATION</w:t>
            </w:r>
          </w:p>
        </w:tc>
        <w:tc>
          <w:tcPr>
            <w:tcW w:w="6460" w:type="dxa"/>
            <w:vAlign w:val="bottom"/>
            <w:tcBorders>
              <w:top w:val="single" w:sz="8" w:color="CCEEFF"/>
            </w:tcBorders>
            <w:gridSpan w:val="19"/>
          </w:tcPr>
          <w:p>
            <w:pPr>
              <w:spacing w:after="0"/>
              <w:rPr>
                <w:sz w:val="14"/>
                <w:szCs w:val="14"/>
                <w:color w:val="auto"/>
              </w:rPr>
            </w:pPr>
          </w:p>
        </w:tc>
        <w:tc>
          <w:tcPr>
            <w:tcW w:w="580" w:type="dxa"/>
            <w:vAlign w:val="bottom"/>
            <w:tcBorders>
              <w:top w:val="single" w:sz="8" w:color="CCEEFF"/>
            </w:tcBorders>
          </w:tcPr>
          <w:p>
            <w:pPr>
              <w:spacing w:after="0"/>
              <w:rPr>
                <w:sz w:val="14"/>
                <w:szCs w:val="14"/>
                <w:color w:val="auto"/>
              </w:rPr>
            </w:pPr>
          </w:p>
        </w:tc>
        <w:tc>
          <w:tcPr>
            <w:tcW w:w="180" w:type="dxa"/>
            <w:vAlign w:val="bottom"/>
            <w:tcBorders>
              <w:top w:val="single" w:sz="8" w:color="0000FF"/>
            </w:tcBorders>
            <w:gridSpan w:val="3"/>
          </w:tcPr>
          <w:p>
            <w:pPr>
              <w:jc w:val="center"/>
              <w:spacing w:after="0" w:line="172" w:lineRule="exact"/>
              <w:rPr>
                <w:sz w:val="20"/>
                <w:szCs w:val="20"/>
                <w:color w:val="auto"/>
              </w:rPr>
            </w:pPr>
            <w:r>
              <w:rPr>
                <w:rFonts w:ascii="Calibri" w:cs="Calibri" w:eastAsia="Calibri" w:hAnsi="Calibri"/>
                <w:sz w:val="18"/>
                <w:szCs w:val="18"/>
                <w:color w:val="0000FF"/>
                <w:w w:val="98"/>
              </w:rPr>
              <w:t>89</w:t>
            </w:r>
          </w:p>
        </w:tc>
        <w:tc>
          <w:tcPr>
            <w:tcW w:w="56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52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60" w:type="dxa"/>
            <w:vAlign w:val="bottom"/>
          </w:tcPr>
          <w:p>
            <w:pPr>
              <w:spacing w:after="0"/>
              <w:rPr>
                <w:sz w:val="2"/>
                <w:szCs w:val="2"/>
                <w:color w:val="auto"/>
              </w:rPr>
            </w:pPr>
          </w:p>
        </w:tc>
        <w:tc>
          <w:tcPr>
            <w:tcW w:w="420" w:type="dxa"/>
            <w:vAlign w:val="bottom"/>
          </w:tcPr>
          <w:p>
            <w:pPr>
              <w:spacing w:after="0"/>
              <w:rPr>
                <w:sz w:val="2"/>
                <w:szCs w:val="2"/>
                <w:color w:val="auto"/>
              </w:rPr>
            </w:pPr>
          </w:p>
        </w:tc>
        <w:tc>
          <w:tcPr>
            <w:tcW w:w="68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52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580" w:type="dxa"/>
            <w:vAlign w:val="bottom"/>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4"/>
        </w:trPr>
        <w:tc>
          <w:tcPr>
            <w:tcW w:w="20" w:type="dxa"/>
            <w:vAlign w:val="bottom"/>
            <w:shd w:val="clear" w:color="auto" w:fill="CCEEFF"/>
          </w:tcPr>
          <w:p>
            <w:pPr>
              <w:spacing w:after="0"/>
              <w:rPr>
                <w:sz w:val="17"/>
                <w:szCs w:val="17"/>
                <w:color w:val="auto"/>
              </w:rPr>
            </w:pPr>
          </w:p>
        </w:tc>
        <w:tc>
          <w:tcPr>
            <w:tcW w:w="1300" w:type="dxa"/>
            <w:vAlign w:val="bottom"/>
            <w:gridSpan w:val="5"/>
            <w:shd w:val="clear" w:color="auto" w:fill="CCEEFF"/>
          </w:tcPr>
          <w:p>
            <w:pPr>
              <w:spacing w:after="0" w:line="172" w:lineRule="exact"/>
              <w:rPr>
                <w:sz w:val="20"/>
                <w:szCs w:val="20"/>
                <w:color w:val="auto"/>
              </w:rPr>
            </w:pPr>
            <w:r>
              <w:rPr>
                <w:rFonts w:ascii="Calibri" w:cs="Calibri" w:eastAsia="Calibri" w:hAnsi="Calibri"/>
                <w:sz w:val="18"/>
                <w:szCs w:val="18"/>
                <w:color w:val="0000FF"/>
              </w:rPr>
              <w:t>ITEM 9C.</w:t>
            </w:r>
          </w:p>
        </w:tc>
        <w:tc>
          <w:tcPr>
            <w:tcW w:w="8560" w:type="dxa"/>
            <w:vAlign w:val="bottom"/>
            <w:gridSpan w:val="30"/>
            <w:shd w:val="clear" w:color="auto" w:fill="CCEEFF"/>
          </w:tcPr>
          <w:p>
            <w:pPr>
              <w:spacing w:after="0" w:line="172" w:lineRule="exact"/>
              <w:rPr>
                <w:sz w:val="20"/>
                <w:szCs w:val="20"/>
                <w:color w:val="auto"/>
              </w:rPr>
            </w:pPr>
            <w:r>
              <w:rPr>
                <w:rFonts w:ascii="Calibri" w:cs="Calibri" w:eastAsia="Calibri" w:hAnsi="Calibri"/>
                <w:sz w:val="18"/>
                <w:szCs w:val="18"/>
                <w:color w:val="0000FF"/>
              </w:rPr>
              <w:t>DISCLOSURE REGARDING FOREIGN JURISDICTIONS THAT PREVENT INSPECTIONS</w:t>
            </w:r>
          </w:p>
        </w:tc>
        <w:tc>
          <w:tcPr>
            <w:tcW w:w="1320" w:type="dxa"/>
            <w:vAlign w:val="bottom"/>
            <w:gridSpan w:val="5"/>
            <w:shd w:val="clear" w:color="auto" w:fill="CCEEFF"/>
          </w:tcPr>
          <w:p>
            <w:pPr>
              <w:jc w:val="center"/>
              <w:spacing w:after="0" w:line="172" w:lineRule="exact"/>
              <w:rPr>
                <w:sz w:val="20"/>
                <w:szCs w:val="20"/>
                <w:color w:val="auto"/>
              </w:rPr>
            </w:pPr>
            <w:r>
              <w:rPr>
                <w:rFonts w:ascii="Calibri" w:cs="Calibri" w:eastAsia="Calibri" w:hAnsi="Calibri"/>
                <w:sz w:val="18"/>
                <w:szCs w:val="18"/>
                <w:color w:val="0000FF"/>
                <w:w w:val="98"/>
              </w:rPr>
              <w:t>89</w:t>
            </w:r>
          </w:p>
        </w:tc>
        <w:tc>
          <w:tcPr>
            <w:tcW w:w="0" w:type="dxa"/>
            <w:vAlign w:val="bottom"/>
          </w:tcPr>
          <w:p>
            <w:pPr>
              <w:spacing w:after="0"/>
              <w:rPr>
                <w:sz w:val="1"/>
                <w:szCs w:val="1"/>
                <w:color w:val="auto"/>
              </w:rPr>
            </w:pPr>
          </w:p>
        </w:tc>
      </w:tr>
      <w:tr>
        <w:trPr>
          <w:trHeight w:val="145"/>
        </w:trPr>
        <w:tc>
          <w:tcPr>
            <w:tcW w:w="20" w:type="dxa"/>
            <w:vAlign w:val="bottom"/>
            <w:tcBorders>
              <w:top w:val="single" w:sz="8" w:color="CCEEFF"/>
            </w:tcBorders>
          </w:tcPr>
          <w:p>
            <w:pPr>
              <w:spacing w:after="0"/>
              <w:rPr>
                <w:sz w:val="12"/>
                <w:szCs w:val="12"/>
                <w:color w:val="auto"/>
              </w:rPr>
            </w:pPr>
          </w:p>
        </w:tc>
        <w:tc>
          <w:tcPr>
            <w:tcW w:w="52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60" w:type="dxa"/>
            <w:vAlign w:val="bottom"/>
            <w:tcBorders>
              <w:top w:val="single" w:sz="8" w:color="CCEEFF"/>
            </w:tcBorders>
          </w:tcPr>
          <w:p>
            <w:pPr>
              <w:spacing w:after="0"/>
              <w:rPr>
                <w:sz w:val="12"/>
                <w:szCs w:val="12"/>
                <w:color w:val="auto"/>
              </w:rPr>
            </w:pPr>
          </w:p>
        </w:tc>
        <w:tc>
          <w:tcPr>
            <w:tcW w:w="420" w:type="dxa"/>
            <w:vAlign w:val="bottom"/>
            <w:tcBorders>
              <w:top w:val="single" w:sz="8" w:color="CCEEFF"/>
            </w:tcBorders>
          </w:tcPr>
          <w:p>
            <w:pPr>
              <w:spacing w:after="0"/>
              <w:rPr>
                <w:sz w:val="12"/>
                <w:szCs w:val="12"/>
                <w:color w:val="auto"/>
              </w:rPr>
            </w:pPr>
          </w:p>
        </w:tc>
        <w:tc>
          <w:tcPr>
            <w:tcW w:w="680" w:type="dxa"/>
            <w:vAlign w:val="bottom"/>
            <w:tcBorders>
              <w:top w:val="single" w:sz="8" w:color="0000FF"/>
            </w:tcBorders>
          </w:tcPr>
          <w:p>
            <w:pPr>
              <w:spacing w:after="0"/>
              <w:rPr>
                <w:sz w:val="12"/>
                <w:szCs w:val="12"/>
                <w:color w:val="auto"/>
              </w:rPr>
            </w:pPr>
          </w:p>
        </w:tc>
        <w:tc>
          <w:tcPr>
            <w:tcW w:w="1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120" w:type="dxa"/>
            <w:vAlign w:val="bottom"/>
            <w:tcBorders>
              <w:top w:val="single" w:sz="8" w:color="0000FF"/>
            </w:tcBorders>
          </w:tcPr>
          <w:p>
            <w:pPr>
              <w:spacing w:after="0"/>
              <w:rPr>
                <w:sz w:val="12"/>
                <w:szCs w:val="12"/>
                <w:color w:val="auto"/>
              </w:rPr>
            </w:pPr>
          </w:p>
        </w:tc>
        <w:tc>
          <w:tcPr>
            <w:tcW w:w="52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34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140" w:type="dxa"/>
            <w:vAlign w:val="bottom"/>
            <w:tcBorders>
              <w:top w:val="single" w:sz="8" w:color="0000FF"/>
            </w:tcBorders>
          </w:tcPr>
          <w:p>
            <w:pPr>
              <w:spacing w:after="0"/>
              <w:rPr>
                <w:sz w:val="12"/>
                <w:szCs w:val="12"/>
                <w:color w:val="auto"/>
              </w:rPr>
            </w:pPr>
          </w:p>
        </w:tc>
        <w:tc>
          <w:tcPr>
            <w:tcW w:w="180" w:type="dxa"/>
            <w:vAlign w:val="bottom"/>
            <w:tcBorders>
              <w:top w:val="single" w:sz="8" w:color="0000FF"/>
            </w:tcBorders>
          </w:tcPr>
          <w:p>
            <w:pPr>
              <w:spacing w:after="0"/>
              <w:rPr>
                <w:sz w:val="12"/>
                <w:szCs w:val="12"/>
                <w:color w:val="auto"/>
              </w:rPr>
            </w:pPr>
          </w:p>
        </w:tc>
        <w:tc>
          <w:tcPr>
            <w:tcW w:w="860" w:type="dxa"/>
            <w:vAlign w:val="bottom"/>
            <w:tcBorders>
              <w:top w:val="single" w:sz="8" w:color="0000FF"/>
            </w:tcBorders>
          </w:tcPr>
          <w:p>
            <w:pPr>
              <w:spacing w:after="0"/>
              <w:rPr>
                <w:sz w:val="12"/>
                <w:szCs w:val="12"/>
                <w:color w:val="auto"/>
              </w:rPr>
            </w:pPr>
          </w:p>
        </w:tc>
        <w:tc>
          <w:tcPr>
            <w:tcW w:w="340" w:type="dxa"/>
            <w:vAlign w:val="bottom"/>
            <w:tcBorders>
              <w:top w:val="single" w:sz="8" w:color="0000FF"/>
            </w:tcBorders>
          </w:tcPr>
          <w:p>
            <w:pPr>
              <w:spacing w:after="0"/>
              <w:rPr>
                <w:sz w:val="12"/>
                <w:szCs w:val="12"/>
                <w:color w:val="auto"/>
              </w:rPr>
            </w:pPr>
          </w:p>
        </w:tc>
        <w:tc>
          <w:tcPr>
            <w:tcW w:w="220" w:type="dxa"/>
            <w:vAlign w:val="bottom"/>
            <w:tcBorders>
              <w:top w:val="single" w:sz="8" w:color="0000FF"/>
            </w:tcBorders>
          </w:tcPr>
          <w:p>
            <w:pPr>
              <w:spacing w:after="0"/>
              <w:rPr>
                <w:sz w:val="12"/>
                <w:szCs w:val="12"/>
                <w:color w:val="auto"/>
              </w:rPr>
            </w:pPr>
          </w:p>
        </w:tc>
        <w:tc>
          <w:tcPr>
            <w:tcW w:w="30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50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20" w:type="dxa"/>
            <w:vAlign w:val="bottom"/>
            <w:tcBorders>
              <w:top w:val="single" w:sz="8" w:color="0000FF"/>
            </w:tcBorders>
          </w:tcPr>
          <w:p>
            <w:pPr>
              <w:spacing w:after="0"/>
              <w:rPr>
                <w:sz w:val="12"/>
                <w:szCs w:val="12"/>
                <w:color w:val="auto"/>
              </w:rPr>
            </w:pPr>
          </w:p>
        </w:tc>
        <w:tc>
          <w:tcPr>
            <w:tcW w:w="740" w:type="dxa"/>
            <w:vAlign w:val="bottom"/>
            <w:tcBorders>
              <w:top w:val="single" w:sz="8" w:color="0000FF"/>
            </w:tcBorders>
          </w:tcPr>
          <w:p>
            <w:pPr>
              <w:spacing w:after="0"/>
              <w:rPr>
                <w:sz w:val="12"/>
                <w:szCs w:val="12"/>
                <w:color w:val="auto"/>
              </w:rPr>
            </w:pPr>
          </w:p>
        </w:tc>
        <w:tc>
          <w:tcPr>
            <w:tcW w:w="560" w:type="dxa"/>
            <w:vAlign w:val="bottom"/>
            <w:tcBorders>
              <w:top w:val="single" w:sz="8" w:color="CCEEFF"/>
            </w:tcBorders>
          </w:tcPr>
          <w:p>
            <w:pPr>
              <w:spacing w:after="0"/>
              <w:rPr>
                <w:sz w:val="12"/>
                <w:szCs w:val="12"/>
                <w:color w:val="auto"/>
              </w:rPr>
            </w:pPr>
          </w:p>
        </w:tc>
        <w:tc>
          <w:tcPr>
            <w:tcW w:w="1040" w:type="dxa"/>
            <w:vAlign w:val="bottom"/>
            <w:tcBorders>
              <w:top w:val="single" w:sz="8" w:color="CCEEFF"/>
            </w:tcBorders>
          </w:tcPr>
          <w:p>
            <w:pPr>
              <w:spacing w:after="0"/>
              <w:rPr>
                <w:sz w:val="12"/>
                <w:szCs w:val="12"/>
                <w:color w:val="auto"/>
              </w:rPr>
            </w:pPr>
          </w:p>
        </w:tc>
        <w:tc>
          <w:tcPr>
            <w:tcW w:w="140" w:type="dxa"/>
            <w:vAlign w:val="bottom"/>
            <w:tcBorders>
              <w:top w:val="single" w:sz="8" w:color="CCEEFF"/>
            </w:tcBorders>
          </w:tcPr>
          <w:p>
            <w:pPr>
              <w:spacing w:after="0"/>
              <w:rPr>
                <w:sz w:val="12"/>
                <w:szCs w:val="12"/>
                <w:color w:val="auto"/>
              </w:rPr>
            </w:pPr>
          </w:p>
        </w:tc>
        <w:tc>
          <w:tcPr>
            <w:tcW w:w="86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320" w:type="dxa"/>
            <w:vAlign w:val="bottom"/>
            <w:tcBorders>
              <w:top w:val="single" w:sz="8" w:color="CCEEFF"/>
            </w:tcBorders>
          </w:tcPr>
          <w:p>
            <w:pPr>
              <w:spacing w:after="0"/>
              <w:rPr>
                <w:sz w:val="12"/>
                <w:szCs w:val="12"/>
                <w:color w:val="auto"/>
              </w:rPr>
            </w:pPr>
          </w:p>
        </w:tc>
        <w:tc>
          <w:tcPr>
            <w:tcW w:w="580" w:type="dxa"/>
            <w:vAlign w:val="bottom"/>
            <w:tcBorders>
              <w:top w:val="single" w:sz="8" w:color="CCEE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10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56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860" w:type="dxa"/>
            <w:vAlign w:val="bottom"/>
            <w:gridSpan w:val="15"/>
            <w:shd w:val="clear" w:color="auto" w:fill="CCEEFF"/>
          </w:tcPr>
          <w:p>
            <w:pPr>
              <w:jc w:val="center"/>
              <w:ind w:right="3680"/>
              <w:spacing w:after="0" w:line="172" w:lineRule="exact"/>
              <w:rPr>
                <w:sz w:val="20"/>
                <w:szCs w:val="20"/>
                <w:color w:val="auto"/>
              </w:rPr>
            </w:pPr>
            <w:r>
              <w:rPr>
                <w:rFonts w:ascii="Calibri" w:cs="Calibri" w:eastAsia="Calibri" w:hAnsi="Calibri"/>
                <w:sz w:val="18"/>
                <w:szCs w:val="18"/>
                <w:b w:val="1"/>
                <w:bCs w:val="1"/>
                <w:color w:val="0000FF"/>
                <w:w w:val="92"/>
              </w:rPr>
              <w:t>PART III.</w:t>
            </w:r>
          </w:p>
        </w:tc>
        <w:tc>
          <w:tcPr>
            <w:tcW w:w="5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33"/>
        </w:trPr>
        <w:tc>
          <w:tcPr>
            <w:tcW w:w="20" w:type="dxa"/>
            <w:vAlign w:val="bottom"/>
            <w:tcBorders>
              <w:top w:val="single" w:sz="8" w:color="CCEEFF"/>
            </w:tcBorders>
            <w:shd w:val="clear" w:color="auto" w:fill="CCEEFF"/>
          </w:tcPr>
          <w:p>
            <w:pPr>
              <w:spacing w:after="0"/>
              <w:rPr>
                <w:sz w:val="2"/>
                <w:szCs w:val="2"/>
                <w:color w:val="auto"/>
              </w:rPr>
            </w:pPr>
          </w:p>
        </w:tc>
        <w:tc>
          <w:tcPr>
            <w:tcW w:w="5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6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5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86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50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740" w:type="dxa"/>
            <w:vAlign w:val="bottom"/>
            <w:tcBorders>
              <w:top w:val="single" w:sz="8" w:color="CCEEFF"/>
            </w:tcBorders>
            <w:shd w:val="clear" w:color="auto" w:fill="CCEEFF"/>
          </w:tcPr>
          <w:p>
            <w:pPr>
              <w:spacing w:after="0"/>
              <w:rPr>
                <w:sz w:val="2"/>
                <w:szCs w:val="2"/>
                <w:color w:val="auto"/>
              </w:rPr>
            </w:pPr>
          </w:p>
        </w:tc>
        <w:tc>
          <w:tcPr>
            <w:tcW w:w="560" w:type="dxa"/>
            <w:vAlign w:val="bottom"/>
            <w:tcBorders>
              <w:top w:val="single" w:sz="8" w:color="CCEEFF"/>
            </w:tcBorders>
            <w:shd w:val="clear" w:color="auto" w:fill="CCEEFF"/>
          </w:tcPr>
          <w:p>
            <w:pPr>
              <w:spacing w:after="0"/>
              <w:rPr>
                <w:sz w:val="2"/>
                <w:szCs w:val="2"/>
                <w:color w:val="auto"/>
              </w:rPr>
            </w:pPr>
          </w:p>
        </w:tc>
        <w:tc>
          <w:tcPr>
            <w:tcW w:w="10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8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5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56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2"/>
        </w:trPr>
        <w:tc>
          <w:tcPr>
            <w:tcW w:w="20" w:type="dxa"/>
            <w:vAlign w:val="bottom"/>
          </w:tcPr>
          <w:p>
            <w:pPr>
              <w:spacing w:after="0"/>
              <w:rPr>
                <w:sz w:val="14"/>
                <w:szCs w:val="14"/>
                <w:color w:val="auto"/>
              </w:rPr>
            </w:pPr>
          </w:p>
        </w:tc>
        <w:tc>
          <w:tcPr>
            <w:tcW w:w="1300" w:type="dxa"/>
            <w:vAlign w:val="bottom"/>
            <w:gridSpan w:val="5"/>
          </w:tcPr>
          <w:p>
            <w:pPr>
              <w:spacing w:after="0" w:line="172" w:lineRule="exact"/>
              <w:rPr>
                <w:sz w:val="20"/>
                <w:szCs w:val="20"/>
                <w:color w:val="auto"/>
              </w:rPr>
            </w:pPr>
            <w:r>
              <w:rPr>
                <w:rFonts w:ascii="Calibri" w:cs="Calibri" w:eastAsia="Calibri" w:hAnsi="Calibri"/>
                <w:sz w:val="18"/>
                <w:szCs w:val="18"/>
                <w:color w:val="0000FF"/>
              </w:rPr>
              <w:t>ITEM 10.</w:t>
            </w:r>
          </w:p>
        </w:tc>
        <w:tc>
          <w:tcPr>
            <w:tcW w:w="8560" w:type="dxa"/>
            <w:vAlign w:val="bottom"/>
            <w:gridSpan w:val="30"/>
          </w:tcPr>
          <w:p>
            <w:pPr>
              <w:spacing w:after="0" w:line="172" w:lineRule="exact"/>
              <w:rPr>
                <w:sz w:val="20"/>
                <w:szCs w:val="20"/>
                <w:color w:val="auto"/>
              </w:rPr>
            </w:pPr>
            <w:r>
              <w:rPr>
                <w:rFonts w:ascii="Calibri" w:cs="Calibri" w:eastAsia="Calibri" w:hAnsi="Calibri"/>
                <w:sz w:val="18"/>
                <w:szCs w:val="18"/>
                <w:color w:val="0000FF"/>
              </w:rPr>
              <w:t>DIRECTORS, EXECUTIVE OFFICERS AND CORPORATE GOVERNANCE</w:t>
            </w:r>
          </w:p>
        </w:tc>
        <w:tc>
          <w:tcPr>
            <w:tcW w:w="1320" w:type="dxa"/>
            <w:vAlign w:val="bottom"/>
            <w:gridSpan w:val="5"/>
          </w:tcPr>
          <w:p>
            <w:pPr>
              <w:jc w:val="center"/>
              <w:spacing w:after="0" w:line="172" w:lineRule="exact"/>
              <w:rPr>
                <w:sz w:val="20"/>
                <w:szCs w:val="20"/>
                <w:color w:val="auto"/>
              </w:rPr>
            </w:pPr>
            <w:r>
              <w:rPr>
                <w:rFonts w:ascii="Calibri" w:cs="Calibri" w:eastAsia="Calibri" w:hAnsi="Calibri"/>
                <w:sz w:val="18"/>
                <w:szCs w:val="18"/>
                <w:color w:val="0000FF"/>
                <w:w w:val="98"/>
              </w:rPr>
              <w:t>90</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52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420" w:type="dxa"/>
            <w:vAlign w:val="bottom"/>
          </w:tcPr>
          <w:p>
            <w:pPr>
              <w:spacing w:after="0"/>
              <w:rPr>
                <w:sz w:val="2"/>
                <w:szCs w:val="2"/>
                <w:color w:val="auto"/>
              </w:rPr>
            </w:pPr>
          </w:p>
        </w:tc>
        <w:tc>
          <w:tcPr>
            <w:tcW w:w="68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52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34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860" w:type="dxa"/>
            <w:vAlign w:val="bottom"/>
            <w:tcBorders>
              <w:top w:val="single" w:sz="8" w:color="0000FF"/>
            </w:tcBorders>
          </w:tcPr>
          <w:p>
            <w:pPr>
              <w:spacing w:after="0"/>
              <w:rPr>
                <w:sz w:val="2"/>
                <w:szCs w:val="2"/>
                <w:color w:val="auto"/>
              </w:rPr>
            </w:pPr>
          </w:p>
        </w:tc>
        <w:tc>
          <w:tcPr>
            <w:tcW w:w="34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50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580" w:type="dxa"/>
            <w:vAlign w:val="bottom"/>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2"/>
        </w:trPr>
        <w:tc>
          <w:tcPr>
            <w:tcW w:w="20" w:type="dxa"/>
            <w:vAlign w:val="bottom"/>
            <w:shd w:val="clear" w:color="auto" w:fill="CCEEFF"/>
          </w:tcPr>
          <w:p>
            <w:pPr>
              <w:spacing w:after="0"/>
              <w:rPr>
                <w:sz w:val="14"/>
                <w:szCs w:val="14"/>
                <w:color w:val="auto"/>
              </w:rPr>
            </w:pPr>
          </w:p>
        </w:tc>
        <w:tc>
          <w:tcPr>
            <w:tcW w:w="1300" w:type="dxa"/>
            <w:vAlign w:val="bottom"/>
            <w:gridSpan w:val="5"/>
            <w:shd w:val="clear" w:color="auto" w:fill="CCEEFF"/>
          </w:tcPr>
          <w:p>
            <w:pPr>
              <w:spacing w:after="0" w:line="172" w:lineRule="exact"/>
              <w:rPr>
                <w:sz w:val="20"/>
                <w:szCs w:val="20"/>
                <w:color w:val="auto"/>
              </w:rPr>
            </w:pPr>
            <w:r>
              <w:rPr>
                <w:rFonts w:ascii="Calibri" w:cs="Calibri" w:eastAsia="Calibri" w:hAnsi="Calibri"/>
                <w:sz w:val="18"/>
                <w:szCs w:val="18"/>
                <w:color w:val="0000FF"/>
              </w:rPr>
              <w:t>ITEM 11.</w:t>
            </w:r>
          </w:p>
        </w:tc>
        <w:tc>
          <w:tcPr>
            <w:tcW w:w="8560" w:type="dxa"/>
            <w:vAlign w:val="bottom"/>
            <w:gridSpan w:val="30"/>
            <w:shd w:val="clear" w:color="auto" w:fill="CCEEFF"/>
          </w:tcPr>
          <w:p>
            <w:pPr>
              <w:spacing w:after="0" w:line="172" w:lineRule="exact"/>
              <w:rPr>
                <w:sz w:val="20"/>
                <w:szCs w:val="20"/>
                <w:color w:val="auto"/>
              </w:rPr>
            </w:pPr>
            <w:r>
              <w:rPr>
                <w:rFonts w:ascii="Calibri" w:cs="Calibri" w:eastAsia="Calibri" w:hAnsi="Calibri"/>
                <w:sz w:val="18"/>
                <w:szCs w:val="18"/>
                <w:color w:val="0000FF"/>
              </w:rPr>
              <w:t>EXECUTIVE COMPENSATION</w:t>
            </w:r>
          </w:p>
        </w:tc>
        <w:tc>
          <w:tcPr>
            <w:tcW w:w="1320" w:type="dxa"/>
            <w:vAlign w:val="bottom"/>
            <w:gridSpan w:val="5"/>
            <w:shd w:val="clear" w:color="auto" w:fill="CCEEFF"/>
          </w:tcPr>
          <w:p>
            <w:pPr>
              <w:jc w:val="center"/>
              <w:spacing w:after="0" w:line="172" w:lineRule="exact"/>
              <w:rPr>
                <w:sz w:val="20"/>
                <w:szCs w:val="20"/>
                <w:color w:val="auto"/>
              </w:rPr>
            </w:pPr>
            <w:r>
              <w:rPr>
                <w:rFonts w:ascii="Calibri" w:cs="Calibri" w:eastAsia="Calibri" w:hAnsi="Calibri"/>
                <w:sz w:val="18"/>
                <w:szCs w:val="18"/>
                <w:color w:val="0000FF"/>
                <w:w w:val="98"/>
              </w:rPr>
              <w:t>90</w:t>
            </w:r>
          </w:p>
        </w:tc>
        <w:tc>
          <w:tcPr>
            <w:tcW w:w="0" w:type="dxa"/>
            <w:vAlign w:val="bottom"/>
          </w:tcPr>
          <w:p>
            <w:pPr>
              <w:spacing w:after="0"/>
              <w:rPr>
                <w:sz w:val="1"/>
                <w:szCs w:val="1"/>
                <w:color w:val="auto"/>
              </w:rPr>
            </w:pPr>
          </w:p>
        </w:tc>
      </w:tr>
      <w:tr>
        <w:trPr>
          <w:trHeight w:val="33"/>
        </w:trPr>
        <w:tc>
          <w:tcPr>
            <w:tcW w:w="20" w:type="dxa"/>
            <w:vAlign w:val="bottom"/>
            <w:tcBorders>
              <w:top w:val="single" w:sz="8" w:color="CCEEFF"/>
            </w:tcBorders>
            <w:shd w:val="clear" w:color="auto" w:fill="CCEEFF"/>
          </w:tcPr>
          <w:p>
            <w:pPr>
              <w:spacing w:after="0"/>
              <w:rPr>
                <w:sz w:val="2"/>
                <w:szCs w:val="2"/>
                <w:color w:val="auto"/>
              </w:rPr>
            </w:pPr>
          </w:p>
        </w:tc>
        <w:tc>
          <w:tcPr>
            <w:tcW w:w="520" w:type="dxa"/>
            <w:vAlign w:val="bottom"/>
            <w:tcBorders>
              <w:top w:val="single" w:sz="8" w:color="0000FF"/>
            </w:tcBorders>
            <w:shd w:val="clear" w:color="auto" w:fill="CCEEFF"/>
          </w:tcPr>
          <w:p>
            <w:pPr>
              <w:spacing w:after="0"/>
              <w:rPr>
                <w:sz w:val="2"/>
                <w:szCs w:val="2"/>
                <w:color w:val="auto"/>
              </w:rPr>
            </w:pPr>
          </w:p>
        </w:tc>
        <w:tc>
          <w:tcPr>
            <w:tcW w:w="8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680" w:type="dxa"/>
            <w:vAlign w:val="bottom"/>
            <w:tcBorders>
              <w:top w:val="single" w:sz="8" w:color="0000FF"/>
            </w:tcBorders>
            <w:shd w:val="clear" w:color="auto" w:fill="CCEEFF"/>
          </w:tcPr>
          <w:p>
            <w:pPr>
              <w:spacing w:after="0"/>
              <w:rPr>
                <w:sz w:val="2"/>
                <w:szCs w:val="2"/>
                <w:color w:val="auto"/>
              </w:rPr>
            </w:pPr>
          </w:p>
        </w:tc>
        <w:tc>
          <w:tcPr>
            <w:tcW w:w="12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120" w:type="dxa"/>
            <w:vAlign w:val="bottom"/>
            <w:tcBorders>
              <w:top w:val="single" w:sz="8" w:color="0000FF"/>
            </w:tcBorders>
            <w:shd w:val="clear" w:color="auto" w:fill="CCEEFF"/>
          </w:tcPr>
          <w:p>
            <w:pPr>
              <w:spacing w:after="0"/>
              <w:rPr>
                <w:sz w:val="2"/>
                <w:szCs w:val="2"/>
                <w:color w:val="auto"/>
              </w:rPr>
            </w:pPr>
          </w:p>
        </w:tc>
        <w:tc>
          <w:tcPr>
            <w:tcW w:w="520" w:type="dxa"/>
            <w:vAlign w:val="bottom"/>
            <w:tcBorders>
              <w:top w:val="single" w:sz="8" w:color="0000FF"/>
            </w:tcBorders>
            <w:shd w:val="clear" w:color="auto" w:fill="CCEEFF"/>
          </w:tcPr>
          <w:p>
            <w:pPr>
              <w:spacing w:after="0"/>
              <w:rPr>
                <w:sz w:val="2"/>
                <w:szCs w:val="2"/>
                <w:color w:val="auto"/>
              </w:rPr>
            </w:pPr>
          </w:p>
        </w:tc>
        <w:tc>
          <w:tcPr>
            <w:tcW w:w="6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34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86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740" w:type="dxa"/>
            <w:vAlign w:val="bottom"/>
            <w:tcBorders>
              <w:top w:val="single" w:sz="8" w:color="CCEEFF"/>
            </w:tcBorders>
            <w:shd w:val="clear" w:color="auto" w:fill="CCEEFF"/>
          </w:tcPr>
          <w:p>
            <w:pPr>
              <w:spacing w:after="0"/>
              <w:rPr>
                <w:sz w:val="2"/>
                <w:szCs w:val="2"/>
                <w:color w:val="auto"/>
              </w:rPr>
            </w:pPr>
          </w:p>
        </w:tc>
        <w:tc>
          <w:tcPr>
            <w:tcW w:w="560" w:type="dxa"/>
            <w:vAlign w:val="bottom"/>
            <w:tcBorders>
              <w:top w:val="single" w:sz="8" w:color="CCEEFF"/>
            </w:tcBorders>
            <w:shd w:val="clear" w:color="auto" w:fill="CCEEFF"/>
          </w:tcPr>
          <w:p>
            <w:pPr>
              <w:spacing w:after="0"/>
              <w:rPr>
                <w:sz w:val="2"/>
                <w:szCs w:val="2"/>
                <w:color w:val="auto"/>
              </w:rPr>
            </w:pPr>
          </w:p>
        </w:tc>
        <w:tc>
          <w:tcPr>
            <w:tcW w:w="10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8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5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10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56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2"/>
        </w:trPr>
        <w:tc>
          <w:tcPr>
            <w:tcW w:w="20" w:type="dxa"/>
            <w:vAlign w:val="bottom"/>
          </w:tcPr>
          <w:p>
            <w:pPr>
              <w:spacing w:after="0"/>
              <w:rPr>
                <w:sz w:val="14"/>
                <w:szCs w:val="14"/>
                <w:color w:val="auto"/>
              </w:rPr>
            </w:pPr>
          </w:p>
        </w:tc>
        <w:tc>
          <w:tcPr>
            <w:tcW w:w="1300" w:type="dxa"/>
            <w:vAlign w:val="bottom"/>
            <w:gridSpan w:val="5"/>
          </w:tcPr>
          <w:p>
            <w:pPr>
              <w:spacing w:after="0" w:line="172" w:lineRule="exact"/>
              <w:rPr>
                <w:sz w:val="20"/>
                <w:szCs w:val="20"/>
                <w:color w:val="auto"/>
              </w:rPr>
            </w:pPr>
            <w:r>
              <w:rPr>
                <w:rFonts w:ascii="Calibri" w:cs="Calibri" w:eastAsia="Calibri" w:hAnsi="Calibri"/>
                <w:sz w:val="18"/>
                <w:szCs w:val="18"/>
                <w:color w:val="0000FF"/>
              </w:rPr>
              <w:t>ITEM 12.</w:t>
            </w:r>
          </w:p>
        </w:tc>
        <w:tc>
          <w:tcPr>
            <w:tcW w:w="8560" w:type="dxa"/>
            <w:vAlign w:val="bottom"/>
            <w:gridSpan w:val="30"/>
          </w:tcPr>
          <w:p>
            <w:pPr>
              <w:spacing w:after="0" w:line="172" w:lineRule="exact"/>
              <w:rPr>
                <w:sz w:val="20"/>
                <w:szCs w:val="20"/>
                <w:color w:val="auto"/>
              </w:rPr>
            </w:pPr>
            <w:r>
              <w:rPr>
                <w:rFonts w:ascii="Calibri" w:cs="Calibri" w:eastAsia="Calibri" w:hAnsi="Calibri"/>
                <w:sz w:val="18"/>
                <w:szCs w:val="18"/>
                <w:color w:val="0000FF"/>
                <w:w w:val="99"/>
              </w:rPr>
              <w:t>SECURITY OWNERSHIP OF CERTAIN BENEFICIAL OWNERS AND MANAGEMENT AND RELATED STOCKHOLDER MATTERS</w:t>
            </w:r>
          </w:p>
        </w:tc>
        <w:tc>
          <w:tcPr>
            <w:tcW w:w="1320" w:type="dxa"/>
            <w:vAlign w:val="bottom"/>
            <w:gridSpan w:val="5"/>
          </w:tcPr>
          <w:p>
            <w:pPr>
              <w:jc w:val="center"/>
              <w:spacing w:after="0" w:line="172" w:lineRule="exact"/>
              <w:rPr>
                <w:sz w:val="20"/>
                <w:szCs w:val="20"/>
                <w:color w:val="auto"/>
              </w:rPr>
            </w:pPr>
            <w:r>
              <w:rPr>
                <w:rFonts w:ascii="Calibri" w:cs="Calibri" w:eastAsia="Calibri" w:hAnsi="Calibri"/>
                <w:sz w:val="18"/>
                <w:szCs w:val="18"/>
                <w:color w:val="0000FF"/>
                <w:w w:val="98"/>
              </w:rPr>
              <w:t>90</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52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420" w:type="dxa"/>
            <w:vAlign w:val="bottom"/>
          </w:tcPr>
          <w:p>
            <w:pPr>
              <w:spacing w:after="0"/>
              <w:rPr>
                <w:sz w:val="2"/>
                <w:szCs w:val="2"/>
                <w:color w:val="auto"/>
              </w:rPr>
            </w:pPr>
          </w:p>
        </w:tc>
        <w:tc>
          <w:tcPr>
            <w:tcW w:w="68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52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34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860" w:type="dxa"/>
            <w:vAlign w:val="bottom"/>
            <w:tcBorders>
              <w:top w:val="single" w:sz="8" w:color="0000FF"/>
            </w:tcBorders>
          </w:tcPr>
          <w:p>
            <w:pPr>
              <w:spacing w:after="0"/>
              <w:rPr>
                <w:sz w:val="2"/>
                <w:szCs w:val="2"/>
                <w:color w:val="auto"/>
              </w:rPr>
            </w:pPr>
          </w:p>
        </w:tc>
        <w:tc>
          <w:tcPr>
            <w:tcW w:w="34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50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740" w:type="dxa"/>
            <w:vAlign w:val="bottom"/>
            <w:tcBorders>
              <w:top w:val="single" w:sz="8" w:color="0000FF"/>
            </w:tcBorders>
          </w:tcPr>
          <w:p>
            <w:pPr>
              <w:spacing w:after="0"/>
              <w:rPr>
                <w:sz w:val="2"/>
                <w:szCs w:val="2"/>
                <w:color w:val="auto"/>
              </w:rPr>
            </w:pPr>
          </w:p>
        </w:tc>
        <w:tc>
          <w:tcPr>
            <w:tcW w:w="560" w:type="dxa"/>
            <w:vAlign w:val="bottom"/>
            <w:tcBorders>
              <w:top w:val="single" w:sz="8" w:color="0000FF"/>
            </w:tcBorders>
          </w:tcPr>
          <w:p>
            <w:pPr>
              <w:spacing w:after="0"/>
              <w:rPr>
                <w:sz w:val="2"/>
                <w:szCs w:val="2"/>
                <w:color w:val="auto"/>
              </w:rPr>
            </w:pPr>
          </w:p>
        </w:tc>
        <w:tc>
          <w:tcPr>
            <w:tcW w:w="104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860" w:type="dxa"/>
            <w:vAlign w:val="bottom"/>
            <w:tcBorders>
              <w:top w:val="single" w:sz="8" w:color="0000FF"/>
            </w:tcBorders>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580" w:type="dxa"/>
            <w:vAlign w:val="bottom"/>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2"/>
        </w:trPr>
        <w:tc>
          <w:tcPr>
            <w:tcW w:w="20" w:type="dxa"/>
            <w:vAlign w:val="bottom"/>
            <w:shd w:val="clear" w:color="auto" w:fill="CCEEFF"/>
          </w:tcPr>
          <w:p>
            <w:pPr>
              <w:spacing w:after="0"/>
              <w:rPr>
                <w:sz w:val="14"/>
                <w:szCs w:val="14"/>
                <w:color w:val="auto"/>
              </w:rPr>
            </w:pPr>
          </w:p>
        </w:tc>
        <w:tc>
          <w:tcPr>
            <w:tcW w:w="1300" w:type="dxa"/>
            <w:vAlign w:val="bottom"/>
            <w:gridSpan w:val="5"/>
            <w:shd w:val="clear" w:color="auto" w:fill="CCEEFF"/>
          </w:tcPr>
          <w:p>
            <w:pPr>
              <w:spacing w:after="0" w:line="172" w:lineRule="exact"/>
              <w:rPr>
                <w:sz w:val="20"/>
                <w:szCs w:val="20"/>
                <w:color w:val="auto"/>
              </w:rPr>
            </w:pPr>
            <w:r>
              <w:rPr>
                <w:rFonts w:ascii="Calibri" w:cs="Calibri" w:eastAsia="Calibri" w:hAnsi="Calibri"/>
                <w:sz w:val="18"/>
                <w:szCs w:val="18"/>
                <w:color w:val="0000FF"/>
              </w:rPr>
              <w:t>ITEM 13.</w:t>
            </w:r>
          </w:p>
        </w:tc>
        <w:tc>
          <w:tcPr>
            <w:tcW w:w="8560" w:type="dxa"/>
            <w:vAlign w:val="bottom"/>
            <w:gridSpan w:val="30"/>
            <w:shd w:val="clear" w:color="auto" w:fill="CCEEFF"/>
          </w:tcPr>
          <w:p>
            <w:pPr>
              <w:spacing w:after="0" w:line="172" w:lineRule="exact"/>
              <w:rPr>
                <w:sz w:val="20"/>
                <w:szCs w:val="20"/>
                <w:color w:val="auto"/>
              </w:rPr>
            </w:pPr>
            <w:r>
              <w:rPr>
                <w:rFonts w:ascii="Calibri" w:cs="Calibri" w:eastAsia="Calibri" w:hAnsi="Calibri"/>
                <w:sz w:val="18"/>
                <w:szCs w:val="18"/>
                <w:color w:val="0000FF"/>
              </w:rPr>
              <w:t>CERTAIN RELATIONSHIPS AND RELATED TRANSACTIONS, AND DIRECTOR INDEPENDENCE</w:t>
            </w:r>
          </w:p>
        </w:tc>
        <w:tc>
          <w:tcPr>
            <w:tcW w:w="1320" w:type="dxa"/>
            <w:vAlign w:val="bottom"/>
            <w:gridSpan w:val="5"/>
            <w:shd w:val="clear" w:color="auto" w:fill="CCEEFF"/>
          </w:tcPr>
          <w:p>
            <w:pPr>
              <w:jc w:val="center"/>
              <w:spacing w:after="0" w:line="172" w:lineRule="exact"/>
              <w:rPr>
                <w:sz w:val="20"/>
                <w:szCs w:val="20"/>
                <w:color w:val="auto"/>
              </w:rPr>
            </w:pPr>
            <w:r>
              <w:rPr>
                <w:rFonts w:ascii="Calibri" w:cs="Calibri" w:eastAsia="Calibri" w:hAnsi="Calibri"/>
                <w:sz w:val="18"/>
                <w:szCs w:val="18"/>
                <w:color w:val="0000FF"/>
                <w:w w:val="98"/>
              </w:rPr>
              <w:t>90</w:t>
            </w:r>
          </w:p>
        </w:tc>
        <w:tc>
          <w:tcPr>
            <w:tcW w:w="0" w:type="dxa"/>
            <w:vAlign w:val="bottom"/>
          </w:tcPr>
          <w:p>
            <w:pPr>
              <w:spacing w:after="0"/>
              <w:rPr>
                <w:sz w:val="1"/>
                <w:szCs w:val="1"/>
                <w:color w:val="auto"/>
              </w:rPr>
            </w:pPr>
          </w:p>
        </w:tc>
      </w:tr>
      <w:tr>
        <w:trPr>
          <w:trHeight w:val="33"/>
        </w:trPr>
        <w:tc>
          <w:tcPr>
            <w:tcW w:w="20" w:type="dxa"/>
            <w:vAlign w:val="bottom"/>
            <w:tcBorders>
              <w:top w:val="single" w:sz="8" w:color="CCEEFF"/>
            </w:tcBorders>
            <w:shd w:val="clear" w:color="auto" w:fill="CCEEFF"/>
          </w:tcPr>
          <w:p>
            <w:pPr>
              <w:spacing w:after="0"/>
              <w:rPr>
                <w:sz w:val="2"/>
                <w:szCs w:val="2"/>
                <w:color w:val="auto"/>
              </w:rPr>
            </w:pPr>
          </w:p>
        </w:tc>
        <w:tc>
          <w:tcPr>
            <w:tcW w:w="520" w:type="dxa"/>
            <w:vAlign w:val="bottom"/>
            <w:tcBorders>
              <w:top w:val="single" w:sz="8" w:color="0000FF"/>
            </w:tcBorders>
            <w:shd w:val="clear" w:color="auto" w:fill="CCEEFF"/>
          </w:tcPr>
          <w:p>
            <w:pPr>
              <w:spacing w:after="0"/>
              <w:rPr>
                <w:sz w:val="2"/>
                <w:szCs w:val="2"/>
                <w:color w:val="auto"/>
              </w:rPr>
            </w:pPr>
          </w:p>
        </w:tc>
        <w:tc>
          <w:tcPr>
            <w:tcW w:w="8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680" w:type="dxa"/>
            <w:vAlign w:val="bottom"/>
            <w:tcBorders>
              <w:top w:val="single" w:sz="8" w:color="0000FF"/>
            </w:tcBorders>
            <w:shd w:val="clear" w:color="auto" w:fill="CCEEFF"/>
          </w:tcPr>
          <w:p>
            <w:pPr>
              <w:spacing w:after="0"/>
              <w:rPr>
                <w:sz w:val="2"/>
                <w:szCs w:val="2"/>
                <w:color w:val="auto"/>
              </w:rPr>
            </w:pPr>
          </w:p>
        </w:tc>
        <w:tc>
          <w:tcPr>
            <w:tcW w:w="12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120" w:type="dxa"/>
            <w:vAlign w:val="bottom"/>
            <w:tcBorders>
              <w:top w:val="single" w:sz="8" w:color="0000FF"/>
            </w:tcBorders>
            <w:shd w:val="clear" w:color="auto" w:fill="CCEEFF"/>
          </w:tcPr>
          <w:p>
            <w:pPr>
              <w:spacing w:after="0"/>
              <w:rPr>
                <w:sz w:val="2"/>
                <w:szCs w:val="2"/>
                <w:color w:val="auto"/>
              </w:rPr>
            </w:pPr>
          </w:p>
        </w:tc>
        <w:tc>
          <w:tcPr>
            <w:tcW w:w="520" w:type="dxa"/>
            <w:vAlign w:val="bottom"/>
            <w:tcBorders>
              <w:top w:val="single" w:sz="8" w:color="0000FF"/>
            </w:tcBorders>
            <w:shd w:val="clear" w:color="auto" w:fill="CCEEFF"/>
          </w:tcPr>
          <w:p>
            <w:pPr>
              <w:spacing w:after="0"/>
              <w:rPr>
                <w:sz w:val="2"/>
                <w:szCs w:val="2"/>
                <w:color w:val="auto"/>
              </w:rPr>
            </w:pPr>
          </w:p>
        </w:tc>
        <w:tc>
          <w:tcPr>
            <w:tcW w:w="6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34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140" w:type="dxa"/>
            <w:vAlign w:val="bottom"/>
            <w:tcBorders>
              <w:top w:val="single" w:sz="8" w:color="0000FF"/>
            </w:tcBorders>
            <w:shd w:val="clear" w:color="auto" w:fill="CCEEFF"/>
          </w:tcPr>
          <w:p>
            <w:pPr>
              <w:spacing w:after="0"/>
              <w:rPr>
                <w:sz w:val="2"/>
                <w:szCs w:val="2"/>
                <w:color w:val="auto"/>
              </w:rPr>
            </w:pPr>
          </w:p>
        </w:tc>
        <w:tc>
          <w:tcPr>
            <w:tcW w:w="180" w:type="dxa"/>
            <w:vAlign w:val="bottom"/>
            <w:tcBorders>
              <w:top w:val="single" w:sz="8" w:color="0000FF"/>
            </w:tcBorders>
            <w:shd w:val="clear" w:color="auto" w:fill="CCEEFF"/>
          </w:tcPr>
          <w:p>
            <w:pPr>
              <w:spacing w:after="0"/>
              <w:rPr>
                <w:sz w:val="2"/>
                <w:szCs w:val="2"/>
                <w:color w:val="auto"/>
              </w:rPr>
            </w:pPr>
          </w:p>
        </w:tc>
        <w:tc>
          <w:tcPr>
            <w:tcW w:w="860" w:type="dxa"/>
            <w:vAlign w:val="bottom"/>
            <w:tcBorders>
              <w:top w:val="single" w:sz="8" w:color="0000FF"/>
            </w:tcBorders>
            <w:shd w:val="clear" w:color="auto" w:fill="CCEEFF"/>
          </w:tcPr>
          <w:p>
            <w:pPr>
              <w:spacing w:after="0"/>
              <w:rPr>
                <w:sz w:val="2"/>
                <w:szCs w:val="2"/>
                <w:color w:val="auto"/>
              </w:rPr>
            </w:pPr>
          </w:p>
        </w:tc>
        <w:tc>
          <w:tcPr>
            <w:tcW w:w="340" w:type="dxa"/>
            <w:vAlign w:val="bottom"/>
            <w:tcBorders>
              <w:top w:val="single" w:sz="8" w:color="0000FF"/>
            </w:tcBorders>
            <w:shd w:val="clear" w:color="auto" w:fill="CCEEFF"/>
          </w:tcPr>
          <w:p>
            <w:pPr>
              <w:spacing w:after="0"/>
              <w:rPr>
                <w:sz w:val="2"/>
                <w:szCs w:val="2"/>
                <w:color w:val="auto"/>
              </w:rPr>
            </w:pPr>
          </w:p>
        </w:tc>
        <w:tc>
          <w:tcPr>
            <w:tcW w:w="220" w:type="dxa"/>
            <w:vAlign w:val="bottom"/>
            <w:tcBorders>
              <w:top w:val="single" w:sz="8" w:color="0000FF"/>
            </w:tcBorders>
            <w:shd w:val="clear" w:color="auto" w:fill="CCEEFF"/>
          </w:tcPr>
          <w:p>
            <w:pPr>
              <w:spacing w:after="0"/>
              <w:rPr>
                <w:sz w:val="2"/>
                <w:szCs w:val="2"/>
                <w:color w:val="auto"/>
              </w:rPr>
            </w:pPr>
          </w:p>
        </w:tc>
        <w:tc>
          <w:tcPr>
            <w:tcW w:w="30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50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220" w:type="dxa"/>
            <w:vAlign w:val="bottom"/>
            <w:tcBorders>
              <w:top w:val="single" w:sz="8" w:color="0000FF"/>
            </w:tcBorders>
            <w:shd w:val="clear" w:color="auto" w:fill="CCEEFF"/>
          </w:tcPr>
          <w:p>
            <w:pPr>
              <w:spacing w:after="0"/>
              <w:rPr>
                <w:sz w:val="2"/>
                <w:szCs w:val="2"/>
                <w:color w:val="auto"/>
              </w:rPr>
            </w:pPr>
          </w:p>
        </w:tc>
        <w:tc>
          <w:tcPr>
            <w:tcW w:w="740" w:type="dxa"/>
            <w:vAlign w:val="bottom"/>
            <w:tcBorders>
              <w:top w:val="single" w:sz="8" w:color="0000FF"/>
            </w:tcBorders>
            <w:shd w:val="clear" w:color="auto" w:fill="CCEEFF"/>
          </w:tcPr>
          <w:p>
            <w:pPr>
              <w:spacing w:after="0"/>
              <w:rPr>
                <w:sz w:val="2"/>
                <w:szCs w:val="2"/>
                <w:color w:val="auto"/>
              </w:rPr>
            </w:pPr>
          </w:p>
        </w:tc>
        <w:tc>
          <w:tcPr>
            <w:tcW w:w="560" w:type="dxa"/>
            <w:vAlign w:val="bottom"/>
            <w:tcBorders>
              <w:top w:val="single" w:sz="8" w:color="0000FF"/>
            </w:tcBorders>
            <w:shd w:val="clear" w:color="auto" w:fill="CCEEFF"/>
          </w:tcPr>
          <w:p>
            <w:pPr>
              <w:spacing w:after="0"/>
              <w:rPr>
                <w:sz w:val="2"/>
                <w:szCs w:val="2"/>
                <w:color w:val="auto"/>
              </w:rPr>
            </w:pPr>
          </w:p>
        </w:tc>
        <w:tc>
          <w:tcPr>
            <w:tcW w:w="10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8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5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10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56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2"/>
        </w:trPr>
        <w:tc>
          <w:tcPr>
            <w:tcW w:w="20" w:type="dxa"/>
            <w:vAlign w:val="bottom"/>
          </w:tcPr>
          <w:p>
            <w:pPr>
              <w:spacing w:after="0"/>
              <w:rPr>
                <w:sz w:val="14"/>
                <w:szCs w:val="14"/>
                <w:color w:val="auto"/>
              </w:rPr>
            </w:pPr>
          </w:p>
        </w:tc>
        <w:tc>
          <w:tcPr>
            <w:tcW w:w="1300" w:type="dxa"/>
            <w:vAlign w:val="bottom"/>
            <w:gridSpan w:val="5"/>
          </w:tcPr>
          <w:p>
            <w:pPr>
              <w:spacing w:after="0" w:line="172" w:lineRule="exact"/>
              <w:rPr>
                <w:sz w:val="20"/>
                <w:szCs w:val="20"/>
                <w:color w:val="auto"/>
              </w:rPr>
            </w:pPr>
            <w:r>
              <w:rPr>
                <w:rFonts w:ascii="Calibri" w:cs="Calibri" w:eastAsia="Calibri" w:hAnsi="Calibri"/>
                <w:sz w:val="18"/>
                <w:szCs w:val="18"/>
                <w:color w:val="0000FF"/>
              </w:rPr>
              <w:t>ITEM 14.</w:t>
            </w:r>
          </w:p>
        </w:tc>
        <w:tc>
          <w:tcPr>
            <w:tcW w:w="8560" w:type="dxa"/>
            <w:vAlign w:val="bottom"/>
            <w:gridSpan w:val="30"/>
          </w:tcPr>
          <w:p>
            <w:pPr>
              <w:spacing w:after="0" w:line="172" w:lineRule="exact"/>
              <w:rPr>
                <w:sz w:val="20"/>
                <w:szCs w:val="20"/>
                <w:color w:val="auto"/>
              </w:rPr>
            </w:pPr>
            <w:r>
              <w:rPr>
                <w:rFonts w:ascii="Calibri" w:cs="Calibri" w:eastAsia="Calibri" w:hAnsi="Calibri"/>
                <w:sz w:val="18"/>
                <w:szCs w:val="18"/>
                <w:color w:val="0000FF"/>
              </w:rPr>
              <w:t>PRINCIPAL ACCOUNTANT FEES AND SERVICES</w:t>
            </w:r>
          </w:p>
        </w:tc>
        <w:tc>
          <w:tcPr>
            <w:tcW w:w="1320" w:type="dxa"/>
            <w:vAlign w:val="bottom"/>
            <w:gridSpan w:val="5"/>
          </w:tcPr>
          <w:p>
            <w:pPr>
              <w:jc w:val="center"/>
              <w:spacing w:after="0" w:line="172" w:lineRule="exact"/>
              <w:rPr>
                <w:sz w:val="20"/>
                <w:szCs w:val="20"/>
                <w:color w:val="auto"/>
              </w:rPr>
            </w:pPr>
            <w:r>
              <w:rPr>
                <w:rFonts w:ascii="Calibri" w:cs="Calibri" w:eastAsia="Calibri" w:hAnsi="Calibri"/>
                <w:sz w:val="18"/>
                <w:szCs w:val="18"/>
                <w:color w:val="0000FF"/>
                <w:w w:val="98"/>
              </w:rPr>
              <w:t>90</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52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420" w:type="dxa"/>
            <w:vAlign w:val="bottom"/>
          </w:tcPr>
          <w:p>
            <w:pPr>
              <w:spacing w:after="0"/>
              <w:rPr>
                <w:sz w:val="2"/>
                <w:szCs w:val="2"/>
                <w:color w:val="auto"/>
              </w:rPr>
            </w:pPr>
          </w:p>
        </w:tc>
        <w:tc>
          <w:tcPr>
            <w:tcW w:w="68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52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34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860" w:type="dxa"/>
            <w:vAlign w:val="bottom"/>
            <w:tcBorders>
              <w:top w:val="single" w:sz="8" w:color="0000FF"/>
            </w:tcBorders>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580" w:type="dxa"/>
            <w:vAlign w:val="bottom"/>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5"/>
        </w:trPr>
        <w:tc>
          <w:tcPr>
            <w:tcW w:w="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560" w:type="dxa"/>
            <w:vAlign w:val="bottom"/>
            <w:gridSpan w:val="14"/>
          </w:tcPr>
          <w:p>
            <w:pPr>
              <w:jc w:val="center"/>
              <w:ind w:right="3980"/>
              <w:spacing w:after="0" w:line="172" w:lineRule="exact"/>
              <w:rPr>
                <w:sz w:val="20"/>
                <w:szCs w:val="20"/>
                <w:color w:val="auto"/>
              </w:rPr>
            </w:pPr>
            <w:r>
              <w:rPr>
                <w:rFonts w:ascii="Calibri" w:cs="Calibri" w:eastAsia="Calibri" w:hAnsi="Calibri"/>
                <w:sz w:val="18"/>
                <w:szCs w:val="18"/>
                <w:b w:val="1"/>
                <w:bCs w:val="1"/>
                <w:color w:val="0000FF"/>
                <w:w w:val="90"/>
              </w:rPr>
              <w:t>PART IV.</w:t>
            </w: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4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50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5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2"/>
        </w:trPr>
        <w:tc>
          <w:tcPr>
            <w:tcW w:w="20" w:type="dxa"/>
            <w:vAlign w:val="bottom"/>
            <w:shd w:val="clear" w:color="auto" w:fill="CCEEFF"/>
          </w:tcPr>
          <w:p>
            <w:pPr>
              <w:spacing w:after="0"/>
              <w:rPr>
                <w:sz w:val="14"/>
                <w:szCs w:val="14"/>
                <w:color w:val="auto"/>
              </w:rPr>
            </w:pPr>
          </w:p>
        </w:tc>
        <w:tc>
          <w:tcPr>
            <w:tcW w:w="1300" w:type="dxa"/>
            <w:vAlign w:val="bottom"/>
            <w:gridSpan w:val="5"/>
            <w:shd w:val="clear" w:color="auto" w:fill="CCEEFF"/>
          </w:tcPr>
          <w:p>
            <w:pPr>
              <w:spacing w:after="0" w:line="172" w:lineRule="exact"/>
              <w:rPr>
                <w:sz w:val="20"/>
                <w:szCs w:val="20"/>
                <w:color w:val="auto"/>
              </w:rPr>
            </w:pPr>
            <w:r>
              <w:rPr>
                <w:rFonts w:ascii="Calibri" w:cs="Calibri" w:eastAsia="Calibri" w:hAnsi="Calibri"/>
                <w:sz w:val="18"/>
                <w:szCs w:val="18"/>
                <w:color w:val="0000FF"/>
              </w:rPr>
              <w:t>ITEM 15.</w:t>
            </w:r>
          </w:p>
        </w:tc>
        <w:tc>
          <w:tcPr>
            <w:tcW w:w="8560" w:type="dxa"/>
            <w:vAlign w:val="bottom"/>
            <w:gridSpan w:val="30"/>
            <w:shd w:val="clear" w:color="auto" w:fill="CCEEFF"/>
          </w:tcPr>
          <w:p>
            <w:pPr>
              <w:spacing w:after="0" w:line="172" w:lineRule="exact"/>
              <w:rPr>
                <w:sz w:val="20"/>
                <w:szCs w:val="20"/>
                <w:color w:val="auto"/>
              </w:rPr>
            </w:pPr>
            <w:r>
              <w:rPr>
                <w:rFonts w:ascii="Calibri" w:cs="Calibri" w:eastAsia="Calibri" w:hAnsi="Calibri"/>
                <w:sz w:val="18"/>
                <w:szCs w:val="18"/>
                <w:color w:val="0000FF"/>
              </w:rPr>
              <w:t>EXHIBITS AND FINANCIAL STATEMENT SCHEDULES</w:t>
            </w:r>
          </w:p>
        </w:tc>
        <w:tc>
          <w:tcPr>
            <w:tcW w:w="1320" w:type="dxa"/>
            <w:vAlign w:val="bottom"/>
            <w:gridSpan w:val="5"/>
            <w:shd w:val="clear" w:color="auto" w:fill="CCEEFF"/>
          </w:tcPr>
          <w:p>
            <w:pPr>
              <w:jc w:val="center"/>
              <w:spacing w:after="0" w:line="172" w:lineRule="exact"/>
              <w:rPr>
                <w:sz w:val="20"/>
                <w:szCs w:val="20"/>
                <w:color w:val="auto"/>
              </w:rPr>
            </w:pPr>
            <w:r>
              <w:rPr>
                <w:rFonts w:ascii="Calibri" w:cs="Calibri" w:eastAsia="Calibri" w:hAnsi="Calibri"/>
                <w:sz w:val="18"/>
                <w:szCs w:val="18"/>
                <w:color w:val="0000FF"/>
                <w:w w:val="98"/>
              </w:rPr>
              <w:t>91</w:t>
            </w:r>
          </w:p>
        </w:tc>
        <w:tc>
          <w:tcPr>
            <w:tcW w:w="0" w:type="dxa"/>
            <w:vAlign w:val="bottom"/>
          </w:tcPr>
          <w:p>
            <w:pPr>
              <w:spacing w:after="0"/>
              <w:rPr>
                <w:sz w:val="1"/>
                <w:szCs w:val="1"/>
                <w:color w:val="auto"/>
              </w:rPr>
            </w:pPr>
          </w:p>
        </w:tc>
      </w:tr>
      <w:tr>
        <w:trPr>
          <w:trHeight w:val="33"/>
        </w:trPr>
        <w:tc>
          <w:tcPr>
            <w:tcW w:w="20" w:type="dxa"/>
            <w:vAlign w:val="bottom"/>
            <w:tcBorders>
              <w:top w:val="single" w:sz="8" w:color="CCEEFF"/>
            </w:tcBorders>
            <w:shd w:val="clear" w:color="auto" w:fill="CCEEFF"/>
          </w:tcPr>
          <w:p>
            <w:pPr>
              <w:spacing w:after="0"/>
              <w:rPr>
                <w:sz w:val="2"/>
                <w:szCs w:val="2"/>
                <w:color w:val="auto"/>
              </w:rPr>
            </w:pPr>
          </w:p>
        </w:tc>
        <w:tc>
          <w:tcPr>
            <w:tcW w:w="520" w:type="dxa"/>
            <w:vAlign w:val="bottom"/>
            <w:tcBorders>
              <w:top w:val="single" w:sz="8" w:color="0000FF"/>
            </w:tcBorders>
            <w:shd w:val="clear" w:color="auto" w:fill="CCEEFF"/>
          </w:tcPr>
          <w:p>
            <w:pPr>
              <w:spacing w:after="0"/>
              <w:rPr>
                <w:sz w:val="2"/>
                <w:szCs w:val="2"/>
                <w:color w:val="auto"/>
              </w:rPr>
            </w:pPr>
          </w:p>
        </w:tc>
        <w:tc>
          <w:tcPr>
            <w:tcW w:w="8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680" w:type="dxa"/>
            <w:vAlign w:val="bottom"/>
            <w:tcBorders>
              <w:top w:val="single" w:sz="8" w:color="0000FF"/>
            </w:tcBorders>
            <w:shd w:val="clear" w:color="auto" w:fill="CCEEFF"/>
          </w:tcPr>
          <w:p>
            <w:pPr>
              <w:spacing w:after="0"/>
              <w:rPr>
                <w:sz w:val="2"/>
                <w:szCs w:val="2"/>
                <w:color w:val="auto"/>
              </w:rPr>
            </w:pPr>
          </w:p>
        </w:tc>
        <w:tc>
          <w:tcPr>
            <w:tcW w:w="12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120" w:type="dxa"/>
            <w:vAlign w:val="bottom"/>
            <w:tcBorders>
              <w:top w:val="single" w:sz="8" w:color="0000FF"/>
            </w:tcBorders>
            <w:shd w:val="clear" w:color="auto" w:fill="CCEEFF"/>
          </w:tcPr>
          <w:p>
            <w:pPr>
              <w:spacing w:after="0"/>
              <w:rPr>
                <w:sz w:val="2"/>
                <w:szCs w:val="2"/>
                <w:color w:val="auto"/>
              </w:rPr>
            </w:pPr>
          </w:p>
        </w:tc>
        <w:tc>
          <w:tcPr>
            <w:tcW w:w="520" w:type="dxa"/>
            <w:vAlign w:val="bottom"/>
            <w:tcBorders>
              <w:top w:val="single" w:sz="8" w:color="0000FF"/>
            </w:tcBorders>
            <w:shd w:val="clear" w:color="auto" w:fill="CCEEFF"/>
          </w:tcPr>
          <w:p>
            <w:pPr>
              <w:spacing w:after="0"/>
              <w:rPr>
                <w:sz w:val="2"/>
                <w:szCs w:val="2"/>
                <w:color w:val="auto"/>
              </w:rPr>
            </w:pPr>
          </w:p>
        </w:tc>
        <w:tc>
          <w:tcPr>
            <w:tcW w:w="6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34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140" w:type="dxa"/>
            <w:vAlign w:val="bottom"/>
            <w:tcBorders>
              <w:top w:val="single" w:sz="8" w:color="0000FF"/>
            </w:tcBorders>
            <w:shd w:val="clear" w:color="auto" w:fill="CCEEFF"/>
          </w:tcPr>
          <w:p>
            <w:pPr>
              <w:spacing w:after="0"/>
              <w:rPr>
                <w:sz w:val="2"/>
                <w:szCs w:val="2"/>
                <w:color w:val="auto"/>
              </w:rPr>
            </w:pPr>
          </w:p>
        </w:tc>
        <w:tc>
          <w:tcPr>
            <w:tcW w:w="180" w:type="dxa"/>
            <w:vAlign w:val="bottom"/>
            <w:tcBorders>
              <w:top w:val="single" w:sz="8" w:color="0000FF"/>
            </w:tcBorders>
            <w:shd w:val="clear" w:color="auto" w:fill="CCEEFF"/>
          </w:tcPr>
          <w:p>
            <w:pPr>
              <w:spacing w:after="0"/>
              <w:rPr>
                <w:sz w:val="2"/>
                <w:szCs w:val="2"/>
                <w:color w:val="auto"/>
              </w:rPr>
            </w:pPr>
          </w:p>
        </w:tc>
        <w:tc>
          <w:tcPr>
            <w:tcW w:w="860" w:type="dxa"/>
            <w:vAlign w:val="bottom"/>
            <w:tcBorders>
              <w:top w:val="single" w:sz="8" w:color="0000FF"/>
            </w:tcBorders>
            <w:shd w:val="clear" w:color="auto" w:fill="CCEEFF"/>
          </w:tcPr>
          <w:p>
            <w:pPr>
              <w:spacing w:after="0"/>
              <w:rPr>
                <w:sz w:val="2"/>
                <w:szCs w:val="2"/>
                <w:color w:val="auto"/>
              </w:rPr>
            </w:pPr>
          </w:p>
        </w:tc>
        <w:tc>
          <w:tcPr>
            <w:tcW w:w="340" w:type="dxa"/>
            <w:vAlign w:val="bottom"/>
            <w:tcBorders>
              <w:top w:val="single" w:sz="8" w:color="0000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740" w:type="dxa"/>
            <w:vAlign w:val="bottom"/>
            <w:tcBorders>
              <w:top w:val="single" w:sz="8" w:color="CCEEFF"/>
            </w:tcBorders>
            <w:shd w:val="clear" w:color="auto" w:fill="CCEEFF"/>
          </w:tcPr>
          <w:p>
            <w:pPr>
              <w:spacing w:after="0"/>
              <w:rPr>
                <w:sz w:val="2"/>
                <w:szCs w:val="2"/>
                <w:color w:val="auto"/>
              </w:rPr>
            </w:pPr>
          </w:p>
        </w:tc>
        <w:tc>
          <w:tcPr>
            <w:tcW w:w="560" w:type="dxa"/>
            <w:vAlign w:val="bottom"/>
            <w:tcBorders>
              <w:top w:val="single" w:sz="8" w:color="CCEEFF"/>
            </w:tcBorders>
            <w:shd w:val="clear" w:color="auto" w:fill="CCEEFF"/>
          </w:tcPr>
          <w:p>
            <w:pPr>
              <w:spacing w:after="0"/>
              <w:rPr>
                <w:sz w:val="2"/>
                <w:szCs w:val="2"/>
                <w:color w:val="auto"/>
              </w:rPr>
            </w:pPr>
          </w:p>
        </w:tc>
        <w:tc>
          <w:tcPr>
            <w:tcW w:w="10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8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5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10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56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2"/>
        </w:trPr>
        <w:tc>
          <w:tcPr>
            <w:tcW w:w="20" w:type="dxa"/>
            <w:vAlign w:val="bottom"/>
          </w:tcPr>
          <w:p>
            <w:pPr>
              <w:spacing w:after="0"/>
              <w:rPr>
                <w:sz w:val="14"/>
                <w:szCs w:val="14"/>
                <w:color w:val="auto"/>
              </w:rPr>
            </w:pPr>
          </w:p>
        </w:tc>
        <w:tc>
          <w:tcPr>
            <w:tcW w:w="1300" w:type="dxa"/>
            <w:vAlign w:val="bottom"/>
            <w:gridSpan w:val="5"/>
          </w:tcPr>
          <w:p>
            <w:pPr>
              <w:spacing w:after="0" w:line="172" w:lineRule="exact"/>
              <w:rPr>
                <w:sz w:val="20"/>
                <w:szCs w:val="20"/>
                <w:color w:val="auto"/>
              </w:rPr>
            </w:pPr>
            <w:r>
              <w:rPr>
                <w:rFonts w:ascii="Calibri" w:cs="Calibri" w:eastAsia="Calibri" w:hAnsi="Calibri"/>
                <w:sz w:val="18"/>
                <w:szCs w:val="18"/>
                <w:color w:val="0000FF"/>
              </w:rPr>
              <w:t>ITEM 16.</w:t>
            </w:r>
          </w:p>
        </w:tc>
        <w:tc>
          <w:tcPr>
            <w:tcW w:w="8560" w:type="dxa"/>
            <w:vAlign w:val="bottom"/>
            <w:gridSpan w:val="30"/>
          </w:tcPr>
          <w:p>
            <w:pPr>
              <w:spacing w:after="0" w:line="172" w:lineRule="exact"/>
              <w:rPr>
                <w:sz w:val="20"/>
                <w:szCs w:val="20"/>
                <w:color w:val="auto"/>
              </w:rPr>
            </w:pPr>
            <w:r>
              <w:rPr>
                <w:rFonts w:ascii="Calibri" w:cs="Calibri" w:eastAsia="Calibri" w:hAnsi="Calibri"/>
                <w:sz w:val="18"/>
                <w:szCs w:val="18"/>
                <w:color w:val="0000FF"/>
              </w:rPr>
              <w:t>FORM 10-K SUMMARY</w:t>
            </w:r>
          </w:p>
        </w:tc>
        <w:tc>
          <w:tcPr>
            <w:tcW w:w="1320" w:type="dxa"/>
            <w:vAlign w:val="bottom"/>
            <w:gridSpan w:val="5"/>
          </w:tcPr>
          <w:p>
            <w:pPr>
              <w:jc w:val="center"/>
              <w:spacing w:after="0" w:line="172" w:lineRule="exact"/>
              <w:rPr>
                <w:sz w:val="20"/>
                <w:szCs w:val="20"/>
                <w:color w:val="auto"/>
              </w:rPr>
            </w:pPr>
            <w:r>
              <w:rPr>
                <w:rFonts w:ascii="Calibri" w:cs="Calibri" w:eastAsia="Calibri" w:hAnsi="Calibri"/>
                <w:sz w:val="18"/>
                <w:szCs w:val="18"/>
                <w:color w:val="0000FF"/>
                <w:w w:val="98"/>
              </w:rPr>
              <w:t>98</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52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420" w:type="dxa"/>
            <w:vAlign w:val="bottom"/>
          </w:tcPr>
          <w:p>
            <w:pPr>
              <w:spacing w:after="0"/>
              <w:rPr>
                <w:sz w:val="2"/>
                <w:szCs w:val="2"/>
                <w:color w:val="auto"/>
              </w:rPr>
            </w:pPr>
          </w:p>
        </w:tc>
        <w:tc>
          <w:tcPr>
            <w:tcW w:w="68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52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34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580" w:type="dxa"/>
            <w:vAlign w:val="bottom"/>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2"/>
        </w:trPr>
        <w:tc>
          <w:tcPr>
            <w:tcW w:w="20" w:type="dxa"/>
            <w:vAlign w:val="bottom"/>
            <w:shd w:val="clear" w:color="auto" w:fill="CCEEFF"/>
          </w:tcPr>
          <w:p>
            <w:pPr>
              <w:spacing w:after="0"/>
              <w:rPr>
                <w:sz w:val="14"/>
                <w:szCs w:val="14"/>
                <w:color w:val="auto"/>
              </w:rPr>
            </w:pPr>
          </w:p>
        </w:tc>
        <w:tc>
          <w:tcPr>
            <w:tcW w:w="1300" w:type="dxa"/>
            <w:vAlign w:val="bottom"/>
            <w:gridSpan w:val="5"/>
            <w:shd w:val="clear" w:color="auto" w:fill="CCEEFF"/>
          </w:tcPr>
          <w:p>
            <w:pPr>
              <w:spacing w:after="0" w:line="172" w:lineRule="exact"/>
              <w:rPr>
                <w:sz w:val="20"/>
                <w:szCs w:val="20"/>
                <w:color w:val="auto"/>
              </w:rPr>
            </w:pPr>
            <w:r>
              <w:rPr>
                <w:rFonts w:ascii="Calibri" w:cs="Calibri" w:eastAsia="Calibri" w:hAnsi="Calibri"/>
                <w:sz w:val="18"/>
                <w:szCs w:val="18"/>
                <w:color w:val="0000FF"/>
              </w:rPr>
              <w:t>SIGNATURES</w:t>
            </w: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320" w:type="dxa"/>
            <w:vAlign w:val="bottom"/>
            <w:gridSpan w:val="5"/>
            <w:shd w:val="clear" w:color="auto" w:fill="CCEEFF"/>
          </w:tcPr>
          <w:p>
            <w:pPr>
              <w:jc w:val="center"/>
              <w:spacing w:after="0" w:line="172" w:lineRule="exact"/>
              <w:rPr>
                <w:sz w:val="20"/>
                <w:szCs w:val="20"/>
                <w:color w:val="auto"/>
              </w:rPr>
            </w:pPr>
            <w:r>
              <w:rPr>
                <w:rFonts w:ascii="Calibri" w:cs="Calibri" w:eastAsia="Calibri" w:hAnsi="Calibri"/>
                <w:sz w:val="18"/>
                <w:szCs w:val="18"/>
                <w:color w:val="0000FF"/>
                <w:w w:val="98"/>
              </w:rPr>
              <w:t>99</w:t>
            </w:r>
          </w:p>
        </w:tc>
        <w:tc>
          <w:tcPr>
            <w:tcW w:w="0" w:type="dxa"/>
            <w:vAlign w:val="bottom"/>
          </w:tcPr>
          <w:p>
            <w:pPr>
              <w:spacing w:after="0"/>
              <w:rPr>
                <w:sz w:val="1"/>
                <w:szCs w:val="1"/>
                <w:color w:val="auto"/>
              </w:rPr>
            </w:pPr>
          </w:p>
        </w:tc>
      </w:tr>
      <w:tr>
        <w:trPr>
          <w:trHeight w:val="33"/>
        </w:trPr>
        <w:tc>
          <w:tcPr>
            <w:tcW w:w="20" w:type="dxa"/>
            <w:vAlign w:val="bottom"/>
            <w:tcBorders>
              <w:top w:val="single" w:sz="8" w:color="CCEEFF"/>
            </w:tcBorders>
            <w:shd w:val="clear" w:color="auto" w:fill="CCEEFF"/>
          </w:tcPr>
          <w:p>
            <w:pPr>
              <w:spacing w:after="0"/>
              <w:rPr>
                <w:sz w:val="2"/>
                <w:szCs w:val="2"/>
                <w:color w:val="auto"/>
              </w:rPr>
            </w:pPr>
          </w:p>
        </w:tc>
        <w:tc>
          <w:tcPr>
            <w:tcW w:w="520" w:type="dxa"/>
            <w:vAlign w:val="bottom"/>
            <w:tcBorders>
              <w:top w:val="single" w:sz="8" w:color="0000FF"/>
            </w:tcBorders>
            <w:shd w:val="clear" w:color="auto" w:fill="CCEEFF"/>
          </w:tcPr>
          <w:p>
            <w:pPr>
              <w:spacing w:after="0"/>
              <w:rPr>
                <w:sz w:val="2"/>
                <w:szCs w:val="2"/>
                <w:color w:val="auto"/>
              </w:rPr>
            </w:pPr>
          </w:p>
        </w:tc>
        <w:tc>
          <w:tcPr>
            <w:tcW w:w="8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260" w:type="dxa"/>
            <w:vAlign w:val="bottom"/>
            <w:tcBorders>
              <w:top w:val="single" w:sz="8" w:color="0000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6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5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86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740" w:type="dxa"/>
            <w:vAlign w:val="bottom"/>
            <w:tcBorders>
              <w:top w:val="single" w:sz="8" w:color="CCEEFF"/>
            </w:tcBorders>
            <w:shd w:val="clear" w:color="auto" w:fill="CCEEFF"/>
          </w:tcPr>
          <w:p>
            <w:pPr>
              <w:spacing w:after="0"/>
              <w:rPr>
                <w:sz w:val="2"/>
                <w:szCs w:val="2"/>
                <w:color w:val="auto"/>
              </w:rPr>
            </w:pPr>
          </w:p>
        </w:tc>
        <w:tc>
          <w:tcPr>
            <w:tcW w:w="560" w:type="dxa"/>
            <w:vAlign w:val="bottom"/>
            <w:tcBorders>
              <w:top w:val="single" w:sz="8" w:color="CCEEFF"/>
            </w:tcBorders>
            <w:shd w:val="clear" w:color="auto" w:fill="CCEEFF"/>
          </w:tcPr>
          <w:p>
            <w:pPr>
              <w:spacing w:after="0"/>
              <w:rPr>
                <w:sz w:val="2"/>
                <w:szCs w:val="2"/>
                <w:color w:val="auto"/>
              </w:rPr>
            </w:pPr>
          </w:p>
        </w:tc>
        <w:tc>
          <w:tcPr>
            <w:tcW w:w="10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8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5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10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56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39"/>
        <w:spacing w:after="0"/>
        <w:rPr>
          <w:sz w:val="20"/>
          <w:szCs w:val="20"/>
          <w:color w:val="auto"/>
        </w:rPr>
      </w:pPr>
      <w:r>
        <w:rPr>
          <w:rFonts w:ascii="Calibri" w:cs="Calibri" w:eastAsia="Calibri" w:hAnsi="Calibri"/>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09" w:right="359" w:bottom="1440" w:gutter="0" w:footer="0" w:header="0"/>
        </w:sectPr>
      </w:pPr>
    </w:p>
    <w:bookmarkStart w:id="2" w:name="page3"/>
    <w:bookmarkEnd w:id="2"/>
    <w:p>
      <w:pPr>
        <w:spacing w:after="0"/>
        <w:rPr>
          <w:sz w:val="20"/>
          <w:szCs w:val="20"/>
          <w:color w:val="auto"/>
        </w:rPr>
      </w:pPr>
      <w:r>
        <w:rPr>
          <w:rFonts w:ascii="Calibri" w:cs="Calibri" w:eastAsia="Calibri" w:hAnsi="Calibri"/>
          <w:sz w:val="18"/>
          <w:szCs w:val="18"/>
          <w:u w:val="single" w:color="auto"/>
          <w:color w:val="0000FF"/>
        </w:rPr>
        <w:t>Table of Contents</w:t>
      </w:r>
    </w:p>
    <w:p>
      <w:pPr>
        <w:spacing w:after="0" w:line="200" w:lineRule="exact"/>
        <w:rPr>
          <w:sz w:val="20"/>
          <w:szCs w:val="20"/>
          <w:color w:val="auto"/>
        </w:rPr>
      </w:pPr>
    </w:p>
    <w:p>
      <w:pPr>
        <w:spacing w:after="0" w:line="293"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b w:val="1"/>
          <w:bCs w:val="1"/>
          <w:color w:val="auto"/>
        </w:rPr>
        <w:t>PART I</w:t>
      </w:r>
    </w:p>
    <w:p>
      <w:pPr>
        <w:spacing w:after="0" w:line="54" w:lineRule="exact"/>
        <w:rPr>
          <w:sz w:val="20"/>
          <w:szCs w:val="20"/>
          <w:color w:val="auto"/>
        </w:rPr>
      </w:pPr>
    </w:p>
    <w:p>
      <w:pPr>
        <w:ind w:firstLine="436"/>
        <w:spacing w:after="0" w:line="230" w:lineRule="auto"/>
        <w:rPr>
          <w:sz w:val="20"/>
          <w:szCs w:val="20"/>
          <w:color w:val="auto"/>
        </w:rPr>
      </w:pPr>
      <w:r>
        <w:rPr>
          <w:rFonts w:ascii="Calibri" w:cs="Calibri" w:eastAsia="Calibri" w:hAnsi="Calibri"/>
          <w:sz w:val="18"/>
          <w:szCs w:val="18"/>
          <w:color w:val="auto"/>
        </w:rPr>
        <w:t>The following discussion should be read in conjuncton with the consolidated fnancial statements and notes thereto included elsewhere in this Annual Report on Form 10-K. This Annual Report on Form 10-K contains forward-looking statements within the meaning of the federal securites laws and partcularly in Item 1: “Business,” Item 1A: “Risk Factors,” Item 3: “Legal Proceedings” and Item 7: “Management’s Discussion and Analysis of Financial Conditon and Results of Operatons” of this Annual Report on Form 10-K. These statements are indicated by words or phrases such as “antcipate,” “expect,” “estmate,” “seek,” “plan,” “believe,” “could,” “intend,” “will,” and similar words or phrases. These forward-looking statements may include projectons of fnancial informaton; statements about historical results that may suggest trends for our business; statements of the plans, strategies, and objectves of management for future operatons; statements of expectaton or belief regarding future events (including any acquisitons we may make), technology developments, our products, product sales, expenses, liquidity, cash fow and growth rates, or enforceability of our intellectual property rights; any backlog; and the efects of seasonality on our business. Such statements are based on current expectatons, estmates, forecasts and projectons of our industry performance and macroeconomic conditons, based on management’s judgment, beliefs, current trends and market conditons, and involve risks and uncertaintes that may cause actual results to difer materially from those contained in the forward-looking statements. We derive most of our forward-looking statements from our operatng budgets and forecasts, which are based upon many detailed assumptons. While we believe that our assumptons are reasonable, we cauton that it is very difcult to predict the impact of known factors, and it is impossible for us to antcipate all factors that could afect our actual results. Accordingly, we cauton you not to place undue reliance on these statements. Material factors that could cause actual results to difer materially from our expectatons are summarized and disclosed under “Risk Factors” in Part I, Item 1A of this Annual Report on Form 10-K.</w:t>
      </w:r>
    </w:p>
    <w:p>
      <w:pPr>
        <w:spacing w:after="0" w:line="63" w:lineRule="exact"/>
        <w:rPr>
          <w:sz w:val="20"/>
          <w:szCs w:val="20"/>
          <w:color w:val="auto"/>
        </w:rPr>
      </w:pPr>
    </w:p>
    <w:p>
      <w:pPr>
        <w:ind w:right="380" w:firstLine="396"/>
        <w:spacing w:after="0" w:line="230" w:lineRule="auto"/>
        <w:rPr>
          <w:sz w:val="20"/>
          <w:szCs w:val="20"/>
          <w:color w:val="auto"/>
        </w:rPr>
      </w:pPr>
      <w:r>
        <w:rPr>
          <w:rFonts w:ascii="Calibri" w:cs="Calibri" w:eastAsia="Calibri" w:hAnsi="Calibri"/>
          <w:sz w:val="18"/>
          <w:szCs w:val="18"/>
          <w:color w:val="auto"/>
        </w:rPr>
        <w:t>Unless stated otherwise or the context otherwise requires, references to “Broadcom,” “we,” “our,” and “us” mean Broadcom Inc. and its consolidated subsidiaries. Our fscal year ends on the Sunday closest to October 31 in a 52-week year and the frst Sunday in November in a 53-week year. We refer to our fscal years by the calendar year in which they end. For example, the fscal year ended October 29, 2023 was a 52-week year.</w:t>
      </w: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9" w:right="339" w:bottom="1440" w:gutter="0" w:footer="0" w:header="0"/>
        </w:sectPr>
      </w:pPr>
    </w:p>
    <w:bookmarkStart w:id="3" w:name="page4"/>
    <w:bookmarkEnd w:id="3"/>
    <w:p>
      <w:pPr>
        <w:spacing w:after="0"/>
        <w:rPr>
          <w:sz w:val="20"/>
          <w:szCs w:val="20"/>
          <w:color w:val="auto"/>
        </w:rPr>
      </w:pPr>
      <w:r>
        <w:rPr>
          <w:rFonts w:ascii="Calibri" w:cs="Calibri" w:eastAsia="Calibri" w:hAnsi="Calibri"/>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tabs>
          <w:tab w:leader="none" w:pos="1080" w:val="left"/>
        </w:tabs>
        <w:rPr>
          <w:sz w:val="20"/>
          <w:szCs w:val="20"/>
          <w:color w:val="auto"/>
        </w:rPr>
      </w:pPr>
      <w:r>
        <w:rPr>
          <w:rFonts w:ascii="Calibri" w:cs="Calibri" w:eastAsia="Calibri" w:hAnsi="Calibri"/>
          <w:sz w:val="18"/>
          <w:szCs w:val="18"/>
          <w:b w:val="1"/>
          <w:bCs w:val="1"/>
          <w:color w:val="auto"/>
        </w:rPr>
        <w:t>ITEM 1.</w:t>
      </w:r>
      <w:r>
        <w:rPr>
          <w:sz w:val="20"/>
          <w:szCs w:val="20"/>
          <w:color w:val="auto"/>
        </w:rPr>
        <w:tab/>
      </w:r>
      <w:r>
        <w:rPr>
          <w:rFonts w:ascii="Calibri" w:cs="Calibri" w:eastAsia="Calibri" w:hAnsi="Calibri"/>
          <w:sz w:val="17"/>
          <w:szCs w:val="17"/>
          <w:b w:val="1"/>
          <w:bCs w:val="1"/>
          <w:color w:val="auto"/>
        </w:rPr>
        <w:t>BUSINESS</w:t>
      </w:r>
    </w:p>
    <w:p>
      <w:pPr>
        <w:spacing w:after="0" w:line="97"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Overview</w:t>
      </w:r>
    </w:p>
    <w:p>
      <w:pPr>
        <w:spacing w:after="0" w:line="107" w:lineRule="exact"/>
        <w:rPr>
          <w:sz w:val="20"/>
          <w:szCs w:val="20"/>
          <w:color w:val="auto"/>
        </w:rPr>
      </w:pPr>
    </w:p>
    <w:p>
      <w:pPr>
        <w:ind w:right="20" w:firstLine="396"/>
        <w:spacing w:after="0" w:line="230" w:lineRule="auto"/>
        <w:rPr>
          <w:sz w:val="20"/>
          <w:szCs w:val="20"/>
          <w:color w:val="auto"/>
        </w:rPr>
      </w:pPr>
      <w:r>
        <w:rPr>
          <w:rFonts w:ascii="Calibri" w:cs="Calibri" w:eastAsia="Calibri" w:hAnsi="Calibri"/>
          <w:sz w:val="18"/>
          <w:szCs w:val="18"/>
          <w:color w:val="auto"/>
        </w:rPr>
        <w:t>We are a global technology leader that designs, develops and supplies a broad range of semiconductor and infrastructure sofware solutons. Our over 50-year history of innovaton dates back to our diverse origins from Hewlet-Packard Company, AT&amp;T, LSI Corporaton, Broadcom Corporaton, Brocade Communicatons Systems LLC, CA, Inc., Symantec Enterprise Security, and VMware, Inc. (“VMware”). Over the years, we have assembled a large team of semiconductor and sofware design engineers around the world. We maintain design, product and sofware development engineering resources at locatons in the U.S., Asia, Europe and Israel, providing us with engineering expertse worldwide. We strategically focus our research and development resources to address niche opportunites in our target markets and leverage our extensive portolio of U.S. and other patents, and other intellectual property (“IP”) to integrate multple technologies and create system-on-chip (“SoC”) component and sofware solutons that target growth opportunites. We design products and sofware that deliver high-performance and provide mission critcal functonality.</w:t>
      </w:r>
    </w:p>
    <w:p>
      <w:pPr>
        <w:spacing w:after="0" w:line="111" w:lineRule="exact"/>
        <w:rPr>
          <w:sz w:val="20"/>
          <w:szCs w:val="20"/>
          <w:color w:val="auto"/>
        </w:rPr>
      </w:pPr>
    </w:p>
    <w:p>
      <w:pPr>
        <w:ind w:right="60" w:firstLine="396"/>
        <w:spacing w:after="0" w:line="230" w:lineRule="auto"/>
        <w:rPr>
          <w:sz w:val="20"/>
          <w:szCs w:val="20"/>
          <w:color w:val="auto"/>
        </w:rPr>
      </w:pPr>
      <w:r>
        <w:rPr>
          <w:rFonts w:ascii="Calibri" w:cs="Calibri" w:eastAsia="Calibri" w:hAnsi="Calibri"/>
          <w:sz w:val="18"/>
          <w:szCs w:val="18"/>
          <w:color w:val="auto"/>
        </w:rPr>
        <w:t>We develop semiconductor devices with a focus on complex digital and mixed signal complementary metal oxide semiconductor (“CMOS”) based devices and analog III-V based products. We have a history of innovaton in the semiconductor industry and ofer thousands of products that are used in end products such as enterprise and data center networking, home connectvity, set-top boxes (“STB”), broadband access, telecommunicaton equipment, smartphones and base statons, data center servers and storage systems, factory automaton, power generaton and alternatve energy systems, and electronic displays. We diferentate ourselves through our high performance design and integraton capabilites and focus on developing products for target markets where we believe we can earn atractve margins.</w:t>
      </w:r>
    </w:p>
    <w:p>
      <w:pPr>
        <w:spacing w:after="0" w:line="110" w:lineRule="exact"/>
        <w:rPr>
          <w:sz w:val="20"/>
          <w:szCs w:val="20"/>
          <w:color w:val="auto"/>
        </w:rPr>
      </w:pPr>
    </w:p>
    <w:p>
      <w:pPr>
        <w:ind w:right="20" w:firstLine="396"/>
        <w:spacing w:after="0" w:line="230" w:lineRule="auto"/>
        <w:rPr>
          <w:sz w:val="20"/>
          <w:szCs w:val="20"/>
          <w:color w:val="auto"/>
        </w:rPr>
      </w:pPr>
      <w:r>
        <w:rPr>
          <w:rFonts w:ascii="Calibri" w:cs="Calibri" w:eastAsia="Calibri" w:hAnsi="Calibri"/>
          <w:sz w:val="18"/>
          <w:szCs w:val="18"/>
          <w:color w:val="auto"/>
        </w:rPr>
        <w:t>Our infrastructure sofware solutons enable customers to plan, develop, automate, manage, and secure applicatons across mainframe, distributed, mobile, and cloud platorms. Many of the largest companies in the world, including most of the Fortune 500, and many government agencies rely on our sofware solutons to help manage and secure their on-premise and hybrid cloud environments. Our portolio of industry-leading infrastructure and security sofware is designed to modernize, optmize, and secure the most complex hybrid environments, enabling scalability, agility, automaton, insights, resiliency and security. We also ofer mission critcal fbre channel storage area networking (“FC SAN”) products and related sofware in the form of modules, switches and subsystems incorporatng multple semiconductor products.</w:t>
      </w:r>
    </w:p>
    <w:p>
      <w:pPr>
        <w:spacing w:after="0" w:line="110" w:lineRule="exact"/>
        <w:rPr>
          <w:sz w:val="20"/>
          <w:szCs w:val="20"/>
          <w:color w:val="auto"/>
        </w:rPr>
      </w:pPr>
    </w:p>
    <w:p>
      <w:pPr>
        <w:ind w:right="140" w:firstLine="396"/>
        <w:spacing w:after="0" w:line="245" w:lineRule="auto"/>
        <w:rPr>
          <w:sz w:val="20"/>
          <w:szCs w:val="20"/>
          <w:color w:val="auto"/>
        </w:rPr>
      </w:pPr>
      <w:r>
        <w:rPr>
          <w:rFonts w:ascii="Calibri" w:cs="Calibri" w:eastAsia="Calibri" w:hAnsi="Calibri"/>
          <w:sz w:val="17"/>
          <w:szCs w:val="17"/>
          <w:color w:val="auto"/>
        </w:rPr>
        <w:t>In additon, the hybrid-cloud portolio we acquired with VMware helps enterprises simplify their informaton technology (“IT”) environments so they can increase business velocity and fexibility. The VMware portolio spans hybrid cloud, app-delivery acceleraton, zero-trust security, and sofware-defned edge, making it easy for customers to run their mission-critcal workloads across private, public and edge environments with security and resiliency.</w:t>
      </w:r>
    </w:p>
    <w:p>
      <w:pPr>
        <w:spacing w:after="0" w:line="81"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Business Strategy</w:t>
      </w:r>
    </w:p>
    <w:p>
      <w:pPr>
        <w:spacing w:after="0" w:line="94" w:lineRule="exact"/>
        <w:rPr>
          <w:sz w:val="20"/>
          <w:szCs w:val="20"/>
          <w:color w:val="auto"/>
        </w:rPr>
      </w:pPr>
    </w:p>
    <w:p>
      <w:pPr>
        <w:ind w:firstLine="396"/>
        <w:spacing w:after="0" w:line="230" w:lineRule="auto"/>
        <w:rPr>
          <w:sz w:val="20"/>
          <w:szCs w:val="20"/>
          <w:color w:val="auto"/>
        </w:rPr>
      </w:pPr>
      <w:r>
        <w:rPr>
          <w:rFonts w:ascii="Calibri" w:cs="Calibri" w:eastAsia="Calibri" w:hAnsi="Calibri"/>
          <w:sz w:val="18"/>
          <w:szCs w:val="18"/>
          <w:color w:val="auto"/>
        </w:rPr>
        <w:t>Our strategy is to combine best-of-breed technology leadership in semiconductor and infrastructure sofware solutons, with unmatched scale, on a common sales and administratve platorm to deliver a comprehensive suite of infrastructure technology products to the world’s leading business and government customers. We seek to achieve this through responsibly fnanced acquisitons of category-leading businesses and technologies, as well as investng extensively in research and development, to ensure our products retain their technology leadership. This strategy results in a robust business model designed to drive diversifed and sustainable operatng and fnancial results.</w:t>
      </w:r>
    </w:p>
    <w:p>
      <w:pPr>
        <w:spacing w:after="0" w:line="99"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Recent Development</w:t>
      </w:r>
    </w:p>
    <w:p>
      <w:pPr>
        <w:spacing w:after="0" w:line="97"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Acquisiton of VMware, Inc.</w:t>
      </w:r>
    </w:p>
    <w:p>
      <w:pPr>
        <w:spacing w:after="0" w:line="107" w:lineRule="exact"/>
        <w:rPr>
          <w:sz w:val="20"/>
          <w:szCs w:val="20"/>
          <w:color w:val="auto"/>
        </w:rPr>
      </w:pPr>
    </w:p>
    <w:p>
      <w:pPr>
        <w:ind w:right="80" w:firstLine="396"/>
        <w:spacing w:after="0" w:line="230" w:lineRule="auto"/>
        <w:rPr>
          <w:sz w:val="20"/>
          <w:szCs w:val="20"/>
          <w:color w:val="auto"/>
        </w:rPr>
      </w:pPr>
      <w:r>
        <w:rPr>
          <w:rFonts w:ascii="Calibri" w:cs="Calibri" w:eastAsia="Calibri" w:hAnsi="Calibri"/>
          <w:sz w:val="18"/>
          <w:szCs w:val="18"/>
          <w:color w:val="auto"/>
        </w:rPr>
        <w:t>On November 22, 2023, we acquired VMware in a cash-and-stock transacton (the “VMware Merger”), in which VMware stockholders received, in aggregate, approximately $30.8 billion in cash and 54.4 million shares of Broadcom common stock in exchange for all shares of VMware common stock issued and outstanding immediately prior to the closing. The preliminary total purchase consideraton for the VMware Merger was approximately $86.3 billion. We funded the cash porton of the VMware Merger consideraton with net proceeds from the issuance of $30.4 billion in term loans under a credit agreement that we entered into on August 15, 2023, as well as cash on hand.</w:t>
      </w:r>
    </w:p>
    <w:p>
      <w:pPr>
        <w:spacing w:after="0" w:line="109" w:lineRule="exact"/>
        <w:rPr>
          <w:sz w:val="20"/>
          <w:szCs w:val="20"/>
          <w:color w:val="auto"/>
        </w:rPr>
      </w:pPr>
    </w:p>
    <w:p>
      <w:pPr>
        <w:ind w:firstLine="396"/>
        <w:spacing w:after="0" w:line="245" w:lineRule="auto"/>
        <w:rPr>
          <w:sz w:val="20"/>
          <w:szCs w:val="20"/>
          <w:color w:val="auto"/>
        </w:rPr>
      </w:pPr>
      <w:r>
        <w:rPr>
          <w:rFonts w:ascii="Calibri" w:cs="Calibri" w:eastAsia="Calibri" w:hAnsi="Calibri"/>
          <w:sz w:val="17"/>
          <w:szCs w:val="17"/>
          <w:color w:val="auto"/>
        </w:rPr>
        <w:t>We assumed all outstanding VMware restricted stock unit (“RSU”) awards and performance stock unit awards held by contnuing employees. The assumed awards were converted into approximately 5 million Broadcom RSU awards. All outstanding in-the-money VMware stock optons and RSU awards held by non-employee directors were accelerated and converted into the right to receive cash and shares of Broadcom common stock, in equal parts.</w:t>
      </w:r>
    </w:p>
    <w:p>
      <w:pPr>
        <w:spacing w:after="0" w:line="104" w:lineRule="exact"/>
        <w:rPr>
          <w:sz w:val="20"/>
          <w:szCs w:val="20"/>
          <w:color w:val="auto"/>
        </w:rPr>
      </w:pPr>
    </w:p>
    <w:p>
      <w:pPr>
        <w:ind w:right="80" w:firstLine="396"/>
        <w:spacing w:after="0" w:line="230" w:lineRule="auto"/>
        <w:rPr>
          <w:sz w:val="20"/>
          <w:szCs w:val="20"/>
          <w:color w:val="auto"/>
        </w:rPr>
      </w:pPr>
      <w:r>
        <w:rPr>
          <w:rFonts w:ascii="Calibri" w:cs="Calibri" w:eastAsia="Calibri" w:hAnsi="Calibri"/>
          <w:sz w:val="18"/>
          <w:szCs w:val="18"/>
          <w:color w:val="auto"/>
        </w:rPr>
        <w:t>All discussions and informaton in this Annual Report on Form 10-K regarding our business and fnancial results relate solely to our operatons prior to the VMware Merger, unless otherwise indicated.</w:t>
      </w:r>
    </w:p>
    <w:p>
      <w:pPr>
        <w:spacing w:after="0" w:line="200" w:lineRule="exact"/>
        <w:rPr>
          <w:sz w:val="20"/>
          <w:szCs w:val="20"/>
          <w:color w:val="auto"/>
        </w:rPr>
      </w:pPr>
    </w:p>
    <w:p>
      <w:pPr>
        <w:spacing w:after="0" w:line="333" w:lineRule="exact"/>
        <w:rPr>
          <w:sz w:val="20"/>
          <w:szCs w:val="20"/>
          <w:color w:val="auto"/>
        </w:rPr>
      </w:pPr>
    </w:p>
    <w:p>
      <w:pPr>
        <w:jc w:val="center"/>
        <w:ind w:right="-119"/>
        <w:spacing w:after="0"/>
        <w:rPr>
          <w:sz w:val="20"/>
          <w:szCs w:val="20"/>
          <w:color w:val="auto"/>
        </w:rPr>
      </w:pPr>
      <w:r>
        <w:rPr>
          <w:rFonts w:ascii="Calibri" w:cs="Calibri" w:eastAsia="Calibri" w:hAnsi="Calibri"/>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140"/>
          </w:cols>
          <w:pgMar w:left="320" w:top="109" w:right="439" w:bottom="1440" w:gutter="0" w:footer="0" w:header="0"/>
        </w:sectPr>
      </w:pPr>
    </w:p>
    <w:bookmarkStart w:id="4" w:name="page5"/>
    <w:bookmarkEnd w:id="4"/>
    <w:p>
      <w:pPr>
        <w:spacing w:after="0"/>
        <w:rPr>
          <w:sz w:val="20"/>
          <w:szCs w:val="20"/>
          <w:color w:val="auto"/>
        </w:rPr>
      </w:pPr>
      <w:r>
        <w:rPr>
          <w:rFonts w:ascii="Calibri" w:cs="Calibri" w:eastAsia="Calibri" w:hAnsi="Calibri"/>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Products and Markets</w:t>
      </w:r>
    </w:p>
    <w:p>
      <w:pPr>
        <w:spacing w:after="0" w:line="97"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Semiconductor Solutons</w:t>
      </w:r>
    </w:p>
    <w:p>
      <w:pPr>
        <w:spacing w:after="0" w:line="107" w:lineRule="exact"/>
        <w:rPr>
          <w:sz w:val="20"/>
          <w:szCs w:val="20"/>
          <w:color w:val="auto"/>
        </w:rPr>
      </w:pPr>
    </w:p>
    <w:p>
      <w:pPr>
        <w:ind w:right="40" w:firstLine="396"/>
        <w:spacing w:after="0" w:line="230" w:lineRule="auto"/>
        <w:rPr>
          <w:sz w:val="20"/>
          <w:szCs w:val="20"/>
          <w:color w:val="auto"/>
        </w:rPr>
      </w:pPr>
      <w:r>
        <w:rPr>
          <w:rFonts w:ascii="Calibri" w:cs="Calibri" w:eastAsia="Calibri" w:hAnsi="Calibri"/>
          <w:sz w:val="18"/>
          <w:szCs w:val="18"/>
          <w:color w:val="auto"/>
        </w:rPr>
        <w:t>Semiconductors are made by imprintng a network of electronic components onto a semiconductor wafer. These devices are designed to perform various functons such as processing, amplifying and selectvely fltering electronic signals, controlling electronic system functons and processing, and transmitng and storing data. Our digital and mixed signal products are based on silicon wafers with CMOS transistors ofering fast switching speeds and low power consumpton, which are both critcal design factors for the markets we serve. We also ofer analog products, which are based on III-V semiconductor materials that have higher electrical conductvity than silicon, and thus tend to have beter performance characteristcs in radio frequency (“RF”), and optoelectronic applicatons. III-V refers to elements from the 3rd and 5th groups in the periodic table of chemical elements. Examples of these materials used in our products are gallium arsenide (“GaAs”) and indium phosphide (“InP”).</w:t>
      </w:r>
    </w:p>
    <w:p>
      <w:pPr>
        <w:spacing w:after="0" w:line="110" w:lineRule="exact"/>
        <w:rPr>
          <w:sz w:val="20"/>
          <w:szCs w:val="20"/>
          <w:color w:val="auto"/>
        </w:rPr>
      </w:pPr>
    </w:p>
    <w:p>
      <w:pPr>
        <w:ind w:right="80" w:firstLine="396"/>
        <w:spacing w:after="0" w:line="230" w:lineRule="auto"/>
        <w:rPr>
          <w:sz w:val="20"/>
          <w:szCs w:val="20"/>
          <w:color w:val="auto"/>
        </w:rPr>
      </w:pPr>
      <w:r>
        <w:rPr>
          <w:rFonts w:ascii="Calibri" w:cs="Calibri" w:eastAsia="Calibri" w:hAnsi="Calibri"/>
          <w:sz w:val="18"/>
          <w:szCs w:val="18"/>
          <w:color w:val="auto"/>
        </w:rPr>
        <w:t>We provide semiconductor solutons for managing the movement of data in data center, service provider, and enterprise networking applicatons. We provide a broad variety of RF semiconductor devices, wireless connectvity solutons, custom touch controllers and inductve charging solutons for the wireless market. We also provide semiconductor solutons for enabling the STB and broadband access applicatons and for enabling secure movement of digital data to and from host machines, such as servers, personal computers and storage systems, to the underlying storage devices, such as hard disk drives (“HDD”) and solid-state drives (“SSD”).</w:t>
      </w:r>
    </w:p>
    <w:p>
      <w:pPr>
        <w:spacing w:after="0" w:line="109" w:lineRule="exact"/>
        <w:rPr>
          <w:sz w:val="20"/>
          <w:szCs w:val="20"/>
          <w:color w:val="auto"/>
        </w:rPr>
      </w:pPr>
    </w:p>
    <w:p>
      <w:pPr>
        <w:ind w:right="20" w:firstLine="396"/>
        <w:spacing w:after="0" w:line="230" w:lineRule="auto"/>
        <w:rPr>
          <w:sz w:val="20"/>
          <w:szCs w:val="20"/>
          <w:color w:val="auto"/>
        </w:rPr>
      </w:pPr>
      <w:r>
        <w:rPr>
          <w:rFonts w:ascii="Calibri" w:cs="Calibri" w:eastAsia="Calibri" w:hAnsi="Calibri"/>
          <w:sz w:val="18"/>
          <w:szCs w:val="18"/>
          <w:color w:val="auto"/>
        </w:rPr>
        <w:t>Our product portolio ranges from discrete devices to complex sub-systems that include multple device types and may also incorporate frmware for interfacing between analog and digital systems. In some cases, our products include mechanical hardware that interfaces with optoelectronic or capacitve sensors. We focus on markets that require high quality and the technology leadership and integrated performance characteristc of our products. The table below presents our material semiconductor product families and their major end markets and applicatons during fscal year 2023.</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80" w:type="dxa"/>
            <w:vAlign w:val="bottom"/>
          </w:tcPr>
          <w:p>
            <w:pPr>
              <w:spacing w:after="0"/>
              <w:rPr>
                <w:sz w:val="14"/>
                <w:szCs w:val="14"/>
                <w:color w:val="auto"/>
              </w:rPr>
            </w:pPr>
          </w:p>
        </w:tc>
        <w:tc>
          <w:tcPr>
            <w:tcW w:w="1380" w:type="dxa"/>
            <w:vAlign w:val="bottom"/>
            <w:gridSpan w:val="2"/>
          </w:tcPr>
          <w:p>
            <w:pPr>
              <w:spacing w:after="0"/>
              <w:rPr>
                <w:sz w:val="20"/>
                <w:szCs w:val="20"/>
                <w:color w:val="auto"/>
              </w:rPr>
            </w:pPr>
            <w:r>
              <w:rPr>
                <w:rFonts w:ascii="Calibri" w:cs="Calibri" w:eastAsia="Calibri" w:hAnsi="Calibri"/>
                <w:sz w:val="14"/>
                <w:szCs w:val="14"/>
                <w:b w:val="1"/>
                <w:bCs w:val="1"/>
                <w:color w:val="auto"/>
              </w:rPr>
              <w:t>Major End Markets</w:t>
            </w: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80" w:type="dxa"/>
            <w:vAlign w:val="bottom"/>
            <w:gridSpan w:val="2"/>
          </w:tcPr>
          <w:p>
            <w:pPr>
              <w:spacing w:after="0"/>
              <w:rPr>
                <w:sz w:val="20"/>
                <w:szCs w:val="20"/>
                <w:color w:val="auto"/>
              </w:rPr>
            </w:pPr>
            <w:r>
              <w:rPr>
                <w:rFonts w:ascii="Calibri" w:cs="Calibri" w:eastAsia="Calibri" w:hAnsi="Calibri"/>
                <w:sz w:val="14"/>
                <w:szCs w:val="14"/>
                <w:b w:val="1"/>
                <w:bCs w:val="1"/>
                <w:color w:val="auto"/>
              </w:rPr>
              <w:t>Major Applicatons</w:t>
            </w:r>
          </w:p>
        </w:tc>
        <w:tc>
          <w:tcPr>
            <w:tcW w:w="14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3800" w:type="dxa"/>
            <w:vAlign w:val="bottom"/>
            <w:gridSpan w:val="2"/>
          </w:tcPr>
          <w:p>
            <w:pPr>
              <w:spacing w:after="0"/>
              <w:rPr>
                <w:sz w:val="20"/>
                <w:szCs w:val="20"/>
                <w:color w:val="auto"/>
              </w:rPr>
            </w:pPr>
            <w:r>
              <w:rPr>
                <w:rFonts w:ascii="Calibri" w:cs="Calibri" w:eastAsia="Calibri" w:hAnsi="Calibri"/>
                <w:sz w:val="14"/>
                <w:szCs w:val="14"/>
                <w:b w:val="1"/>
                <w:bCs w:val="1"/>
                <w:color w:val="auto"/>
              </w:rPr>
              <w:t>Material Product Families</w:t>
            </w:r>
          </w:p>
        </w:tc>
        <w:tc>
          <w:tcPr>
            <w:tcW w:w="0" w:type="dxa"/>
            <w:vAlign w:val="bottom"/>
          </w:tcPr>
          <w:p>
            <w:pPr>
              <w:spacing w:after="0"/>
              <w:rPr>
                <w:sz w:val="1"/>
                <w:szCs w:val="1"/>
                <w:color w:val="auto"/>
              </w:rPr>
            </w:pPr>
          </w:p>
        </w:tc>
      </w:tr>
      <w:tr>
        <w:trPr>
          <w:trHeight w:val="46"/>
        </w:trPr>
        <w:tc>
          <w:tcPr>
            <w:tcW w:w="280" w:type="dxa"/>
            <w:vAlign w:val="bottom"/>
          </w:tcPr>
          <w:p>
            <w:pPr>
              <w:spacing w:after="0"/>
              <w:rPr>
                <w:sz w:val="4"/>
                <w:szCs w:val="4"/>
                <w:color w:val="auto"/>
              </w:rPr>
            </w:pPr>
          </w:p>
        </w:tc>
        <w:tc>
          <w:tcPr>
            <w:tcW w:w="1120" w:type="dxa"/>
            <w:vAlign w:val="bottom"/>
            <w:tcBorders>
              <w:top w:val="single" w:sz="8" w:color="auto"/>
            </w:tcBorders>
          </w:tcPr>
          <w:p>
            <w:pPr>
              <w:spacing w:after="0"/>
              <w:rPr>
                <w:sz w:val="4"/>
                <w:szCs w:val="4"/>
                <w:color w:val="auto"/>
              </w:rPr>
            </w:pPr>
          </w:p>
        </w:tc>
        <w:tc>
          <w:tcPr>
            <w:tcW w:w="2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00" w:type="dxa"/>
            <w:vAlign w:val="bottom"/>
            <w:tcBorders>
              <w:top w:val="single" w:sz="8" w:color="auto"/>
            </w:tcBorders>
          </w:tcPr>
          <w:p>
            <w:pPr>
              <w:spacing w:after="0"/>
              <w:rPr>
                <w:sz w:val="4"/>
                <w:szCs w:val="4"/>
                <w:color w:val="auto"/>
              </w:rPr>
            </w:pPr>
          </w:p>
        </w:tc>
        <w:tc>
          <w:tcPr>
            <w:tcW w:w="1180" w:type="dxa"/>
            <w:vAlign w:val="bottom"/>
          </w:tcPr>
          <w:p>
            <w:pPr>
              <w:spacing w:after="0"/>
              <w:rPr>
                <w:sz w:val="4"/>
                <w:szCs w:val="4"/>
                <w:color w:val="auto"/>
              </w:rPr>
            </w:pPr>
          </w:p>
        </w:tc>
        <w:tc>
          <w:tcPr>
            <w:tcW w:w="140" w:type="dxa"/>
            <w:vAlign w:val="bottom"/>
          </w:tcPr>
          <w:p>
            <w:pPr>
              <w:spacing w:after="0"/>
              <w:rPr>
                <w:sz w:val="4"/>
                <w:szCs w:val="4"/>
                <w:color w:val="auto"/>
              </w:rPr>
            </w:pPr>
          </w:p>
        </w:tc>
        <w:tc>
          <w:tcPr>
            <w:tcW w:w="2180" w:type="dxa"/>
            <w:vAlign w:val="bottom"/>
          </w:tcPr>
          <w:p>
            <w:pPr>
              <w:spacing w:after="0"/>
              <w:rPr>
                <w:sz w:val="4"/>
                <w:szCs w:val="4"/>
                <w:color w:val="auto"/>
              </w:rPr>
            </w:pPr>
          </w:p>
        </w:tc>
        <w:tc>
          <w:tcPr>
            <w:tcW w:w="1480" w:type="dxa"/>
            <w:vAlign w:val="bottom"/>
            <w:tcBorders>
              <w:top w:val="single" w:sz="8" w:color="auto"/>
            </w:tcBorders>
          </w:tcPr>
          <w:p>
            <w:pPr>
              <w:spacing w:after="0"/>
              <w:rPr>
                <w:sz w:val="4"/>
                <w:szCs w:val="4"/>
                <w:color w:val="auto"/>
              </w:rPr>
            </w:pPr>
          </w:p>
        </w:tc>
        <w:tc>
          <w:tcPr>
            <w:tcW w:w="23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1660" w:type="dxa"/>
            <w:vAlign w:val="bottom"/>
            <w:gridSpan w:val="3"/>
            <w:shd w:val="clear" w:color="auto" w:fill="CCEEFF"/>
          </w:tcPr>
          <w:p>
            <w:pPr>
              <w:ind w:left="20"/>
              <w:spacing w:after="0" w:line="168" w:lineRule="exact"/>
              <w:rPr>
                <w:sz w:val="20"/>
                <w:szCs w:val="20"/>
                <w:color w:val="auto"/>
              </w:rPr>
            </w:pPr>
            <w:r>
              <w:rPr>
                <w:rFonts w:ascii="Calibri" w:cs="Calibri" w:eastAsia="Calibri" w:hAnsi="Calibri"/>
                <w:sz w:val="14"/>
                <w:szCs w:val="14"/>
                <w:color w:val="auto"/>
              </w:rPr>
              <w:t>Broadband</w:t>
            </w:r>
          </w:p>
        </w:tc>
        <w:tc>
          <w:tcPr>
            <w:tcW w:w="140" w:type="dxa"/>
            <w:vAlign w:val="bottom"/>
            <w:shd w:val="clear" w:color="auto" w:fill="CCEEFF"/>
          </w:tcPr>
          <w:p>
            <w:pPr>
              <w:ind w:left="20"/>
              <w:spacing w:after="0" w:line="168" w:lineRule="exact"/>
              <w:rPr>
                <w:sz w:val="20"/>
                <w:szCs w:val="20"/>
                <w:color w:val="auto"/>
              </w:rPr>
            </w:pPr>
            <w:r>
              <w:rPr>
                <w:rFonts w:ascii="Calibri" w:cs="Calibri" w:eastAsia="Calibri" w:hAnsi="Calibri"/>
                <w:sz w:val="14"/>
                <w:szCs w:val="14"/>
                <w:color w:val="auto"/>
              </w:rPr>
              <w:t>•</w:t>
            </w:r>
          </w:p>
        </w:tc>
        <w:tc>
          <w:tcPr>
            <w:tcW w:w="3320" w:type="dxa"/>
            <w:vAlign w:val="bottom"/>
            <w:gridSpan w:val="3"/>
            <w:shd w:val="clear" w:color="auto" w:fill="CCEEFF"/>
          </w:tcPr>
          <w:p>
            <w:pPr>
              <w:ind w:left="60"/>
              <w:spacing w:after="0" w:line="168" w:lineRule="exact"/>
              <w:rPr>
                <w:sz w:val="20"/>
                <w:szCs w:val="20"/>
                <w:color w:val="auto"/>
              </w:rPr>
            </w:pPr>
            <w:r>
              <w:rPr>
                <w:rFonts w:ascii="Calibri" w:cs="Calibri" w:eastAsia="Calibri" w:hAnsi="Calibri"/>
                <w:sz w:val="14"/>
                <w:szCs w:val="14"/>
                <w:color w:val="auto"/>
              </w:rPr>
              <w:t>STB and Broadband Access</w:t>
            </w:r>
          </w:p>
        </w:tc>
        <w:tc>
          <w:tcPr>
            <w:tcW w:w="140" w:type="dxa"/>
            <w:vAlign w:val="bottom"/>
            <w:shd w:val="clear" w:color="auto" w:fill="CCEEFF"/>
          </w:tcPr>
          <w:p>
            <w:pPr>
              <w:ind w:left="20"/>
              <w:spacing w:after="0" w:line="168" w:lineRule="exact"/>
              <w:rPr>
                <w:sz w:val="20"/>
                <w:szCs w:val="20"/>
                <w:color w:val="auto"/>
              </w:rPr>
            </w:pPr>
            <w:r>
              <w:rPr>
                <w:rFonts w:ascii="Calibri" w:cs="Calibri" w:eastAsia="Calibri" w:hAnsi="Calibri"/>
                <w:sz w:val="14"/>
                <w:szCs w:val="14"/>
                <w:color w:val="auto"/>
              </w:rPr>
              <w:t>•</w:t>
            </w:r>
          </w:p>
        </w:tc>
        <w:tc>
          <w:tcPr>
            <w:tcW w:w="5980" w:type="dxa"/>
            <w:vAlign w:val="bottom"/>
            <w:gridSpan w:val="3"/>
            <w:shd w:val="clear" w:color="auto" w:fill="CCEEFF"/>
          </w:tcPr>
          <w:p>
            <w:pPr>
              <w:ind w:left="40"/>
              <w:spacing w:after="0" w:line="168" w:lineRule="exact"/>
              <w:rPr>
                <w:sz w:val="20"/>
                <w:szCs w:val="20"/>
                <w:color w:val="auto"/>
              </w:rPr>
            </w:pPr>
            <w:r>
              <w:rPr>
                <w:rFonts w:ascii="Calibri" w:cs="Calibri" w:eastAsia="Calibri" w:hAnsi="Calibri"/>
                <w:sz w:val="14"/>
                <w:szCs w:val="14"/>
                <w:color w:val="auto"/>
              </w:rPr>
              <w:t>STB SoCs</w:t>
            </w:r>
          </w:p>
        </w:tc>
        <w:tc>
          <w:tcPr>
            <w:tcW w:w="0" w:type="dxa"/>
            <w:vAlign w:val="bottom"/>
          </w:tcPr>
          <w:p>
            <w:pPr>
              <w:spacing w:after="0"/>
              <w:rPr>
                <w:sz w:val="1"/>
                <w:szCs w:val="1"/>
                <w:color w:val="auto"/>
              </w:rPr>
            </w:pPr>
          </w:p>
        </w:tc>
      </w:tr>
      <w:tr>
        <w:trPr>
          <w:trHeight w:val="183"/>
        </w:trPr>
        <w:tc>
          <w:tcPr>
            <w:tcW w:w="28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40" w:type="dxa"/>
            <w:vAlign w:val="bottom"/>
            <w:shd w:val="clear" w:color="auto" w:fill="CCEEFF"/>
          </w:tcPr>
          <w:p>
            <w:pPr>
              <w:ind w:left="20"/>
              <w:spacing w:after="0"/>
              <w:rPr>
                <w:sz w:val="20"/>
                <w:szCs w:val="20"/>
                <w:color w:val="auto"/>
              </w:rPr>
            </w:pPr>
            <w:r>
              <w:rPr>
                <w:rFonts w:ascii="Calibri" w:cs="Calibri" w:eastAsia="Calibri" w:hAnsi="Calibri"/>
                <w:sz w:val="14"/>
                <w:szCs w:val="14"/>
                <w:color w:val="auto"/>
              </w:rPr>
              <w:t>•</w:t>
            </w:r>
          </w:p>
        </w:tc>
        <w:tc>
          <w:tcPr>
            <w:tcW w:w="5980" w:type="dxa"/>
            <w:vAlign w:val="bottom"/>
            <w:gridSpan w:val="3"/>
            <w:shd w:val="clear" w:color="auto" w:fill="CCEEFF"/>
          </w:tcPr>
          <w:p>
            <w:pPr>
              <w:ind w:left="40"/>
              <w:spacing w:after="0"/>
              <w:rPr>
                <w:sz w:val="20"/>
                <w:szCs w:val="20"/>
                <w:color w:val="auto"/>
              </w:rPr>
            </w:pPr>
            <w:r>
              <w:rPr>
                <w:rFonts w:ascii="Calibri" w:cs="Calibri" w:eastAsia="Calibri" w:hAnsi="Calibri"/>
                <w:sz w:val="14"/>
                <w:szCs w:val="14"/>
                <w:color w:val="auto"/>
              </w:rPr>
              <w:t>DSL/PON gateways</w:t>
            </w:r>
          </w:p>
        </w:tc>
        <w:tc>
          <w:tcPr>
            <w:tcW w:w="0" w:type="dxa"/>
            <w:vAlign w:val="bottom"/>
          </w:tcPr>
          <w:p>
            <w:pPr>
              <w:spacing w:after="0"/>
              <w:rPr>
                <w:sz w:val="1"/>
                <w:szCs w:val="1"/>
                <w:color w:val="auto"/>
              </w:rPr>
            </w:pPr>
          </w:p>
        </w:tc>
      </w:tr>
      <w:tr>
        <w:trPr>
          <w:trHeight w:val="198"/>
        </w:trPr>
        <w:tc>
          <w:tcPr>
            <w:tcW w:w="2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40" w:type="dxa"/>
            <w:vAlign w:val="bottom"/>
            <w:shd w:val="clear" w:color="auto" w:fill="CCEEFF"/>
          </w:tcPr>
          <w:p>
            <w:pPr>
              <w:ind w:left="20"/>
              <w:spacing w:after="0"/>
              <w:rPr>
                <w:sz w:val="20"/>
                <w:szCs w:val="20"/>
                <w:color w:val="auto"/>
              </w:rPr>
            </w:pPr>
            <w:r>
              <w:rPr>
                <w:rFonts w:ascii="Calibri" w:cs="Calibri" w:eastAsia="Calibri" w:hAnsi="Calibri"/>
                <w:sz w:val="14"/>
                <w:szCs w:val="14"/>
                <w:color w:val="auto"/>
              </w:rPr>
              <w:t>•</w:t>
            </w:r>
          </w:p>
        </w:tc>
        <w:tc>
          <w:tcPr>
            <w:tcW w:w="5980" w:type="dxa"/>
            <w:vAlign w:val="bottom"/>
            <w:gridSpan w:val="3"/>
            <w:shd w:val="clear" w:color="auto" w:fill="CCEEFF"/>
          </w:tcPr>
          <w:p>
            <w:pPr>
              <w:ind w:left="40"/>
              <w:spacing w:after="0"/>
              <w:rPr>
                <w:sz w:val="20"/>
                <w:szCs w:val="20"/>
                <w:color w:val="auto"/>
              </w:rPr>
            </w:pPr>
            <w:r>
              <w:rPr>
                <w:rFonts w:ascii="Calibri" w:cs="Calibri" w:eastAsia="Calibri" w:hAnsi="Calibri"/>
                <w:sz w:val="14"/>
                <w:szCs w:val="14"/>
                <w:color w:val="auto"/>
              </w:rPr>
              <w:t>DOCSIS cable modem and networking infrastructure</w:t>
            </w:r>
          </w:p>
        </w:tc>
        <w:tc>
          <w:tcPr>
            <w:tcW w:w="0" w:type="dxa"/>
            <w:vAlign w:val="bottom"/>
          </w:tcPr>
          <w:p>
            <w:pPr>
              <w:spacing w:after="0"/>
              <w:rPr>
                <w:sz w:val="1"/>
                <w:szCs w:val="1"/>
                <w:color w:val="auto"/>
              </w:rPr>
            </w:pPr>
          </w:p>
        </w:tc>
      </w:tr>
      <w:tr>
        <w:trPr>
          <w:trHeight w:val="198"/>
        </w:trPr>
        <w:tc>
          <w:tcPr>
            <w:tcW w:w="2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40" w:type="dxa"/>
            <w:vAlign w:val="bottom"/>
            <w:shd w:val="clear" w:color="auto" w:fill="CCEEFF"/>
          </w:tcPr>
          <w:p>
            <w:pPr>
              <w:ind w:left="20"/>
              <w:spacing w:after="0"/>
              <w:rPr>
                <w:sz w:val="20"/>
                <w:szCs w:val="20"/>
                <w:color w:val="auto"/>
              </w:rPr>
            </w:pPr>
            <w:r>
              <w:rPr>
                <w:rFonts w:ascii="Calibri" w:cs="Calibri" w:eastAsia="Calibri" w:hAnsi="Calibri"/>
                <w:sz w:val="14"/>
                <w:szCs w:val="14"/>
                <w:color w:val="auto"/>
              </w:rPr>
              <w:t>•</w:t>
            </w:r>
          </w:p>
        </w:tc>
        <w:tc>
          <w:tcPr>
            <w:tcW w:w="5980" w:type="dxa"/>
            <w:vAlign w:val="bottom"/>
            <w:gridSpan w:val="3"/>
            <w:shd w:val="clear" w:color="auto" w:fill="CCEEFF"/>
          </w:tcPr>
          <w:p>
            <w:pPr>
              <w:ind w:left="40"/>
              <w:spacing w:after="0"/>
              <w:rPr>
                <w:sz w:val="20"/>
                <w:szCs w:val="20"/>
                <w:color w:val="auto"/>
              </w:rPr>
            </w:pPr>
            <w:r>
              <w:rPr>
                <w:rFonts w:ascii="Calibri" w:cs="Calibri" w:eastAsia="Calibri" w:hAnsi="Calibri"/>
                <w:sz w:val="14"/>
                <w:szCs w:val="14"/>
                <w:color w:val="auto"/>
              </w:rPr>
              <w:t>DSLAM/PON optcal line terminaton</w:t>
            </w:r>
          </w:p>
        </w:tc>
        <w:tc>
          <w:tcPr>
            <w:tcW w:w="0" w:type="dxa"/>
            <w:vAlign w:val="bottom"/>
          </w:tcPr>
          <w:p>
            <w:pPr>
              <w:spacing w:after="0"/>
              <w:rPr>
                <w:sz w:val="1"/>
                <w:szCs w:val="1"/>
                <w:color w:val="auto"/>
              </w:rPr>
            </w:pPr>
          </w:p>
        </w:tc>
      </w:tr>
      <w:tr>
        <w:trPr>
          <w:trHeight w:val="223"/>
        </w:trPr>
        <w:tc>
          <w:tcPr>
            <w:tcW w:w="28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Calibri" w:cs="Calibri" w:eastAsia="Calibri" w:hAnsi="Calibri"/>
                <w:sz w:val="14"/>
                <w:szCs w:val="14"/>
                <w:color w:val="auto"/>
              </w:rPr>
              <w:t>•</w:t>
            </w:r>
          </w:p>
        </w:tc>
        <w:tc>
          <w:tcPr>
            <w:tcW w:w="5980" w:type="dxa"/>
            <w:vAlign w:val="bottom"/>
            <w:tcBorders>
              <w:bottom w:val="single" w:sz="8" w:color="CCEEFF"/>
            </w:tcBorders>
            <w:gridSpan w:val="3"/>
            <w:shd w:val="clear" w:color="auto" w:fill="CCEEFF"/>
          </w:tcPr>
          <w:p>
            <w:pPr>
              <w:ind w:left="40"/>
              <w:spacing w:after="0"/>
              <w:rPr>
                <w:sz w:val="20"/>
                <w:szCs w:val="20"/>
                <w:color w:val="auto"/>
              </w:rPr>
            </w:pPr>
            <w:r>
              <w:rPr>
                <w:rFonts w:ascii="Calibri" w:cs="Calibri" w:eastAsia="Calibri" w:hAnsi="Calibri"/>
                <w:sz w:val="14"/>
                <w:szCs w:val="14"/>
                <w:color w:val="auto"/>
              </w:rPr>
              <w:t>Wi-Fi access point SoCs</w:t>
            </w:r>
          </w:p>
        </w:tc>
        <w:tc>
          <w:tcPr>
            <w:tcW w:w="0" w:type="dxa"/>
            <w:vAlign w:val="bottom"/>
          </w:tcPr>
          <w:p>
            <w:pPr>
              <w:spacing w:after="0"/>
              <w:rPr>
                <w:sz w:val="1"/>
                <w:szCs w:val="1"/>
                <w:color w:val="auto"/>
              </w:rPr>
            </w:pPr>
          </w:p>
        </w:tc>
      </w:tr>
      <w:tr>
        <w:trPr>
          <w:trHeight w:val="168"/>
        </w:trPr>
        <w:tc>
          <w:tcPr>
            <w:tcW w:w="1660" w:type="dxa"/>
            <w:vAlign w:val="bottom"/>
            <w:gridSpan w:val="3"/>
          </w:tcPr>
          <w:p>
            <w:pPr>
              <w:ind w:left="20"/>
              <w:spacing w:after="0" w:line="168" w:lineRule="exact"/>
              <w:rPr>
                <w:sz w:val="20"/>
                <w:szCs w:val="20"/>
                <w:color w:val="auto"/>
              </w:rPr>
            </w:pPr>
            <w:r>
              <w:rPr>
                <w:rFonts w:ascii="Calibri" w:cs="Calibri" w:eastAsia="Calibri" w:hAnsi="Calibri"/>
                <w:sz w:val="14"/>
                <w:szCs w:val="14"/>
                <w:color w:val="auto"/>
              </w:rPr>
              <w:t>Networking</w:t>
            </w:r>
          </w:p>
        </w:tc>
        <w:tc>
          <w:tcPr>
            <w:tcW w:w="140" w:type="dxa"/>
            <w:vAlign w:val="bottom"/>
          </w:tcPr>
          <w:p>
            <w:pPr>
              <w:ind w:left="20"/>
              <w:spacing w:after="0" w:line="168" w:lineRule="exact"/>
              <w:rPr>
                <w:sz w:val="20"/>
                <w:szCs w:val="20"/>
                <w:color w:val="auto"/>
              </w:rPr>
            </w:pPr>
            <w:r>
              <w:rPr>
                <w:rFonts w:ascii="Calibri" w:cs="Calibri" w:eastAsia="Calibri" w:hAnsi="Calibri"/>
                <w:sz w:val="14"/>
                <w:szCs w:val="14"/>
                <w:color w:val="auto"/>
              </w:rPr>
              <w:t>•</w:t>
            </w:r>
          </w:p>
        </w:tc>
        <w:tc>
          <w:tcPr>
            <w:tcW w:w="3320" w:type="dxa"/>
            <w:vAlign w:val="bottom"/>
            <w:gridSpan w:val="3"/>
          </w:tcPr>
          <w:p>
            <w:pPr>
              <w:ind w:left="60"/>
              <w:spacing w:after="0" w:line="168" w:lineRule="exact"/>
              <w:rPr>
                <w:sz w:val="20"/>
                <w:szCs w:val="20"/>
                <w:color w:val="auto"/>
              </w:rPr>
            </w:pPr>
            <w:r>
              <w:rPr>
                <w:rFonts w:ascii="Calibri" w:cs="Calibri" w:eastAsia="Calibri" w:hAnsi="Calibri"/>
                <w:sz w:val="14"/>
                <w:szCs w:val="14"/>
                <w:color w:val="auto"/>
                <w:w w:val="99"/>
              </w:rPr>
              <w:t>Data Center, Service Provider, and Enterprise Networking</w:t>
            </w:r>
          </w:p>
        </w:tc>
        <w:tc>
          <w:tcPr>
            <w:tcW w:w="140" w:type="dxa"/>
            <w:vAlign w:val="bottom"/>
          </w:tcPr>
          <w:p>
            <w:pPr>
              <w:ind w:left="20"/>
              <w:spacing w:after="0" w:line="168" w:lineRule="exact"/>
              <w:rPr>
                <w:sz w:val="20"/>
                <w:szCs w:val="20"/>
                <w:color w:val="auto"/>
              </w:rPr>
            </w:pPr>
            <w:r>
              <w:rPr>
                <w:rFonts w:ascii="Calibri" w:cs="Calibri" w:eastAsia="Calibri" w:hAnsi="Calibri"/>
                <w:sz w:val="14"/>
                <w:szCs w:val="14"/>
                <w:color w:val="auto"/>
              </w:rPr>
              <w:t>•</w:t>
            </w:r>
          </w:p>
        </w:tc>
        <w:tc>
          <w:tcPr>
            <w:tcW w:w="5980" w:type="dxa"/>
            <w:vAlign w:val="bottom"/>
            <w:gridSpan w:val="3"/>
          </w:tcPr>
          <w:p>
            <w:pPr>
              <w:ind w:left="40"/>
              <w:spacing w:after="0" w:line="168" w:lineRule="exact"/>
              <w:rPr>
                <w:sz w:val="20"/>
                <w:szCs w:val="20"/>
                <w:color w:val="auto"/>
              </w:rPr>
            </w:pPr>
            <w:r>
              <w:rPr>
                <w:rFonts w:ascii="Calibri" w:cs="Calibri" w:eastAsia="Calibri" w:hAnsi="Calibri"/>
                <w:sz w:val="14"/>
                <w:szCs w:val="14"/>
                <w:color w:val="auto"/>
              </w:rPr>
              <w:t>Ethernet switching and routng silicon</w:t>
            </w:r>
          </w:p>
        </w:tc>
        <w:tc>
          <w:tcPr>
            <w:tcW w:w="0" w:type="dxa"/>
            <w:vAlign w:val="bottom"/>
          </w:tcPr>
          <w:p>
            <w:pPr>
              <w:spacing w:after="0"/>
              <w:rPr>
                <w:sz w:val="1"/>
                <w:szCs w:val="1"/>
                <w:color w:val="auto"/>
              </w:rPr>
            </w:pPr>
          </w:p>
        </w:tc>
      </w:tr>
      <w:tr>
        <w:trPr>
          <w:trHeight w:val="236"/>
        </w:trPr>
        <w:tc>
          <w:tcPr>
            <w:tcW w:w="2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40" w:type="dxa"/>
            <w:vAlign w:val="bottom"/>
          </w:tcPr>
          <w:p>
            <w:pPr>
              <w:ind w:left="20"/>
              <w:spacing w:after="0"/>
              <w:rPr>
                <w:sz w:val="20"/>
                <w:szCs w:val="20"/>
                <w:color w:val="auto"/>
              </w:rPr>
            </w:pPr>
            <w:r>
              <w:rPr>
                <w:rFonts w:ascii="Calibri" w:cs="Calibri" w:eastAsia="Calibri" w:hAnsi="Calibri"/>
                <w:sz w:val="14"/>
                <w:szCs w:val="14"/>
                <w:color w:val="auto"/>
              </w:rPr>
              <w:t>•</w:t>
            </w:r>
          </w:p>
        </w:tc>
        <w:tc>
          <w:tcPr>
            <w:tcW w:w="5980" w:type="dxa"/>
            <w:vAlign w:val="bottom"/>
            <w:gridSpan w:val="3"/>
          </w:tcPr>
          <w:p>
            <w:pPr>
              <w:ind w:left="40"/>
              <w:spacing w:after="0"/>
              <w:rPr>
                <w:sz w:val="20"/>
                <w:szCs w:val="20"/>
                <w:color w:val="auto"/>
              </w:rPr>
            </w:pPr>
            <w:r>
              <w:rPr>
                <w:rFonts w:ascii="Calibri" w:cs="Calibri" w:eastAsia="Calibri" w:hAnsi="Calibri"/>
                <w:sz w:val="14"/>
                <w:szCs w:val="14"/>
                <w:color w:val="auto"/>
              </w:rPr>
              <w:t>Custom silicon solutons</w:t>
            </w:r>
          </w:p>
        </w:tc>
        <w:tc>
          <w:tcPr>
            <w:tcW w:w="0" w:type="dxa"/>
            <w:vAlign w:val="bottom"/>
          </w:tcPr>
          <w:p>
            <w:pPr>
              <w:spacing w:after="0"/>
              <w:rPr>
                <w:sz w:val="1"/>
                <w:szCs w:val="1"/>
                <w:color w:val="auto"/>
              </w:rPr>
            </w:pPr>
          </w:p>
        </w:tc>
      </w:tr>
      <w:tr>
        <w:trPr>
          <w:trHeight w:val="211"/>
        </w:trPr>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ind w:left="20"/>
              <w:spacing w:after="0"/>
              <w:rPr>
                <w:sz w:val="20"/>
                <w:szCs w:val="20"/>
                <w:color w:val="auto"/>
              </w:rPr>
            </w:pPr>
            <w:r>
              <w:rPr>
                <w:rFonts w:ascii="Calibri" w:cs="Calibri" w:eastAsia="Calibri" w:hAnsi="Calibri"/>
                <w:sz w:val="14"/>
                <w:szCs w:val="14"/>
                <w:color w:val="auto"/>
              </w:rPr>
              <w:t>•</w:t>
            </w:r>
          </w:p>
        </w:tc>
        <w:tc>
          <w:tcPr>
            <w:tcW w:w="5980" w:type="dxa"/>
            <w:vAlign w:val="bottom"/>
            <w:gridSpan w:val="3"/>
          </w:tcPr>
          <w:p>
            <w:pPr>
              <w:ind w:left="40"/>
              <w:spacing w:after="0"/>
              <w:rPr>
                <w:sz w:val="20"/>
                <w:szCs w:val="20"/>
                <w:color w:val="auto"/>
              </w:rPr>
            </w:pPr>
            <w:r>
              <w:rPr>
                <w:rFonts w:ascii="Calibri" w:cs="Calibri" w:eastAsia="Calibri" w:hAnsi="Calibri"/>
                <w:sz w:val="14"/>
                <w:szCs w:val="14"/>
                <w:color w:val="auto"/>
              </w:rPr>
              <w:t>Optcal and copper PHYs</w:t>
            </w:r>
          </w:p>
        </w:tc>
        <w:tc>
          <w:tcPr>
            <w:tcW w:w="0" w:type="dxa"/>
            <w:vAlign w:val="bottom"/>
          </w:tcPr>
          <w:p>
            <w:pPr>
              <w:spacing w:after="0"/>
              <w:rPr>
                <w:sz w:val="1"/>
                <w:szCs w:val="1"/>
                <w:color w:val="auto"/>
              </w:rPr>
            </w:pPr>
          </w:p>
        </w:tc>
      </w:tr>
      <w:tr>
        <w:trPr>
          <w:trHeight w:val="198"/>
        </w:trPr>
        <w:tc>
          <w:tcPr>
            <w:tcW w:w="2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40" w:type="dxa"/>
            <w:vAlign w:val="bottom"/>
          </w:tcPr>
          <w:p>
            <w:pPr>
              <w:ind w:left="20"/>
              <w:spacing w:after="0"/>
              <w:rPr>
                <w:sz w:val="20"/>
                <w:szCs w:val="20"/>
                <w:color w:val="auto"/>
              </w:rPr>
            </w:pPr>
            <w:r>
              <w:rPr>
                <w:rFonts w:ascii="Calibri" w:cs="Calibri" w:eastAsia="Calibri" w:hAnsi="Calibri"/>
                <w:sz w:val="14"/>
                <w:szCs w:val="14"/>
                <w:color w:val="auto"/>
              </w:rPr>
              <w:t>•</w:t>
            </w:r>
          </w:p>
        </w:tc>
        <w:tc>
          <w:tcPr>
            <w:tcW w:w="5980" w:type="dxa"/>
            <w:vAlign w:val="bottom"/>
            <w:gridSpan w:val="3"/>
          </w:tcPr>
          <w:p>
            <w:pPr>
              <w:ind w:left="40"/>
              <w:spacing w:after="0"/>
              <w:rPr>
                <w:sz w:val="20"/>
                <w:szCs w:val="20"/>
                <w:color w:val="auto"/>
              </w:rPr>
            </w:pPr>
            <w:r>
              <w:rPr>
                <w:rFonts w:ascii="Calibri" w:cs="Calibri" w:eastAsia="Calibri" w:hAnsi="Calibri"/>
                <w:sz w:val="14"/>
                <w:szCs w:val="14"/>
                <w:color w:val="auto"/>
              </w:rPr>
              <w:t>Fiber optc transmiter and receiver components</w:t>
            </w:r>
          </w:p>
        </w:tc>
        <w:tc>
          <w:tcPr>
            <w:tcW w:w="0" w:type="dxa"/>
            <w:vAlign w:val="bottom"/>
          </w:tcPr>
          <w:p>
            <w:pPr>
              <w:spacing w:after="0"/>
              <w:rPr>
                <w:sz w:val="1"/>
                <w:szCs w:val="1"/>
                <w:color w:val="auto"/>
              </w:rPr>
            </w:pPr>
          </w:p>
        </w:tc>
      </w:tr>
      <w:tr>
        <w:trPr>
          <w:trHeight w:val="45"/>
        </w:trPr>
        <w:tc>
          <w:tcPr>
            <w:tcW w:w="2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40" w:type="dxa"/>
            <w:vAlign w:val="bottom"/>
          </w:tcPr>
          <w:p>
            <w:pPr>
              <w:spacing w:after="0"/>
              <w:rPr>
                <w:sz w:val="3"/>
                <w:szCs w:val="3"/>
                <w:color w:val="auto"/>
              </w:rPr>
            </w:pPr>
          </w:p>
        </w:tc>
        <w:tc>
          <w:tcPr>
            <w:tcW w:w="2180" w:type="dxa"/>
            <w:vAlign w:val="bottom"/>
          </w:tcPr>
          <w:p>
            <w:pPr>
              <w:spacing w:after="0"/>
              <w:rPr>
                <w:sz w:val="3"/>
                <w:szCs w:val="3"/>
                <w:color w:val="auto"/>
              </w:rPr>
            </w:pPr>
          </w:p>
        </w:tc>
        <w:tc>
          <w:tcPr>
            <w:tcW w:w="1480" w:type="dxa"/>
            <w:vAlign w:val="bottom"/>
          </w:tcPr>
          <w:p>
            <w:pPr>
              <w:spacing w:after="0"/>
              <w:rPr>
                <w:sz w:val="3"/>
                <w:szCs w:val="3"/>
                <w:color w:val="auto"/>
              </w:rPr>
            </w:pPr>
          </w:p>
        </w:tc>
        <w:tc>
          <w:tcPr>
            <w:tcW w:w="23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1660" w:type="dxa"/>
            <w:vAlign w:val="bottom"/>
            <w:gridSpan w:val="3"/>
            <w:shd w:val="clear" w:color="auto" w:fill="CCEEFF"/>
          </w:tcPr>
          <w:p>
            <w:pPr>
              <w:ind w:left="20"/>
              <w:spacing w:after="0" w:line="168" w:lineRule="exact"/>
              <w:rPr>
                <w:sz w:val="20"/>
                <w:szCs w:val="20"/>
                <w:color w:val="auto"/>
              </w:rPr>
            </w:pPr>
            <w:r>
              <w:rPr>
                <w:rFonts w:ascii="Calibri" w:cs="Calibri" w:eastAsia="Calibri" w:hAnsi="Calibri"/>
                <w:sz w:val="14"/>
                <w:szCs w:val="14"/>
                <w:color w:val="auto"/>
              </w:rPr>
              <w:t>Wireless</w:t>
            </w:r>
          </w:p>
        </w:tc>
        <w:tc>
          <w:tcPr>
            <w:tcW w:w="140" w:type="dxa"/>
            <w:vAlign w:val="bottom"/>
            <w:shd w:val="clear" w:color="auto" w:fill="CCEEFF"/>
          </w:tcPr>
          <w:p>
            <w:pPr>
              <w:ind w:left="20"/>
              <w:spacing w:after="0" w:line="168" w:lineRule="exact"/>
              <w:rPr>
                <w:sz w:val="20"/>
                <w:szCs w:val="20"/>
                <w:color w:val="auto"/>
              </w:rPr>
            </w:pPr>
            <w:r>
              <w:rPr>
                <w:rFonts w:ascii="Calibri" w:cs="Calibri" w:eastAsia="Calibri" w:hAnsi="Calibri"/>
                <w:sz w:val="14"/>
                <w:szCs w:val="14"/>
                <w:color w:val="auto"/>
              </w:rPr>
              <w:t>•</w:t>
            </w:r>
          </w:p>
        </w:tc>
        <w:tc>
          <w:tcPr>
            <w:tcW w:w="3320" w:type="dxa"/>
            <w:vAlign w:val="bottom"/>
            <w:gridSpan w:val="3"/>
            <w:shd w:val="clear" w:color="auto" w:fill="CCEEFF"/>
          </w:tcPr>
          <w:p>
            <w:pPr>
              <w:ind w:left="60"/>
              <w:spacing w:after="0" w:line="168" w:lineRule="exact"/>
              <w:rPr>
                <w:sz w:val="20"/>
                <w:szCs w:val="20"/>
                <w:color w:val="auto"/>
              </w:rPr>
            </w:pPr>
            <w:r>
              <w:rPr>
                <w:rFonts w:ascii="Calibri" w:cs="Calibri" w:eastAsia="Calibri" w:hAnsi="Calibri"/>
                <w:sz w:val="14"/>
                <w:szCs w:val="14"/>
                <w:color w:val="auto"/>
              </w:rPr>
              <w:t>Mobile Device Connectvity</w:t>
            </w:r>
          </w:p>
        </w:tc>
        <w:tc>
          <w:tcPr>
            <w:tcW w:w="140" w:type="dxa"/>
            <w:vAlign w:val="bottom"/>
            <w:shd w:val="clear" w:color="auto" w:fill="CCEEFF"/>
          </w:tcPr>
          <w:p>
            <w:pPr>
              <w:ind w:left="20"/>
              <w:spacing w:after="0" w:line="168" w:lineRule="exact"/>
              <w:rPr>
                <w:sz w:val="20"/>
                <w:szCs w:val="20"/>
                <w:color w:val="auto"/>
              </w:rPr>
            </w:pPr>
            <w:r>
              <w:rPr>
                <w:rFonts w:ascii="Calibri" w:cs="Calibri" w:eastAsia="Calibri" w:hAnsi="Calibri"/>
                <w:sz w:val="14"/>
                <w:szCs w:val="14"/>
                <w:color w:val="auto"/>
              </w:rPr>
              <w:t>•</w:t>
            </w:r>
          </w:p>
        </w:tc>
        <w:tc>
          <w:tcPr>
            <w:tcW w:w="5980" w:type="dxa"/>
            <w:vAlign w:val="bottom"/>
            <w:gridSpan w:val="3"/>
            <w:shd w:val="clear" w:color="auto" w:fill="CCEEFF"/>
          </w:tcPr>
          <w:p>
            <w:pPr>
              <w:ind w:left="40"/>
              <w:spacing w:after="0" w:line="168" w:lineRule="exact"/>
              <w:rPr>
                <w:sz w:val="20"/>
                <w:szCs w:val="20"/>
                <w:color w:val="auto"/>
              </w:rPr>
            </w:pPr>
            <w:r>
              <w:rPr>
                <w:rFonts w:ascii="Calibri" w:cs="Calibri" w:eastAsia="Calibri" w:hAnsi="Calibri"/>
                <w:sz w:val="14"/>
                <w:szCs w:val="14"/>
                <w:color w:val="auto"/>
              </w:rPr>
              <w:t>RF front end modules and flters</w:t>
            </w:r>
          </w:p>
        </w:tc>
        <w:tc>
          <w:tcPr>
            <w:tcW w:w="0" w:type="dxa"/>
            <w:vAlign w:val="bottom"/>
          </w:tcPr>
          <w:p>
            <w:pPr>
              <w:spacing w:after="0"/>
              <w:rPr>
                <w:sz w:val="1"/>
                <w:szCs w:val="1"/>
                <w:color w:val="auto"/>
              </w:rPr>
            </w:pPr>
          </w:p>
        </w:tc>
      </w:tr>
      <w:tr>
        <w:trPr>
          <w:trHeight w:val="183"/>
        </w:trPr>
        <w:tc>
          <w:tcPr>
            <w:tcW w:w="28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40" w:type="dxa"/>
            <w:vAlign w:val="bottom"/>
            <w:shd w:val="clear" w:color="auto" w:fill="CCEEFF"/>
          </w:tcPr>
          <w:p>
            <w:pPr>
              <w:ind w:left="20"/>
              <w:spacing w:after="0"/>
              <w:rPr>
                <w:sz w:val="20"/>
                <w:szCs w:val="20"/>
                <w:color w:val="auto"/>
              </w:rPr>
            </w:pPr>
            <w:r>
              <w:rPr>
                <w:rFonts w:ascii="Calibri" w:cs="Calibri" w:eastAsia="Calibri" w:hAnsi="Calibri"/>
                <w:sz w:val="14"/>
                <w:szCs w:val="14"/>
                <w:color w:val="auto"/>
              </w:rPr>
              <w:t>•</w:t>
            </w:r>
          </w:p>
        </w:tc>
        <w:tc>
          <w:tcPr>
            <w:tcW w:w="5980" w:type="dxa"/>
            <w:vAlign w:val="bottom"/>
            <w:gridSpan w:val="3"/>
            <w:shd w:val="clear" w:color="auto" w:fill="CCEEFF"/>
          </w:tcPr>
          <w:p>
            <w:pPr>
              <w:ind w:left="40"/>
              <w:spacing w:after="0"/>
              <w:rPr>
                <w:sz w:val="20"/>
                <w:szCs w:val="20"/>
                <w:color w:val="auto"/>
              </w:rPr>
            </w:pPr>
            <w:r>
              <w:rPr>
                <w:rFonts w:ascii="Calibri" w:cs="Calibri" w:eastAsia="Calibri" w:hAnsi="Calibri"/>
                <w:sz w:val="14"/>
                <w:szCs w:val="14"/>
                <w:color w:val="auto"/>
              </w:rPr>
              <w:t>Wi-Fi, Bluetooth, GPS/GNSS SoCs</w:t>
            </w:r>
          </w:p>
        </w:tc>
        <w:tc>
          <w:tcPr>
            <w:tcW w:w="0" w:type="dxa"/>
            <w:vAlign w:val="bottom"/>
          </w:tcPr>
          <w:p>
            <w:pPr>
              <w:spacing w:after="0"/>
              <w:rPr>
                <w:sz w:val="1"/>
                <w:szCs w:val="1"/>
                <w:color w:val="auto"/>
              </w:rPr>
            </w:pPr>
          </w:p>
        </w:tc>
      </w:tr>
      <w:tr>
        <w:trPr>
          <w:trHeight w:val="198"/>
        </w:trPr>
        <w:tc>
          <w:tcPr>
            <w:tcW w:w="2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40" w:type="dxa"/>
            <w:vAlign w:val="bottom"/>
            <w:shd w:val="clear" w:color="auto" w:fill="CCEEFF"/>
          </w:tcPr>
          <w:p>
            <w:pPr>
              <w:ind w:left="20"/>
              <w:spacing w:after="0"/>
              <w:rPr>
                <w:sz w:val="20"/>
                <w:szCs w:val="20"/>
                <w:color w:val="auto"/>
              </w:rPr>
            </w:pPr>
            <w:r>
              <w:rPr>
                <w:rFonts w:ascii="Calibri" w:cs="Calibri" w:eastAsia="Calibri" w:hAnsi="Calibri"/>
                <w:sz w:val="14"/>
                <w:szCs w:val="14"/>
                <w:color w:val="auto"/>
              </w:rPr>
              <w:t>•</w:t>
            </w:r>
          </w:p>
        </w:tc>
        <w:tc>
          <w:tcPr>
            <w:tcW w:w="5980" w:type="dxa"/>
            <w:vAlign w:val="bottom"/>
            <w:gridSpan w:val="3"/>
            <w:shd w:val="clear" w:color="auto" w:fill="CCEEFF"/>
          </w:tcPr>
          <w:p>
            <w:pPr>
              <w:ind w:left="40"/>
              <w:spacing w:after="0"/>
              <w:rPr>
                <w:sz w:val="20"/>
                <w:szCs w:val="20"/>
                <w:color w:val="auto"/>
              </w:rPr>
            </w:pPr>
            <w:r>
              <w:rPr>
                <w:rFonts w:ascii="Calibri" w:cs="Calibri" w:eastAsia="Calibri" w:hAnsi="Calibri"/>
                <w:sz w:val="14"/>
                <w:szCs w:val="14"/>
                <w:color w:val="auto"/>
              </w:rPr>
              <w:t>Custom touch controllers</w:t>
            </w:r>
          </w:p>
        </w:tc>
        <w:tc>
          <w:tcPr>
            <w:tcW w:w="0" w:type="dxa"/>
            <w:vAlign w:val="bottom"/>
          </w:tcPr>
          <w:p>
            <w:pPr>
              <w:spacing w:after="0"/>
              <w:rPr>
                <w:sz w:val="1"/>
                <w:szCs w:val="1"/>
                <w:color w:val="auto"/>
              </w:rPr>
            </w:pPr>
          </w:p>
        </w:tc>
      </w:tr>
      <w:tr>
        <w:trPr>
          <w:trHeight w:val="223"/>
        </w:trPr>
        <w:tc>
          <w:tcPr>
            <w:tcW w:w="28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Calibri" w:cs="Calibri" w:eastAsia="Calibri" w:hAnsi="Calibri"/>
                <w:sz w:val="14"/>
                <w:szCs w:val="14"/>
                <w:color w:val="auto"/>
              </w:rPr>
              <w:t>•</w:t>
            </w:r>
          </w:p>
        </w:tc>
        <w:tc>
          <w:tcPr>
            <w:tcW w:w="5980" w:type="dxa"/>
            <w:vAlign w:val="bottom"/>
            <w:tcBorders>
              <w:bottom w:val="single" w:sz="8" w:color="CCEEFF"/>
            </w:tcBorders>
            <w:gridSpan w:val="3"/>
            <w:shd w:val="clear" w:color="auto" w:fill="CCEEFF"/>
          </w:tcPr>
          <w:p>
            <w:pPr>
              <w:ind w:left="40"/>
              <w:spacing w:after="0"/>
              <w:rPr>
                <w:sz w:val="20"/>
                <w:szCs w:val="20"/>
                <w:color w:val="auto"/>
              </w:rPr>
            </w:pPr>
            <w:r>
              <w:rPr>
                <w:rFonts w:ascii="Calibri" w:cs="Calibri" w:eastAsia="Calibri" w:hAnsi="Calibri"/>
                <w:sz w:val="14"/>
                <w:szCs w:val="14"/>
                <w:color w:val="auto"/>
              </w:rPr>
              <w:t>Inductve charging ASICs</w:t>
            </w:r>
          </w:p>
        </w:tc>
        <w:tc>
          <w:tcPr>
            <w:tcW w:w="0" w:type="dxa"/>
            <w:vAlign w:val="bottom"/>
          </w:tcPr>
          <w:p>
            <w:pPr>
              <w:spacing w:after="0"/>
              <w:rPr>
                <w:sz w:val="1"/>
                <w:szCs w:val="1"/>
                <w:color w:val="auto"/>
              </w:rPr>
            </w:pPr>
          </w:p>
        </w:tc>
      </w:tr>
      <w:tr>
        <w:trPr>
          <w:trHeight w:val="168"/>
        </w:trPr>
        <w:tc>
          <w:tcPr>
            <w:tcW w:w="1660" w:type="dxa"/>
            <w:vAlign w:val="bottom"/>
            <w:gridSpan w:val="3"/>
          </w:tcPr>
          <w:p>
            <w:pPr>
              <w:ind w:left="20"/>
              <w:spacing w:after="0" w:line="168" w:lineRule="exact"/>
              <w:rPr>
                <w:sz w:val="20"/>
                <w:szCs w:val="20"/>
                <w:color w:val="auto"/>
              </w:rPr>
            </w:pPr>
            <w:r>
              <w:rPr>
                <w:rFonts w:ascii="Calibri" w:cs="Calibri" w:eastAsia="Calibri" w:hAnsi="Calibri"/>
                <w:sz w:val="14"/>
                <w:szCs w:val="14"/>
                <w:color w:val="auto"/>
              </w:rPr>
              <w:t>Storage</w:t>
            </w:r>
          </w:p>
        </w:tc>
        <w:tc>
          <w:tcPr>
            <w:tcW w:w="140" w:type="dxa"/>
            <w:vAlign w:val="bottom"/>
          </w:tcPr>
          <w:p>
            <w:pPr>
              <w:ind w:left="20"/>
              <w:spacing w:after="0" w:line="168" w:lineRule="exact"/>
              <w:rPr>
                <w:sz w:val="20"/>
                <w:szCs w:val="20"/>
                <w:color w:val="auto"/>
              </w:rPr>
            </w:pPr>
            <w:r>
              <w:rPr>
                <w:rFonts w:ascii="Calibri" w:cs="Calibri" w:eastAsia="Calibri" w:hAnsi="Calibri"/>
                <w:sz w:val="14"/>
                <w:szCs w:val="14"/>
                <w:color w:val="auto"/>
              </w:rPr>
              <w:t>•</w:t>
            </w:r>
          </w:p>
        </w:tc>
        <w:tc>
          <w:tcPr>
            <w:tcW w:w="3320" w:type="dxa"/>
            <w:vAlign w:val="bottom"/>
            <w:gridSpan w:val="3"/>
          </w:tcPr>
          <w:p>
            <w:pPr>
              <w:ind w:left="60"/>
              <w:spacing w:after="0" w:line="168" w:lineRule="exact"/>
              <w:rPr>
                <w:sz w:val="20"/>
                <w:szCs w:val="20"/>
                <w:color w:val="auto"/>
              </w:rPr>
            </w:pPr>
            <w:r>
              <w:rPr>
                <w:rFonts w:ascii="Calibri" w:cs="Calibri" w:eastAsia="Calibri" w:hAnsi="Calibri"/>
                <w:sz w:val="14"/>
                <w:szCs w:val="14"/>
                <w:color w:val="auto"/>
              </w:rPr>
              <w:t>Servers and Storage Systems</w:t>
            </w:r>
          </w:p>
        </w:tc>
        <w:tc>
          <w:tcPr>
            <w:tcW w:w="140" w:type="dxa"/>
            <w:vAlign w:val="bottom"/>
          </w:tcPr>
          <w:p>
            <w:pPr>
              <w:ind w:left="20"/>
              <w:spacing w:after="0" w:line="168" w:lineRule="exact"/>
              <w:rPr>
                <w:sz w:val="20"/>
                <w:szCs w:val="20"/>
                <w:color w:val="auto"/>
              </w:rPr>
            </w:pPr>
            <w:r>
              <w:rPr>
                <w:rFonts w:ascii="Calibri" w:cs="Calibri" w:eastAsia="Calibri" w:hAnsi="Calibri"/>
                <w:sz w:val="14"/>
                <w:szCs w:val="14"/>
                <w:color w:val="auto"/>
              </w:rPr>
              <w:t>•</w:t>
            </w:r>
          </w:p>
        </w:tc>
        <w:tc>
          <w:tcPr>
            <w:tcW w:w="5980" w:type="dxa"/>
            <w:vAlign w:val="bottom"/>
            <w:gridSpan w:val="3"/>
          </w:tcPr>
          <w:p>
            <w:pPr>
              <w:ind w:left="40"/>
              <w:spacing w:after="0" w:line="168" w:lineRule="exact"/>
              <w:rPr>
                <w:sz w:val="20"/>
                <w:szCs w:val="20"/>
                <w:color w:val="auto"/>
              </w:rPr>
            </w:pPr>
            <w:r>
              <w:rPr>
                <w:rFonts w:ascii="Calibri" w:cs="Calibri" w:eastAsia="Calibri" w:hAnsi="Calibri"/>
                <w:sz w:val="14"/>
                <w:szCs w:val="14"/>
                <w:color w:val="auto"/>
              </w:rPr>
              <w:t>SAS and RAID controllers and adapters</w:t>
            </w:r>
          </w:p>
        </w:tc>
        <w:tc>
          <w:tcPr>
            <w:tcW w:w="0" w:type="dxa"/>
            <w:vAlign w:val="bottom"/>
          </w:tcPr>
          <w:p>
            <w:pPr>
              <w:spacing w:after="0"/>
              <w:rPr>
                <w:sz w:val="1"/>
                <w:szCs w:val="1"/>
                <w:color w:val="auto"/>
              </w:rPr>
            </w:pPr>
          </w:p>
        </w:tc>
      </w:tr>
      <w:tr>
        <w:trPr>
          <w:trHeight w:val="183"/>
        </w:trPr>
        <w:tc>
          <w:tcPr>
            <w:tcW w:w="2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40" w:type="dxa"/>
            <w:vAlign w:val="bottom"/>
          </w:tcPr>
          <w:p>
            <w:pPr>
              <w:ind w:left="20"/>
              <w:spacing w:after="0"/>
              <w:rPr>
                <w:sz w:val="20"/>
                <w:szCs w:val="20"/>
                <w:color w:val="auto"/>
              </w:rPr>
            </w:pPr>
            <w:r>
              <w:rPr>
                <w:rFonts w:ascii="Calibri" w:cs="Calibri" w:eastAsia="Calibri" w:hAnsi="Calibri"/>
                <w:sz w:val="14"/>
                <w:szCs w:val="14"/>
                <w:color w:val="auto"/>
              </w:rPr>
              <w:t>•</w:t>
            </w:r>
          </w:p>
        </w:tc>
        <w:tc>
          <w:tcPr>
            <w:tcW w:w="5980" w:type="dxa"/>
            <w:vAlign w:val="bottom"/>
            <w:gridSpan w:val="3"/>
          </w:tcPr>
          <w:p>
            <w:pPr>
              <w:ind w:left="40"/>
              <w:spacing w:after="0"/>
              <w:rPr>
                <w:sz w:val="20"/>
                <w:szCs w:val="20"/>
                <w:color w:val="auto"/>
              </w:rPr>
            </w:pPr>
            <w:r>
              <w:rPr>
                <w:rFonts w:ascii="Calibri" w:cs="Calibri" w:eastAsia="Calibri" w:hAnsi="Calibri"/>
                <w:sz w:val="14"/>
                <w:szCs w:val="14"/>
                <w:color w:val="auto"/>
              </w:rPr>
              <w:t>PCIe switches</w:t>
            </w:r>
          </w:p>
        </w:tc>
        <w:tc>
          <w:tcPr>
            <w:tcW w:w="0" w:type="dxa"/>
            <w:vAlign w:val="bottom"/>
          </w:tcPr>
          <w:p>
            <w:pPr>
              <w:spacing w:after="0"/>
              <w:rPr>
                <w:sz w:val="1"/>
                <w:szCs w:val="1"/>
                <w:color w:val="auto"/>
              </w:rPr>
            </w:pPr>
          </w:p>
        </w:tc>
      </w:tr>
      <w:tr>
        <w:trPr>
          <w:trHeight w:val="198"/>
        </w:trPr>
        <w:tc>
          <w:tcPr>
            <w:tcW w:w="2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40" w:type="dxa"/>
            <w:vAlign w:val="bottom"/>
          </w:tcPr>
          <w:p>
            <w:pPr>
              <w:ind w:left="20"/>
              <w:spacing w:after="0"/>
              <w:rPr>
                <w:sz w:val="20"/>
                <w:szCs w:val="20"/>
                <w:color w:val="auto"/>
              </w:rPr>
            </w:pPr>
            <w:r>
              <w:rPr>
                <w:rFonts w:ascii="Calibri" w:cs="Calibri" w:eastAsia="Calibri" w:hAnsi="Calibri"/>
                <w:sz w:val="14"/>
                <w:szCs w:val="14"/>
                <w:color w:val="auto"/>
              </w:rPr>
              <w:t>•</w:t>
            </w:r>
          </w:p>
        </w:tc>
        <w:tc>
          <w:tcPr>
            <w:tcW w:w="5980" w:type="dxa"/>
            <w:vAlign w:val="bottom"/>
            <w:gridSpan w:val="3"/>
          </w:tcPr>
          <w:p>
            <w:pPr>
              <w:ind w:left="40"/>
              <w:spacing w:after="0"/>
              <w:rPr>
                <w:sz w:val="20"/>
                <w:szCs w:val="20"/>
                <w:color w:val="auto"/>
              </w:rPr>
            </w:pPr>
            <w:r>
              <w:rPr>
                <w:rFonts w:ascii="Calibri" w:cs="Calibri" w:eastAsia="Calibri" w:hAnsi="Calibri"/>
                <w:sz w:val="14"/>
                <w:szCs w:val="14"/>
                <w:color w:val="auto"/>
              </w:rPr>
              <w:t>Fibre channel host bus adapters</w:t>
            </w:r>
          </w:p>
        </w:tc>
        <w:tc>
          <w:tcPr>
            <w:tcW w:w="0" w:type="dxa"/>
            <w:vAlign w:val="bottom"/>
          </w:tcPr>
          <w:p>
            <w:pPr>
              <w:spacing w:after="0"/>
              <w:rPr>
                <w:sz w:val="1"/>
                <w:szCs w:val="1"/>
                <w:color w:val="auto"/>
              </w:rPr>
            </w:pPr>
          </w:p>
        </w:tc>
      </w:tr>
      <w:tr>
        <w:trPr>
          <w:trHeight w:val="198"/>
        </w:trPr>
        <w:tc>
          <w:tcPr>
            <w:tcW w:w="2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40" w:type="dxa"/>
            <w:vAlign w:val="bottom"/>
          </w:tcPr>
          <w:p>
            <w:pPr>
              <w:ind w:left="20"/>
              <w:spacing w:after="0"/>
              <w:rPr>
                <w:sz w:val="20"/>
                <w:szCs w:val="20"/>
                <w:color w:val="auto"/>
              </w:rPr>
            </w:pPr>
            <w:r>
              <w:rPr>
                <w:rFonts w:ascii="Calibri" w:cs="Calibri" w:eastAsia="Calibri" w:hAnsi="Calibri"/>
                <w:sz w:val="14"/>
                <w:szCs w:val="14"/>
                <w:color w:val="auto"/>
              </w:rPr>
              <w:t>•</w:t>
            </w:r>
          </w:p>
        </w:tc>
        <w:tc>
          <w:tcPr>
            <w:tcW w:w="5980" w:type="dxa"/>
            <w:vAlign w:val="bottom"/>
            <w:gridSpan w:val="3"/>
          </w:tcPr>
          <w:p>
            <w:pPr>
              <w:ind w:left="40"/>
              <w:spacing w:after="0"/>
              <w:rPr>
                <w:sz w:val="20"/>
                <w:szCs w:val="20"/>
                <w:color w:val="auto"/>
              </w:rPr>
            </w:pPr>
            <w:r>
              <w:rPr>
                <w:rFonts w:ascii="Calibri" w:cs="Calibri" w:eastAsia="Calibri" w:hAnsi="Calibri"/>
                <w:sz w:val="14"/>
                <w:szCs w:val="14"/>
                <w:color w:val="auto"/>
              </w:rPr>
              <w:t>Ethernet NIC</w:t>
            </w:r>
          </w:p>
        </w:tc>
        <w:tc>
          <w:tcPr>
            <w:tcW w:w="0" w:type="dxa"/>
            <w:vAlign w:val="bottom"/>
          </w:tcPr>
          <w:p>
            <w:pPr>
              <w:spacing w:after="0"/>
              <w:rPr>
                <w:sz w:val="1"/>
                <w:szCs w:val="1"/>
                <w:color w:val="auto"/>
              </w:rPr>
            </w:pPr>
          </w:p>
        </w:tc>
      </w:tr>
      <w:tr>
        <w:trPr>
          <w:trHeight w:val="198"/>
        </w:trPr>
        <w:tc>
          <w:tcPr>
            <w:tcW w:w="2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ind w:left="20"/>
              <w:spacing w:after="0"/>
              <w:rPr>
                <w:sz w:val="20"/>
                <w:szCs w:val="20"/>
                <w:color w:val="auto"/>
              </w:rPr>
            </w:pPr>
            <w:r>
              <w:rPr>
                <w:rFonts w:ascii="Calibri" w:cs="Calibri" w:eastAsia="Calibri" w:hAnsi="Calibri"/>
                <w:sz w:val="14"/>
                <w:szCs w:val="14"/>
                <w:color w:val="auto"/>
              </w:rPr>
              <w:t>•</w:t>
            </w:r>
          </w:p>
        </w:tc>
        <w:tc>
          <w:tcPr>
            <w:tcW w:w="3320" w:type="dxa"/>
            <w:vAlign w:val="bottom"/>
            <w:gridSpan w:val="3"/>
          </w:tcPr>
          <w:p>
            <w:pPr>
              <w:ind w:left="60"/>
              <w:spacing w:after="0"/>
              <w:rPr>
                <w:sz w:val="20"/>
                <w:szCs w:val="20"/>
                <w:color w:val="auto"/>
              </w:rPr>
            </w:pPr>
            <w:r>
              <w:rPr>
                <w:rFonts w:ascii="Calibri" w:cs="Calibri" w:eastAsia="Calibri" w:hAnsi="Calibri"/>
                <w:sz w:val="14"/>
                <w:szCs w:val="14"/>
                <w:color w:val="auto"/>
              </w:rPr>
              <w:t>HDD and SSD</w:t>
            </w:r>
          </w:p>
        </w:tc>
        <w:tc>
          <w:tcPr>
            <w:tcW w:w="140" w:type="dxa"/>
            <w:vAlign w:val="bottom"/>
          </w:tcPr>
          <w:p>
            <w:pPr>
              <w:ind w:left="20"/>
              <w:spacing w:after="0"/>
              <w:rPr>
                <w:sz w:val="20"/>
                <w:szCs w:val="20"/>
                <w:color w:val="auto"/>
              </w:rPr>
            </w:pPr>
            <w:r>
              <w:rPr>
                <w:rFonts w:ascii="Calibri" w:cs="Calibri" w:eastAsia="Calibri" w:hAnsi="Calibri"/>
                <w:sz w:val="14"/>
                <w:szCs w:val="14"/>
                <w:color w:val="auto"/>
              </w:rPr>
              <w:t>•</w:t>
            </w:r>
          </w:p>
        </w:tc>
        <w:tc>
          <w:tcPr>
            <w:tcW w:w="5980" w:type="dxa"/>
            <w:vAlign w:val="bottom"/>
            <w:gridSpan w:val="3"/>
          </w:tcPr>
          <w:p>
            <w:pPr>
              <w:ind w:left="40"/>
              <w:spacing w:after="0"/>
              <w:rPr>
                <w:sz w:val="20"/>
                <w:szCs w:val="20"/>
                <w:color w:val="auto"/>
              </w:rPr>
            </w:pPr>
            <w:r>
              <w:rPr>
                <w:rFonts w:ascii="Calibri" w:cs="Calibri" w:eastAsia="Calibri" w:hAnsi="Calibri"/>
                <w:sz w:val="14"/>
                <w:szCs w:val="14"/>
                <w:color w:val="auto"/>
              </w:rPr>
              <w:t>Read channel based SoCs; Custom fash controllers</w:t>
            </w:r>
          </w:p>
        </w:tc>
        <w:tc>
          <w:tcPr>
            <w:tcW w:w="0" w:type="dxa"/>
            <w:vAlign w:val="bottom"/>
          </w:tcPr>
          <w:p>
            <w:pPr>
              <w:spacing w:after="0"/>
              <w:rPr>
                <w:sz w:val="1"/>
                <w:szCs w:val="1"/>
                <w:color w:val="auto"/>
              </w:rPr>
            </w:pPr>
          </w:p>
        </w:tc>
      </w:tr>
      <w:tr>
        <w:trPr>
          <w:trHeight w:val="198"/>
        </w:trPr>
        <w:tc>
          <w:tcPr>
            <w:tcW w:w="2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40" w:type="dxa"/>
            <w:vAlign w:val="bottom"/>
          </w:tcPr>
          <w:p>
            <w:pPr>
              <w:ind w:left="20"/>
              <w:spacing w:after="0"/>
              <w:rPr>
                <w:sz w:val="20"/>
                <w:szCs w:val="20"/>
                <w:color w:val="auto"/>
              </w:rPr>
            </w:pPr>
            <w:r>
              <w:rPr>
                <w:rFonts w:ascii="Calibri" w:cs="Calibri" w:eastAsia="Calibri" w:hAnsi="Calibri"/>
                <w:sz w:val="14"/>
                <w:szCs w:val="14"/>
                <w:color w:val="auto"/>
              </w:rPr>
              <w:t>•</w:t>
            </w:r>
          </w:p>
        </w:tc>
        <w:tc>
          <w:tcPr>
            <w:tcW w:w="5980" w:type="dxa"/>
            <w:vAlign w:val="bottom"/>
            <w:gridSpan w:val="3"/>
          </w:tcPr>
          <w:p>
            <w:pPr>
              <w:ind w:left="40"/>
              <w:spacing w:after="0"/>
              <w:rPr>
                <w:sz w:val="20"/>
                <w:szCs w:val="20"/>
                <w:color w:val="auto"/>
              </w:rPr>
            </w:pPr>
            <w:r>
              <w:rPr>
                <w:rFonts w:ascii="Calibri" w:cs="Calibri" w:eastAsia="Calibri" w:hAnsi="Calibri"/>
                <w:sz w:val="14"/>
                <w:szCs w:val="14"/>
                <w:color w:val="auto"/>
              </w:rPr>
              <w:t>Preamplifers</w:t>
            </w:r>
          </w:p>
        </w:tc>
        <w:tc>
          <w:tcPr>
            <w:tcW w:w="0" w:type="dxa"/>
            <w:vAlign w:val="bottom"/>
          </w:tcPr>
          <w:p>
            <w:pPr>
              <w:spacing w:after="0"/>
              <w:rPr>
                <w:sz w:val="1"/>
                <w:szCs w:val="1"/>
                <w:color w:val="auto"/>
              </w:rPr>
            </w:pPr>
          </w:p>
        </w:tc>
      </w:tr>
      <w:tr>
        <w:trPr>
          <w:trHeight w:val="45"/>
        </w:trPr>
        <w:tc>
          <w:tcPr>
            <w:tcW w:w="2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40" w:type="dxa"/>
            <w:vAlign w:val="bottom"/>
          </w:tcPr>
          <w:p>
            <w:pPr>
              <w:spacing w:after="0"/>
              <w:rPr>
                <w:sz w:val="3"/>
                <w:szCs w:val="3"/>
                <w:color w:val="auto"/>
              </w:rPr>
            </w:pPr>
          </w:p>
        </w:tc>
        <w:tc>
          <w:tcPr>
            <w:tcW w:w="2180" w:type="dxa"/>
            <w:vAlign w:val="bottom"/>
          </w:tcPr>
          <w:p>
            <w:pPr>
              <w:spacing w:after="0"/>
              <w:rPr>
                <w:sz w:val="3"/>
                <w:szCs w:val="3"/>
                <w:color w:val="auto"/>
              </w:rPr>
            </w:pPr>
          </w:p>
        </w:tc>
        <w:tc>
          <w:tcPr>
            <w:tcW w:w="1480" w:type="dxa"/>
            <w:vAlign w:val="bottom"/>
          </w:tcPr>
          <w:p>
            <w:pPr>
              <w:spacing w:after="0"/>
              <w:rPr>
                <w:sz w:val="3"/>
                <w:szCs w:val="3"/>
                <w:color w:val="auto"/>
              </w:rPr>
            </w:pPr>
          </w:p>
        </w:tc>
        <w:tc>
          <w:tcPr>
            <w:tcW w:w="23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31"/>
        </w:trPr>
        <w:tc>
          <w:tcPr>
            <w:tcW w:w="1660" w:type="dxa"/>
            <w:vAlign w:val="bottom"/>
            <w:gridSpan w:val="3"/>
            <w:shd w:val="clear" w:color="auto" w:fill="CCEEFF"/>
          </w:tcPr>
          <w:p>
            <w:pPr>
              <w:ind w:left="20"/>
              <w:spacing w:after="0" w:line="131" w:lineRule="exact"/>
              <w:rPr>
                <w:sz w:val="20"/>
                <w:szCs w:val="20"/>
                <w:color w:val="auto"/>
              </w:rPr>
            </w:pPr>
            <w:r>
              <w:rPr>
                <w:rFonts w:ascii="Calibri" w:cs="Calibri" w:eastAsia="Calibri" w:hAnsi="Calibri"/>
                <w:sz w:val="14"/>
                <w:szCs w:val="14"/>
                <w:color w:val="auto"/>
              </w:rPr>
              <w:t>Industrial</w:t>
            </w:r>
          </w:p>
        </w:tc>
        <w:tc>
          <w:tcPr>
            <w:tcW w:w="140" w:type="dxa"/>
            <w:vAlign w:val="bottom"/>
            <w:shd w:val="clear" w:color="auto" w:fill="CCEEFF"/>
          </w:tcPr>
          <w:p>
            <w:pPr>
              <w:ind w:left="20"/>
              <w:spacing w:after="0" w:line="131" w:lineRule="exact"/>
              <w:rPr>
                <w:sz w:val="20"/>
                <w:szCs w:val="20"/>
                <w:color w:val="auto"/>
              </w:rPr>
            </w:pPr>
            <w:r>
              <w:rPr>
                <w:rFonts w:ascii="Calibri" w:cs="Calibri" w:eastAsia="Calibri" w:hAnsi="Calibri"/>
                <w:sz w:val="14"/>
                <w:szCs w:val="14"/>
                <w:color w:val="auto"/>
              </w:rPr>
              <w:t>•</w:t>
            </w:r>
          </w:p>
        </w:tc>
        <w:tc>
          <w:tcPr>
            <w:tcW w:w="3320" w:type="dxa"/>
            <w:vAlign w:val="bottom"/>
            <w:gridSpan w:val="3"/>
            <w:shd w:val="clear" w:color="auto" w:fill="CCEEFF"/>
          </w:tcPr>
          <w:p>
            <w:pPr>
              <w:ind w:left="60"/>
              <w:spacing w:after="0" w:line="131" w:lineRule="exact"/>
              <w:rPr>
                <w:sz w:val="20"/>
                <w:szCs w:val="20"/>
                <w:color w:val="auto"/>
              </w:rPr>
            </w:pPr>
            <w:r>
              <w:rPr>
                <w:rFonts w:ascii="Calibri" w:cs="Calibri" w:eastAsia="Calibri" w:hAnsi="Calibri"/>
                <w:sz w:val="14"/>
                <w:szCs w:val="14"/>
                <w:color w:val="auto"/>
              </w:rPr>
              <w:t>Factory Automaton, Renewable Energy and Automotve</w:t>
            </w:r>
          </w:p>
        </w:tc>
        <w:tc>
          <w:tcPr>
            <w:tcW w:w="140" w:type="dxa"/>
            <w:vAlign w:val="bottom"/>
            <w:shd w:val="clear" w:color="auto" w:fill="CCEEFF"/>
          </w:tcPr>
          <w:p>
            <w:pPr>
              <w:ind w:left="20"/>
              <w:spacing w:after="0" w:line="131" w:lineRule="exact"/>
              <w:rPr>
                <w:sz w:val="20"/>
                <w:szCs w:val="20"/>
                <w:color w:val="auto"/>
              </w:rPr>
            </w:pPr>
            <w:r>
              <w:rPr>
                <w:rFonts w:ascii="Calibri" w:cs="Calibri" w:eastAsia="Calibri" w:hAnsi="Calibri"/>
                <w:sz w:val="14"/>
                <w:szCs w:val="14"/>
                <w:color w:val="auto"/>
              </w:rPr>
              <w:t>•</w:t>
            </w:r>
          </w:p>
        </w:tc>
        <w:tc>
          <w:tcPr>
            <w:tcW w:w="5980" w:type="dxa"/>
            <w:vAlign w:val="bottom"/>
            <w:gridSpan w:val="3"/>
            <w:shd w:val="clear" w:color="auto" w:fill="CCEEFF"/>
          </w:tcPr>
          <w:p>
            <w:pPr>
              <w:ind w:left="40"/>
              <w:spacing w:after="0" w:line="131" w:lineRule="exact"/>
              <w:rPr>
                <w:sz w:val="20"/>
                <w:szCs w:val="20"/>
                <w:color w:val="auto"/>
              </w:rPr>
            </w:pPr>
            <w:r>
              <w:rPr>
                <w:rFonts w:ascii="Calibri" w:cs="Calibri" w:eastAsia="Calibri" w:hAnsi="Calibri"/>
                <w:sz w:val="14"/>
                <w:szCs w:val="14"/>
                <w:color w:val="auto"/>
              </w:rPr>
              <w:t>Optocouplers</w:t>
            </w:r>
          </w:p>
        </w:tc>
        <w:tc>
          <w:tcPr>
            <w:tcW w:w="0" w:type="dxa"/>
            <w:vAlign w:val="bottom"/>
          </w:tcPr>
          <w:p>
            <w:pPr>
              <w:spacing w:after="0"/>
              <w:rPr>
                <w:sz w:val="1"/>
                <w:szCs w:val="1"/>
                <w:color w:val="auto"/>
              </w:rPr>
            </w:pPr>
          </w:p>
        </w:tc>
      </w:tr>
      <w:tr>
        <w:trPr>
          <w:trHeight w:val="168"/>
        </w:trPr>
        <w:tc>
          <w:tcPr>
            <w:tcW w:w="28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320" w:type="dxa"/>
            <w:vAlign w:val="bottom"/>
            <w:gridSpan w:val="3"/>
            <w:shd w:val="clear" w:color="auto" w:fill="CCEEFF"/>
          </w:tcPr>
          <w:p>
            <w:pPr>
              <w:ind w:left="40"/>
              <w:spacing w:after="0" w:line="168" w:lineRule="exact"/>
              <w:rPr>
                <w:sz w:val="20"/>
                <w:szCs w:val="20"/>
                <w:color w:val="auto"/>
              </w:rPr>
            </w:pPr>
            <w:r>
              <w:rPr>
                <w:rFonts w:ascii="Calibri" w:cs="Calibri" w:eastAsia="Calibri" w:hAnsi="Calibri"/>
                <w:sz w:val="14"/>
                <w:szCs w:val="14"/>
                <w:color w:val="auto"/>
              </w:rPr>
              <w:t>Electronics</w:t>
            </w:r>
          </w:p>
        </w:tc>
        <w:tc>
          <w:tcPr>
            <w:tcW w:w="140" w:type="dxa"/>
            <w:vAlign w:val="bottom"/>
            <w:vMerge w:val="restart"/>
            <w:shd w:val="clear" w:color="auto" w:fill="CCEEFF"/>
          </w:tcPr>
          <w:p>
            <w:pPr>
              <w:ind w:left="20"/>
              <w:spacing w:after="0"/>
              <w:rPr>
                <w:sz w:val="20"/>
                <w:szCs w:val="20"/>
                <w:color w:val="auto"/>
              </w:rPr>
            </w:pPr>
            <w:r>
              <w:rPr>
                <w:rFonts w:ascii="Calibri" w:cs="Calibri" w:eastAsia="Calibri" w:hAnsi="Calibri"/>
                <w:sz w:val="14"/>
                <w:szCs w:val="14"/>
                <w:color w:val="auto"/>
              </w:rPr>
              <w:t>•</w:t>
            </w:r>
          </w:p>
        </w:tc>
        <w:tc>
          <w:tcPr>
            <w:tcW w:w="5980" w:type="dxa"/>
            <w:vAlign w:val="bottom"/>
            <w:gridSpan w:val="3"/>
            <w:vMerge w:val="restart"/>
            <w:shd w:val="clear" w:color="auto" w:fill="CCEEFF"/>
          </w:tcPr>
          <w:p>
            <w:pPr>
              <w:ind w:left="40"/>
              <w:spacing w:after="0"/>
              <w:rPr>
                <w:sz w:val="20"/>
                <w:szCs w:val="20"/>
                <w:color w:val="auto"/>
              </w:rPr>
            </w:pPr>
            <w:r>
              <w:rPr>
                <w:rFonts w:ascii="Calibri" w:cs="Calibri" w:eastAsia="Calibri" w:hAnsi="Calibri"/>
                <w:sz w:val="14"/>
                <w:szCs w:val="14"/>
                <w:color w:val="auto"/>
              </w:rPr>
              <w:t>Industrial fber optcs</w:t>
            </w:r>
          </w:p>
        </w:tc>
        <w:tc>
          <w:tcPr>
            <w:tcW w:w="0" w:type="dxa"/>
            <w:vAlign w:val="bottom"/>
          </w:tcPr>
          <w:p>
            <w:pPr>
              <w:spacing w:after="0"/>
              <w:rPr>
                <w:sz w:val="1"/>
                <w:szCs w:val="1"/>
                <w:color w:val="auto"/>
              </w:rPr>
            </w:pPr>
          </w:p>
        </w:tc>
      </w:tr>
      <w:tr>
        <w:trPr>
          <w:trHeight w:val="106"/>
        </w:trPr>
        <w:tc>
          <w:tcPr>
            <w:tcW w:w="280" w:type="dxa"/>
            <w:vAlign w:val="bottom"/>
            <w:shd w:val="clear" w:color="auto" w:fill="CCEEFF"/>
          </w:tcPr>
          <w:p>
            <w:pPr>
              <w:spacing w:after="0"/>
              <w:rPr>
                <w:sz w:val="9"/>
                <w:szCs w:val="9"/>
                <w:color w:val="auto"/>
              </w:rPr>
            </w:pPr>
          </w:p>
        </w:tc>
        <w:tc>
          <w:tcPr>
            <w:tcW w:w="112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040" w:type="dxa"/>
            <w:vAlign w:val="bottom"/>
            <w:shd w:val="clear" w:color="auto" w:fill="CCEEFF"/>
          </w:tcPr>
          <w:p>
            <w:pPr>
              <w:spacing w:after="0"/>
              <w:rPr>
                <w:sz w:val="9"/>
                <w:szCs w:val="9"/>
                <w:color w:val="auto"/>
              </w:rPr>
            </w:pPr>
          </w:p>
        </w:tc>
        <w:tc>
          <w:tcPr>
            <w:tcW w:w="1100" w:type="dxa"/>
            <w:vAlign w:val="bottom"/>
            <w:shd w:val="clear" w:color="auto" w:fill="CCEEFF"/>
          </w:tcPr>
          <w:p>
            <w:pPr>
              <w:spacing w:after="0"/>
              <w:rPr>
                <w:sz w:val="9"/>
                <w:szCs w:val="9"/>
                <w:color w:val="auto"/>
              </w:rPr>
            </w:pPr>
          </w:p>
        </w:tc>
        <w:tc>
          <w:tcPr>
            <w:tcW w:w="1180" w:type="dxa"/>
            <w:vAlign w:val="bottom"/>
            <w:shd w:val="clear" w:color="auto" w:fill="CCEEFF"/>
          </w:tcPr>
          <w:p>
            <w:pPr>
              <w:spacing w:after="0"/>
              <w:rPr>
                <w:sz w:val="9"/>
                <w:szCs w:val="9"/>
                <w:color w:val="auto"/>
              </w:rPr>
            </w:pPr>
          </w:p>
        </w:tc>
        <w:tc>
          <w:tcPr>
            <w:tcW w:w="140" w:type="dxa"/>
            <w:vAlign w:val="bottom"/>
            <w:vMerge w:val="continue"/>
            <w:shd w:val="clear" w:color="auto" w:fill="CCEEFF"/>
          </w:tcPr>
          <w:p>
            <w:pPr>
              <w:spacing w:after="0"/>
              <w:rPr>
                <w:sz w:val="9"/>
                <w:szCs w:val="9"/>
                <w:color w:val="auto"/>
              </w:rPr>
            </w:pPr>
          </w:p>
        </w:tc>
        <w:tc>
          <w:tcPr>
            <w:tcW w:w="5980" w:type="dxa"/>
            <w:vAlign w:val="bottom"/>
            <w:gridSpan w:val="3"/>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51"/>
        </w:trPr>
        <w:tc>
          <w:tcPr>
            <w:tcW w:w="28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40" w:type="dxa"/>
            <w:vAlign w:val="bottom"/>
            <w:shd w:val="clear" w:color="auto" w:fill="CCEEFF"/>
          </w:tcPr>
          <w:p>
            <w:pPr>
              <w:ind w:left="20"/>
              <w:spacing w:after="0"/>
              <w:rPr>
                <w:sz w:val="20"/>
                <w:szCs w:val="20"/>
                <w:color w:val="auto"/>
              </w:rPr>
            </w:pPr>
            <w:r>
              <w:rPr>
                <w:rFonts w:ascii="Calibri" w:cs="Calibri" w:eastAsia="Calibri" w:hAnsi="Calibri"/>
                <w:sz w:val="14"/>
                <w:szCs w:val="14"/>
                <w:color w:val="auto"/>
              </w:rPr>
              <w:t>•</w:t>
            </w:r>
          </w:p>
        </w:tc>
        <w:tc>
          <w:tcPr>
            <w:tcW w:w="5980" w:type="dxa"/>
            <w:vAlign w:val="bottom"/>
            <w:gridSpan w:val="3"/>
            <w:shd w:val="clear" w:color="auto" w:fill="CCEEFF"/>
          </w:tcPr>
          <w:p>
            <w:pPr>
              <w:ind w:left="40"/>
              <w:spacing w:after="0"/>
              <w:rPr>
                <w:sz w:val="20"/>
                <w:szCs w:val="20"/>
                <w:color w:val="auto"/>
              </w:rPr>
            </w:pPr>
            <w:r>
              <w:rPr>
                <w:rFonts w:ascii="Calibri" w:cs="Calibri" w:eastAsia="Calibri" w:hAnsi="Calibri"/>
                <w:sz w:val="14"/>
                <w:szCs w:val="14"/>
                <w:color w:val="auto"/>
              </w:rPr>
              <w:t>Industrial and medical sensors</w:t>
            </w:r>
          </w:p>
        </w:tc>
        <w:tc>
          <w:tcPr>
            <w:tcW w:w="0" w:type="dxa"/>
            <w:vAlign w:val="bottom"/>
          </w:tcPr>
          <w:p>
            <w:pPr>
              <w:spacing w:after="0"/>
              <w:rPr>
                <w:sz w:val="1"/>
                <w:szCs w:val="1"/>
                <w:color w:val="auto"/>
              </w:rPr>
            </w:pPr>
          </w:p>
        </w:tc>
      </w:tr>
      <w:tr>
        <w:trPr>
          <w:trHeight w:val="198"/>
        </w:trPr>
        <w:tc>
          <w:tcPr>
            <w:tcW w:w="2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40" w:type="dxa"/>
            <w:vAlign w:val="bottom"/>
            <w:shd w:val="clear" w:color="auto" w:fill="CCEEFF"/>
          </w:tcPr>
          <w:p>
            <w:pPr>
              <w:ind w:left="20"/>
              <w:spacing w:after="0"/>
              <w:rPr>
                <w:sz w:val="20"/>
                <w:szCs w:val="20"/>
                <w:color w:val="auto"/>
              </w:rPr>
            </w:pPr>
            <w:r>
              <w:rPr>
                <w:rFonts w:ascii="Calibri" w:cs="Calibri" w:eastAsia="Calibri" w:hAnsi="Calibri"/>
                <w:sz w:val="14"/>
                <w:szCs w:val="14"/>
                <w:color w:val="auto"/>
              </w:rPr>
              <w:t>•</w:t>
            </w:r>
          </w:p>
        </w:tc>
        <w:tc>
          <w:tcPr>
            <w:tcW w:w="5980" w:type="dxa"/>
            <w:vAlign w:val="bottom"/>
            <w:gridSpan w:val="3"/>
            <w:shd w:val="clear" w:color="auto" w:fill="CCEEFF"/>
          </w:tcPr>
          <w:p>
            <w:pPr>
              <w:ind w:left="40"/>
              <w:spacing w:after="0"/>
              <w:rPr>
                <w:sz w:val="20"/>
                <w:szCs w:val="20"/>
                <w:color w:val="auto"/>
              </w:rPr>
            </w:pPr>
            <w:r>
              <w:rPr>
                <w:rFonts w:ascii="Calibri" w:cs="Calibri" w:eastAsia="Calibri" w:hAnsi="Calibri"/>
                <w:sz w:val="14"/>
                <w:szCs w:val="14"/>
                <w:color w:val="auto"/>
              </w:rPr>
              <w:t>Moton control encoders and subsystems</w:t>
            </w:r>
          </w:p>
        </w:tc>
        <w:tc>
          <w:tcPr>
            <w:tcW w:w="0" w:type="dxa"/>
            <w:vAlign w:val="bottom"/>
          </w:tcPr>
          <w:p>
            <w:pPr>
              <w:spacing w:after="0"/>
              <w:rPr>
                <w:sz w:val="1"/>
                <w:szCs w:val="1"/>
                <w:color w:val="auto"/>
              </w:rPr>
            </w:pPr>
          </w:p>
        </w:tc>
      </w:tr>
      <w:tr>
        <w:trPr>
          <w:trHeight w:val="198"/>
        </w:trPr>
        <w:tc>
          <w:tcPr>
            <w:tcW w:w="2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40" w:type="dxa"/>
            <w:vAlign w:val="bottom"/>
            <w:shd w:val="clear" w:color="auto" w:fill="CCEEFF"/>
          </w:tcPr>
          <w:p>
            <w:pPr>
              <w:ind w:left="20"/>
              <w:spacing w:after="0"/>
              <w:rPr>
                <w:sz w:val="20"/>
                <w:szCs w:val="20"/>
                <w:color w:val="auto"/>
              </w:rPr>
            </w:pPr>
            <w:r>
              <w:rPr>
                <w:rFonts w:ascii="Calibri" w:cs="Calibri" w:eastAsia="Calibri" w:hAnsi="Calibri"/>
                <w:sz w:val="14"/>
                <w:szCs w:val="14"/>
                <w:color w:val="auto"/>
              </w:rPr>
              <w:t>•</w:t>
            </w:r>
          </w:p>
        </w:tc>
        <w:tc>
          <w:tcPr>
            <w:tcW w:w="5980" w:type="dxa"/>
            <w:vAlign w:val="bottom"/>
            <w:gridSpan w:val="3"/>
            <w:shd w:val="clear" w:color="auto" w:fill="CCEEFF"/>
          </w:tcPr>
          <w:p>
            <w:pPr>
              <w:ind w:left="40"/>
              <w:spacing w:after="0"/>
              <w:rPr>
                <w:sz w:val="20"/>
                <w:szCs w:val="20"/>
                <w:color w:val="auto"/>
              </w:rPr>
            </w:pPr>
            <w:r>
              <w:rPr>
                <w:rFonts w:ascii="Calibri" w:cs="Calibri" w:eastAsia="Calibri" w:hAnsi="Calibri"/>
                <w:sz w:val="14"/>
                <w:szCs w:val="14"/>
                <w:color w:val="auto"/>
              </w:rPr>
              <w:t>Light emitng diode</w:t>
            </w:r>
          </w:p>
        </w:tc>
        <w:tc>
          <w:tcPr>
            <w:tcW w:w="0" w:type="dxa"/>
            <w:vAlign w:val="bottom"/>
          </w:tcPr>
          <w:p>
            <w:pPr>
              <w:spacing w:after="0"/>
              <w:rPr>
                <w:sz w:val="1"/>
                <w:szCs w:val="1"/>
                <w:color w:val="auto"/>
              </w:rPr>
            </w:pPr>
          </w:p>
        </w:tc>
      </w:tr>
      <w:tr>
        <w:trPr>
          <w:trHeight w:val="198"/>
        </w:trPr>
        <w:tc>
          <w:tcPr>
            <w:tcW w:w="2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40" w:type="dxa"/>
            <w:vAlign w:val="bottom"/>
            <w:shd w:val="clear" w:color="auto" w:fill="CCEEFF"/>
          </w:tcPr>
          <w:p>
            <w:pPr>
              <w:ind w:left="20"/>
              <w:spacing w:after="0"/>
              <w:rPr>
                <w:sz w:val="20"/>
                <w:szCs w:val="20"/>
                <w:color w:val="auto"/>
              </w:rPr>
            </w:pPr>
            <w:r>
              <w:rPr>
                <w:rFonts w:ascii="Calibri" w:cs="Calibri" w:eastAsia="Calibri" w:hAnsi="Calibri"/>
                <w:sz w:val="14"/>
                <w:szCs w:val="14"/>
                <w:color w:val="auto"/>
              </w:rPr>
              <w:t>•</w:t>
            </w:r>
          </w:p>
        </w:tc>
        <w:tc>
          <w:tcPr>
            <w:tcW w:w="5980" w:type="dxa"/>
            <w:vAlign w:val="bottom"/>
            <w:gridSpan w:val="3"/>
            <w:shd w:val="clear" w:color="auto" w:fill="CCEEFF"/>
          </w:tcPr>
          <w:p>
            <w:pPr>
              <w:ind w:left="40"/>
              <w:spacing w:after="0"/>
              <w:rPr>
                <w:sz w:val="20"/>
                <w:szCs w:val="20"/>
                <w:color w:val="auto"/>
              </w:rPr>
            </w:pPr>
            <w:r>
              <w:rPr>
                <w:rFonts w:ascii="Calibri" w:cs="Calibri" w:eastAsia="Calibri" w:hAnsi="Calibri"/>
                <w:sz w:val="14"/>
                <w:szCs w:val="14"/>
                <w:color w:val="auto"/>
              </w:rPr>
              <w:t>Ethernet PHYs, switch ICs and camera microcontrollers</w:t>
            </w:r>
          </w:p>
        </w:tc>
        <w:tc>
          <w:tcPr>
            <w:tcW w:w="0" w:type="dxa"/>
            <w:vAlign w:val="bottom"/>
          </w:tcPr>
          <w:p>
            <w:pPr>
              <w:spacing w:after="0"/>
              <w:rPr>
                <w:sz w:val="1"/>
                <w:szCs w:val="1"/>
                <w:color w:val="auto"/>
              </w:rPr>
            </w:pPr>
          </w:p>
        </w:tc>
      </w:tr>
      <w:tr>
        <w:trPr>
          <w:trHeight w:val="45"/>
        </w:trPr>
        <w:tc>
          <w:tcPr>
            <w:tcW w:w="280" w:type="dxa"/>
            <w:vAlign w:val="bottom"/>
            <w:shd w:val="clear" w:color="auto" w:fill="CCEEFF"/>
          </w:tcPr>
          <w:p>
            <w:pPr>
              <w:spacing w:after="0"/>
              <w:rPr>
                <w:sz w:val="3"/>
                <w:szCs w:val="3"/>
                <w:color w:val="auto"/>
              </w:rPr>
            </w:pPr>
          </w:p>
        </w:tc>
        <w:tc>
          <w:tcPr>
            <w:tcW w:w="112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040" w:type="dxa"/>
            <w:vAlign w:val="bottom"/>
            <w:shd w:val="clear" w:color="auto" w:fill="CCEEFF"/>
          </w:tcPr>
          <w:p>
            <w:pPr>
              <w:spacing w:after="0"/>
              <w:rPr>
                <w:sz w:val="3"/>
                <w:szCs w:val="3"/>
                <w:color w:val="auto"/>
              </w:rPr>
            </w:pPr>
          </w:p>
        </w:tc>
        <w:tc>
          <w:tcPr>
            <w:tcW w:w="1100" w:type="dxa"/>
            <w:vAlign w:val="bottom"/>
            <w:shd w:val="clear" w:color="auto" w:fill="CCEEFF"/>
          </w:tcPr>
          <w:p>
            <w:pPr>
              <w:spacing w:after="0"/>
              <w:rPr>
                <w:sz w:val="3"/>
                <w:szCs w:val="3"/>
                <w:color w:val="auto"/>
              </w:rPr>
            </w:pPr>
          </w:p>
        </w:tc>
        <w:tc>
          <w:tcPr>
            <w:tcW w:w="118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2180" w:type="dxa"/>
            <w:vAlign w:val="bottom"/>
            <w:shd w:val="clear" w:color="auto" w:fill="CCEEFF"/>
          </w:tcPr>
          <w:p>
            <w:pPr>
              <w:spacing w:after="0"/>
              <w:rPr>
                <w:sz w:val="3"/>
                <w:szCs w:val="3"/>
                <w:color w:val="auto"/>
              </w:rPr>
            </w:pPr>
          </w:p>
        </w:tc>
        <w:tc>
          <w:tcPr>
            <w:tcW w:w="1480" w:type="dxa"/>
            <w:vAlign w:val="bottom"/>
            <w:shd w:val="clear" w:color="auto" w:fill="CCEEFF"/>
          </w:tcPr>
          <w:p>
            <w:pPr>
              <w:spacing w:after="0"/>
              <w:rPr>
                <w:sz w:val="3"/>
                <w:szCs w:val="3"/>
                <w:color w:val="auto"/>
              </w:rPr>
            </w:pPr>
          </w:p>
        </w:tc>
        <w:tc>
          <w:tcPr>
            <w:tcW w:w="2320" w:type="dxa"/>
            <w:vAlign w:val="bottom"/>
            <w:shd w:val="clear" w:color="auto" w:fill="CCEEFF"/>
          </w:tcPr>
          <w:p>
            <w:pPr>
              <w:spacing w:after="0"/>
              <w:rPr>
                <w:sz w:val="3"/>
                <w:szCs w:val="3"/>
                <w:color w:val="auto"/>
              </w:rPr>
            </w:pPr>
          </w:p>
        </w:tc>
        <w:tc>
          <w:tcPr>
            <w:tcW w:w="0" w:type="dxa"/>
            <w:vAlign w:val="bottom"/>
          </w:tcPr>
          <w:p>
            <w:pPr>
              <w:spacing w:after="0"/>
              <w:rPr>
                <w:sz w:val="1"/>
                <w:szCs w:val="1"/>
                <w:color w:val="auto"/>
              </w:rPr>
            </w:pPr>
          </w:p>
        </w:tc>
      </w:tr>
    </w:tbl>
    <w:p>
      <w:pPr>
        <w:spacing w:after="0" w:line="177" w:lineRule="exact"/>
        <w:rPr>
          <w:sz w:val="20"/>
          <w:szCs w:val="20"/>
          <w:color w:val="auto"/>
        </w:rPr>
      </w:pPr>
    </w:p>
    <w:p>
      <w:pPr>
        <w:ind w:right="340" w:firstLine="396"/>
        <w:spacing w:after="0" w:line="230" w:lineRule="auto"/>
        <w:rPr>
          <w:sz w:val="20"/>
          <w:szCs w:val="20"/>
          <w:color w:val="auto"/>
        </w:rPr>
      </w:pPr>
      <w:r>
        <w:rPr>
          <w:rFonts w:ascii="Calibri" w:cs="Calibri" w:eastAsia="Calibri" w:hAnsi="Calibri"/>
          <w:sz w:val="18"/>
          <w:szCs w:val="18"/>
          <w:b w:val="1"/>
          <w:bCs w:val="1"/>
          <w:i w:val="1"/>
          <w:iCs w:val="1"/>
          <w:color w:val="auto"/>
        </w:rPr>
        <w:t xml:space="preserve">Set-Top Box Solutons: </w:t>
      </w:r>
      <w:r>
        <w:rPr>
          <w:rFonts w:ascii="Calibri" w:cs="Calibri" w:eastAsia="Calibri" w:hAnsi="Calibri"/>
          <w:sz w:val="18"/>
          <w:szCs w:val="18"/>
          <w:color w:val="auto"/>
        </w:rPr>
        <w:t>We ofer complete SoC platorm solutons for cable, satellite, Internet Protocol television, over-the-top and terrestrial STBs. Our</w:t>
      </w:r>
      <w:r>
        <w:rPr>
          <w:rFonts w:ascii="Calibri" w:cs="Calibri" w:eastAsia="Calibri" w:hAnsi="Calibri"/>
          <w:sz w:val="18"/>
          <w:szCs w:val="18"/>
          <w:b w:val="1"/>
          <w:bCs w:val="1"/>
          <w:i w:val="1"/>
          <w:iCs w:val="1"/>
          <w:color w:val="auto"/>
        </w:rPr>
        <w:t xml:space="preserve"> </w:t>
      </w:r>
      <w:r>
        <w:rPr>
          <w:rFonts w:ascii="Calibri" w:cs="Calibri" w:eastAsia="Calibri" w:hAnsi="Calibri"/>
          <w:sz w:val="18"/>
          <w:szCs w:val="18"/>
          <w:color w:val="auto"/>
        </w:rPr>
        <w:t>products enable global service providers to introduce new and enhanced technologies and services in STBs, including transcoding, digital video recording functonality, higher defniton video processing, increased networking capabilites, and more tuners to enable faster channel change and more simultaneous recordings. We are also enabling service providers in deploying High Efciency Video Coding (“HEVC”), a video compression format that is a successor to the H.264/MPEG-4 format. HEVC enables ultra-high defniton (“Ultra HD”), services by efectvely doubling the capacity of</w:t>
      </w: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9" w:right="339" w:bottom="1440" w:gutter="0" w:footer="0" w:header="0"/>
        </w:sectPr>
      </w:pPr>
    </w:p>
    <w:bookmarkStart w:id="5" w:name="page6"/>
    <w:bookmarkEnd w:id="5"/>
    <w:p>
      <w:pPr>
        <w:spacing w:after="0"/>
        <w:rPr>
          <w:sz w:val="20"/>
          <w:szCs w:val="20"/>
          <w:color w:val="auto"/>
        </w:rPr>
      </w:pPr>
      <w:r>
        <w:rPr>
          <w:rFonts w:ascii="Calibri" w:cs="Calibri" w:eastAsia="Calibri" w:hAnsi="Calibri"/>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right="260"/>
        <w:spacing w:after="0" w:line="230" w:lineRule="auto"/>
        <w:rPr>
          <w:sz w:val="20"/>
          <w:szCs w:val="20"/>
          <w:color w:val="auto"/>
        </w:rPr>
      </w:pPr>
      <w:r>
        <w:rPr>
          <w:rFonts w:ascii="Calibri" w:cs="Calibri" w:eastAsia="Calibri" w:hAnsi="Calibri"/>
          <w:sz w:val="18"/>
          <w:szCs w:val="18"/>
          <w:color w:val="auto"/>
        </w:rPr>
        <w:t>existng networks to deploy new or existng content. Our families of STB solutons support the complete range of resolutons, from standard defniton, to high defniton, and Ultra HD.</w:t>
      </w:r>
    </w:p>
    <w:p>
      <w:pPr>
        <w:spacing w:after="0" w:line="107" w:lineRule="exact"/>
        <w:rPr>
          <w:sz w:val="20"/>
          <w:szCs w:val="20"/>
          <w:color w:val="auto"/>
        </w:rPr>
      </w:pPr>
    </w:p>
    <w:p>
      <w:pPr>
        <w:ind w:right="300" w:firstLine="396"/>
        <w:spacing w:after="0" w:line="244" w:lineRule="auto"/>
        <w:rPr>
          <w:sz w:val="20"/>
          <w:szCs w:val="20"/>
          <w:color w:val="auto"/>
        </w:rPr>
      </w:pPr>
      <w:r>
        <w:rPr>
          <w:rFonts w:ascii="Calibri" w:cs="Calibri" w:eastAsia="Calibri" w:hAnsi="Calibri"/>
          <w:sz w:val="17"/>
          <w:szCs w:val="17"/>
          <w:b w:val="1"/>
          <w:bCs w:val="1"/>
          <w:i w:val="1"/>
          <w:iCs w:val="1"/>
          <w:color w:val="auto"/>
        </w:rPr>
        <w:t xml:space="preserve">Broadband Access Solutons: </w:t>
      </w:r>
      <w:r>
        <w:rPr>
          <w:rFonts w:ascii="Calibri" w:cs="Calibri" w:eastAsia="Calibri" w:hAnsi="Calibri"/>
          <w:sz w:val="17"/>
          <w:szCs w:val="17"/>
          <w:color w:val="auto"/>
        </w:rPr>
        <w:t>We ofer complete SoC platorm solutons for digital subscriber line (“DSL”), cable, passive optcal networking (“PON”) and</w:t>
      </w:r>
      <w:r>
        <w:rPr>
          <w:rFonts w:ascii="Calibri" w:cs="Calibri" w:eastAsia="Calibri" w:hAnsi="Calibri"/>
          <w:sz w:val="17"/>
          <w:szCs w:val="17"/>
          <w:b w:val="1"/>
          <w:bCs w:val="1"/>
          <w:i w:val="1"/>
          <w:iCs w:val="1"/>
          <w:color w:val="auto"/>
        </w:rPr>
        <w:t xml:space="preserve"> </w:t>
      </w:r>
      <w:r>
        <w:rPr>
          <w:rFonts w:ascii="Calibri" w:cs="Calibri" w:eastAsia="Calibri" w:hAnsi="Calibri"/>
          <w:sz w:val="17"/>
          <w:szCs w:val="17"/>
          <w:color w:val="auto"/>
        </w:rPr>
        <w:t>wireless local area network for both consumer premise equipment (“CPE”) and central ofce (“CO”) deployments. Our CPE devices are used in broadband modems, residental gateways and Wi-Fi access points and routers. Our CO devices, including DSL Access Multplexer (“DSLAM”), cable modem terminaton systems and PON optcal line terminaton medium access controller, are empowering modern operator broadband infrastructure. Our products enable global service providers to contnue to deploy next generaton broadband access technologies across multple standards, including G.fast, Data Over Cable Service Interface Specifcatons (“DOCSIS”), PON and Wi-Fi to provide more bandwidth and faster speeds to consumers.</w:t>
      </w:r>
    </w:p>
    <w:p>
      <w:pPr>
        <w:spacing w:after="0" w:line="107" w:lineRule="exact"/>
        <w:rPr>
          <w:sz w:val="20"/>
          <w:szCs w:val="20"/>
          <w:color w:val="auto"/>
        </w:rPr>
      </w:pPr>
    </w:p>
    <w:p>
      <w:pPr>
        <w:ind w:right="220" w:firstLine="396"/>
        <w:spacing w:after="0" w:line="230" w:lineRule="auto"/>
        <w:rPr>
          <w:sz w:val="20"/>
          <w:szCs w:val="20"/>
          <w:color w:val="auto"/>
        </w:rPr>
      </w:pPr>
      <w:r>
        <w:rPr>
          <w:rFonts w:ascii="Calibri" w:cs="Calibri" w:eastAsia="Calibri" w:hAnsi="Calibri"/>
          <w:sz w:val="18"/>
          <w:szCs w:val="18"/>
          <w:b w:val="1"/>
          <w:bCs w:val="1"/>
          <w:i w:val="1"/>
          <w:iCs w:val="1"/>
          <w:color w:val="auto"/>
        </w:rPr>
        <w:t xml:space="preserve">Ethernet Switching &amp; Routng: </w:t>
      </w:r>
      <w:r>
        <w:rPr>
          <w:rFonts w:ascii="Calibri" w:cs="Calibri" w:eastAsia="Calibri" w:hAnsi="Calibri"/>
          <w:sz w:val="18"/>
          <w:szCs w:val="18"/>
          <w:color w:val="auto"/>
        </w:rPr>
        <w:t>Ethernet is a ubiquitous interconnecton technology that enables high performance and cost efectve networking</w:t>
      </w:r>
      <w:r>
        <w:rPr>
          <w:rFonts w:ascii="Calibri" w:cs="Calibri" w:eastAsia="Calibri" w:hAnsi="Calibri"/>
          <w:sz w:val="18"/>
          <w:szCs w:val="18"/>
          <w:b w:val="1"/>
          <w:bCs w:val="1"/>
          <w:i w:val="1"/>
          <w:iCs w:val="1"/>
          <w:color w:val="auto"/>
        </w:rPr>
        <w:t xml:space="preserve"> </w:t>
      </w:r>
      <w:r>
        <w:rPr>
          <w:rFonts w:ascii="Calibri" w:cs="Calibri" w:eastAsia="Calibri" w:hAnsi="Calibri"/>
          <w:sz w:val="18"/>
          <w:szCs w:val="18"/>
          <w:color w:val="auto"/>
        </w:rPr>
        <w:t>infrastructure. We ofer a broad set of Ethernet switching and routng products that are optmized for data center, service provider and enterprise networks. In the data center market, our high capacity, low latency, switching silicon supports advanced protocols around virtualizaton and mult-pathing. Our Ethernet switching fabric technologies provide the ability to build highly scalable fat networks supportng tens of thousands of servers. Our service provider switch portolio enables carrier networks to support prioritzed delivery of data trafc in the wireless backhaul, access, aggregaton and core of their networks. For enterprise networks, we ofer product families with secure, encrypted switching capabilites and support lower power modes that comply with industry standards around energy efcient Ethernet.</w:t>
      </w:r>
    </w:p>
    <w:p>
      <w:pPr>
        <w:spacing w:after="0" w:line="110" w:lineRule="exact"/>
        <w:rPr>
          <w:sz w:val="20"/>
          <w:szCs w:val="20"/>
          <w:color w:val="auto"/>
        </w:rPr>
      </w:pPr>
    </w:p>
    <w:p>
      <w:pPr>
        <w:ind w:firstLine="396"/>
        <w:spacing w:after="0" w:line="230" w:lineRule="auto"/>
        <w:rPr>
          <w:sz w:val="20"/>
          <w:szCs w:val="20"/>
          <w:color w:val="auto"/>
        </w:rPr>
      </w:pPr>
      <w:r>
        <w:rPr>
          <w:rFonts w:ascii="Calibri" w:cs="Calibri" w:eastAsia="Calibri" w:hAnsi="Calibri"/>
          <w:sz w:val="18"/>
          <w:szCs w:val="18"/>
          <w:b w:val="1"/>
          <w:bCs w:val="1"/>
          <w:i w:val="1"/>
          <w:iCs w:val="1"/>
          <w:color w:val="auto"/>
        </w:rPr>
        <w:t xml:space="preserve">Custom Silicon Solutons: </w:t>
      </w:r>
      <w:r>
        <w:rPr>
          <w:rFonts w:ascii="Calibri" w:cs="Calibri" w:eastAsia="Calibri" w:hAnsi="Calibri"/>
          <w:sz w:val="18"/>
          <w:szCs w:val="18"/>
          <w:color w:val="auto"/>
        </w:rPr>
        <w:t>We provide advanced technology and IP platorms for customers to design and develop applicaton specifc integrated circuits</w:t>
      </w:r>
      <w:r>
        <w:rPr>
          <w:rFonts w:ascii="Calibri" w:cs="Calibri" w:eastAsia="Calibri" w:hAnsi="Calibri"/>
          <w:sz w:val="18"/>
          <w:szCs w:val="18"/>
          <w:b w:val="1"/>
          <w:bCs w:val="1"/>
          <w:i w:val="1"/>
          <w:iCs w:val="1"/>
          <w:color w:val="auto"/>
        </w:rPr>
        <w:t xml:space="preserve"> </w:t>
      </w:r>
      <w:r>
        <w:rPr>
          <w:rFonts w:ascii="Calibri" w:cs="Calibri" w:eastAsia="Calibri" w:hAnsi="Calibri"/>
          <w:sz w:val="18"/>
          <w:szCs w:val="18"/>
          <w:color w:val="auto"/>
        </w:rPr>
        <w:t>(“ASICs”), targetng data center compute ofoad, legacy and new 5G radio infrastructure, and wired communicaton networks. Our custom silicon provides the platorm to integrate embedded logic, memory, serializer/deserializer (“SerDes”) technology, IP cores and processor cores. The ASICs are custom products built to individual customers specifcatons.</w:t>
      </w:r>
    </w:p>
    <w:p>
      <w:pPr>
        <w:spacing w:after="0" w:line="108" w:lineRule="exact"/>
        <w:rPr>
          <w:sz w:val="20"/>
          <w:szCs w:val="20"/>
          <w:color w:val="auto"/>
        </w:rPr>
      </w:pPr>
    </w:p>
    <w:p>
      <w:pPr>
        <w:ind w:right="60" w:firstLine="396"/>
        <w:spacing w:after="0" w:line="230" w:lineRule="auto"/>
        <w:rPr>
          <w:sz w:val="20"/>
          <w:szCs w:val="20"/>
          <w:color w:val="auto"/>
        </w:rPr>
      </w:pPr>
      <w:r>
        <w:rPr>
          <w:rFonts w:ascii="Calibri" w:cs="Calibri" w:eastAsia="Calibri" w:hAnsi="Calibri"/>
          <w:sz w:val="18"/>
          <w:szCs w:val="18"/>
          <w:b w:val="1"/>
          <w:bCs w:val="1"/>
          <w:i w:val="1"/>
          <w:iCs w:val="1"/>
          <w:color w:val="auto"/>
        </w:rPr>
        <w:t xml:space="preserve">Physical Layer Devices: </w:t>
      </w:r>
      <w:r>
        <w:rPr>
          <w:rFonts w:ascii="Calibri" w:cs="Calibri" w:eastAsia="Calibri" w:hAnsi="Calibri"/>
          <w:sz w:val="18"/>
          <w:szCs w:val="18"/>
          <w:color w:val="auto"/>
        </w:rPr>
        <w:t>These devices, also referred to as PHYs, are transceivers that enable the recepton and transmission of Ethernet data packets over a</w:t>
      </w:r>
      <w:r>
        <w:rPr>
          <w:rFonts w:ascii="Calibri" w:cs="Calibri" w:eastAsia="Calibri" w:hAnsi="Calibri"/>
          <w:sz w:val="18"/>
          <w:szCs w:val="18"/>
          <w:b w:val="1"/>
          <w:bCs w:val="1"/>
          <w:i w:val="1"/>
          <w:iCs w:val="1"/>
          <w:color w:val="auto"/>
        </w:rPr>
        <w:t xml:space="preserve"> </w:t>
      </w:r>
      <w:r>
        <w:rPr>
          <w:rFonts w:ascii="Calibri" w:cs="Calibri" w:eastAsia="Calibri" w:hAnsi="Calibri"/>
          <w:sz w:val="18"/>
          <w:szCs w:val="18"/>
          <w:color w:val="auto"/>
        </w:rPr>
        <w:t>physical medium such as copper wire or optcal fbers. Our high performance Ethernet transceivers are built upon a proprietary digital signal processing communicaton architecture optmized for high-speed network connectons and support the latest standards and advanced features, such as energy efcient Ethernet, data encrypton and tme synchronizaton. We also ofer a range of automotve Ethernet products, including PHYs, switches and camera microcontrollers, to meet growing consumer demand for in-vehicle connectvity and smart vision.</w:t>
      </w:r>
    </w:p>
    <w:p>
      <w:pPr>
        <w:spacing w:after="0" w:line="109" w:lineRule="exact"/>
        <w:rPr>
          <w:sz w:val="20"/>
          <w:szCs w:val="20"/>
          <w:color w:val="auto"/>
        </w:rPr>
      </w:pPr>
    </w:p>
    <w:p>
      <w:pPr>
        <w:ind w:right="920" w:firstLine="396"/>
        <w:spacing w:after="0" w:line="247" w:lineRule="auto"/>
        <w:rPr>
          <w:sz w:val="20"/>
          <w:szCs w:val="20"/>
          <w:color w:val="auto"/>
        </w:rPr>
      </w:pPr>
      <w:r>
        <w:rPr>
          <w:rFonts w:ascii="Calibri" w:cs="Calibri" w:eastAsia="Calibri" w:hAnsi="Calibri"/>
          <w:sz w:val="17"/>
          <w:szCs w:val="17"/>
          <w:b w:val="1"/>
          <w:bCs w:val="1"/>
          <w:i w:val="1"/>
          <w:iCs w:val="1"/>
          <w:color w:val="auto"/>
        </w:rPr>
        <w:t xml:space="preserve">Fiber Optc Components: </w:t>
      </w:r>
      <w:r>
        <w:rPr>
          <w:rFonts w:ascii="Calibri" w:cs="Calibri" w:eastAsia="Calibri" w:hAnsi="Calibri"/>
          <w:sz w:val="17"/>
          <w:szCs w:val="17"/>
          <w:color w:val="auto"/>
        </w:rPr>
        <w:t>We supply a wide array of optcal components to the Ethernet networking, storage, and access, metro- and long-haul</w:t>
      </w:r>
      <w:r>
        <w:rPr>
          <w:rFonts w:ascii="Calibri" w:cs="Calibri" w:eastAsia="Calibri" w:hAnsi="Calibri"/>
          <w:sz w:val="17"/>
          <w:szCs w:val="17"/>
          <w:b w:val="1"/>
          <w:bCs w:val="1"/>
          <w:i w:val="1"/>
          <w:iCs w:val="1"/>
          <w:color w:val="auto"/>
        </w:rPr>
        <w:t xml:space="preserve"> </w:t>
      </w:r>
      <w:r>
        <w:rPr>
          <w:rFonts w:ascii="Calibri" w:cs="Calibri" w:eastAsia="Calibri" w:hAnsi="Calibri"/>
          <w:sz w:val="17"/>
          <w:szCs w:val="17"/>
          <w:color w:val="auto"/>
        </w:rPr>
        <w:t>telecommunicaton markets. Our optcal components enable the high speed recepton and transmission of data through optcal fbers.</w:t>
      </w:r>
    </w:p>
    <w:p>
      <w:pPr>
        <w:spacing w:after="0" w:line="101" w:lineRule="exact"/>
        <w:rPr>
          <w:sz w:val="20"/>
          <w:szCs w:val="20"/>
          <w:color w:val="auto"/>
        </w:rPr>
      </w:pPr>
    </w:p>
    <w:p>
      <w:pPr>
        <w:ind w:right="240" w:firstLine="396"/>
        <w:spacing w:after="0" w:line="244" w:lineRule="auto"/>
        <w:rPr>
          <w:sz w:val="20"/>
          <w:szCs w:val="20"/>
          <w:color w:val="auto"/>
        </w:rPr>
      </w:pPr>
      <w:r>
        <w:rPr>
          <w:rFonts w:ascii="Calibri" w:cs="Calibri" w:eastAsia="Calibri" w:hAnsi="Calibri"/>
          <w:sz w:val="17"/>
          <w:szCs w:val="17"/>
          <w:b w:val="1"/>
          <w:bCs w:val="1"/>
          <w:i w:val="1"/>
          <w:iCs w:val="1"/>
          <w:color w:val="auto"/>
        </w:rPr>
        <w:t xml:space="preserve">RF Semiconductor Devices: </w:t>
      </w:r>
      <w:r>
        <w:rPr>
          <w:rFonts w:ascii="Calibri" w:cs="Calibri" w:eastAsia="Calibri" w:hAnsi="Calibri"/>
          <w:sz w:val="17"/>
          <w:szCs w:val="17"/>
          <w:color w:val="auto"/>
        </w:rPr>
        <w:t>Our RF semiconductor devices selectvely flter, as well as amplify and route, RF signals. Filters enable modern wireless</w:t>
      </w:r>
      <w:r>
        <w:rPr>
          <w:rFonts w:ascii="Calibri" w:cs="Calibri" w:eastAsia="Calibri" w:hAnsi="Calibri"/>
          <w:sz w:val="17"/>
          <w:szCs w:val="17"/>
          <w:b w:val="1"/>
          <w:bCs w:val="1"/>
          <w:i w:val="1"/>
          <w:iCs w:val="1"/>
          <w:color w:val="auto"/>
        </w:rPr>
        <w:t xml:space="preserve"> </w:t>
      </w:r>
      <w:r>
        <w:rPr>
          <w:rFonts w:ascii="Calibri" w:cs="Calibri" w:eastAsia="Calibri" w:hAnsi="Calibri"/>
          <w:sz w:val="17"/>
          <w:szCs w:val="17"/>
          <w:color w:val="auto"/>
        </w:rPr>
        <w:t>communicaton systems to support a large number of subscribers simultaneously by ensuring that the multple transmissions and receptons of voice and data streams do not interfere with each other. We were among the frst to deliver commercial flm bulk acoustc resonator (“FBAR”) flters that ofer technological advantages over competng flter technologies, to allow mobile handsets to functon more efciently in today's congested RF spectrum. FBAR technology has a signifcant market share within the cellular handset market. Our RF products include mult-chip module front-end modules that integrate transmit/receive switching and fltering functons for multple frequency bands, flter modules and discrete flters, all using our proprietary FBAR technology.</w:t>
      </w:r>
    </w:p>
    <w:p>
      <w:pPr>
        <w:spacing w:after="0" w:line="107" w:lineRule="exact"/>
        <w:rPr>
          <w:sz w:val="20"/>
          <w:szCs w:val="20"/>
          <w:color w:val="auto"/>
        </w:rPr>
      </w:pPr>
    </w:p>
    <w:p>
      <w:pPr>
        <w:ind w:right="440" w:firstLine="396"/>
        <w:spacing w:after="0" w:line="230" w:lineRule="auto"/>
        <w:rPr>
          <w:sz w:val="20"/>
          <w:szCs w:val="20"/>
          <w:color w:val="auto"/>
        </w:rPr>
      </w:pPr>
      <w:r>
        <w:rPr>
          <w:rFonts w:ascii="Calibri" w:cs="Calibri" w:eastAsia="Calibri" w:hAnsi="Calibri"/>
          <w:sz w:val="18"/>
          <w:szCs w:val="18"/>
          <w:color w:val="auto"/>
        </w:rPr>
        <w:t>Our expertse in FBAR technology, amplifer design, and module integraton enables us to ofer industry-leading performance in cellular RF transceiver applicatons.</w:t>
      </w:r>
    </w:p>
    <w:p>
      <w:pPr>
        <w:spacing w:after="0" w:line="107" w:lineRule="exact"/>
        <w:rPr>
          <w:sz w:val="20"/>
          <w:szCs w:val="20"/>
          <w:color w:val="auto"/>
        </w:rPr>
      </w:pPr>
    </w:p>
    <w:p>
      <w:pPr>
        <w:ind w:right="440" w:firstLine="396"/>
        <w:spacing w:after="0" w:line="247" w:lineRule="auto"/>
        <w:rPr>
          <w:sz w:val="20"/>
          <w:szCs w:val="20"/>
          <w:color w:val="auto"/>
        </w:rPr>
      </w:pPr>
      <w:r>
        <w:rPr>
          <w:rFonts w:ascii="Calibri" w:cs="Calibri" w:eastAsia="Calibri" w:hAnsi="Calibri"/>
          <w:sz w:val="17"/>
          <w:szCs w:val="17"/>
          <w:b w:val="1"/>
          <w:bCs w:val="1"/>
          <w:i w:val="1"/>
          <w:iCs w:val="1"/>
          <w:color w:val="auto"/>
        </w:rPr>
        <w:t xml:space="preserve">Connectvity Solutons: </w:t>
      </w:r>
      <w:r>
        <w:rPr>
          <w:rFonts w:ascii="Calibri" w:cs="Calibri" w:eastAsia="Calibri" w:hAnsi="Calibri"/>
          <w:sz w:val="17"/>
          <w:szCs w:val="17"/>
          <w:color w:val="auto"/>
        </w:rPr>
        <w:t>Our connectvity solutons include discrete and integrated Wi-Fi and Bluetooth solutons, and global positoning system/global</w:t>
      </w:r>
      <w:r>
        <w:rPr>
          <w:rFonts w:ascii="Calibri" w:cs="Calibri" w:eastAsia="Calibri" w:hAnsi="Calibri"/>
          <w:sz w:val="17"/>
          <w:szCs w:val="17"/>
          <w:b w:val="1"/>
          <w:bCs w:val="1"/>
          <w:i w:val="1"/>
          <w:iCs w:val="1"/>
          <w:color w:val="auto"/>
        </w:rPr>
        <w:t xml:space="preserve"> </w:t>
      </w:r>
      <w:r>
        <w:rPr>
          <w:rFonts w:ascii="Calibri" w:cs="Calibri" w:eastAsia="Calibri" w:hAnsi="Calibri"/>
          <w:sz w:val="17"/>
          <w:szCs w:val="17"/>
          <w:color w:val="auto"/>
        </w:rPr>
        <w:t>navigaton satellite system (“GPS/GNSS”) receivers, designed for use in mobile devices including smartphones, tablets and wearable products.</w:t>
      </w:r>
    </w:p>
    <w:p>
      <w:pPr>
        <w:spacing w:after="0" w:line="101" w:lineRule="exact"/>
        <w:rPr>
          <w:sz w:val="20"/>
          <w:szCs w:val="20"/>
          <w:color w:val="auto"/>
        </w:rPr>
      </w:pPr>
    </w:p>
    <w:p>
      <w:pPr>
        <w:ind w:right="120" w:firstLine="396"/>
        <w:spacing w:after="0" w:line="230" w:lineRule="auto"/>
        <w:rPr>
          <w:sz w:val="20"/>
          <w:szCs w:val="20"/>
          <w:color w:val="auto"/>
        </w:rPr>
      </w:pPr>
      <w:r>
        <w:rPr>
          <w:rFonts w:ascii="Calibri" w:cs="Calibri" w:eastAsia="Calibri" w:hAnsi="Calibri"/>
          <w:sz w:val="18"/>
          <w:szCs w:val="18"/>
          <w:color w:val="auto"/>
        </w:rPr>
        <w:t>Wi-Fi allows devices on a local area network to communicate wirelessly, adding the convenience of mobility to the utlity of high-speed data networks. We ofer a family of high performance, low power Wi-Fi chipsets. Bluetooth is a low power technology that enables direct connectvity between devices. We ofer a complete family of Bluetooth silicon and sofware solutons that enable manufacturers to easily and cost-efectvely add Bluetooth functonality to virtually any device. These solutons include combinaton chips that ofer integrated Wi-Fi and Bluetooth functonality, which provides signifcant performance advantages over discrete solutons.</w:t>
      </w:r>
    </w:p>
    <w:p>
      <w:pPr>
        <w:spacing w:after="0" w:line="109" w:lineRule="exact"/>
        <w:rPr>
          <w:sz w:val="20"/>
          <w:szCs w:val="20"/>
          <w:color w:val="auto"/>
        </w:rPr>
      </w:pPr>
    </w:p>
    <w:p>
      <w:pPr>
        <w:jc w:val="both"/>
        <w:ind w:right="260" w:firstLine="396"/>
        <w:spacing w:after="0" w:line="230" w:lineRule="auto"/>
        <w:rPr>
          <w:sz w:val="20"/>
          <w:szCs w:val="20"/>
          <w:color w:val="auto"/>
        </w:rPr>
      </w:pPr>
      <w:r>
        <w:rPr>
          <w:rFonts w:ascii="Calibri" w:cs="Calibri" w:eastAsia="Calibri" w:hAnsi="Calibri"/>
          <w:sz w:val="18"/>
          <w:szCs w:val="18"/>
          <w:color w:val="auto"/>
        </w:rPr>
        <w:t>We also ofer a family of GPS, assisted-GPS and GNSS semiconductor products, sofware and data services. These products are part of a broader locaton platorm that leverages a broad range of communicatons technologies, including Wi-Fi, Bluetooth and GPS, to provide more accurate locaton and navigaton capabilites.</w:t>
      </w: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9" w:right="339" w:bottom="1440" w:gutter="0" w:footer="0" w:header="0"/>
        </w:sectPr>
      </w:pPr>
    </w:p>
    <w:bookmarkStart w:id="6" w:name="page7"/>
    <w:bookmarkEnd w:id="6"/>
    <w:p>
      <w:pPr>
        <w:spacing w:after="0"/>
        <w:rPr>
          <w:sz w:val="20"/>
          <w:szCs w:val="20"/>
          <w:color w:val="auto"/>
        </w:rPr>
      </w:pPr>
      <w:r>
        <w:rPr>
          <w:rFonts w:ascii="Calibri" w:cs="Calibri" w:eastAsia="Calibri" w:hAnsi="Calibri"/>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400"/>
        <w:spacing w:after="0"/>
        <w:rPr>
          <w:sz w:val="20"/>
          <w:szCs w:val="20"/>
          <w:color w:val="auto"/>
        </w:rPr>
      </w:pPr>
      <w:r>
        <w:rPr>
          <w:rFonts w:ascii="Calibri" w:cs="Calibri" w:eastAsia="Calibri" w:hAnsi="Calibri"/>
          <w:sz w:val="18"/>
          <w:szCs w:val="18"/>
          <w:b w:val="1"/>
          <w:bCs w:val="1"/>
          <w:i w:val="1"/>
          <w:iCs w:val="1"/>
          <w:color w:val="auto"/>
        </w:rPr>
        <w:t xml:space="preserve">Custom Touch Controllers: </w:t>
      </w:r>
      <w:r>
        <w:rPr>
          <w:rFonts w:ascii="Calibri" w:cs="Calibri" w:eastAsia="Calibri" w:hAnsi="Calibri"/>
          <w:sz w:val="18"/>
          <w:szCs w:val="18"/>
          <w:color w:val="auto"/>
        </w:rPr>
        <w:t>Our touch controllers process signals from touch screens in mobile handsets and tablets.</w:t>
      </w:r>
    </w:p>
    <w:p>
      <w:pPr>
        <w:spacing w:after="0" w:line="107" w:lineRule="exact"/>
        <w:rPr>
          <w:sz w:val="20"/>
          <w:szCs w:val="20"/>
          <w:color w:val="auto"/>
        </w:rPr>
      </w:pPr>
    </w:p>
    <w:p>
      <w:pPr>
        <w:ind w:right="340" w:firstLine="396"/>
        <w:spacing w:after="0" w:line="230" w:lineRule="auto"/>
        <w:rPr>
          <w:sz w:val="20"/>
          <w:szCs w:val="20"/>
          <w:color w:val="auto"/>
        </w:rPr>
      </w:pPr>
      <w:r>
        <w:rPr>
          <w:rFonts w:ascii="Calibri" w:cs="Calibri" w:eastAsia="Calibri" w:hAnsi="Calibri"/>
          <w:sz w:val="18"/>
          <w:szCs w:val="18"/>
          <w:b w:val="1"/>
          <w:bCs w:val="1"/>
          <w:i w:val="1"/>
          <w:iCs w:val="1"/>
          <w:color w:val="auto"/>
        </w:rPr>
        <w:t xml:space="preserve">Inductve Charging ASICs: </w:t>
      </w:r>
      <w:r>
        <w:rPr>
          <w:rFonts w:ascii="Calibri" w:cs="Calibri" w:eastAsia="Calibri" w:hAnsi="Calibri"/>
          <w:sz w:val="18"/>
          <w:szCs w:val="18"/>
          <w:color w:val="auto"/>
        </w:rPr>
        <w:t>Our custom inductve charging ASIC devices ofer high efciency and are highly integrated solutons for mobile and wearable</w:t>
      </w:r>
      <w:r>
        <w:rPr>
          <w:rFonts w:ascii="Calibri" w:cs="Calibri" w:eastAsia="Calibri" w:hAnsi="Calibri"/>
          <w:sz w:val="18"/>
          <w:szCs w:val="18"/>
          <w:b w:val="1"/>
          <w:bCs w:val="1"/>
          <w:i w:val="1"/>
          <w:iCs w:val="1"/>
          <w:color w:val="auto"/>
        </w:rPr>
        <w:t xml:space="preserve"> </w:t>
      </w:r>
      <w:r>
        <w:rPr>
          <w:rFonts w:ascii="Calibri" w:cs="Calibri" w:eastAsia="Calibri" w:hAnsi="Calibri"/>
          <w:sz w:val="18"/>
          <w:szCs w:val="18"/>
          <w:color w:val="auto"/>
        </w:rPr>
        <w:t>devices.</w:t>
      </w:r>
    </w:p>
    <w:p>
      <w:pPr>
        <w:spacing w:after="0" w:line="133" w:lineRule="exact"/>
        <w:rPr>
          <w:sz w:val="20"/>
          <w:szCs w:val="20"/>
          <w:color w:val="auto"/>
        </w:rPr>
      </w:pPr>
    </w:p>
    <w:p>
      <w:pPr>
        <w:ind w:right="200" w:firstLine="396"/>
        <w:spacing w:after="0" w:line="247" w:lineRule="auto"/>
        <w:rPr>
          <w:sz w:val="20"/>
          <w:szCs w:val="20"/>
          <w:color w:val="auto"/>
        </w:rPr>
      </w:pPr>
      <w:r>
        <w:rPr>
          <w:rFonts w:ascii="Calibri" w:cs="Calibri" w:eastAsia="Calibri" w:hAnsi="Calibri"/>
          <w:sz w:val="17"/>
          <w:szCs w:val="17"/>
          <w:b w:val="1"/>
          <w:bCs w:val="1"/>
          <w:i w:val="1"/>
          <w:iCs w:val="1"/>
          <w:color w:val="auto"/>
        </w:rPr>
        <w:t xml:space="preserve">SAS, RAID &amp; PCIe Products: </w:t>
      </w:r>
      <w:r>
        <w:rPr>
          <w:rFonts w:ascii="Calibri" w:cs="Calibri" w:eastAsia="Calibri" w:hAnsi="Calibri"/>
          <w:sz w:val="17"/>
          <w:szCs w:val="17"/>
          <w:color w:val="auto"/>
        </w:rPr>
        <w:t>We provide serial atached small computer system interface (“SAS”) and redundant array of independent disks (“RAID”)</w:t>
      </w:r>
      <w:r>
        <w:rPr>
          <w:rFonts w:ascii="Calibri" w:cs="Calibri" w:eastAsia="Calibri" w:hAnsi="Calibri"/>
          <w:sz w:val="17"/>
          <w:szCs w:val="17"/>
          <w:b w:val="1"/>
          <w:bCs w:val="1"/>
          <w:i w:val="1"/>
          <w:iCs w:val="1"/>
          <w:color w:val="auto"/>
        </w:rPr>
        <w:t xml:space="preserve"> </w:t>
      </w:r>
      <w:r>
        <w:rPr>
          <w:rFonts w:ascii="Calibri" w:cs="Calibri" w:eastAsia="Calibri" w:hAnsi="Calibri"/>
          <w:sz w:val="17"/>
          <w:szCs w:val="17"/>
          <w:color w:val="auto"/>
        </w:rPr>
        <w:t>controller and adapter solutons to server and storage system original equipment manufacturers (“OEMs”). These solutons enable secure and high speed data transmission between a host computer, such as a server, and storage peripheral devices, such as HDD, SSD and optcal disk drives and disk and tape-based storage systems. Some of these solutons are delivered as stand-alone semiconductors, typically as a controller. Other solutons are delivered as circuit boards, known as adapter products, which incorporate our semiconductors onto a circuit board with other features. RAID technology is a critcal part of our server storage connectvity solutons as it provides protecton against the loss of critcal data resultng from HDD failures.</w:t>
      </w:r>
    </w:p>
    <w:p>
      <w:pPr>
        <w:spacing w:after="0" w:line="105" w:lineRule="exact"/>
        <w:rPr>
          <w:sz w:val="20"/>
          <w:szCs w:val="20"/>
          <w:color w:val="auto"/>
        </w:rPr>
      </w:pPr>
    </w:p>
    <w:p>
      <w:pPr>
        <w:ind w:right="120" w:firstLine="396"/>
        <w:spacing w:after="0" w:line="230" w:lineRule="auto"/>
        <w:rPr>
          <w:sz w:val="20"/>
          <w:szCs w:val="20"/>
          <w:color w:val="auto"/>
        </w:rPr>
      </w:pPr>
      <w:r>
        <w:rPr>
          <w:rFonts w:ascii="Calibri" w:cs="Calibri" w:eastAsia="Calibri" w:hAnsi="Calibri"/>
          <w:sz w:val="18"/>
          <w:szCs w:val="18"/>
          <w:color w:val="auto"/>
        </w:rPr>
        <w:t>We also provide interconnect semiconductors that support the peripheral component interconnect express (“PCIe”) communicaton standards. PCIe is the primary interconnecton mechanism inside computng systems today.</w:t>
      </w:r>
    </w:p>
    <w:p>
      <w:pPr>
        <w:spacing w:after="0" w:line="97" w:lineRule="exact"/>
        <w:rPr>
          <w:sz w:val="20"/>
          <w:szCs w:val="20"/>
          <w:color w:val="auto"/>
        </w:rPr>
      </w:pPr>
    </w:p>
    <w:p>
      <w:pPr>
        <w:ind w:left="400"/>
        <w:spacing w:after="0"/>
        <w:rPr>
          <w:sz w:val="20"/>
          <w:szCs w:val="20"/>
          <w:color w:val="auto"/>
        </w:rPr>
      </w:pPr>
      <w:r>
        <w:rPr>
          <w:rFonts w:ascii="Calibri" w:cs="Calibri" w:eastAsia="Calibri" w:hAnsi="Calibri"/>
          <w:sz w:val="18"/>
          <w:szCs w:val="18"/>
          <w:b w:val="1"/>
          <w:bCs w:val="1"/>
          <w:i w:val="1"/>
          <w:iCs w:val="1"/>
          <w:color w:val="auto"/>
        </w:rPr>
        <w:t xml:space="preserve">Fibre Channel Products: </w:t>
      </w:r>
      <w:r>
        <w:rPr>
          <w:rFonts w:ascii="Calibri" w:cs="Calibri" w:eastAsia="Calibri" w:hAnsi="Calibri"/>
          <w:sz w:val="18"/>
          <w:szCs w:val="18"/>
          <w:color w:val="auto"/>
        </w:rPr>
        <w:t>We provide fbre channel host bus adapters, which connect host computers such as servers to FC SANs.</w:t>
      </w:r>
    </w:p>
    <w:p>
      <w:pPr>
        <w:spacing w:after="0" w:line="107" w:lineRule="exact"/>
        <w:rPr>
          <w:sz w:val="20"/>
          <w:szCs w:val="20"/>
          <w:color w:val="auto"/>
        </w:rPr>
      </w:pPr>
    </w:p>
    <w:p>
      <w:pPr>
        <w:ind w:right="640" w:firstLine="396"/>
        <w:spacing w:after="0" w:line="230" w:lineRule="auto"/>
        <w:rPr>
          <w:sz w:val="20"/>
          <w:szCs w:val="20"/>
          <w:color w:val="auto"/>
        </w:rPr>
      </w:pPr>
      <w:r>
        <w:rPr>
          <w:rFonts w:ascii="Calibri" w:cs="Calibri" w:eastAsia="Calibri" w:hAnsi="Calibri"/>
          <w:sz w:val="18"/>
          <w:szCs w:val="18"/>
          <w:b w:val="1"/>
          <w:bCs w:val="1"/>
          <w:i w:val="1"/>
          <w:iCs w:val="1"/>
          <w:color w:val="auto"/>
        </w:rPr>
        <w:t xml:space="preserve">Ethernet NIC Controllers: </w:t>
      </w:r>
      <w:r>
        <w:rPr>
          <w:rFonts w:ascii="Calibri" w:cs="Calibri" w:eastAsia="Calibri" w:hAnsi="Calibri"/>
          <w:sz w:val="18"/>
          <w:szCs w:val="18"/>
          <w:color w:val="auto"/>
        </w:rPr>
        <w:t>Our Ethernet network interface card (“NIC”) controllers are designed for high-performance virtualizaton, intelligent fow</w:t>
      </w:r>
      <w:r>
        <w:rPr>
          <w:rFonts w:ascii="Calibri" w:cs="Calibri" w:eastAsia="Calibri" w:hAnsi="Calibri"/>
          <w:sz w:val="18"/>
          <w:szCs w:val="18"/>
          <w:b w:val="1"/>
          <w:bCs w:val="1"/>
          <w:i w:val="1"/>
          <w:iCs w:val="1"/>
          <w:color w:val="auto"/>
        </w:rPr>
        <w:t xml:space="preserve"> </w:t>
      </w:r>
      <w:r>
        <w:rPr>
          <w:rFonts w:ascii="Calibri" w:cs="Calibri" w:eastAsia="Calibri" w:hAnsi="Calibri"/>
          <w:sz w:val="18"/>
          <w:szCs w:val="18"/>
          <w:color w:val="auto"/>
        </w:rPr>
        <w:t>processing, secure data center connectvity, and machine learning.</w:t>
      </w:r>
    </w:p>
    <w:p>
      <w:pPr>
        <w:spacing w:after="0" w:line="107" w:lineRule="exact"/>
        <w:rPr>
          <w:sz w:val="20"/>
          <w:szCs w:val="20"/>
          <w:color w:val="auto"/>
        </w:rPr>
      </w:pPr>
    </w:p>
    <w:p>
      <w:pPr>
        <w:ind w:right="60" w:firstLine="396"/>
        <w:spacing w:after="0" w:line="230" w:lineRule="auto"/>
        <w:rPr>
          <w:sz w:val="20"/>
          <w:szCs w:val="20"/>
          <w:color w:val="auto"/>
        </w:rPr>
      </w:pPr>
      <w:r>
        <w:rPr>
          <w:rFonts w:ascii="Calibri" w:cs="Calibri" w:eastAsia="Calibri" w:hAnsi="Calibri"/>
          <w:sz w:val="18"/>
          <w:szCs w:val="18"/>
          <w:b w:val="1"/>
          <w:bCs w:val="1"/>
          <w:i w:val="1"/>
          <w:iCs w:val="1"/>
          <w:color w:val="auto"/>
        </w:rPr>
        <w:t xml:space="preserve">HDD &amp; SSD Products: </w:t>
      </w:r>
      <w:r>
        <w:rPr>
          <w:rFonts w:ascii="Calibri" w:cs="Calibri" w:eastAsia="Calibri" w:hAnsi="Calibri"/>
          <w:sz w:val="18"/>
          <w:szCs w:val="18"/>
          <w:color w:val="auto"/>
        </w:rPr>
        <w:t>We provide read channel-based SoCs and preamplifers to HDD OEMs. These are the critcal chips required to read, write and protect</w:t>
      </w:r>
      <w:r>
        <w:rPr>
          <w:rFonts w:ascii="Calibri" w:cs="Calibri" w:eastAsia="Calibri" w:hAnsi="Calibri"/>
          <w:sz w:val="18"/>
          <w:szCs w:val="18"/>
          <w:b w:val="1"/>
          <w:bCs w:val="1"/>
          <w:i w:val="1"/>
          <w:iCs w:val="1"/>
          <w:color w:val="auto"/>
        </w:rPr>
        <w:t xml:space="preserve"> </w:t>
      </w:r>
      <w:r>
        <w:rPr>
          <w:rFonts w:ascii="Calibri" w:cs="Calibri" w:eastAsia="Calibri" w:hAnsi="Calibri"/>
          <w:sz w:val="18"/>
          <w:szCs w:val="18"/>
          <w:color w:val="auto"/>
        </w:rPr>
        <w:t>data. An HDD SoC is an integrated circuit (“IC”) that combines the functonality of a read channel, serial interface, memory and a hard disk controller in a small, high-performance, low-power and cost-efectve package. Read channels convert analog signals that are generated by reading the stored data on the physical media into digital signals.</w:t>
      </w:r>
    </w:p>
    <w:p>
      <w:pPr>
        <w:spacing w:after="0" w:line="108" w:lineRule="exact"/>
        <w:rPr>
          <w:sz w:val="20"/>
          <w:szCs w:val="20"/>
          <w:color w:val="auto"/>
        </w:rPr>
      </w:pPr>
    </w:p>
    <w:p>
      <w:pPr>
        <w:ind w:left="400"/>
        <w:spacing w:after="0"/>
        <w:rPr>
          <w:sz w:val="20"/>
          <w:szCs w:val="20"/>
          <w:color w:val="auto"/>
        </w:rPr>
      </w:pPr>
      <w:r>
        <w:rPr>
          <w:rFonts w:ascii="Calibri" w:cs="Calibri" w:eastAsia="Calibri" w:hAnsi="Calibri"/>
          <w:sz w:val="17"/>
          <w:szCs w:val="17"/>
          <w:color w:val="auto"/>
        </w:rPr>
        <w:t>In additon, we sell preamplifers, which are complex, high speed, mixed signal devices that enable writng and reading data to and from the HDD heads.</w:t>
      </w:r>
    </w:p>
    <w:p>
      <w:pPr>
        <w:spacing w:after="0" w:line="233" w:lineRule="auto"/>
        <w:rPr>
          <w:sz w:val="20"/>
          <w:szCs w:val="20"/>
          <w:color w:val="auto"/>
        </w:rPr>
      </w:pPr>
      <w:r>
        <w:rPr>
          <w:rFonts w:ascii="Calibri" w:cs="Calibri" w:eastAsia="Calibri" w:hAnsi="Calibri"/>
          <w:sz w:val="18"/>
          <w:szCs w:val="18"/>
          <w:color w:val="auto"/>
        </w:rPr>
        <w:t>The preamplifer interfaces with the SoC to provide the electronics data path in a HDD.</w:t>
      </w:r>
    </w:p>
    <w:p>
      <w:pPr>
        <w:spacing w:after="0" w:line="107" w:lineRule="exact"/>
        <w:rPr>
          <w:sz w:val="20"/>
          <w:szCs w:val="20"/>
          <w:color w:val="auto"/>
        </w:rPr>
      </w:pPr>
    </w:p>
    <w:p>
      <w:pPr>
        <w:ind w:right="20" w:firstLine="396"/>
        <w:spacing w:after="0" w:line="230" w:lineRule="auto"/>
        <w:rPr>
          <w:sz w:val="20"/>
          <w:szCs w:val="20"/>
          <w:color w:val="auto"/>
        </w:rPr>
      </w:pPr>
      <w:r>
        <w:rPr>
          <w:rFonts w:ascii="Calibri" w:cs="Calibri" w:eastAsia="Calibri" w:hAnsi="Calibri"/>
          <w:sz w:val="18"/>
          <w:szCs w:val="18"/>
          <w:color w:val="auto"/>
        </w:rPr>
        <w:t>We also provide custom fash controllers to SSD OEMs. An SSD stores data in fash memory instead of on a hard disk, providing high speed access to the data. Flash controllers manage the underlying fash memory in SSDs, performing critcal functons such as reading and writng data to and from the fash memory and performing error correcton, wear leveling and bad block management.</w:t>
      </w:r>
    </w:p>
    <w:p>
      <w:pPr>
        <w:spacing w:after="0" w:line="108" w:lineRule="exact"/>
        <w:rPr>
          <w:sz w:val="20"/>
          <w:szCs w:val="20"/>
          <w:color w:val="auto"/>
        </w:rPr>
      </w:pPr>
    </w:p>
    <w:p>
      <w:pPr>
        <w:jc w:val="both"/>
        <w:ind w:right="180" w:firstLine="396"/>
        <w:spacing w:after="0" w:line="230" w:lineRule="auto"/>
        <w:rPr>
          <w:sz w:val="20"/>
          <w:szCs w:val="20"/>
          <w:color w:val="auto"/>
        </w:rPr>
      </w:pPr>
      <w:r>
        <w:rPr>
          <w:rFonts w:ascii="Calibri" w:cs="Calibri" w:eastAsia="Calibri" w:hAnsi="Calibri"/>
          <w:sz w:val="18"/>
          <w:szCs w:val="18"/>
          <w:b w:val="1"/>
          <w:bCs w:val="1"/>
          <w:i w:val="1"/>
          <w:iCs w:val="1"/>
          <w:color w:val="auto"/>
        </w:rPr>
        <w:t xml:space="preserve">Industrial End Markets: </w:t>
      </w:r>
      <w:r>
        <w:rPr>
          <w:rFonts w:ascii="Calibri" w:cs="Calibri" w:eastAsia="Calibri" w:hAnsi="Calibri"/>
          <w:sz w:val="18"/>
          <w:szCs w:val="18"/>
          <w:color w:val="auto"/>
        </w:rPr>
        <w:t>We also provide a broad variety of products for the general industrial and automotve markets, including optocouplers, industrial</w:t>
      </w:r>
      <w:r>
        <w:rPr>
          <w:rFonts w:ascii="Calibri" w:cs="Calibri" w:eastAsia="Calibri" w:hAnsi="Calibri"/>
          <w:sz w:val="18"/>
          <w:szCs w:val="18"/>
          <w:b w:val="1"/>
          <w:bCs w:val="1"/>
          <w:i w:val="1"/>
          <w:iCs w:val="1"/>
          <w:color w:val="auto"/>
        </w:rPr>
        <w:t xml:space="preserve"> </w:t>
      </w:r>
      <w:r>
        <w:rPr>
          <w:rFonts w:ascii="Calibri" w:cs="Calibri" w:eastAsia="Calibri" w:hAnsi="Calibri"/>
          <w:sz w:val="18"/>
          <w:szCs w:val="18"/>
          <w:color w:val="auto"/>
        </w:rPr>
        <w:t>fber optcs, industrial and medical sensors, moton encoders, light emitng diode devices, and Ethernet ICs. Our industrial products are used in a diverse set of applicatons, spanning industrial automaton, power generaton and distributon systems, medical systems and equipment, defense and aerospace, and vehicle subsystems including those used in electric vehicle powertrain, infotainment and advanced driver assistance system.</w:t>
      </w:r>
    </w:p>
    <w:p>
      <w:pPr>
        <w:spacing w:after="0" w:line="99"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Infrastructure Sofware</w:t>
      </w:r>
    </w:p>
    <w:p>
      <w:pPr>
        <w:spacing w:after="0" w:line="107" w:lineRule="exact"/>
        <w:rPr>
          <w:sz w:val="20"/>
          <w:szCs w:val="20"/>
          <w:color w:val="auto"/>
        </w:rPr>
      </w:pPr>
    </w:p>
    <w:p>
      <w:pPr>
        <w:ind w:firstLine="396"/>
        <w:spacing w:after="0" w:line="230" w:lineRule="auto"/>
        <w:rPr>
          <w:sz w:val="20"/>
          <w:szCs w:val="20"/>
          <w:color w:val="auto"/>
        </w:rPr>
      </w:pPr>
      <w:r>
        <w:rPr>
          <w:rFonts w:ascii="Calibri" w:cs="Calibri" w:eastAsia="Calibri" w:hAnsi="Calibri"/>
          <w:sz w:val="18"/>
          <w:szCs w:val="18"/>
          <w:color w:val="auto"/>
        </w:rPr>
        <w:t>Our infrastructure sofware solutons ofer customers greater choice and fexibility to build, run, manage, connect and protect applicatons and data at scale across hybrid IT environments.</w:t>
      </w:r>
    </w:p>
    <w:p>
      <w:pPr>
        <w:spacing w:after="0" w:line="107" w:lineRule="exact"/>
        <w:rPr>
          <w:sz w:val="20"/>
          <w:szCs w:val="20"/>
          <w:color w:val="auto"/>
        </w:rPr>
      </w:pPr>
    </w:p>
    <w:p>
      <w:pPr>
        <w:ind w:firstLine="396"/>
        <w:spacing w:after="0" w:line="230" w:lineRule="auto"/>
        <w:rPr>
          <w:sz w:val="20"/>
          <w:szCs w:val="20"/>
          <w:color w:val="auto"/>
        </w:rPr>
      </w:pPr>
      <w:r>
        <w:rPr>
          <w:rFonts w:ascii="Calibri" w:cs="Calibri" w:eastAsia="Calibri" w:hAnsi="Calibri"/>
          <w:sz w:val="18"/>
          <w:szCs w:val="18"/>
          <w:color w:val="auto"/>
        </w:rPr>
        <w:t>Our mainframe sofware provides market-leading DevOps, AIOps, Security, Workload Automaton, Data Management, and Foundatonal Sofware solutons, that enable customers to embrace open tools and technologies, innovate with their mainframe as part of their hybrid cloud, and amplify the value of their mainframe investments. Our commitment to partnering with our customers extends beyond products and technology and includes unique Beyond Code programs that address challenges such as skills development, stafng, change management, and cost-saving initatves that drive overall business success with the platorm.</w:t>
      </w:r>
    </w:p>
    <w:p>
      <w:pPr>
        <w:spacing w:after="0" w:line="109" w:lineRule="exact"/>
        <w:rPr>
          <w:sz w:val="20"/>
          <w:szCs w:val="20"/>
          <w:color w:val="auto"/>
        </w:rPr>
      </w:pPr>
    </w:p>
    <w:p>
      <w:pPr>
        <w:ind w:right="200" w:firstLine="396"/>
        <w:spacing w:after="0" w:line="230" w:lineRule="auto"/>
        <w:rPr>
          <w:sz w:val="20"/>
          <w:szCs w:val="20"/>
          <w:color w:val="auto"/>
        </w:rPr>
      </w:pPr>
      <w:r>
        <w:rPr>
          <w:rFonts w:ascii="Calibri" w:cs="Calibri" w:eastAsia="Calibri" w:hAnsi="Calibri"/>
          <w:sz w:val="18"/>
          <w:szCs w:val="18"/>
          <w:color w:val="auto"/>
        </w:rPr>
        <w:t>Our distributed sofware solutons enable global enterprises to optmize the planning, development and delivery of sofware, powering their business critcal digital services. Our solutons are designed to enable customers to innovate, improve customer experience, and drive proftability by aligning business, development, and operatonal teams. Our products, organized in the domains of ValueOps, DevOps, and AIOps, deliver end-to-end visibility across all stages of the digital lifecycle and help our customers realize beter business outcomes and beter experiences for their customers.</w:t>
      </w:r>
    </w:p>
    <w:p>
      <w:pPr>
        <w:spacing w:after="0" w:line="108" w:lineRule="exact"/>
        <w:rPr>
          <w:sz w:val="20"/>
          <w:szCs w:val="20"/>
          <w:color w:val="auto"/>
        </w:rPr>
      </w:pPr>
    </w:p>
    <w:p>
      <w:pPr>
        <w:ind w:right="160" w:firstLine="396"/>
        <w:spacing w:after="0" w:line="230" w:lineRule="auto"/>
        <w:rPr>
          <w:sz w:val="20"/>
          <w:szCs w:val="20"/>
          <w:color w:val="auto"/>
        </w:rPr>
      </w:pPr>
      <w:r>
        <w:rPr>
          <w:rFonts w:ascii="Calibri" w:cs="Calibri" w:eastAsia="Calibri" w:hAnsi="Calibri"/>
          <w:sz w:val="18"/>
          <w:szCs w:val="18"/>
          <w:color w:val="auto"/>
        </w:rPr>
        <w:t>Our Symantec cyber security sofware solutons help organizatons and governments secure against threats and compliance risks by protectng their users and data on any app, device, or network. Our integrated cyber defense approach simplifes cyber security with comprehensive solutons designed to secure critcal business assets across on-premises and cloud infrastructures. Our Symantec solutons utlize rich threat intelligence from a global network of security engineers,</w:t>
      </w:r>
    </w:p>
    <w:p>
      <w:pPr>
        <w:spacing w:after="0" w:line="200" w:lineRule="exact"/>
        <w:rPr>
          <w:sz w:val="20"/>
          <w:szCs w:val="20"/>
          <w:color w:val="auto"/>
        </w:rPr>
      </w:pPr>
    </w:p>
    <w:p>
      <w:pPr>
        <w:spacing w:after="0" w:line="334" w:lineRule="exact"/>
        <w:rPr>
          <w:sz w:val="20"/>
          <w:szCs w:val="20"/>
          <w:color w:val="auto"/>
        </w:rPr>
      </w:pPr>
    </w:p>
    <w:p>
      <w:pPr>
        <w:jc w:val="center"/>
        <w:ind w:right="-39"/>
        <w:spacing w:after="0"/>
        <w:rPr>
          <w:sz w:val="20"/>
          <w:szCs w:val="20"/>
          <w:color w:val="auto"/>
        </w:rPr>
      </w:pPr>
      <w:r>
        <w:rPr>
          <w:rFonts w:ascii="Calibri" w:cs="Calibri" w:eastAsia="Calibri" w:hAnsi="Calibri"/>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09" w:right="359" w:bottom="1440" w:gutter="0" w:footer="0" w:header="0"/>
        </w:sectPr>
      </w:pPr>
    </w:p>
    <w:bookmarkStart w:id="7" w:name="page8"/>
    <w:bookmarkEnd w:id="7"/>
    <w:p>
      <w:pPr>
        <w:spacing w:after="0"/>
        <w:rPr>
          <w:sz w:val="20"/>
          <w:szCs w:val="20"/>
          <w:color w:val="auto"/>
        </w:rPr>
      </w:pPr>
      <w:r>
        <w:rPr>
          <w:rFonts w:ascii="Calibri" w:cs="Calibri" w:eastAsia="Calibri" w:hAnsi="Calibri"/>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right="520"/>
        <w:spacing w:after="0" w:line="230" w:lineRule="auto"/>
        <w:rPr>
          <w:sz w:val="20"/>
          <w:szCs w:val="20"/>
          <w:color w:val="auto"/>
        </w:rPr>
      </w:pPr>
      <w:r>
        <w:rPr>
          <w:rFonts w:ascii="Calibri" w:cs="Calibri" w:eastAsia="Calibri" w:hAnsi="Calibri"/>
          <w:sz w:val="18"/>
          <w:szCs w:val="18"/>
          <w:color w:val="auto"/>
        </w:rPr>
        <w:t>threat analyst and researchers, as well as advanced artfcial intelligence (“AI”) and machine-learning engines, enabling customers to protect data, connect authorized users with trusted applicatons, and detect and respond to the most advanced targeted atacks.</w:t>
      </w:r>
    </w:p>
    <w:p>
      <w:pPr>
        <w:spacing w:after="0" w:line="107" w:lineRule="exact"/>
        <w:rPr>
          <w:sz w:val="20"/>
          <w:szCs w:val="20"/>
          <w:color w:val="auto"/>
        </w:rPr>
      </w:pPr>
    </w:p>
    <w:p>
      <w:pPr>
        <w:ind w:right="480" w:firstLine="396"/>
        <w:spacing w:after="0" w:line="230" w:lineRule="auto"/>
        <w:rPr>
          <w:sz w:val="20"/>
          <w:szCs w:val="20"/>
          <w:color w:val="auto"/>
        </w:rPr>
      </w:pPr>
      <w:r>
        <w:rPr>
          <w:rFonts w:ascii="Calibri" w:cs="Calibri" w:eastAsia="Calibri" w:hAnsi="Calibri"/>
          <w:sz w:val="18"/>
          <w:szCs w:val="18"/>
          <w:color w:val="auto"/>
        </w:rPr>
        <w:t>We also ofer mission critcal FC SAN products designed to help customers reduce the cost and complexity of managing business informaton within a shared data storage environment, enabling high levels of availability of mission critcal applicatons in the form of modules, switches and subsystems incorporatng multple semiconductor products. We deliver reliable and simplifed management of these FC SAN products through our sofware-based management tools designed to maximize uptme, dramatcally simplify storage area networking deployment and management, and provide high levels of visibility and insight into the storage network.</w:t>
      </w:r>
    </w:p>
    <w:p>
      <w:pPr>
        <w:spacing w:after="0" w:line="99" w:lineRule="exact"/>
        <w:rPr>
          <w:sz w:val="20"/>
          <w:szCs w:val="20"/>
          <w:color w:val="auto"/>
        </w:rPr>
      </w:pPr>
    </w:p>
    <w:p>
      <w:pPr>
        <w:ind w:left="400"/>
        <w:spacing w:after="0"/>
        <w:rPr>
          <w:sz w:val="20"/>
          <w:szCs w:val="20"/>
          <w:color w:val="auto"/>
        </w:rPr>
      </w:pPr>
      <w:r>
        <w:rPr>
          <w:rFonts w:ascii="Calibri" w:cs="Calibri" w:eastAsia="Calibri" w:hAnsi="Calibri"/>
          <w:sz w:val="18"/>
          <w:szCs w:val="18"/>
          <w:color w:val="auto"/>
        </w:rPr>
        <w:t>The table below presents our sofware portolios and their material oferings during fscal year 2023.</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340" w:type="dxa"/>
            <w:vAlign w:val="bottom"/>
            <w:gridSpan w:val="3"/>
          </w:tcPr>
          <w:p>
            <w:pPr>
              <w:ind w:left="840"/>
              <w:spacing w:after="0"/>
              <w:rPr>
                <w:sz w:val="20"/>
                <w:szCs w:val="20"/>
                <w:color w:val="auto"/>
              </w:rPr>
            </w:pPr>
            <w:r>
              <w:rPr>
                <w:rFonts w:ascii="Calibri" w:cs="Calibri" w:eastAsia="Calibri" w:hAnsi="Calibri"/>
                <w:sz w:val="14"/>
                <w:szCs w:val="14"/>
                <w:b w:val="1"/>
                <w:bCs w:val="1"/>
                <w:color w:val="auto"/>
              </w:rPr>
              <w:t>Sofware Portolio</w:t>
            </w:r>
          </w:p>
        </w:tc>
        <w:tc>
          <w:tcPr>
            <w:tcW w:w="1940" w:type="dxa"/>
            <w:vAlign w:val="bottom"/>
          </w:tcPr>
          <w:p>
            <w:pPr>
              <w:spacing w:after="0"/>
              <w:rPr>
                <w:sz w:val="14"/>
                <w:szCs w:val="14"/>
                <w:color w:val="auto"/>
              </w:rPr>
            </w:pPr>
          </w:p>
        </w:tc>
        <w:tc>
          <w:tcPr>
            <w:tcW w:w="2720" w:type="dxa"/>
            <w:vAlign w:val="bottom"/>
            <w:gridSpan w:val="2"/>
          </w:tcPr>
          <w:p>
            <w:pPr>
              <w:spacing w:after="0"/>
              <w:rPr>
                <w:sz w:val="20"/>
                <w:szCs w:val="20"/>
                <w:color w:val="auto"/>
              </w:rPr>
            </w:pPr>
            <w:r>
              <w:rPr>
                <w:rFonts w:ascii="Calibri" w:cs="Calibri" w:eastAsia="Calibri" w:hAnsi="Calibri"/>
                <w:sz w:val="14"/>
                <w:szCs w:val="14"/>
                <w:b w:val="1"/>
                <w:bCs w:val="1"/>
                <w:color w:val="auto"/>
              </w:rPr>
              <w:t>Portolio Descripton</w:t>
            </w:r>
          </w:p>
        </w:tc>
        <w:tc>
          <w:tcPr>
            <w:tcW w:w="160" w:type="dxa"/>
            <w:vAlign w:val="bottom"/>
          </w:tcPr>
          <w:p>
            <w:pPr>
              <w:spacing w:after="0"/>
              <w:rPr>
                <w:sz w:val="14"/>
                <w:szCs w:val="14"/>
                <w:color w:val="auto"/>
              </w:rPr>
            </w:pPr>
          </w:p>
        </w:tc>
        <w:tc>
          <w:tcPr>
            <w:tcW w:w="4080" w:type="dxa"/>
            <w:vAlign w:val="bottom"/>
            <w:gridSpan w:val="3"/>
          </w:tcPr>
          <w:p>
            <w:pPr>
              <w:ind w:left="1240"/>
              <w:spacing w:after="0"/>
              <w:rPr>
                <w:sz w:val="20"/>
                <w:szCs w:val="20"/>
                <w:color w:val="auto"/>
              </w:rPr>
            </w:pPr>
            <w:r>
              <w:rPr>
                <w:rFonts w:ascii="Calibri" w:cs="Calibri" w:eastAsia="Calibri" w:hAnsi="Calibri"/>
                <w:sz w:val="14"/>
                <w:szCs w:val="14"/>
                <w:b w:val="1"/>
                <w:bCs w:val="1"/>
                <w:color w:val="auto"/>
              </w:rPr>
              <w:t>Major Portolio Oferings</w:t>
            </w:r>
          </w:p>
        </w:tc>
        <w:tc>
          <w:tcPr>
            <w:tcW w:w="0" w:type="dxa"/>
            <w:vAlign w:val="bottom"/>
          </w:tcPr>
          <w:p>
            <w:pPr>
              <w:spacing w:after="0"/>
              <w:rPr>
                <w:sz w:val="1"/>
                <w:szCs w:val="1"/>
                <w:color w:val="auto"/>
              </w:rPr>
            </w:pPr>
          </w:p>
        </w:tc>
      </w:tr>
      <w:tr>
        <w:trPr>
          <w:trHeight w:val="46"/>
        </w:trPr>
        <w:tc>
          <w:tcPr>
            <w:tcW w:w="840" w:type="dxa"/>
            <w:vAlign w:val="bottom"/>
          </w:tcPr>
          <w:p>
            <w:pPr>
              <w:spacing w:after="0"/>
              <w:rPr>
                <w:sz w:val="4"/>
                <w:szCs w:val="4"/>
                <w:color w:val="auto"/>
              </w:rPr>
            </w:pPr>
          </w:p>
        </w:tc>
        <w:tc>
          <w:tcPr>
            <w:tcW w:w="1060" w:type="dxa"/>
            <w:vAlign w:val="bottom"/>
            <w:tcBorders>
              <w:top w:val="single" w:sz="8" w:color="auto"/>
            </w:tcBorders>
          </w:tcPr>
          <w:p>
            <w:pPr>
              <w:spacing w:after="0"/>
              <w:rPr>
                <w:sz w:val="4"/>
                <w:szCs w:val="4"/>
                <w:color w:val="auto"/>
              </w:rPr>
            </w:pPr>
          </w:p>
        </w:tc>
        <w:tc>
          <w:tcPr>
            <w:tcW w:w="440" w:type="dxa"/>
            <w:vAlign w:val="bottom"/>
          </w:tcPr>
          <w:p>
            <w:pPr>
              <w:spacing w:after="0"/>
              <w:rPr>
                <w:sz w:val="4"/>
                <w:szCs w:val="4"/>
                <w:color w:val="auto"/>
              </w:rPr>
            </w:pPr>
          </w:p>
        </w:tc>
        <w:tc>
          <w:tcPr>
            <w:tcW w:w="1940" w:type="dxa"/>
            <w:vAlign w:val="bottom"/>
          </w:tcPr>
          <w:p>
            <w:pPr>
              <w:spacing w:after="0"/>
              <w:rPr>
                <w:sz w:val="4"/>
                <w:szCs w:val="4"/>
                <w:color w:val="auto"/>
              </w:rPr>
            </w:pPr>
          </w:p>
        </w:tc>
        <w:tc>
          <w:tcPr>
            <w:tcW w:w="1220" w:type="dxa"/>
            <w:vAlign w:val="bottom"/>
            <w:tcBorders>
              <w:top w:val="single" w:sz="8" w:color="auto"/>
            </w:tcBorders>
          </w:tcPr>
          <w:p>
            <w:pPr>
              <w:spacing w:after="0"/>
              <w:rPr>
                <w:sz w:val="4"/>
                <w:szCs w:val="4"/>
                <w:color w:val="auto"/>
              </w:rPr>
            </w:pPr>
          </w:p>
        </w:tc>
        <w:tc>
          <w:tcPr>
            <w:tcW w:w="15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460" w:type="dxa"/>
            <w:vAlign w:val="bottom"/>
            <w:tcBorders>
              <w:top w:val="single" w:sz="8" w:color="auto"/>
            </w:tcBorders>
          </w:tcPr>
          <w:p>
            <w:pPr>
              <w:spacing w:after="0"/>
              <w:rPr>
                <w:sz w:val="4"/>
                <w:szCs w:val="4"/>
                <w:color w:val="auto"/>
              </w:rPr>
            </w:pPr>
          </w:p>
        </w:tc>
        <w:tc>
          <w:tcPr>
            <w:tcW w:w="13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7"/>
        </w:trPr>
        <w:tc>
          <w:tcPr>
            <w:tcW w:w="2340" w:type="dxa"/>
            <w:vAlign w:val="bottom"/>
            <w:gridSpan w:val="3"/>
            <w:shd w:val="clear" w:color="auto" w:fill="CCEEFF"/>
          </w:tcPr>
          <w:p>
            <w:pPr>
              <w:ind w:left="20"/>
              <w:spacing w:after="0" w:line="157" w:lineRule="exact"/>
              <w:rPr>
                <w:sz w:val="20"/>
                <w:szCs w:val="20"/>
                <w:color w:val="auto"/>
              </w:rPr>
            </w:pPr>
            <w:r>
              <w:rPr>
                <w:rFonts w:ascii="Calibri" w:cs="Calibri" w:eastAsia="Calibri" w:hAnsi="Calibri"/>
                <w:sz w:val="14"/>
                <w:szCs w:val="14"/>
                <w:b w:val="1"/>
                <w:bCs w:val="1"/>
                <w:color w:val="auto"/>
              </w:rPr>
              <w:t>Mainframe Sofware</w:t>
            </w:r>
          </w:p>
        </w:tc>
        <w:tc>
          <w:tcPr>
            <w:tcW w:w="4660" w:type="dxa"/>
            <w:vAlign w:val="bottom"/>
            <w:gridSpan w:val="3"/>
            <w:shd w:val="clear" w:color="auto" w:fill="CCEEFF"/>
          </w:tcPr>
          <w:p>
            <w:pPr>
              <w:ind w:left="420"/>
              <w:spacing w:after="0" w:line="157" w:lineRule="exact"/>
              <w:rPr>
                <w:sz w:val="20"/>
                <w:szCs w:val="20"/>
                <w:color w:val="auto"/>
              </w:rPr>
            </w:pPr>
            <w:r>
              <w:rPr>
                <w:rFonts w:ascii="Calibri" w:cs="Calibri" w:eastAsia="Calibri" w:hAnsi="Calibri"/>
                <w:sz w:val="14"/>
                <w:szCs w:val="14"/>
                <w:color w:val="auto"/>
              </w:rPr>
              <w:t>•  DevOps, AIOps, Security, Workload Automaton, Data Management,</w:t>
            </w:r>
          </w:p>
        </w:tc>
        <w:tc>
          <w:tcPr>
            <w:tcW w:w="160" w:type="dxa"/>
            <w:vAlign w:val="bottom"/>
            <w:shd w:val="clear" w:color="auto" w:fill="CCEEFF"/>
          </w:tcPr>
          <w:p>
            <w:pPr>
              <w:ind w:left="40"/>
              <w:spacing w:after="0" w:line="157" w:lineRule="exact"/>
              <w:rPr>
                <w:sz w:val="20"/>
                <w:szCs w:val="20"/>
                <w:color w:val="auto"/>
              </w:rPr>
            </w:pPr>
            <w:r>
              <w:rPr>
                <w:rFonts w:ascii="Calibri" w:cs="Calibri" w:eastAsia="Calibri" w:hAnsi="Calibri"/>
                <w:sz w:val="14"/>
                <w:szCs w:val="14"/>
                <w:color w:val="auto"/>
              </w:rPr>
              <w:t>•</w:t>
            </w:r>
          </w:p>
        </w:tc>
        <w:tc>
          <w:tcPr>
            <w:tcW w:w="4080" w:type="dxa"/>
            <w:vAlign w:val="bottom"/>
            <w:gridSpan w:val="3"/>
            <w:shd w:val="clear" w:color="auto" w:fill="CCEEFF"/>
          </w:tcPr>
          <w:p>
            <w:pPr>
              <w:ind w:left="60"/>
              <w:spacing w:after="0" w:line="157" w:lineRule="exact"/>
              <w:rPr>
                <w:sz w:val="20"/>
                <w:szCs w:val="20"/>
                <w:color w:val="auto"/>
              </w:rPr>
            </w:pPr>
            <w:r>
              <w:rPr>
                <w:rFonts w:ascii="Calibri" w:cs="Calibri" w:eastAsia="Calibri" w:hAnsi="Calibri"/>
                <w:sz w:val="14"/>
                <w:szCs w:val="14"/>
                <w:color w:val="auto"/>
              </w:rPr>
              <w:t>Operatonal Analytcs &amp; Management</w:t>
            </w:r>
          </w:p>
        </w:tc>
        <w:tc>
          <w:tcPr>
            <w:tcW w:w="0" w:type="dxa"/>
            <w:vAlign w:val="bottom"/>
          </w:tcPr>
          <w:p>
            <w:pPr>
              <w:spacing w:after="0"/>
              <w:rPr>
                <w:sz w:val="1"/>
                <w:szCs w:val="1"/>
                <w:color w:val="auto"/>
              </w:rPr>
            </w:pPr>
          </w:p>
        </w:tc>
      </w:tr>
      <w:tr>
        <w:trPr>
          <w:trHeight w:val="168"/>
        </w:trPr>
        <w:tc>
          <w:tcPr>
            <w:tcW w:w="84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4660" w:type="dxa"/>
            <w:vAlign w:val="bottom"/>
            <w:gridSpan w:val="3"/>
            <w:shd w:val="clear" w:color="auto" w:fill="CCEEFF"/>
          </w:tcPr>
          <w:p>
            <w:pPr>
              <w:ind w:left="580"/>
              <w:spacing w:after="0" w:line="168" w:lineRule="exact"/>
              <w:rPr>
                <w:sz w:val="20"/>
                <w:szCs w:val="20"/>
                <w:color w:val="auto"/>
              </w:rPr>
            </w:pPr>
            <w:r>
              <w:rPr>
                <w:rFonts w:ascii="Calibri" w:cs="Calibri" w:eastAsia="Calibri" w:hAnsi="Calibri"/>
                <w:sz w:val="14"/>
                <w:szCs w:val="14"/>
                <w:color w:val="auto"/>
              </w:rPr>
              <w:t>and Foundatonal Sofware Solutons</w:t>
            </w:r>
          </w:p>
        </w:tc>
        <w:tc>
          <w:tcPr>
            <w:tcW w:w="160" w:type="dxa"/>
            <w:vAlign w:val="bottom"/>
            <w:vMerge w:val="restart"/>
            <w:shd w:val="clear" w:color="auto" w:fill="CCEEFF"/>
          </w:tcPr>
          <w:p>
            <w:pPr>
              <w:ind w:left="40"/>
              <w:spacing w:after="0"/>
              <w:rPr>
                <w:sz w:val="20"/>
                <w:szCs w:val="20"/>
                <w:color w:val="auto"/>
              </w:rPr>
            </w:pPr>
            <w:r>
              <w:rPr>
                <w:rFonts w:ascii="Calibri" w:cs="Calibri" w:eastAsia="Calibri" w:hAnsi="Calibri"/>
                <w:sz w:val="14"/>
                <w:szCs w:val="14"/>
                <w:color w:val="auto"/>
              </w:rPr>
              <w:t>•</w:t>
            </w:r>
          </w:p>
        </w:tc>
        <w:tc>
          <w:tcPr>
            <w:tcW w:w="4080" w:type="dxa"/>
            <w:vAlign w:val="bottom"/>
            <w:gridSpan w:val="3"/>
            <w:vMerge w:val="restart"/>
            <w:shd w:val="clear" w:color="auto" w:fill="CCEEFF"/>
          </w:tcPr>
          <w:p>
            <w:pPr>
              <w:ind w:left="60"/>
              <w:spacing w:after="0"/>
              <w:rPr>
                <w:sz w:val="20"/>
                <w:szCs w:val="20"/>
                <w:color w:val="auto"/>
              </w:rPr>
            </w:pPr>
            <w:r>
              <w:rPr>
                <w:rFonts w:ascii="Calibri" w:cs="Calibri" w:eastAsia="Calibri" w:hAnsi="Calibri"/>
                <w:sz w:val="14"/>
                <w:szCs w:val="14"/>
                <w:color w:val="auto"/>
              </w:rPr>
              <w:t>Workload Automaton</w:t>
            </w:r>
          </w:p>
        </w:tc>
        <w:tc>
          <w:tcPr>
            <w:tcW w:w="0" w:type="dxa"/>
            <w:vAlign w:val="bottom"/>
          </w:tcPr>
          <w:p>
            <w:pPr>
              <w:spacing w:after="0"/>
              <w:rPr>
                <w:sz w:val="1"/>
                <w:szCs w:val="1"/>
                <w:color w:val="auto"/>
              </w:rPr>
            </w:pPr>
          </w:p>
        </w:tc>
      </w:tr>
      <w:tr>
        <w:trPr>
          <w:trHeight w:val="92"/>
        </w:trPr>
        <w:tc>
          <w:tcPr>
            <w:tcW w:w="840" w:type="dxa"/>
            <w:vAlign w:val="bottom"/>
            <w:shd w:val="clear" w:color="auto" w:fill="CCEEFF"/>
          </w:tcPr>
          <w:p>
            <w:pPr>
              <w:spacing w:after="0"/>
              <w:rPr>
                <w:sz w:val="8"/>
                <w:szCs w:val="8"/>
                <w:color w:val="auto"/>
              </w:rPr>
            </w:pPr>
          </w:p>
        </w:tc>
        <w:tc>
          <w:tcPr>
            <w:tcW w:w="106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1940" w:type="dxa"/>
            <w:vAlign w:val="bottom"/>
            <w:shd w:val="clear" w:color="auto" w:fill="CCEEFF"/>
          </w:tcPr>
          <w:p>
            <w:pPr>
              <w:spacing w:after="0"/>
              <w:rPr>
                <w:sz w:val="8"/>
                <w:szCs w:val="8"/>
                <w:color w:val="auto"/>
              </w:rPr>
            </w:pPr>
          </w:p>
        </w:tc>
        <w:tc>
          <w:tcPr>
            <w:tcW w:w="1220" w:type="dxa"/>
            <w:vAlign w:val="bottom"/>
            <w:shd w:val="clear" w:color="auto" w:fill="CCEEFF"/>
          </w:tcPr>
          <w:p>
            <w:pPr>
              <w:spacing w:after="0"/>
              <w:rPr>
                <w:sz w:val="8"/>
                <w:szCs w:val="8"/>
                <w:color w:val="auto"/>
              </w:rPr>
            </w:pPr>
          </w:p>
        </w:tc>
        <w:tc>
          <w:tcPr>
            <w:tcW w:w="1500" w:type="dxa"/>
            <w:vAlign w:val="bottom"/>
            <w:shd w:val="clear" w:color="auto" w:fill="CCEEFF"/>
          </w:tcPr>
          <w:p>
            <w:pPr>
              <w:spacing w:after="0"/>
              <w:rPr>
                <w:sz w:val="8"/>
                <w:szCs w:val="8"/>
                <w:color w:val="auto"/>
              </w:rPr>
            </w:pPr>
          </w:p>
        </w:tc>
        <w:tc>
          <w:tcPr>
            <w:tcW w:w="160" w:type="dxa"/>
            <w:vAlign w:val="bottom"/>
            <w:vMerge w:val="continue"/>
            <w:shd w:val="clear" w:color="auto" w:fill="CCEEFF"/>
          </w:tcPr>
          <w:p>
            <w:pPr>
              <w:spacing w:after="0"/>
              <w:rPr>
                <w:sz w:val="8"/>
                <w:szCs w:val="8"/>
                <w:color w:val="auto"/>
              </w:rPr>
            </w:pPr>
          </w:p>
        </w:tc>
        <w:tc>
          <w:tcPr>
            <w:tcW w:w="4080" w:type="dxa"/>
            <w:vAlign w:val="bottom"/>
            <w:gridSpan w:val="3"/>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51"/>
        </w:trPr>
        <w:tc>
          <w:tcPr>
            <w:tcW w:w="84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94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500" w:type="dxa"/>
            <w:vAlign w:val="bottom"/>
            <w:shd w:val="clear" w:color="auto" w:fill="CCEEFF"/>
          </w:tcPr>
          <w:p>
            <w:pPr>
              <w:spacing w:after="0"/>
              <w:rPr>
                <w:sz w:val="21"/>
                <w:szCs w:val="21"/>
                <w:color w:val="auto"/>
              </w:rPr>
            </w:pPr>
          </w:p>
        </w:tc>
        <w:tc>
          <w:tcPr>
            <w:tcW w:w="4240" w:type="dxa"/>
            <w:vAlign w:val="bottom"/>
            <w:gridSpan w:val="4"/>
            <w:shd w:val="clear" w:color="auto" w:fill="CCEEFF"/>
          </w:tcPr>
          <w:p>
            <w:pPr>
              <w:ind w:left="40"/>
              <w:spacing w:after="0"/>
              <w:rPr>
                <w:sz w:val="20"/>
                <w:szCs w:val="20"/>
                <w:color w:val="auto"/>
              </w:rPr>
            </w:pPr>
            <w:r>
              <w:rPr>
                <w:rFonts w:ascii="Calibri" w:cs="Calibri" w:eastAsia="Calibri" w:hAnsi="Calibri"/>
                <w:sz w:val="14"/>
                <w:szCs w:val="14"/>
                <w:color w:val="auto"/>
              </w:rPr>
              <w:t>•  Database &amp; Data Management</w:t>
            </w:r>
          </w:p>
        </w:tc>
        <w:tc>
          <w:tcPr>
            <w:tcW w:w="0" w:type="dxa"/>
            <w:vAlign w:val="bottom"/>
          </w:tcPr>
          <w:p>
            <w:pPr>
              <w:spacing w:after="0"/>
              <w:rPr>
                <w:sz w:val="1"/>
                <w:szCs w:val="1"/>
                <w:color w:val="auto"/>
              </w:rPr>
            </w:pPr>
          </w:p>
        </w:tc>
      </w:tr>
      <w:tr>
        <w:trPr>
          <w:trHeight w:val="264"/>
        </w:trPr>
        <w:tc>
          <w:tcPr>
            <w:tcW w:w="84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94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500" w:type="dxa"/>
            <w:vAlign w:val="bottom"/>
            <w:shd w:val="clear" w:color="auto" w:fill="CCEEFF"/>
          </w:tcPr>
          <w:p>
            <w:pPr>
              <w:spacing w:after="0"/>
              <w:rPr>
                <w:sz w:val="22"/>
                <w:szCs w:val="22"/>
                <w:color w:val="auto"/>
              </w:rPr>
            </w:pPr>
          </w:p>
        </w:tc>
        <w:tc>
          <w:tcPr>
            <w:tcW w:w="4240" w:type="dxa"/>
            <w:vAlign w:val="bottom"/>
            <w:gridSpan w:val="4"/>
            <w:shd w:val="clear" w:color="auto" w:fill="CCEEFF"/>
          </w:tcPr>
          <w:p>
            <w:pPr>
              <w:ind w:left="40"/>
              <w:spacing w:after="0"/>
              <w:rPr>
                <w:sz w:val="20"/>
                <w:szCs w:val="20"/>
                <w:color w:val="auto"/>
              </w:rPr>
            </w:pPr>
            <w:r>
              <w:rPr>
                <w:rFonts w:ascii="Calibri" w:cs="Calibri" w:eastAsia="Calibri" w:hAnsi="Calibri"/>
                <w:sz w:val="14"/>
                <w:szCs w:val="14"/>
                <w:color w:val="auto"/>
              </w:rPr>
              <w:t>•  Applicaton Development &amp; Testng</w:t>
            </w:r>
          </w:p>
        </w:tc>
        <w:tc>
          <w:tcPr>
            <w:tcW w:w="0" w:type="dxa"/>
            <w:vAlign w:val="bottom"/>
          </w:tcPr>
          <w:p>
            <w:pPr>
              <w:spacing w:after="0"/>
              <w:rPr>
                <w:sz w:val="1"/>
                <w:szCs w:val="1"/>
                <w:color w:val="auto"/>
              </w:rPr>
            </w:pPr>
          </w:p>
        </w:tc>
      </w:tr>
      <w:tr>
        <w:trPr>
          <w:trHeight w:val="264"/>
        </w:trPr>
        <w:tc>
          <w:tcPr>
            <w:tcW w:w="84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94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500" w:type="dxa"/>
            <w:vAlign w:val="bottom"/>
            <w:shd w:val="clear" w:color="auto" w:fill="CCEEFF"/>
          </w:tcPr>
          <w:p>
            <w:pPr>
              <w:spacing w:after="0"/>
              <w:rPr>
                <w:sz w:val="22"/>
                <w:szCs w:val="22"/>
                <w:color w:val="auto"/>
              </w:rPr>
            </w:pPr>
          </w:p>
        </w:tc>
        <w:tc>
          <w:tcPr>
            <w:tcW w:w="4240" w:type="dxa"/>
            <w:vAlign w:val="bottom"/>
            <w:gridSpan w:val="4"/>
            <w:shd w:val="clear" w:color="auto" w:fill="CCEEFF"/>
          </w:tcPr>
          <w:p>
            <w:pPr>
              <w:ind w:left="40"/>
              <w:spacing w:after="0"/>
              <w:rPr>
                <w:sz w:val="20"/>
                <w:szCs w:val="20"/>
                <w:color w:val="auto"/>
              </w:rPr>
            </w:pPr>
            <w:r>
              <w:rPr>
                <w:rFonts w:ascii="Calibri" w:cs="Calibri" w:eastAsia="Calibri" w:hAnsi="Calibri"/>
                <w:sz w:val="14"/>
                <w:szCs w:val="14"/>
                <w:color w:val="auto"/>
              </w:rPr>
              <w:t>•  Identty &amp; Access Management</w:t>
            </w:r>
          </w:p>
        </w:tc>
        <w:tc>
          <w:tcPr>
            <w:tcW w:w="0" w:type="dxa"/>
            <w:vAlign w:val="bottom"/>
          </w:tcPr>
          <w:p>
            <w:pPr>
              <w:spacing w:after="0"/>
              <w:rPr>
                <w:sz w:val="1"/>
                <w:szCs w:val="1"/>
                <w:color w:val="auto"/>
              </w:rPr>
            </w:pPr>
          </w:p>
        </w:tc>
      </w:tr>
      <w:tr>
        <w:trPr>
          <w:trHeight w:val="264"/>
        </w:trPr>
        <w:tc>
          <w:tcPr>
            <w:tcW w:w="84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94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500" w:type="dxa"/>
            <w:vAlign w:val="bottom"/>
            <w:shd w:val="clear" w:color="auto" w:fill="CCEEFF"/>
          </w:tcPr>
          <w:p>
            <w:pPr>
              <w:spacing w:after="0"/>
              <w:rPr>
                <w:sz w:val="22"/>
                <w:szCs w:val="22"/>
                <w:color w:val="auto"/>
              </w:rPr>
            </w:pPr>
          </w:p>
        </w:tc>
        <w:tc>
          <w:tcPr>
            <w:tcW w:w="4240" w:type="dxa"/>
            <w:vAlign w:val="bottom"/>
            <w:gridSpan w:val="4"/>
            <w:shd w:val="clear" w:color="auto" w:fill="CCEEFF"/>
          </w:tcPr>
          <w:p>
            <w:pPr>
              <w:ind w:left="40"/>
              <w:spacing w:after="0"/>
              <w:rPr>
                <w:sz w:val="20"/>
                <w:szCs w:val="20"/>
                <w:color w:val="auto"/>
              </w:rPr>
            </w:pPr>
            <w:r>
              <w:rPr>
                <w:rFonts w:ascii="Calibri" w:cs="Calibri" w:eastAsia="Calibri" w:hAnsi="Calibri"/>
                <w:sz w:val="14"/>
                <w:szCs w:val="14"/>
                <w:color w:val="auto"/>
              </w:rPr>
              <w:t>•  Compliance &amp; Data Protecton</w:t>
            </w:r>
          </w:p>
        </w:tc>
        <w:tc>
          <w:tcPr>
            <w:tcW w:w="0" w:type="dxa"/>
            <w:vAlign w:val="bottom"/>
          </w:tcPr>
          <w:p>
            <w:pPr>
              <w:spacing w:after="0"/>
              <w:rPr>
                <w:sz w:val="1"/>
                <w:szCs w:val="1"/>
                <w:color w:val="auto"/>
              </w:rPr>
            </w:pPr>
          </w:p>
        </w:tc>
      </w:tr>
      <w:tr>
        <w:trPr>
          <w:trHeight w:val="264"/>
        </w:trPr>
        <w:tc>
          <w:tcPr>
            <w:tcW w:w="84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94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500" w:type="dxa"/>
            <w:vAlign w:val="bottom"/>
            <w:shd w:val="clear" w:color="auto" w:fill="CCEEFF"/>
          </w:tcPr>
          <w:p>
            <w:pPr>
              <w:spacing w:after="0"/>
              <w:rPr>
                <w:sz w:val="22"/>
                <w:szCs w:val="22"/>
                <w:color w:val="auto"/>
              </w:rPr>
            </w:pPr>
          </w:p>
        </w:tc>
        <w:tc>
          <w:tcPr>
            <w:tcW w:w="160" w:type="dxa"/>
            <w:vAlign w:val="bottom"/>
            <w:shd w:val="clear" w:color="auto" w:fill="CCEEFF"/>
          </w:tcPr>
          <w:p>
            <w:pPr>
              <w:ind w:left="40"/>
              <w:spacing w:after="0"/>
              <w:rPr>
                <w:sz w:val="20"/>
                <w:szCs w:val="20"/>
                <w:color w:val="auto"/>
              </w:rPr>
            </w:pPr>
            <w:r>
              <w:rPr>
                <w:rFonts w:ascii="Calibri" w:cs="Calibri" w:eastAsia="Calibri" w:hAnsi="Calibri"/>
                <w:sz w:val="14"/>
                <w:szCs w:val="14"/>
                <w:color w:val="auto"/>
              </w:rPr>
              <w:t>•</w:t>
            </w:r>
          </w:p>
        </w:tc>
        <w:tc>
          <w:tcPr>
            <w:tcW w:w="4080" w:type="dxa"/>
            <w:vAlign w:val="bottom"/>
            <w:gridSpan w:val="3"/>
            <w:shd w:val="clear" w:color="auto" w:fill="CCEEFF"/>
          </w:tcPr>
          <w:p>
            <w:pPr>
              <w:ind w:left="60"/>
              <w:spacing w:after="0"/>
              <w:rPr>
                <w:sz w:val="20"/>
                <w:szCs w:val="20"/>
                <w:color w:val="auto"/>
              </w:rPr>
            </w:pPr>
            <w:r>
              <w:rPr>
                <w:rFonts w:ascii="Calibri" w:cs="Calibri" w:eastAsia="Calibri" w:hAnsi="Calibri"/>
                <w:sz w:val="14"/>
                <w:szCs w:val="14"/>
                <w:color w:val="auto"/>
              </w:rPr>
              <w:t>Security Insights</w:t>
            </w:r>
          </w:p>
        </w:tc>
        <w:tc>
          <w:tcPr>
            <w:tcW w:w="0" w:type="dxa"/>
            <w:vAlign w:val="bottom"/>
          </w:tcPr>
          <w:p>
            <w:pPr>
              <w:spacing w:after="0"/>
              <w:rPr>
                <w:sz w:val="1"/>
                <w:szCs w:val="1"/>
                <w:color w:val="auto"/>
              </w:rPr>
            </w:pPr>
          </w:p>
        </w:tc>
      </w:tr>
      <w:tr>
        <w:trPr>
          <w:trHeight w:val="304"/>
        </w:trPr>
        <w:tc>
          <w:tcPr>
            <w:tcW w:w="84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4660" w:type="dxa"/>
            <w:vAlign w:val="bottom"/>
            <w:gridSpan w:val="3"/>
            <w:shd w:val="clear" w:color="auto" w:fill="CCEEFF"/>
          </w:tcPr>
          <w:p>
            <w:pPr>
              <w:ind w:left="420"/>
              <w:spacing w:after="0"/>
              <w:rPr>
                <w:sz w:val="20"/>
                <w:szCs w:val="20"/>
                <w:color w:val="auto"/>
              </w:rPr>
            </w:pPr>
            <w:r>
              <w:rPr>
                <w:rFonts w:ascii="Calibri" w:cs="Calibri" w:eastAsia="Calibri" w:hAnsi="Calibri"/>
                <w:sz w:val="14"/>
                <w:szCs w:val="14"/>
                <w:color w:val="auto"/>
              </w:rPr>
              <w:t>•  Beyond Code programs</w:t>
            </w:r>
          </w:p>
        </w:tc>
        <w:tc>
          <w:tcPr>
            <w:tcW w:w="160" w:type="dxa"/>
            <w:vAlign w:val="bottom"/>
            <w:shd w:val="clear" w:color="auto" w:fill="CCEEFF"/>
          </w:tcPr>
          <w:p>
            <w:pPr>
              <w:ind w:left="40"/>
              <w:spacing w:after="0"/>
              <w:rPr>
                <w:sz w:val="20"/>
                <w:szCs w:val="20"/>
                <w:color w:val="auto"/>
              </w:rPr>
            </w:pPr>
            <w:r>
              <w:rPr>
                <w:rFonts w:ascii="Calibri" w:cs="Calibri" w:eastAsia="Calibri" w:hAnsi="Calibri"/>
                <w:sz w:val="14"/>
                <w:szCs w:val="14"/>
                <w:color w:val="auto"/>
              </w:rPr>
              <w:t>•</w:t>
            </w:r>
          </w:p>
        </w:tc>
        <w:tc>
          <w:tcPr>
            <w:tcW w:w="4080" w:type="dxa"/>
            <w:vAlign w:val="bottom"/>
            <w:gridSpan w:val="3"/>
            <w:shd w:val="clear" w:color="auto" w:fill="CCEEFF"/>
          </w:tcPr>
          <w:p>
            <w:pPr>
              <w:ind w:left="60"/>
              <w:spacing w:after="0"/>
              <w:rPr>
                <w:sz w:val="20"/>
                <w:szCs w:val="20"/>
                <w:color w:val="auto"/>
              </w:rPr>
            </w:pPr>
            <w:r>
              <w:rPr>
                <w:rFonts w:ascii="Calibri" w:cs="Calibri" w:eastAsia="Calibri" w:hAnsi="Calibri"/>
                <w:sz w:val="14"/>
                <w:szCs w:val="14"/>
                <w:color w:val="auto"/>
              </w:rPr>
              <w:t>Skills Development and Stafng</w:t>
            </w:r>
          </w:p>
        </w:tc>
        <w:tc>
          <w:tcPr>
            <w:tcW w:w="0" w:type="dxa"/>
            <w:vAlign w:val="bottom"/>
          </w:tcPr>
          <w:p>
            <w:pPr>
              <w:spacing w:after="0"/>
              <w:rPr>
                <w:sz w:val="1"/>
                <w:szCs w:val="1"/>
                <w:color w:val="auto"/>
              </w:rPr>
            </w:pPr>
          </w:p>
        </w:tc>
      </w:tr>
      <w:tr>
        <w:trPr>
          <w:trHeight w:val="251"/>
        </w:trPr>
        <w:tc>
          <w:tcPr>
            <w:tcW w:w="84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94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500" w:type="dxa"/>
            <w:vAlign w:val="bottom"/>
            <w:shd w:val="clear" w:color="auto" w:fill="CCEEFF"/>
          </w:tcPr>
          <w:p>
            <w:pPr>
              <w:spacing w:after="0"/>
              <w:rPr>
                <w:sz w:val="21"/>
                <w:szCs w:val="21"/>
                <w:color w:val="auto"/>
              </w:rPr>
            </w:pPr>
          </w:p>
        </w:tc>
        <w:tc>
          <w:tcPr>
            <w:tcW w:w="4240" w:type="dxa"/>
            <w:vAlign w:val="bottom"/>
            <w:gridSpan w:val="4"/>
            <w:shd w:val="clear" w:color="auto" w:fill="CCEEFF"/>
          </w:tcPr>
          <w:p>
            <w:pPr>
              <w:ind w:left="40"/>
              <w:spacing w:after="0"/>
              <w:rPr>
                <w:sz w:val="20"/>
                <w:szCs w:val="20"/>
                <w:color w:val="auto"/>
              </w:rPr>
            </w:pPr>
            <w:r>
              <w:rPr>
                <w:rFonts w:ascii="Calibri" w:cs="Calibri" w:eastAsia="Calibri" w:hAnsi="Calibri"/>
                <w:sz w:val="14"/>
                <w:szCs w:val="14"/>
                <w:color w:val="auto"/>
              </w:rPr>
              <w:t>•  Sofware Ratonalizaton and Migraton</w:t>
            </w:r>
          </w:p>
        </w:tc>
        <w:tc>
          <w:tcPr>
            <w:tcW w:w="0" w:type="dxa"/>
            <w:vAlign w:val="bottom"/>
          </w:tcPr>
          <w:p>
            <w:pPr>
              <w:spacing w:after="0"/>
              <w:rPr>
                <w:sz w:val="1"/>
                <w:szCs w:val="1"/>
                <w:color w:val="auto"/>
              </w:rPr>
            </w:pPr>
          </w:p>
        </w:tc>
      </w:tr>
      <w:tr>
        <w:trPr>
          <w:trHeight w:val="251"/>
        </w:trPr>
        <w:tc>
          <w:tcPr>
            <w:tcW w:w="84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94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500" w:type="dxa"/>
            <w:vAlign w:val="bottom"/>
            <w:shd w:val="clear" w:color="auto" w:fill="CCEEFF"/>
          </w:tcPr>
          <w:p>
            <w:pPr>
              <w:spacing w:after="0"/>
              <w:rPr>
                <w:sz w:val="21"/>
                <w:szCs w:val="21"/>
                <w:color w:val="auto"/>
              </w:rPr>
            </w:pPr>
          </w:p>
        </w:tc>
        <w:tc>
          <w:tcPr>
            <w:tcW w:w="4240" w:type="dxa"/>
            <w:vAlign w:val="bottom"/>
            <w:gridSpan w:val="4"/>
            <w:shd w:val="clear" w:color="auto" w:fill="CCEEFF"/>
          </w:tcPr>
          <w:p>
            <w:pPr>
              <w:ind w:left="40"/>
              <w:spacing w:after="0"/>
              <w:rPr>
                <w:sz w:val="20"/>
                <w:szCs w:val="20"/>
                <w:color w:val="auto"/>
              </w:rPr>
            </w:pPr>
            <w:r>
              <w:rPr>
                <w:rFonts w:ascii="Calibri" w:cs="Calibri" w:eastAsia="Calibri" w:hAnsi="Calibri"/>
                <w:sz w:val="14"/>
                <w:szCs w:val="14"/>
                <w:color w:val="auto"/>
              </w:rPr>
              <w:t>•  Sofware Efciency and Cost Optmizaton Tools</w:t>
            </w:r>
          </w:p>
        </w:tc>
        <w:tc>
          <w:tcPr>
            <w:tcW w:w="0" w:type="dxa"/>
            <w:vAlign w:val="bottom"/>
          </w:tcPr>
          <w:p>
            <w:pPr>
              <w:spacing w:after="0"/>
              <w:rPr>
                <w:sz w:val="1"/>
                <w:szCs w:val="1"/>
                <w:color w:val="auto"/>
              </w:rPr>
            </w:pPr>
          </w:p>
        </w:tc>
      </w:tr>
      <w:tr>
        <w:trPr>
          <w:trHeight w:val="251"/>
        </w:trPr>
        <w:tc>
          <w:tcPr>
            <w:tcW w:w="84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94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500" w:type="dxa"/>
            <w:vAlign w:val="bottom"/>
            <w:shd w:val="clear" w:color="auto" w:fill="CCEEFF"/>
          </w:tcPr>
          <w:p>
            <w:pPr>
              <w:spacing w:after="0"/>
              <w:rPr>
                <w:sz w:val="21"/>
                <w:szCs w:val="21"/>
                <w:color w:val="auto"/>
              </w:rPr>
            </w:pPr>
          </w:p>
        </w:tc>
        <w:tc>
          <w:tcPr>
            <w:tcW w:w="160" w:type="dxa"/>
            <w:vAlign w:val="bottom"/>
            <w:shd w:val="clear" w:color="auto" w:fill="CCEEFF"/>
          </w:tcPr>
          <w:p>
            <w:pPr>
              <w:ind w:left="40"/>
              <w:spacing w:after="0"/>
              <w:rPr>
                <w:sz w:val="20"/>
                <w:szCs w:val="20"/>
                <w:color w:val="auto"/>
              </w:rPr>
            </w:pPr>
            <w:r>
              <w:rPr>
                <w:rFonts w:ascii="Calibri" w:cs="Calibri" w:eastAsia="Calibri" w:hAnsi="Calibri"/>
                <w:sz w:val="14"/>
                <w:szCs w:val="14"/>
                <w:color w:val="auto"/>
              </w:rPr>
              <w:t>•</w:t>
            </w:r>
          </w:p>
        </w:tc>
        <w:tc>
          <w:tcPr>
            <w:tcW w:w="4080" w:type="dxa"/>
            <w:vAlign w:val="bottom"/>
            <w:gridSpan w:val="3"/>
            <w:shd w:val="clear" w:color="auto" w:fill="CCEEFF"/>
          </w:tcPr>
          <w:p>
            <w:pPr>
              <w:ind w:left="60"/>
              <w:spacing w:after="0"/>
              <w:rPr>
                <w:sz w:val="20"/>
                <w:szCs w:val="20"/>
                <w:color w:val="auto"/>
              </w:rPr>
            </w:pPr>
            <w:r>
              <w:rPr>
                <w:rFonts w:ascii="Calibri" w:cs="Calibri" w:eastAsia="Calibri" w:hAnsi="Calibri"/>
                <w:sz w:val="14"/>
                <w:szCs w:val="14"/>
                <w:color w:val="auto"/>
              </w:rPr>
              <w:t>Change Management Support</w:t>
            </w:r>
          </w:p>
        </w:tc>
        <w:tc>
          <w:tcPr>
            <w:tcW w:w="0" w:type="dxa"/>
            <w:vAlign w:val="bottom"/>
          </w:tcPr>
          <w:p>
            <w:pPr>
              <w:spacing w:after="0"/>
              <w:rPr>
                <w:sz w:val="1"/>
                <w:szCs w:val="1"/>
                <w:color w:val="auto"/>
              </w:rPr>
            </w:pPr>
          </w:p>
        </w:tc>
      </w:tr>
      <w:tr>
        <w:trPr>
          <w:trHeight w:val="251"/>
        </w:trPr>
        <w:tc>
          <w:tcPr>
            <w:tcW w:w="84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94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500" w:type="dxa"/>
            <w:vAlign w:val="bottom"/>
            <w:shd w:val="clear" w:color="auto" w:fill="CCEEFF"/>
          </w:tcPr>
          <w:p>
            <w:pPr>
              <w:spacing w:after="0"/>
              <w:rPr>
                <w:sz w:val="21"/>
                <w:szCs w:val="21"/>
                <w:color w:val="auto"/>
              </w:rPr>
            </w:pPr>
          </w:p>
        </w:tc>
        <w:tc>
          <w:tcPr>
            <w:tcW w:w="4240" w:type="dxa"/>
            <w:vAlign w:val="bottom"/>
            <w:gridSpan w:val="4"/>
            <w:shd w:val="clear" w:color="auto" w:fill="CCEEFF"/>
          </w:tcPr>
          <w:p>
            <w:pPr>
              <w:ind w:left="40"/>
              <w:spacing w:after="0"/>
              <w:rPr>
                <w:sz w:val="20"/>
                <w:szCs w:val="20"/>
                <w:color w:val="auto"/>
              </w:rPr>
            </w:pPr>
            <w:r>
              <w:rPr>
                <w:rFonts w:ascii="Calibri" w:cs="Calibri" w:eastAsia="Calibri" w:hAnsi="Calibri"/>
                <w:sz w:val="14"/>
                <w:szCs w:val="14"/>
                <w:color w:val="auto"/>
              </w:rPr>
              <w:t>•  Technology Proof of Concepts</w:t>
            </w:r>
          </w:p>
        </w:tc>
        <w:tc>
          <w:tcPr>
            <w:tcW w:w="0" w:type="dxa"/>
            <w:vAlign w:val="bottom"/>
          </w:tcPr>
          <w:p>
            <w:pPr>
              <w:spacing w:after="0"/>
              <w:rPr>
                <w:sz w:val="1"/>
                <w:szCs w:val="1"/>
                <w:color w:val="auto"/>
              </w:rPr>
            </w:pPr>
          </w:p>
        </w:tc>
      </w:tr>
      <w:tr>
        <w:trPr>
          <w:trHeight w:val="85"/>
        </w:trPr>
        <w:tc>
          <w:tcPr>
            <w:tcW w:w="840" w:type="dxa"/>
            <w:vAlign w:val="bottom"/>
            <w:shd w:val="clear" w:color="auto" w:fill="CCEEFF"/>
          </w:tcPr>
          <w:p>
            <w:pPr>
              <w:spacing w:after="0"/>
              <w:rPr>
                <w:sz w:val="7"/>
                <w:szCs w:val="7"/>
                <w:color w:val="auto"/>
              </w:rPr>
            </w:pPr>
          </w:p>
        </w:tc>
        <w:tc>
          <w:tcPr>
            <w:tcW w:w="1060" w:type="dxa"/>
            <w:vAlign w:val="bottom"/>
            <w:shd w:val="clear" w:color="auto" w:fill="CCEEFF"/>
          </w:tcPr>
          <w:p>
            <w:pPr>
              <w:spacing w:after="0"/>
              <w:rPr>
                <w:sz w:val="7"/>
                <w:szCs w:val="7"/>
                <w:color w:val="auto"/>
              </w:rPr>
            </w:pPr>
          </w:p>
        </w:tc>
        <w:tc>
          <w:tcPr>
            <w:tcW w:w="440" w:type="dxa"/>
            <w:vAlign w:val="bottom"/>
            <w:shd w:val="clear" w:color="auto" w:fill="CCEEFF"/>
          </w:tcPr>
          <w:p>
            <w:pPr>
              <w:spacing w:after="0"/>
              <w:rPr>
                <w:sz w:val="7"/>
                <w:szCs w:val="7"/>
                <w:color w:val="auto"/>
              </w:rPr>
            </w:pPr>
          </w:p>
        </w:tc>
        <w:tc>
          <w:tcPr>
            <w:tcW w:w="1940" w:type="dxa"/>
            <w:vAlign w:val="bottom"/>
            <w:shd w:val="clear" w:color="auto" w:fill="CCEEFF"/>
          </w:tcPr>
          <w:p>
            <w:pPr>
              <w:spacing w:after="0"/>
              <w:rPr>
                <w:sz w:val="7"/>
                <w:szCs w:val="7"/>
                <w:color w:val="auto"/>
              </w:rPr>
            </w:pPr>
          </w:p>
        </w:tc>
        <w:tc>
          <w:tcPr>
            <w:tcW w:w="1220" w:type="dxa"/>
            <w:vAlign w:val="bottom"/>
            <w:shd w:val="clear" w:color="auto" w:fill="CCEEFF"/>
          </w:tcPr>
          <w:p>
            <w:pPr>
              <w:spacing w:after="0"/>
              <w:rPr>
                <w:sz w:val="7"/>
                <w:szCs w:val="7"/>
                <w:color w:val="auto"/>
              </w:rPr>
            </w:pPr>
          </w:p>
        </w:tc>
        <w:tc>
          <w:tcPr>
            <w:tcW w:w="150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1240" w:type="dxa"/>
            <w:vAlign w:val="bottom"/>
            <w:shd w:val="clear" w:color="auto" w:fill="CCEEFF"/>
          </w:tcPr>
          <w:p>
            <w:pPr>
              <w:spacing w:after="0"/>
              <w:rPr>
                <w:sz w:val="7"/>
                <w:szCs w:val="7"/>
                <w:color w:val="auto"/>
              </w:rPr>
            </w:pPr>
          </w:p>
        </w:tc>
        <w:tc>
          <w:tcPr>
            <w:tcW w:w="1460" w:type="dxa"/>
            <w:vAlign w:val="bottom"/>
            <w:shd w:val="clear" w:color="auto" w:fill="CCEEFF"/>
          </w:tcPr>
          <w:p>
            <w:pPr>
              <w:spacing w:after="0"/>
              <w:rPr>
                <w:sz w:val="7"/>
                <w:szCs w:val="7"/>
                <w:color w:val="auto"/>
              </w:rPr>
            </w:pPr>
          </w:p>
        </w:tc>
        <w:tc>
          <w:tcPr>
            <w:tcW w:w="138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57"/>
        </w:trPr>
        <w:tc>
          <w:tcPr>
            <w:tcW w:w="2340" w:type="dxa"/>
            <w:vAlign w:val="bottom"/>
            <w:gridSpan w:val="3"/>
          </w:tcPr>
          <w:p>
            <w:pPr>
              <w:ind w:left="20"/>
              <w:spacing w:after="0" w:line="157" w:lineRule="exact"/>
              <w:rPr>
                <w:sz w:val="20"/>
                <w:szCs w:val="20"/>
                <w:color w:val="auto"/>
              </w:rPr>
            </w:pPr>
            <w:r>
              <w:rPr>
                <w:rFonts w:ascii="Calibri" w:cs="Calibri" w:eastAsia="Calibri" w:hAnsi="Calibri"/>
                <w:sz w:val="14"/>
                <w:szCs w:val="14"/>
                <w:b w:val="1"/>
                <w:bCs w:val="1"/>
                <w:color w:val="auto"/>
              </w:rPr>
              <w:t>Distributed Sofware</w:t>
            </w:r>
          </w:p>
        </w:tc>
        <w:tc>
          <w:tcPr>
            <w:tcW w:w="4660" w:type="dxa"/>
            <w:vAlign w:val="bottom"/>
            <w:gridSpan w:val="3"/>
          </w:tcPr>
          <w:p>
            <w:pPr>
              <w:ind w:left="420"/>
              <w:spacing w:after="0" w:line="157" w:lineRule="exact"/>
              <w:rPr>
                <w:sz w:val="20"/>
                <w:szCs w:val="20"/>
                <w:color w:val="auto"/>
              </w:rPr>
            </w:pPr>
            <w:r>
              <w:rPr>
                <w:rFonts w:ascii="Calibri" w:cs="Calibri" w:eastAsia="Calibri" w:hAnsi="Calibri"/>
                <w:sz w:val="14"/>
                <w:szCs w:val="14"/>
                <w:color w:val="auto"/>
              </w:rPr>
              <w:t>• Solutons that optmize the planning, development and delivery of</w:t>
            </w:r>
          </w:p>
        </w:tc>
        <w:tc>
          <w:tcPr>
            <w:tcW w:w="160" w:type="dxa"/>
            <w:vAlign w:val="bottom"/>
          </w:tcPr>
          <w:p>
            <w:pPr>
              <w:ind w:left="40"/>
              <w:spacing w:after="0" w:line="157" w:lineRule="exact"/>
              <w:rPr>
                <w:sz w:val="20"/>
                <w:szCs w:val="20"/>
                <w:color w:val="auto"/>
              </w:rPr>
            </w:pPr>
            <w:r>
              <w:rPr>
                <w:rFonts w:ascii="Calibri" w:cs="Calibri" w:eastAsia="Calibri" w:hAnsi="Calibri"/>
                <w:sz w:val="14"/>
                <w:szCs w:val="14"/>
                <w:color w:val="auto"/>
              </w:rPr>
              <w:t>•</w:t>
            </w:r>
          </w:p>
        </w:tc>
        <w:tc>
          <w:tcPr>
            <w:tcW w:w="4080" w:type="dxa"/>
            <w:vAlign w:val="bottom"/>
            <w:gridSpan w:val="3"/>
          </w:tcPr>
          <w:p>
            <w:pPr>
              <w:ind w:left="60"/>
              <w:spacing w:after="0" w:line="157" w:lineRule="exact"/>
              <w:rPr>
                <w:sz w:val="20"/>
                <w:szCs w:val="20"/>
                <w:color w:val="auto"/>
              </w:rPr>
            </w:pPr>
            <w:r>
              <w:rPr>
                <w:rFonts w:ascii="Calibri" w:cs="Calibri" w:eastAsia="Calibri" w:hAnsi="Calibri"/>
                <w:sz w:val="14"/>
                <w:szCs w:val="14"/>
                <w:color w:val="auto"/>
              </w:rPr>
              <w:t>ValueOps</w:t>
            </w:r>
          </w:p>
        </w:tc>
        <w:tc>
          <w:tcPr>
            <w:tcW w:w="0" w:type="dxa"/>
            <w:vAlign w:val="bottom"/>
          </w:tcPr>
          <w:p>
            <w:pPr>
              <w:spacing w:after="0"/>
              <w:rPr>
                <w:sz w:val="1"/>
                <w:szCs w:val="1"/>
                <w:color w:val="auto"/>
              </w:rPr>
            </w:pPr>
          </w:p>
        </w:tc>
      </w:tr>
      <w:tr>
        <w:trPr>
          <w:trHeight w:val="168"/>
        </w:trPr>
        <w:tc>
          <w:tcPr>
            <w:tcW w:w="8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660" w:type="dxa"/>
            <w:vAlign w:val="bottom"/>
            <w:gridSpan w:val="3"/>
          </w:tcPr>
          <w:p>
            <w:pPr>
              <w:ind w:left="580"/>
              <w:spacing w:after="0" w:line="168" w:lineRule="exact"/>
              <w:rPr>
                <w:sz w:val="20"/>
                <w:szCs w:val="20"/>
                <w:color w:val="auto"/>
              </w:rPr>
            </w:pPr>
            <w:r>
              <w:rPr>
                <w:rFonts w:ascii="Calibri" w:cs="Calibri" w:eastAsia="Calibri" w:hAnsi="Calibri"/>
                <w:sz w:val="14"/>
                <w:szCs w:val="14"/>
                <w:color w:val="auto"/>
              </w:rPr>
              <w:t>business critcal services</w:t>
            </w:r>
          </w:p>
        </w:tc>
        <w:tc>
          <w:tcPr>
            <w:tcW w:w="160" w:type="dxa"/>
            <w:vAlign w:val="bottom"/>
            <w:vMerge w:val="restart"/>
          </w:tcPr>
          <w:p>
            <w:pPr>
              <w:ind w:left="40"/>
              <w:spacing w:after="0"/>
              <w:rPr>
                <w:sz w:val="20"/>
                <w:szCs w:val="20"/>
                <w:color w:val="auto"/>
              </w:rPr>
            </w:pPr>
            <w:r>
              <w:rPr>
                <w:rFonts w:ascii="Calibri" w:cs="Calibri" w:eastAsia="Calibri" w:hAnsi="Calibri"/>
                <w:sz w:val="14"/>
                <w:szCs w:val="14"/>
                <w:color w:val="auto"/>
              </w:rPr>
              <w:t>•</w:t>
            </w:r>
          </w:p>
        </w:tc>
        <w:tc>
          <w:tcPr>
            <w:tcW w:w="4080" w:type="dxa"/>
            <w:vAlign w:val="bottom"/>
            <w:gridSpan w:val="3"/>
            <w:vMerge w:val="restart"/>
          </w:tcPr>
          <w:p>
            <w:pPr>
              <w:ind w:left="60"/>
              <w:spacing w:after="0"/>
              <w:rPr>
                <w:sz w:val="20"/>
                <w:szCs w:val="20"/>
                <w:color w:val="auto"/>
              </w:rPr>
            </w:pPr>
            <w:r>
              <w:rPr>
                <w:rFonts w:ascii="Calibri" w:cs="Calibri" w:eastAsia="Calibri" w:hAnsi="Calibri"/>
                <w:sz w:val="14"/>
                <w:szCs w:val="14"/>
                <w:color w:val="auto"/>
              </w:rPr>
              <w:t>DevOps</w:t>
            </w:r>
          </w:p>
        </w:tc>
        <w:tc>
          <w:tcPr>
            <w:tcW w:w="0" w:type="dxa"/>
            <w:vAlign w:val="bottom"/>
          </w:tcPr>
          <w:p>
            <w:pPr>
              <w:spacing w:after="0"/>
              <w:rPr>
                <w:sz w:val="1"/>
                <w:szCs w:val="1"/>
                <w:color w:val="auto"/>
              </w:rPr>
            </w:pPr>
          </w:p>
        </w:tc>
      </w:tr>
      <w:tr>
        <w:trPr>
          <w:trHeight w:val="79"/>
        </w:trPr>
        <w:tc>
          <w:tcPr>
            <w:tcW w:w="8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440" w:type="dxa"/>
            <w:vAlign w:val="bottom"/>
          </w:tcPr>
          <w:p>
            <w:pPr>
              <w:spacing w:after="0"/>
              <w:rPr>
                <w:sz w:val="6"/>
                <w:szCs w:val="6"/>
                <w:color w:val="auto"/>
              </w:rPr>
            </w:pPr>
          </w:p>
        </w:tc>
        <w:tc>
          <w:tcPr>
            <w:tcW w:w="1940" w:type="dxa"/>
            <w:vAlign w:val="bottom"/>
          </w:tcPr>
          <w:p>
            <w:pPr>
              <w:spacing w:after="0"/>
              <w:rPr>
                <w:sz w:val="6"/>
                <w:szCs w:val="6"/>
                <w:color w:val="auto"/>
              </w:rPr>
            </w:pPr>
          </w:p>
        </w:tc>
        <w:tc>
          <w:tcPr>
            <w:tcW w:w="1220" w:type="dxa"/>
            <w:vAlign w:val="bottom"/>
          </w:tcPr>
          <w:p>
            <w:pPr>
              <w:spacing w:after="0"/>
              <w:rPr>
                <w:sz w:val="6"/>
                <w:szCs w:val="6"/>
                <w:color w:val="auto"/>
              </w:rPr>
            </w:pPr>
          </w:p>
        </w:tc>
        <w:tc>
          <w:tcPr>
            <w:tcW w:w="1500" w:type="dxa"/>
            <w:vAlign w:val="bottom"/>
          </w:tcPr>
          <w:p>
            <w:pPr>
              <w:spacing w:after="0"/>
              <w:rPr>
                <w:sz w:val="6"/>
                <w:szCs w:val="6"/>
                <w:color w:val="auto"/>
              </w:rPr>
            </w:pPr>
          </w:p>
        </w:tc>
        <w:tc>
          <w:tcPr>
            <w:tcW w:w="160" w:type="dxa"/>
            <w:vAlign w:val="bottom"/>
            <w:vMerge w:val="continue"/>
          </w:tcPr>
          <w:p>
            <w:pPr>
              <w:spacing w:after="0"/>
              <w:rPr>
                <w:sz w:val="6"/>
                <w:szCs w:val="6"/>
                <w:color w:val="auto"/>
              </w:rPr>
            </w:pPr>
          </w:p>
        </w:tc>
        <w:tc>
          <w:tcPr>
            <w:tcW w:w="408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51"/>
        </w:trPr>
        <w:tc>
          <w:tcPr>
            <w:tcW w:w="8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60" w:type="dxa"/>
            <w:vAlign w:val="bottom"/>
          </w:tcPr>
          <w:p>
            <w:pPr>
              <w:ind w:left="40"/>
              <w:spacing w:after="0"/>
              <w:rPr>
                <w:sz w:val="20"/>
                <w:szCs w:val="20"/>
                <w:color w:val="auto"/>
              </w:rPr>
            </w:pPr>
            <w:r>
              <w:rPr>
                <w:rFonts w:ascii="Calibri" w:cs="Calibri" w:eastAsia="Calibri" w:hAnsi="Calibri"/>
                <w:sz w:val="14"/>
                <w:szCs w:val="14"/>
                <w:color w:val="auto"/>
              </w:rPr>
              <w:t>•</w:t>
            </w:r>
          </w:p>
        </w:tc>
        <w:tc>
          <w:tcPr>
            <w:tcW w:w="4080" w:type="dxa"/>
            <w:vAlign w:val="bottom"/>
            <w:gridSpan w:val="3"/>
          </w:tcPr>
          <w:p>
            <w:pPr>
              <w:ind w:left="60"/>
              <w:spacing w:after="0"/>
              <w:rPr>
                <w:sz w:val="20"/>
                <w:szCs w:val="20"/>
                <w:color w:val="auto"/>
              </w:rPr>
            </w:pPr>
            <w:r>
              <w:rPr>
                <w:rFonts w:ascii="Calibri" w:cs="Calibri" w:eastAsia="Calibri" w:hAnsi="Calibri"/>
                <w:sz w:val="14"/>
                <w:szCs w:val="14"/>
                <w:color w:val="auto"/>
              </w:rPr>
              <w:t>AIOps</w:t>
            </w:r>
          </w:p>
        </w:tc>
        <w:tc>
          <w:tcPr>
            <w:tcW w:w="0" w:type="dxa"/>
            <w:vAlign w:val="bottom"/>
          </w:tcPr>
          <w:p>
            <w:pPr>
              <w:spacing w:after="0"/>
              <w:rPr>
                <w:sz w:val="1"/>
                <w:szCs w:val="1"/>
                <w:color w:val="auto"/>
              </w:rPr>
            </w:pPr>
          </w:p>
        </w:tc>
      </w:tr>
      <w:tr>
        <w:trPr>
          <w:trHeight w:val="45"/>
        </w:trPr>
        <w:tc>
          <w:tcPr>
            <w:tcW w:w="8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440" w:type="dxa"/>
            <w:vAlign w:val="bottom"/>
          </w:tcPr>
          <w:p>
            <w:pPr>
              <w:spacing w:after="0"/>
              <w:rPr>
                <w:sz w:val="3"/>
                <w:szCs w:val="3"/>
                <w:color w:val="auto"/>
              </w:rPr>
            </w:pPr>
          </w:p>
        </w:tc>
        <w:tc>
          <w:tcPr>
            <w:tcW w:w="194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5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460" w:type="dxa"/>
            <w:vAlign w:val="bottom"/>
          </w:tcPr>
          <w:p>
            <w:pPr>
              <w:spacing w:after="0"/>
              <w:rPr>
                <w:sz w:val="3"/>
                <w:szCs w:val="3"/>
                <w:color w:val="auto"/>
              </w:rPr>
            </w:pPr>
          </w:p>
        </w:tc>
        <w:tc>
          <w:tcPr>
            <w:tcW w:w="13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57"/>
        </w:trPr>
        <w:tc>
          <w:tcPr>
            <w:tcW w:w="2340" w:type="dxa"/>
            <w:vAlign w:val="bottom"/>
            <w:gridSpan w:val="3"/>
            <w:shd w:val="clear" w:color="auto" w:fill="CCEEFF"/>
          </w:tcPr>
          <w:p>
            <w:pPr>
              <w:ind w:left="20"/>
              <w:spacing w:after="0" w:line="157" w:lineRule="exact"/>
              <w:rPr>
                <w:sz w:val="20"/>
                <w:szCs w:val="20"/>
                <w:color w:val="auto"/>
              </w:rPr>
            </w:pPr>
            <w:r>
              <w:rPr>
                <w:rFonts w:ascii="Calibri" w:cs="Calibri" w:eastAsia="Calibri" w:hAnsi="Calibri"/>
                <w:sz w:val="14"/>
                <w:szCs w:val="14"/>
                <w:b w:val="1"/>
                <w:bCs w:val="1"/>
                <w:color w:val="auto"/>
              </w:rPr>
              <w:t>Symantec Cyber Security</w:t>
            </w:r>
          </w:p>
        </w:tc>
        <w:tc>
          <w:tcPr>
            <w:tcW w:w="4660" w:type="dxa"/>
            <w:vAlign w:val="bottom"/>
            <w:gridSpan w:val="3"/>
            <w:shd w:val="clear" w:color="auto" w:fill="CCEEFF"/>
          </w:tcPr>
          <w:p>
            <w:pPr>
              <w:ind w:left="420"/>
              <w:spacing w:after="0" w:line="157" w:lineRule="exact"/>
              <w:rPr>
                <w:sz w:val="20"/>
                <w:szCs w:val="20"/>
                <w:color w:val="auto"/>
              </w:rPr>
            </w:pPr>
            <w:r>
              <w:rPr>
                <w:rFonts w:ascii="Calibri" w:cs="Calibri" w:eastAsia="Calibri" w:hAnsi="Calibri"/>
                <w:sz w:val="14"/>
                <w:szCs w:val="14"/>
                <w:color w:val="auto"/>
              </w:rPr>
              <w:t>• Comprehensive threat protecton and compliance solutons that secure</w:t>
            </w:r>
          </w:p>
        </w:tc>
        <w:tc>
          <w:tcPr>
            <w:tcW w:w="160" w:type="dxa"/>
            <w:vAlign w:val="bottom"/>
            <w:shd w:val="clear" w:color="auto" w:fill="CCEEFF"/>
          </w:tcPr>
          <w:p>
            <w:pPr>
              <w:ind w:left="40"/>
              <w:spacing w:after="0" w:line="157" w:lineRule="exact"/>
              <w:rPr>
                <w:sz w:val="20"/>
                <w:szCs w:val="20"/>
                <w:color w:val="auto"/>
              </w:rPr>
            </w:pPr>
            <w:r>
              <w:rPr>
                <w:rFonts w:ascii="Calibri" w:cs="Calibri" w:eastAsia="Calibri" w:hAnsi="Calibri"/>
                <w:sz w:val="14"/>
                <w:szCs w:val="14"/>
                <w:color w:val="auto"/>
              </w:rPr>
              <w:t>•</w:t>
            </w:r>
          </w:p>
        </w:tc>
        <w:tc>
          <w:tcPr>
            <w:tcW w:w="4080" w:type="dxa"/>
            <w:vAlign w:val="bottom"/>
            <w:gridSpan w:val="3"/>
            <w:shd w:val="clear" w:color="auto" w:fill="CCEEFF"/>
          </w:tcPr>
          <w:p>
            <w:pPr>
              <w:ind w:left="60"/>
              <w:spacing w:after="0" w:line="157" w:lineRule="exact"/>
              <w:rPr>
                <w:sz w:val="20"/>
                <w:szCs w:val="20"/>
                <w:color w:val="auto"/>
              </w:rPr>
            </w:pPr>
            <w:r>
              <w:rPr>
                <w:rFonts w:ascii="Calibri" w:cs="Calibri" w:eastAsia="Calibri" w:hAnsi="Calibri"/>
                <w:sz w:val="14"/>
                <w:szCs w:val="14"/>
                <w:color w:val="auto"/>
              </w:rPr>
              <w:t>Endpoint Security</w:t>
            </w:r>
          </w:p>
        </w:tc>
        <w:tc>
          <w:tcPr>
            <w:tcW w:w="0" w:type="dxa"/>
            <w:vAlign w:val="bottom"/>
          </w:tcPr>
          <w:p>
            <w:pPr>
              <w:spacing w:after="0"/>
              <w:rPr>
                <w:sz w:val="1"/>
                <w:szCs w:val="1"/>
                <w:color w:val="auto"/>
              </w:rPr>
            </w:pPr>
          </w:p>
        </w:tc>
      </w:tr>
      <w:tr>
        <w:trPr>
          <w:trHeight w:val="158"/>
        </w:trPr>
        <w:tc>
          <w:tcPr>
            <w:tcW w:w="84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4660" w:type="dxa"/>
            <w:vAlign w:val="bottom"/>
            <w:gridSpan w:val="3"/>
            <w:shd w:val="clear" w:color="auto" w:fill="CCEEFF"/>
          </w:tcPr>
          <w:p>
            <w:pPr>
              <w:ind w:left="580"/>
              <w:spacing w:after="0" w:line="159" w:lineRule="exact"/>
              <w:rPr>
                <w:sz w:val="20"/>
                <w:szCs w:val="20"/>
                <w:color w:val="auto"/>
              </w:rPr>
            </w:pPr>
            <w:r>
              <w:rPr>
                <w:rFonts w:ascii="Calibri" w:cs="Calibri" w:eastAsia="Calibri" w:hAnsi="Calibri"/>
                <w:sz w:val="14"/>
                <w:szCs w:val="14"/>
                <w:color w:val="auto"/>
              </w:rPr>
              <w:t>against threats and compliance risks by protectng users and data on</w:t>
            </w:r>
          </w:p>
        </w:tc>
        <w:tc>
          <w:tcPr>
            <w:tcW w:w="160" w:type="dxa"/>
            <w:vAlign w:val="bottom"/>
            <w:vMerge w:val="restart"/>
            <w:shd w:val="clear" w:color="auto" w:fill="CCEEFF"/>
          </w:tcPr>
          <w:p>
            <w:pPr>
              <w:ind w:left="40"/>
              <w:spacing w:after="0"/>
              <w:rPr>
                <w:sz w:val="20"/>
                <w:szCs w:val="20"/>
                <w:color w:val="auto"/>
              </w:rPr>
            </w:pPr>
            <w:r>
              <w:rPr>
                <w:rFonts w:ascii="Calibri" w:cs="Calibri" w:eastAsia="Calibri" w:hAnsi="Calibri"/>
                <w:sz w:val="14"/>
                <w:szCs w:val="14"/>
                <w:color w:val="auto"/>
              </w:rPr>
              <w:t>•</w:t>
            </w:r>
          </w:p>
        </w:tc>
        <w:tc>
          <w:tcPr>
            <w:tcW w:w="4080" w:type="dxa"/>
            <w:vAlign w:val="bottom"/>
            <w:gridSpan w:val="3"/>
            <w:vMerge w:val="restart"/>
            <w:shd w:val="clear" w:color="auto" w:fill="CCEEFF"/>
          </w:tcPr>
          <w:p>
            <w:pPr>
              <w:ind w:left="60"/>
              <w:spacing w:after="0"/>
              <w:rPr>
                <w:sz w:val="20"/>
                <w:szCs w:val="20"/>
                <w:color w:val="auto"/>
              </w:rPr>
            </w:pPr>
            <w:r>
              <w:rPr>
                <w:rFonts w:ascii="Calibri" w:cs="Calibri" w:eastAsia="Calibri" w:hAnsi="Calibri"/>
                <w:sz w:val="14"/>
                <w:szCs w:val="14"/>
                <w:color w:val="auto"/>
              </w:rPr>
              <w:t>Network Security</w:t>
            </w:r>
          </w:p>
        </w:tc>
        <w:tc>
          <w:tcPr>
            <w:tcW w:w="0" w:type="dxa"/>
            <w:vAlign w:val="bottom"/>
          </w:tcPr>
          <w:p>
            <w:pPr>
              <w:spacing w:after="0"/>
              <w:rPr>
                <w:sz w:val="1"/>
                <w:szCs w:val="1"/>
                <w:color w:val="auto"/>
              </w:rPr>
            </w:pPr>
          </w:p>
        </w:tc>
      </w:tr>
      <w:tr>
        <w:trPr>
          <w:trHeight w:val="88"/>
        </w:trPr>
        <w:tc>
          <w:tcPr>
            <w:tcW w:w="840" w:type="dxa"/>
            <w:vAlign w:val="bottom"/>
            <w:shd w:val="clear" w:color="auto" w:fill="CCEEFF"/>
          </w:tcPr>
          <w:p>
            <w:pPr>
              <w:spacing w:after="0"/>
              <w:rPr>
                <w:sz w:val="7"/>
                <w:szCs w:val="7"/>
                <w:color w:val="auto"/>
              </w:rPr>
            </w:pPr>
          </w:p>
        </w:tc>
        <w:tc>
          <w:tcPr>
            <w:tcW w:w="1060" w:type="dxa"/>
            <w:vAlign w:val="bottom"/>
            <w:shd w:val="clear" w:color="auto" w:fill="CCEEFF"/>
          </w:tcPr>
          <w:p>
            <w:pPr>
              <w:spacing w:after="0"/>
              <w:rPr>
                <w:sz w:val="7"/>
                <w:szCs w:val="7"/>
                <w:color w:val="auto"/>
              </w:rPr>
            </w:pPr>
          </w:p>
        </w:tc>
        <w:tc>
          <w:tcPr>
            <w:tcW w:w="440" w:type="dxa"/>
            <w:vAlign w:val="bottom"/>
            <w:shd w:val="clear" w:color="auto" w:fill="CCEEFF"/>
          </w:tcPr>
          <w:p>
            <w:pPr>
              <w:spacing w:after="0"/>
              <w:rPr>
                <w:sz w:val="7"/>
                <w:szCs w:val="7"/>
                <w:color w:val="auto"/>
              </w:rPr>
            </w:pPr>
          </w:p>
        </w:tc>
        <w:tc>
          <w:tcPr>
            <w:tcW w:w="4660" w:type="dxa"/>
            <w:vAlign w:val="bottom"/>
            <w:gridSpan w:val="3"/>
            <w:vMerge w:val="restart"/>
            <w:shd w:val="clear" w:color="auto" w:fill="CCEEFF"/>
          </w:tcPr>
          <w:p>
            <w:pPr>
              <w:ind w:left="580"/>
              <w:spacing w:after="0" w:line="168" w:lineRule="exact"/>
              <w:rPr>
                <w:sz w:val="20"/>
                <w:szCs w:val="20"/>
                <w:color w:val="auto"/>
              </w:rPr>
            </w:pPr>
            <w:r>
              <w:rPr>
                <w:rFonts w:ascii="Calibri" w:cs="Calibri" w:eastAsia="Calibri" w:hAnsi="Calibri"/>
                <w:sz w:val="14"/>
                <w:szCs w:val="14"/>
                <w:color w:val="auto"/>
              </w:rPr>
              <w:t>any app, device, or network</w:t>
            </w:r>
          </w:p>
        </w:tc>
        <w:tc>
          <w:tcPr>
            <w:tcW w:w="160" w:type="dxa"/>
            <w:vAlign w:val="bottom"/>
            <w:vMerge w:val="continue"/>
            <w:shd w:val="clear" w:color="auto" w:fill="CCEEFF"/>
          </w:tcPr>
          <w:p>
            <w:pPr>
              <w:spacing w:after="0"/>
              <w:rPr>
                <w:sz w:val="7"/>
                <w:szCs w:val="7"/>
                <w:color w:val="auto"/>
              </w:rPr>
            </w:pPr>
          </w:p>
        </w:tc>
        <w:tc>
          <w:tcPr>
            <w:tcW w:w="4080" w:type="dxa"/>
            <w:vAlign w:val="bottom"/>
            <w:gridSpan w:val="3"/>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79"/>
        </w:trPr>
        <w:tc>
          <w:tcPr>
            <w:tcW w:w="840" w:type="dxa"/>
            <w:vAlign w:val="bottom"/>
            <w:shd w:val="clear" w:color="auto" w:fill="CCEEFF"/>
          </w:tcPr>
          <w:p>
            <w:pPr>
              <w:spacing w:after="0"/>
              <w:rPr>
                <w:sz w:val="6"/>
                <w:szCs w:val="6"/>
                <w:color w:val="auto"/>
              </w:rPr>
            </w:pPr>
          </w:p>
        </w:tc>
        <w:tc>
          <w:tcPr>
            <w:tcW w:w="1060" w:type="dxa"/>
            <w:vAlign w:val="bottom"/>
            <w:shd w:val="clear" w:color="auto" w:fill="CCEEFF"/>
          </w:tcPr>
          <w:p>
            <w:pPr>
              <w:spacing w:after="0"/>
              <w:rPr>
                <w:sz w:val="6"/>
                <w:szCs w:val="6"/>
                <w:color w:val="auto"/>
              </w:rPr>
            </w:pPr>
          </w:p>
        </w:tc>
        <w:tc>
          <w:tcPr>
            <w:tcW w:w="440" w:type="dxa"/>
            <w:vAlign w:val="bottom"/>
            <w:shd w:val="clear" w:color="auto" w:fill="CCEEFF"/>
          </w:tcPr>
          <w:p>
            <w:pPr>
              <w:spacing w:after="0"/>
              <w:rPr>
                <w:sz w:val="6"/>
                <w:szCs w:val="6"/>
                <w:color w:val="auto"/>
              </w:rPr>
            </w:pPr>
          </w:p>
        </w:tc>
        <w:tc>
          <w:tcPr>
            <w:tcW w:w="4660" w:type="dxa"/>
            <w:vAlign w:val="bottom"/>
            <w:gridSpan w:val="3"/>
            <w:vMerge w:val="continue"/>
            <w:shd w:val="clear" w:color="auto" w:fill="CCEEFF"/>
          </w:tcPr>
          <w:p>
            <w:pPr>
              <w:spacing w:after="0"/>
              <w:rPr>
                <w:sz w:val="6"/>
                <w:szCs w:val="6"/>
                <w:color w:val="auto"/>
              </w:rPr>
            </w:pPr>
          </w:p>
        </w:tc>
        <w:tc>
          <w:tcPr>
            <w:tcW w:w="160" w:type="dxa"/>
            <w:vAlign w:val="bottom"/>
            <w:vMerge w:val="restart"/>
            <w:shd w:val="clear" w:color="auto" w:fill="CCEEFF"/>
          </w:tcPr>
          <w:p>
            <w:pPr>
              <w:ind w:left="40"/>
              <w:spacing w:after="0"/>
              <w:rPr>
                <w:sz w:val="20"/>
                <w:szCs w:val="20"/>
                <w:color w:val="auto"/>
              </w:rPr>
            </w:pPr>
            <w:r>
              <w:rPr>
                <w:rFonts w:ascii="Calibri" w:cs="Calibri" w:eastAsia="Calibri" w:hAnsi="Calibri"/>
                <w:sz w:val="14"/>
                <w:szCs w:val="14"/>
                <w:color w:val="auto"/>
              </w:rPr>
              <w:t>•</w:t>
            </w:r>
          </w:p>
        </w:tc>
        <w:tc>
          <w:tcPr>
            <w:tcW w:w="4080" w:type="dxa"/>
            <w:vAlign w:val="bottom"/>
            <w:gridSpan w:val="3"/>
            <w:vMerge w:val="restart"/>
            <w:shd w:val="clear" w:color="auto" w:fill="CCEEFF"/>
          </w:tcPr>
          <w:p>
            <w:pPr>
              <w:ind w:left="60"/>
              <w:spacing w:after="0"/>
              <w:rPr>
                <w:sz w:val="20"/>
                <w:szCs w:val="20"/>
                <w:color w:val="auto"/>
              </w:rPr>
            </w:pPr>
            <w:r>
              <w:rPr>
                <w:rFonts w:ascii="Calibri" w:cs="Calibri" w:eastAsia="Calibri" w:hAnsi="Calibri"/>
                <w:sz w:val="14"/>
                <w:szCs w:val="14"/>
                <w:color w:val="auto"/>
              </w:rPr>
              <w:t>Informaton Security</w:t>
            </w:r>
          </w:p>
        </w:tc>
        <w:tc>
          <w:tcPr>
            <w:tcW w:w="0" w:type="dxa"/>
            <w:vAlign w:val="bottom"/>
          </w:tcPr>
          <w:p>
            <w:pPr>
              <w:spacing w:after="0"/>
              <w:rPr>
                <w:sz w:val="1"/>
                <w:szCs w:val="1"/>
                <w:color w:val="auto"/>
              </w:rPr>
            </w:pPr>
          </w:p>
        </w:tc>
      </w:tr>
      <w:tr>
        <w:trPr>
          <w:trHeight w:val="132"/>
        </w:trPr>
        <w:tc>
          <w:tcPr>
            <w:tcW w:w="84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94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1500" w:type="dxa"/>
            <w:vAlign w:val="bottom"/>
            <w:shd w:val="clear" w:color="auto" w:fill="CCEEFF"/>
          </w:tcPr>
          <w:p>
            <w:pPr>
              <w:spacing w:after="0"/>
              <w:rPr>
                <w:sz w:val="11"/>
                <w:szCs w:val="11"/>
                <w:color w:val="auto"/>
              </w:rPr>
            </w:pPr>
          </w:p>
        </w:tc>
        <w:tc>
          <w:tcPr>
            <w:tcW w:w="160" w:type="dxa"/>
            <w:vAlign w:val="bottom"/>
            <w:vMerge w:val="continue"/>
            <w:shd w:val="clear" w:color="auto" w:fill="CCEEFF"/>
          </w:tcPr>
          <w:p>
            <w:pPr>
              <w:spacing w:after="0"/>
              <w:rPr>
                <w:sz w:val="11"/>
                <w:szCs w:val="11"/>
                <w:color w:val="auto"/>
              </w:rPr>
            </w:pPr>
          </w:p>
        </w:tc>
        <w:tc>
          <w:tcPr>
            <w:tcW w:w="4080" w:type="dxa"/>
            <w:vAlign w:val="bottom"/>
            <w:gridSpan w:val="3"/>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50"/>
        </w:trPr>
        <w:tc>
          <w:tcPr>
            <w:tcW w:w="8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ind w:left="40"/>
              <w:spacing w:after="0"/>
              <w:rPr>
                <w:sz w:val="20"/>
                <w:szCs w:val="20"/>
                <w:color w:val="auto"/>
              </w:rPr>
            </w:pPr>
            <w:r>
              <w:rPr>
                <w:rFonts w:ascii="Calibri" w:cs="Calibri" w:eastAsia="Calibri" w:hAnsi="Calibri"/>
                <w:sz w:val="14"/>
                <w:szCs w:val="14"/>
                <w:color w:val="auto"/>
              </w:rPr>
              <w:t>•</w:t>
            </w:r>
          </w:p>
        </w:tc>
        <w:tc>
          <w:tcPr>
            <w:tcW w:w="4080" w:type="dxa"/>
            <w:vAlign w:val="bottom"/>
            <w:tcBorders>
              <w:bottom w:val="single" w:sz="8" w:color="CCEEFF"/>
            </w:tcBorders>
            <w:gridSpan w:val="3"/>
            <w:shd w:val="clear" w:color="auto" w:fill="CCEEFF"/>
          </w:tcPr>
          <w:p>
            <w:pPr>
              <w:ind w:left="60"/>
              <w:spacing w:after="0"/>
              <w:rPr>
                <w:sz w:val="20"/>
                <w:szCs w:val="20"/>
                <w:color w:val="auto"/>
              </w:rPr>
            </w:pPr>
            <w:r>
              <w:rPr>
                <w:rFonts w:ascii="Calibri" w:cs="Calibri" w:eastAsia="Calibri" w:hAnsi="Calibri"/>
                <w:sz w:val="14"/>
                <w:szCs w:val="14"/>
                <w:color w:val="auto"/>
              </w:rPr>
              <w:t>Identty Security</w:t>
            </w:r>
          </w:p>
        </w:tc>
        <w:tc>
          <w:tcPr>
            <w:tcW w:w="0" w:type="dxa"/>
            <w:vAlign w:val="bottom"/>
          </w:tcPr>
          <w:p>
            <w:pPr>
              <w:spacing w:after="0"/>
              <w:rPr>
                <w:sz w:val="1"/>
                <w:szCs w:val="1"/>
                <w:color w:val="auto"/>
              </w:rPr>
            </w:pPr>
          </w:p>
        </w:tc>
      </w:tr>
      <w:tr>
        <w:trPr>
          <w:trHeight w:val="131"/>
        </w:trPr>
        <w:tc>
          <w:tcPr>
            <w:tcW w:w="2340" w:type="dxa"/>
            <w:vAlign w:val="bottom"/>
            <w:gridSpan w:val="3"/>
          </w:tcPr>
          <w:p>
            <w:pPr>
              <w:ind w:left="20"/>
              <w:spacing w:after="0" w:line="131" w:lineRule="exact"/>
              <w:rPr>
                <w:sz w:val="20"/>
                <w:szCs w:val="20"/>
                <w:color w:val="auto"/>
              </w:rPr>
            </w:pPr>
            <w:r>
              <w:rPr>
                <w:rFonts w:ascii="Calibri" w:cs="Calibri" w:eastAsia="Calibri" w:hAnsi="Calibri"/>
                <w:sz w:val="14"/>
                <w:szCs w:val="14"/>
                <w:b w:val="1"/>
                <w:bCs w:val="1"/>
                <w:color w:val="auto"/>
              </w:rPr>
              <w:t>FC SAN Management</w:t>
            </w:r>
          </w:p>
        </w:tc>
        <w:tc>
          <w:tcPr>
            <w:tcW w:w="4660" w:type="dxa"/>
            <w:vAlign w:val="bottom"/>
            <w:gridSpan w:val="3"/>
          </w:tcPr>
          <w:p>
            <w:pPr>
              <w:ind w:left="420"/>
              <w:spacing w:after="0" w:line="131" w:lineRule="exact"/>
              <w:rPr>
                <w:sz w:val="20"/>
                <w:szCs w:val="20"/>
                <w:color w:val="auto"/>
              </w:rPr>
            </w:pPr>
            <w:r>
              <w:rPr>
                <w:rFonts w:ascii="Calibri" w:cs="Calibri" w:eastAsia="Calibri" w:hAnsi="Calibri"/>
                <w:sz w:val="14"/>
                <w:szCs w:val="14"/>
                <w:color w:val="auto"/>
              </w:rPr>
              <w:t>•  Solutons that transforms current storage networks with autonomous</w:t>
            </w:r>
          </w:p>
        </w:tc>
        <w:tc>
          <w:tcPr>
            <w:tcW w:w="160" w:type="dxa"/>
            <w:vAlign w:val="bottom"/>
          </w:tcPr>
          <w:p>
            <w:pPr>
              <w:ind w:left="40"/>
              <w:spacing w:after="0" w:line="131" w:lineRule="exact"/>
              <w:rPr>
                <w:sz w:val="20"/>
                <w:szCs w:val="20"/>
                <w:color w:val="auto"/>
              </w:rPr>
            </w:pPr>
            <w:r>
              <w:rPr>
                <w:rFonts w:ascii="Calibri" w:cs="Calibri" w:eastAsia="Calibri" w:hAnsi="Calibri"/>
                <w:sz w:val="14"/>
                <w:szCs w:val="14"/>
                <w:color w:val="auto"/>
              </w:rPr>
              <w:t>•</w:t>
            </w:r>
          </w:p>
        </w:tc>
        <w:tc>
          <w:tcPr>
            <w:tcW w:w="4080" w:type="dxa"/>
            <w:vAlign w:val="bottom"/>
            <w:gridSpan w:val="3"/>
          </w:tcPr>
          <w:p>
            <w:pPr>
              <w:ind w:left="60"/>
              <w:spacing w:after="0" w:line="131" w:lineRule="exact"/>
              <w:rPr>
                <w:sz w:val="20"/>
                <w:szCs w:val="20"/>
                <w:color w:val="auto"/>
              </w:rPr>
            </w:pPr>
            <w:r>
              <w:rPr>
                <w:rFonts w:ascii="Calibri" w:cs="Calibri" w:eastAsia="Calibri" w:hAnsi="Calibri"/>
                <w:sz w:val="14"/>
                <w:szCs w:val="14"/>
                <w:color w:val="auto"/>
              </w:rPr>
              <w:t>Fibre Channel Switch</w:t>
            </w:r>
          </w:p>
        </w:tc>
        <w:tc>
          <w:tcPr>
            <w:tcW w:w="0" w:type="dxa"/>
            <w:vAlign w:val="bottom"/>
          </w:tcPr>
          <w:p>
            <w:pPr>
              <w:spacing w:after="0"/>
              <w:rPr>
                <w:sz w:val="1"/>
                <w:szCs w:val="1"/>
                <w:color w:val="auto"/>
              </w:rPr>
            </w:pPr>
          </w:p>
        </w:tc>
      </w:tr>
      <w:tr>
        <w:trPr>
          <w:trHeight w:val="168"/>
        </w:trPr>
        <w:tc>
          <w:tcPr>
            <w:tcW w:w="8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660" w:type="dxa"/>
            <w:vAlign w:val="bottom"/>
            <w:gridSpan w:val="3"/>
          </w:tcPr>
          <w:p>
            <w:pPr>
              <w:ind w:left="580"/>
              <w:spacing w:after="0" w:line="168" w:lineRule="exact"/>
              <w:rPr>
                <w:sz w:val="20"/>
                <w:szCs w:val="20"/>
                <w:color w:val="auto"/>
              </w:rPr>
            </w:pPr>
            <w:r>
              <w:rPr>
                <w:rFonts w:ascii="Calibri" w:cs="Calibri" w:eastAsia="Calibri" w:hAnsi="Calibri"/>
                <w:sz w:val="14"/>
                <w:szCs w:val="14"/>
                <w:color w:val="auto"/>
              </w:rPr>
              <w:t>SAN capabilites</w:t>
            </w:r>
          </w:p>
        </w:tc>
        <w:tc>
          <w:tcPr>
            <w:tcW w:w="1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2"/>
        </w:trPr>
        <w:tc>
          <w:tcPr>
            <w:tcW w:w="8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8"/>
        </w:trPr>
        <w:tc>
          <w:tcPr>
            <w:tcW w:w="2340" w:type="dxa"/>
            <w:vAlign w:val="bottom"/>
            <w:gridSpan w:val="3"/>
            <w:shd w:val="clear" w:color="auto" w:fill="CCEEFF"/>
          </w:tcPr>
          <w:p>
            <w:pPr>
              <w:ind w:left="20"/>
              <w:spacing w:after="0" w:line="168" w:lineRule="exact"/>
              <w:rPr>
                <w:sz w:val="20"/>
                <w:szCs w:val="20"/>
                <w:color w:val="auto"/>
              </w:rPr>
            </w:pPr>
            <w:r>
              <w:rPr>
                <w:rFonts w:ascii="Calibri" w:cs="Calibri" w:eastAsia="Calibri" w:hAnsi="Calibri"/>
                <w:sz w:val="14"/>
                <w:szCs w:val="14"/>
                <w:b w:val="1"/>
                <w:bCs w:val="1"/>
                <w:color w:val="auto"/>
              </w:rPr>
              <w:t>Payment Security</w:t>
            </w:r>
          </w:p>
        </w:tc>
        <w:tc>
          <w:tcPr>
            <w:tcW w:w="4660" w:type="dxa"/>
            <w:vAlign w:val="bottom"/>
            <w:gridSpan w:val="3"/>
            <w:shd w:val="clear" w:color="auto" w:fill="CCEEFF"/>
          </w:tcPr>
          <w:p>
            <w:pPr>
              <w:ind w:left="420"/>
              <w:spacing w:after="0" w:line="168" w:lineRule="exact"/>
              <w:rPr>
                <w:sz w:val="20"/>
                <w:szCs w:val="20"/>
                <w:color w:val="auto"/>
              </w:rPr>
            </w:pPr>
            <w:r>
              <w:rPr>
                <w:rFonts w:ascii="Calibri" w:cs="Calibri" w:eastAsia="Calibri" w:hAnsi="Calibri"/>
                <w:sz w:val="14"/>
                <w:szCs w:val="14"/>
                <w:color w:val="auto"/>
              </w:rPr>
              <w:t>•  Arcot payment authentcaton network powered by 3-D Secure</w:t>
            </w:r>
          </w:p>
        </w:tc>
        <w:tc>
          <w:tcPr>
            <w:tcW w:w="160" w:type="dxa"/>
            <w:vAlign w:val="bottom"/>
            <w:shd w:val="clear" w:color="auto" w:fill="CCEEFF"/>
          </w:tcPr>
          <w:p>
            <w:pPr>
              <w:ind w:left="40"/>
              <w:spacing w:after="0" w:line="168" w:lineRule="exact"/>
              <w:rPr>
                <w:sz w:val="20"/>
                <w:szCs w:val="20"/>
                <w:color w:val="auto"/>
              </w:rPr>
            </w:pPr>
            <w:r>
              <w:rPr>
                <w:rFonts w:ascii="Calibri" w:cs="Calibri" w:eastAsia="Calibri" w:hAnsi="Calibri"/>
                <w:sz w:val="14"/>
                <w:szCs w:val="14"/>
                <w:color w:val="auto"/>
              </w:rPr>
              <w:t>•</w:t>
            </w:r>
          </w:p>
        </w:tc>
        <w:tc>
          <w:tcPr>
            <w:tcW w:w="4080" w:type="dxa"/>
            <w:vAlign w:val="bottom"/>
            <w:gridSpan w:val="3"/>
            <w:shd w:val="clear" w:color="auto" w:fill="CCEEFF"/>
          </w:tcPr>
          <w:p>
            <w:pPr>
              <w:ind w:left="60"/>
              <w:spacing w:after="0" w:line="168" w:lineRule="exact"/>
              <w:rPr>
                <w:sz w:val="20"/>
                <w:szCs w:val="20"/>
                <w:color w:val="auto"/>
              </w:rPr>
            </w:pPr>
            <w:r>
              <w:rPr>
                <w:rFonts w:ascii="Calibri" w:cs="Calibri" w:eastAsia="Calibri" w:hAnsi="Calibri"/>
                <w:sz w:val="14"/>
                <w:szCs w:val="14"/>
                <w:color w:val="auto"/>
              </w:rPr>
              <w:t>Payment Security Suite</w:t>
            </w:r>
          </w:p>
        </w:tc>
        <w:tc>
          <w:tcPr>
            <w:tcW w:w="0" w:type="dxa"/>
            <w:vAlign w:val="bottom"/>
          </w:tcPr>
          <w:p>
            <w:pPr>
              <w:spacing w:after="0"/>
              <w:rPr>
                <w:sz w:val="1"/>
                <w:szCs w:val="1"/>
                <w:color w:val="auto"/>
              </w:rPr>
            </w:pPr>
          </w:p>
        </w:tc>
      </w:tr>
      <w:tr>
        <w:trPr>
          <w:trHeight w:val="44"/>
        </w:trPr>
        <w:tc>
          <w:tcPr>
            <w:tcW w:w="840" w:type="dxa"/>
            <w:vAlign w:val="bottom"/>
            <w:shd w:val="clear" w:color="auto" w:fill="CCEEFF"/>
          </w:tcPr>
          <w:p>
            <w:pPr>
              <w:spacing w:after="0"/>
              <w:rPr>
                <w:sz w:val="3"/>
                <w:szCs w:val="3"/>
                <w:color w:val="auto"/>
              </w:rPr>
            </w:pPr>
          </w:p>
        </w:tc>
        <w:tc>
          <w:tcPr>
            <w:tcW w:w="1060" w:type="dxa"/>
            <w:vAlign w:val="bottom"/>
            <w:shd w:val="clear" w:color="auto" w:fill="CCEEFF"/>
          </w:tcPr>
          <w:p>
            <w:pPr>
              <w:spacing w:after="0"/>
              <w:rPr>
                <w:sz w:val="3"/>
                <w:szCs w:val="3"/>
                <w:color w:val="auto"/>
              </w:rPr>
            </w:pPr>
          </w:p>
        </w:tc>
        <w:tc>
          <w:tcPr>
            <w:tcW w:w="440" w:type="dxa"/>
            <w:vAlign w:val="bottom"/>
            <w:shd w:val="clear" w:color="auto" w:fill="CCEEFF"/>
          </w:tcPr>
          <w:p>
            <w:pPr>
              <w:spacing w:after="0"/>
              <w:rPr>
                <w:sz w:val="3"/>
                <w:szCs w:val="3"/>
                <w:color w:val="auto"/>
              </w:rPr>
            </w:pPr>
          </w:p>
        </w:tc>
        <w:tc>
          <w:tcPr>
            <w:tcW w:w="1940" w:type="dxa"/>
            <w:vAlign w:val="bottom"/>
            <w:shd w:val="clear" w:color="auto" w:fill="CCEEFF"/>
          </w:tcPr>
          <w:p>
            <w:pPr>
              <w:spacing w:after="0"/>
              <w:rPr>
                <w:sz w:val="3"/>
                <w:szCs w:val="3"/>
                <w:color w:val="auto"/>
              </w:rPr>
            </w:pPr>
          </w:p>
        </w:tc>
        <w:tc>
          <w:tcPr>
            <w:tcW w:w="1220" w:type="dxa"/>
            <w:vAlign w:val="bottom"/>
            <w:shd w:val="clear" w:color="auto" w:fill="CCEEFF"/>
          </w:tcPr>
          <w:p>
            <w:pPr>
              <w:spacing w:after="0"/>
              <w:rPr>
                <w:sz w:val="3"/>
                <w:szCs w:val="3"/>
                <w:color w:val="auto"/>
              </w:rPr>
            </w:pPr>
          </w:p>
        </w:tc>
        <w:tc>
          <w:tcPr>
            <w:tcW w:w="150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1240" w:type="dxa"/>
            <w:vAlign w:val="bottom"/>
            <w:shd w:val="clear" w:color="auto" w:fill="CCEEFF"/>
          </w:tcPr>
          <w:p>
            <w:pPr>
              <w:spacing w:after="0"/>
              <w:rPr>
                <w:sz w:val="3"/>
                <w:szCs w:val="3"/>
                <w:color w:val="auto"/>
              </w:rPr>
            </w:pPr>
          </w:p>
        </w:tc>
        <w:tc>
          <w:tcPr>
            <w:tcW w:w="1460" w:type="dxa"/>
            <w:vAlign w:val="bottom"/>
            <w:shd w:val="clear" w:color="auto" w:fill="CCEEFF"/>
          </w:tcPr>
          <w:p>
            <w:pPr>
              <w:spacing w:after="0"/>
              <w:rPr>
                <w:sz w:val="3"/>
                <w:szCs w:val="3"/>
                <w:color w:val="auto"/>
              </w:rPr>
            </w:pPr>
          </w:p>
        </w:tc>
        <w:tc>
          <w:tcPr>
            <w:tcW w:w="1380" w:type="dxa"/>
            <w:vAlign w:val="bottom"/>
            <w:shd w:val="clear" w:color="auto" w:fill="CCEEFF"/>
          </w:tcPr>
          <w:p>
            <w:pPr>
              <w:spacing w:after="0"/>
              <w:rPr>
                <w:sz w:val="3"/>
                <w:szCs w:val="3"/>
                <w:color w:val="auto"/>
              </w:rPr>
            </w:pPr>
          </w:p>
        </w:tc>
        <w:tc>
          <w:tcPr>
            <w:tcW w:w="0" w:type="dxa"/>
            <w:vAlign w:val="bottom"/>
          </w:tcPr>
          <w:p>
            <w:pPr>
              <w:spacing w:after="0"/>
              <w:rPr>
                <w:sz w:val="1"/>
                <w:szCs w:val="1"/>
                <w:color w:val="auto"/>
              </w:rPr>
            </w:pPr>
          </w:p>
        </w:tc>
      </w:tr>
    </w:tbl>
    <w:p>
      <w:pPr>
        <w:spacing w:after="0" w:line="177" w:lineRule="exact"/>
        <w:rPr>
          <w:sz w:val="20"/>
          <w:szCs w:val="20"/>
          <w:color w:val="auto"/>
        </w:rPr>
      </w:pPr>
    </w:p>
    <w:p>
      <w:pPr>
        <w:ind w:right="300" w:firstLine="396"/>
        <w:spacing w:after="0" w:line="230" w:lineRule="auto"/>
        <w:rPr>
          <w:sz w:val="20"/>
          <w:szCs w:val="20"/>
          <w:color w:val="auto"/>
        </w:rPr>
      </w:pPr>
      <w:r>
        <w:rPr>
          <w:rFonts w:ascii="Calibri" w:cs="Calibri" w:eastAsia="Calibri" w:hAnsi="Calibri"/>
          <w:sz w:val="18"/>
          <w:szCs w:val="18"/>
          <w:b w:val="1"/>
          <w:bCs w:val="1"/>
          <w:i w:val="1"/>
          <w:iCs w:val="1"/>
          <w:color w:val="auto"/>
        </w:rPr>
        <w:t>Operatonal Analytcs &amp; Management</w:t>
      </w:r>
      <w:r>
        <w:rPr>
          <w:rFonts w:ascii="Calibri" w:cs="Calibri" w:eastAsia="Calibri" w:hAnsi="Calibri"/>
          <w:sz w:val="18"/>
          <w:szCs w:val="18"/>
          <w:i w:val="1"/>
          <w:iCs w:val="1"/>
          <w:color w:val="auto"/>
        </w:rPr>
        <w:t>:</w:t>
      </w:r>
      <w:r>
        <w:rPr>
          <w:rFonts w:ascii="Calibri" w:cs="Calibri" w:eastAsia="Calibri" w:hAnsi="Calibri"/>
          <w:sz w:val="18"/>
          <w:szCs w:val="18"/>
          <w:b w:val="1"/>
          <w:bCs w:val="1"/>
          <w:i w:val="1"/>
          <w:iCs w:val="1"/>
          <w:color w:val="auto"/>
        </w:rPr>
        <w:t xml:space="preserve"> </w:t>
      </w:r>
      <w:r>
        <w:rPr>
          <w:rFonts w:ascii="Calibri" w:cs="Calibri" w:eastAsia="Calibri" w:hAnsi="Calibri"/>
          <w:sz w:val="18"/>
          <w:szCs w:val="18"/>
          <w:color w:val="auto"/>
        </w:rPr>
        <w:t>These solutons combine big data, machine learning and AI with mainframe expertse to deliver meaningful and</w:t>
      </w:r>
      <w:r>
        <w:rPr>
          <w:rFonts w:ascii="Calibri" w:cs="Calibri" w:eastAsia="Calibri" w:hAnsi="Calibri"/>
          <w:sz w:val="18"/>
          <w:szCs w:val="18"/>
          <w:b w:val="1"/>
          <w:bCs w:val="1"/>
          <w:i w:val="1"/>
          <w:iCs w:val="1"/>
          <w:color w:val="auto"/>
        </w:rPr>
        <w:t xml:space="preserve"> </w:t>
      </w:r>
      <w:r>
        <w:rPr>
          <w:rFonts w:ascii="Calibri" w:cs="Calibri" w:eastAsia="Calibri" w:hAnsi="Calibri"/>
          <w:sz w:val="18"/>
          <w:szCs w:val="18"/>
          <w:color w:val="auto"/>
        </w:rPr>
        <w:t>actonable insights to augment and automate day-to-day operatons and deliver exceptonal customer experiences.</w:t>
      </w:r>
    </w:p>
    <w:p>
      <w:pPr>
        <w:spacing w:after="0" w:line="107" w:lineRule="exact"/>
        <w:rPr>
          <w:sz w:val="20"/>
          <w:szCs w:val="20"/>
          <w:color w:val="auto"/>
        </w:rPr>
      </w:pPr>
    </w:p>
    <w:p>
      <w:pPr>
        <w:ind w:right="160" w:firstLine="396"/>
        <w:spacing w:after="0" w:line="230" w:lineRule="auto"/>
        <w:rPr>
          <w:sz w:val="20"/>
          <w:szCs w:val="20"/>
          <w:color w:val="auto"/>
        </w:rPr>
      </w:pPr>
      <w:r>
        <w:rPr>
          <w:rFonts w:ascii="Calibri" w:cs="Calibri" w:eastAsia="Calibri" w:hAnsi="Calibri"/>
          <w:sz w:val="18"/>
          <w:szCs w:val="18"/>
          <w:b w:val="1"/>
          <w:bCs w:val="1"/>
          <w:i w:val="1"/>
          <w:iCs w:val="1"/>
          <w:color w:val="auto"/>
        </w:rPr>
        <w:t xml:space="preserve">Workload Automaton: </w:t>
      </w:r>
      <w:r>
        <w:rPr>
          <w:rFonts w:ascii="Calibri" w:cs="Calibri" w:eastAsia="Calibri" w:hAnsi="Calibri"/>
          <w:sz w:val="18"/>
          <w:szCs w:val="18"/>
          <w:color w:val="auto"/>
        </w:rPr>
        <w:t>These solutons reduce manual efort by enabling customers to proactvely optmize resources and orchestrate automaton across</w:t>
      </w:r>
      <w:r>
        <w:rPr>
          <w:rFonts w:ascii="Calibri" w:cs="Calibri" w:eastAsia="Calibri" w:hAnsi="Calibri"/>
          <w:sz w:val="18"/>
          <w:szCs w:val="18"/>
          <w:b w:val="1"/>
          <w:bCs w:val="1"/>
          <w:i w:val="1"/>
          <w:iCs w:val="1"/>
          <w:color w:val="auto"/>
        </w:rPr>
        <w:t xml:space="preserve"> </w:t>
      </w:r>
      <w:r>
        <w:rPr>
          <w:rFonts w:ascii="Calibri" w:cs="Calibri" w:eastAsia="Calibri" w:hAnsi="Calibri"/>
          <w:sz w:val="18"/>
          <w:szCs w:val="18"/>
          <w:color w:val="auto"/>
        </w:rPr>
        <w:t>enterprise applicatons and systems.</w:t>
      </w:r>
    </w:p>
    <w:p>
      <w:pPr>
        <w:spacing w:after="0" w:line="107" w:lineRule="exact"/>
        <w:rPr>
          <w:sz w:val="20"/>
          <w:szCs w:val="20"/>
          <w:color w:val="auto"/>
        </w:rPr>
      </w:pPr>
    </w:p>
    <w:p>
      <w:pPr>
        <w:ind w:right="260" w:firstLine="396"/>
        <w:spacing w:after="0" w:line="230" w:lineRule="auto"/>
        <w:rPr>
          <w:sz w:val="20"/>
          <w:szCs w:val="20"/>
          <w:color w:val="auto"/>
        </w:rPr>
      </w:pPr>
      <w:r>
        <w:rPr>
          <w:rFonts w:ascii="Calibri" w:cs="Calibri" w:eastAsia="Calibri" w:hAnsi="Calibri"/>
          <w:sz w:val="18"/>
          <w:szCs w:val="18"/>
          <w:b w:val="1"/>
          <w:bCs w:val="1"/>
          <w:i w:val="1"/>
          <w:iCs w:val="1"/>
          <w:color w:val="auto"/>
        </w:rPr>
        <w:t>Databases &amp; Data Management</w:t>
      </w:r>
      <w:r>
        <w:rPr>
          <w:rFonts w:ascii="Calibri" w:cs="Calibri" w:eastAsia="Calibri" w:hAnsi="Calibri"/>
          <w:sz w:val="18"/>
          <w:szCs w:val="18"/>
          <w:i w:val="1"/>
          <w:iCs w:val="1"/>
          <w:color w:val="auto"/>
        </w:rPr>
        <w:t>:</w:t>
      </w:r>
      <w:r>
        <w:rPr>
          <w:rFonts w:ascii="Calibri" w:cs="Calibri" w:eastAsia="Calibri" w:hAnsi="Calibri"/>
          <w:sz w:val="18"/>
          <w:szCs w:val="18"/>
          <w:b w:val="1"/>
          <w:bCs w:val="1"/>
          <w:i w:val="1"/>
          <w:iCs w:val="1"/>
          <w:color w:val="auto"/>
        </w:rPr>
        <w:t xml:space="preserve"> </w:t>
      </w:r>
      <w:r>
        <w:rPr>
          <w:rFonts w:ascii="Calibri" w:cs="Calibri" w:eastAsia="Calibri" w:hAnsi="Calibri"/>
          <w:sz w:val="18"/>
          <w:szCs w:val="18"/>
          <w:color w:val="auto"/>
        </w:rPr>
        <w:t>These high-performance databases and management tools store, organize, and manage mainframe data to ensure</w:t>
      </w:r>
      <w:r>
        <w:rPr>
          <w:rFonts w:ascii="Calibri" w:cs="Calibri" w:eastAsia="Calibri" w:hAnsi="Calibri"/>
          <w:sz w:val="18"/>
          <w:szCs w:val="18"/>
          <w:b w:val="1"/>
          <w:bCs w:val="1"/>
          <w:i w:val="1"/>
          <w:iCs w:val="1"/>
          <w:color w:val="auto"/>
        </w:rPr>
        <w:t xml:space="preserve"> </w:t>
      </w:r>
      <w:r>
        <w:rPr>
          <w:rFonts w:ascii="Calibri" w:cs="Calibri" w:eastAsia="Calibri" w:hAnsi="Calibri"/>
          <w:sz w:val="18"/>
          <w:szCs w:val="18"/>
          <w:color w:val="auto"/>
        </w:rPr>
        <w:t>optmal performance, efcient administraton, and reliability of critcal systems. Customers can also manage their mainframe data storage using modern mainframe solutons that securely store data on any device that customers choose, including the cloud. These sofware-only solutons are designed to save on costs and maintain confdence in data security.</w:t>
      </w:r>
    </w:p>
    <w:p>
      <w:pPr>
        <w:spacing w:after="0" w:line="108" w:lineRule="exact"/>
        <w:rPr>
          <w:sz w:val="20"/>
          <w:szCs w:val="20"/>
          <w:color w:val="auto"/>
        </w:rPr>
      </w:pPr>
    </w:p>
    <w:p>
      <w:pPr>
        <w:ind w:right="60" w:firstLine="396"/>
        <w:spacing w:after="0" w:line="230" w:lineRule="auto"/>
        <w:rPr>
          <w:sz w:val="20"/>
          <w:szCs w:val="20"/>
          <w:color w:val="auto"/>
        </w:rPr>
      </w:pPr>
      <w:r>
        <w:rPr>
          <w:rFonts w:ascii="Calibri" w:cs="Calibri" w:eastAsia="Calibri" w:hAnsi="Calibri"/>
          <w:sz w:val="18"/>
          <w:szCs w:val="18"/>
          <w:b w:val="1"/>
          <w:bCs w:val="1"/>
          <w:i w:val="1"/>
          <w:iCs w:val="1"/>
          <w:color w:val="auto"/>
        </w:rPr>
        <w:t>Applicaton Development &amp; Testng</w:t>
      </w:r>
      <w:r>
        <w:rPr>
          <w:rFonts w:ascii="Calibri" w:cs="Calibri" w:eastAsia="Calibri" w:hAnsi="Calibri"/>
          <w:sz w:val="18"/>
          <w:szCs w:val="18"/>
          <w:i w:val="1"/>
          <w:iCs w:val="1"/>
          <w:color w:val="auto"/>
        </w:rPr>
        <w:t>:</w:t>
      </w:r>
      <w:r>
        <w:rPr>
          <w:rFonts w:ascii="Calibri" w:cs="Calibri" w:eastAsia="Calibri" w:hAnsi="Calibri"/>
          <w:sz w:val="18"/>
          <w:szCs w:val="18"/>
          <w:b w:val="1"/>
          <w:bCs w:val="1"/>
          <w:i w:val="1"/>
          <w:iCs w:val="1"/>
          <w:color w:val="auto"/>
        </w:rPr>
        <w:t xml:space="preserve"> </w:t>
      </w:r>
      <w:r>
        <w:rPr>
          <w:rFonts w:ascii="Calibri" w:cs="Calibri" w:eastAsia="Calibri" w:hAnsi="Calibri"/>
          <w:sz w:val="18"/>
          <w:szCs w:val="18"/>
          <w:color w:val="auto"/>
        </w:rPr>
        <w:t>These solutons enable customers to accelerate sofware delivery while increasing code quality through the use of our</w:t>
      </w:r>
      <w:r>
        <w:rPr>
          <w:rFonts w:ascii="Calibri" w:cs="Calibri" w:eastAsia="Calibri" w:hAnsi="Calibri"/>
          <w:sz w:val="18"/>
          <w:szCs w:val="18"/>
          <w:b w:val="1"/>
          <w:bCs w:val="1"/>
          <w:i w:val="1"/>
          <w:iCs w:val="1"/>
          <w:color w:val="auto"/>
        </w:rPr>
        <w:t xml:space="preserve"> </w:t>
      </w:r>
      <w:r>
        <w:rPr>
          <w:rFonts w:ascii="Calibri" w:cs="Calibri" w:eastAsia="Calibri" w:hAnsi="Calibri"/>
          <w:sz w:val="18"/>
          <w:szCs w:val="18"/>
          <w:color w:val="auto"/>
        </w:rPr>
        <w:t>agile processes and tools, and DevOps solutons. Our open-frst strategy helps customers modernize their mainframe environment through the use of open source and open applicaton programming technologies across people, process, tooling and applicatons, resultng in greater synergy and alignment with their corporate IT.</w:t>
      </w:r>
    </w:p>
    <w:p>
      <w:pPr>
        <w:spacing w:after="0" w:line="108" w:lineRule="exact"/>
        <w:rPr>
          <w:sz w:val="20"/>
          <w:szCs w:val="20"/>
          <w:color w:val="auto"/>
        </w:rPr>
      </w:pPr>
    </w:p>
    <w:p>
      <w:pPr>
        <w:ind w:right="220" w:firstLine="396"/>
        <w:spacing w:after="0" w:line="230" w:lineRule="auto"/>
        <w:rPr>
          <w:sz w:val="20"/>
          <w:szCs w:val="20"/>
          <w:color w:val="auto"/>
        </w:rPr>
      </w:pPr>
      <w:r>
        <w:rPr>
          <w:rFonts w:ascii="Calibri" w:cs="Calibri" w:eastAsia="Calibri" w:hAnsi="Calibri"/>
          <w:sz w:val="18"/>
          <w:szCs w:val="18"/>
          <w:b w:val="1"/>
          <w:bCs w:val="1"/>
          <w:i w:val="1"/>
          <w:iCs w:val="1"/>
          <w:color w:val="auto"/>
        </w:rPr>
        <w:t>Identty &amp; Access Management</w:t>
      </w:r>
      <w:r>
        <w:rPr>
          <w:rFonts w:ascii="Calibri" w:cs="Calibri" w:eastAsia="Calibri" w:hAnsi="Calibri"/>
          <w:sz w:val="18"/>
          <w:szCs w:val="18"/>
          <w:i w:val="1"/>
          <w:iCs w:val="1"/>
          <w:color w:val="auto"/>
        </w:rPr>
        <w:t>:</w:t>
      </w:r>
      <w:r>
        <w:rPr>
          <w:rFonts w:ascii="Calibri" w:cs="Calibri" w:eastAsia="Calibri" w:hAnsi="Calibri"/>
          <w:sz w:val="18"/>
          <w:szCs w:val="18"/>
          <w:b w:val="1"/>
          <w:bCs w:val="1"/>
          <w:i w:val="1"/>
          <w:iCs w:val="1"/>
          <w:color w:val="auto"/>
        </w:rPr>
        <w:t xml:space="preserve"> </w:t>
      </w:r>
      <w:r>
        <w:rPr>
          <w:rFonts w:ascii="Calibri" w:cs="Calibri" w:eastAsia="Calibri" w:hAnsi="Calibri"/>
          <w:sz w:val="18"/>
          <w:szCs w:val="18"/>
          <w:color w:val="auto"/>
        </w:rPr>
        <w:t>These solutons manage mainframe access and elevate it with modern practces such as mult-factor authentcaton and</w:t>
      </w:r>
      <w:r>
        <w:rPr>
          <w:rFonts w:ascii="Calibri" w:cs="Calibri" w:eastAsia="Calibri" w:hAnsi="Calibri"/>
          <w:sz w:val="18"/>
          <w:szCs w:val="18"/>
          <w:b w:val="1"/>
          <w:bCs w:val="1"/>
          <w:i w:val="1"/>
          <w:iCs w:val="1"/>
          <w:color w:val="auto"/>
        </w:rPr>
        <w:t xml:space="preserve"> </w:t>
      </w:r>
      <w:r>
        <w:rPr>
          <w:rFonts w:ascii="Calibri" w:cs="Calibri" w:eastAsia="Calibri" w:hAnsi="Calibri"/>
          <w:sz w:val="18"/>
          <w:szCs w:val="18"/>
          <w:color w:val="auto"/>
        </w:rPr>
        <w:t>privileged user management, and support all external security managers.</w:t>
      </w:r>
    </w:p>
    <w:p>
      <w:pPr>
        <w:spacing w:after="0" w:line="200" w:lineRule="exact"/>
        <w:rPr>
          <w:sz w:val="20"/>
          <w:szCs w:val="20"/>
          <w:color w:val="auto"/>
        </w:rPr>
      </w:pPr>
    </w:p>
    <w:p>
      <w:pPr>
        <w:spacing w:after="0" w:line="333"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9" w:right="339" w:bottom="1440" w:gutter="0" w:footer="0" w:header="0"/>
        </w:sectPr>
      </w:pPr>
    </w:p>
    <w:bookmarkStart w:id="8" w:name="page9"/>
    <w:bookmarkEnd w:id="8"/>
    <w:p>
      <w:pPr>
        <w:spacing w:after="0"/>
        <w:rPr>
          <w:sz w:val="20"/>
          <w:szCs w:val="20"/>
          <w:color w:val="auto"/>
        </w:rPr>
      </w:pPr>
      <w:r>
        <w:rPr>
          <w:rFonts w:ascii="Calibri" w:cs="Calibri" w:eastAsia="Calibri" w:hAnsi="Calibri"/>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firstLine="396"/>
        <w:spacing w:after="0" w:line="230" w:lineRule="auto"/>
        <w:rPr>
          <w:sz w:val="20"/>
          <w:szCs w:val="20"/>
          <w:color w:val="auto"/>
        </w:rPr>
      </w:pPr>
      <w:r>
        <w:rPr>
          <w:rFonts w:ascii="Calibri" w:cs="Calibri" w:eastAsia="Calibri" w:hAnsi="Calibri"/>
          <w:sz w:val="18"/>
          <w:szCs w:val="18"/>
          <w:b w:val="1"/>
          <w:bCs w:val="1"/>
          <w:i w:val="1"/>
          <w:iCs w:val="1"/>
          <w:color w:val="auto"/>
        </w:rPr>
        <w:t>Compliance &amp; Data Protecton</w:t>
      </w:r>
      <w:r>
        <w:rPr>
          <w:rFonts w:ascii="Calibri" w:cs="Calibri" w:eastAsia="Calibri" w:hAnsi="Calibri"/>
          <w:sz w:val="18"/>
          <w:szCs w:val="18"/>
          <w:i w:val="1"/>
          <w:iCs w:val="1"/>
          <w:color w:val="auto"/>
        </w:rPr>
        <w:t>:</w:t>
      </w:r>
      <w:r>
        <w:rPr>
          <w:rFonts w:ascii="Calibri" w:cs="Calibri" w:eastAsia="Calibri" w:hAnsi="Calibri"/>
          <w:sz w:val="18"/>
          <w:szCs w:val="18"/>
          <w:b w:val="1"/>
          <w:bCs w:val="1"/>
          <w:i w:val="1"/>
          <w:iCs w:val="1"/>
          <w:color w:val="auto"/>
        </w:rPr>
        <w:t xml:space="preserve"> </w:t>
      </w:r>
      <w:r>
        <w:rPr>
          <w:rFonts w:ascii="Calibri" w:cs="Calibri" w:eastAsia="Calibri" w:hAnsi="Calibri"/>
          <w:sz w:val="18"/>
          <w:szCs w:val="18"/>
          <w:color w:val="auto"/>
        </w:rPr>
        <w:t>These solutons protect crucial mainframe data to ensure compliance, identfy risk, proactvely respond to potental threats,</w:t>
      </w:r>
      <w:r>
        <w:rPr>
          <w:rFonts w:ascii="Calibri" w:cs="Calibri" w:eastAsia="Calibri" w:hAnsi="Calibri"/>
          <w:sz w:val="18"/>
          <w:szCs w:val="18"/>
          <w:b w:val="1"/>
          <w:bCs w:val="1"/>
          <w:i w:val="1"/>
          <w:iCs w:val="1"/>
          <w:color w:val="auto"/>
        </w:rPr>
        <w:t xml:space="preserve"> </w:t>
      </w:r>
      <w:r>
        <w:rPr>
          <w:rFonts w:ascii="Calibri" w:cs="Calibri" w:eastAsia="Calibri" w:hAnsi="Calibri"/>
          <w:sz w:val="18"/>
          <w:szCs w:val="18"/>
          <w:color w:val="auto"/>
        </w:rPr>
        <w:t>and reduce those risks to lighten the load on security management with automated identfcaton and authorizaton cleanup.</w:t>
      </w:r>
    </w:p>
    <w:p>
      <w:pPr>
        <w:spacing w:after="0" w:line="107" w:lineRule="exact"/>
        <w:rPr>
          <w:sz w:val="20"/>
          <w:szCs w:val="20"/>
          <w:color w:val="auto"/>
        </w:rPr>
      </w:pPr>
    </w:p>
    <w:p>
      <w:pPr>
        <w:ind w:right="100" w:firstLine="396"/>
        <w:spacing w:after="0" w:line="230" w:lineRule="auto"/>
        <w:rPr>
          <w:sz w:val="20"/>
          <w:szCs w:val="20"/>
          <w:color w:val="auto"/>
        </w:rPr>
      </w:pPr>
      <w:r>
        <w:rPr>
          <w:rFonts w:ascii="Calibri" w:cs="Calibri" w:eastAsia="Calibri" w:hAnsi="Calibri"/>
          <w:sz w:val="18"/>
          <w:szCs w:val="18"/>
          <w:b w:val="1"/>
          <w:bCs w:val="1"/>
          <w:i w:val="1"/>
          <w:iCs w:val="1"/>
          <w:color w:val="auto"/>
        </w:rPr>
        <w:t>Security Insights Platorm</w:t>
      </w:r>
      <w:r>
        <w:rPr>
          <w:rFonts w:ascii="Calibri" w:cs="Calibri" w:eastAsia="Calibri" w:hAnsi="Calibri"/>
          <w:sz w:val="18"/>
          <w:szCs w:val="18"/>
          <w:i w:val="1"/>
          <w:iCs w:val="1"/>
          <w:color w:val="auto"/>
        </w:rPr>
        <w:t>:</w:t>
      </w:r>
      <w:r>
        <w:rPr>
          <w:rFonts w:ascii="Calibri" w:cs="Calibri" w:eastAsia="Calibri" w:hAnsi="Calibri"/>
          <w:sz w:val="18"/>
          <w:szCs w:val="18"/>
          <w:b w:val="1"/>
          <w:bCs w:val="1"/>
          <w:i w:val="1"/>
          <w:iCs w:val="1"/>
          <w:color w:val="auto"/>
        </w:rPr>
        <w:t xml:space="preserve"> </w:t>
      </w:r>
      <w:r>
        <w:rPr>
          <w:rFonts w:ascii="Calibri" w:cs="Calibri" w:eastAsia="Calibri" w:hAnsi="Calibri"/>
          <w:sz w:val="18"/>
          <w:szCs w:val="18"/>
          <w:color w:val="auto"/>
        </w:rPr>
        <w:t>This soluton helps ensure a trusted environment for customers and their employees by quickly interpretng and assessing</w:t>
      </w:r>
      <w:r>
        <w:rPr>
          <w:rFonts w:ascii="Calibri" w:cs="Calibri" w:eastAsia="Calibri" w:hAnsi="Calibri"/>
          <w:sz w:val="18"/>
          <w:szCs w:val="18"/>
          <w:b w:val="1"/>
          <w:bCs w:val="1"/>
          <w:i w:val="1"/>
          <w:iCs w:val="1"/>
          <w:color w:val="auto"/>
        </w:rPr>
        <w:t xml:space="preserve"> </w:t>
      </w:r>
      <w:r>
        <w:rPr>
          <w:rFonts w:ascii="Calibri" w:cs="Calibri" w:eastAsia="Calibri" w:hAnsi="Calibri"/>
          <w:sz w:val="18"/>
          <w:szCs w:val="18"/>
          <w:color w:val="auto"/>
        </w:rPr>
        <w:t>mainframe security posture, identfying risks and developing remediaton steps on an ongoing and ad hoc basis. This data is available for use with in-house tools for security informaton and event management.</w:t>
      </w:r>
    </w:p>
    <w:p>
      <w:pPr>
        <w:spacing w:after="0" w:line="108" w:lineRule="exact"/>
        <w:rPr>
          <w:sz w:val="20"/>
          <w:szCs w:val="20"/>
          <w:color w:val="auto"/>
        </w:rPr>
      </w:pPr>
    </w:p>
    <w:p>
      <w:pPr>
        <w:ind w:right="20" w:firstLine="396"/>
        <w:spacing w:after="0" w:line="230" w:lineRule="auto"/>
        <w:rPr>
          <w:sz w:val="20"/>
          <w:szCs w:val="20"/>
          <w:color w:val="auto"/>
        </w:rPr>
      </w:pPr>
      <w:r>
        <w:rPr>
          <w:rFonts w:ascii="Calibri" w:cs="Calibri" w:eastAsia="Calibri" w:hAnsi="Calibri"/>
          <w:sz w:val="18"/>
          <w:szCs w:val="18"/>
          <w:b w:val="1"/>
          <w:bCs w:val="1"/>
          <w:i w:val="1"/>
          <w:iCs w:val="1"/>
          <w:color w:val="auto"/>
        </w:rPr>
        <w:t>Beyond Code Programs</w:t>
      </w:r>
      <w:r>
        <w:rPr>
          <w:rFonts w:ascii="Calibri" w:cs="Calibri" w:eastAsia="Calibri" w:hAnsi="Calibri"/>
          <w:sz w:val="18"/>
          <w:szCs w:val="18"/>
          <w:i w:val="1"/>
          <w:iCs w:val="1"/>
          <w:color w:val="auto"/>
        </w:rPr>
        <w:t>:</w:t>
      </w:r>
      <w:r>
        <w:rPr>
          <w:rFonts w:ascii="Calibri" w:cs="Calibri" w:eastAsia="Calibri" w:hAnsi="Calibri"/>
          <w:sz w:val="18"/>
          <w:szCs w:val="18"/>
          <w:b w:val="1"/>
          <w:bCs w:val="1"/>
          <w:i w:val="1"/>
          <w:iCs w:val="1"/>
          <w:color w:val="auto"/>
        </w:rPr>
        <w:t xml:space="preserve"> </w:t>
      </w:r>
      <w:r>
        <w:rPr>
          <w:rFonts w:ascii="Calibri" w:cs="Calibri" w:eastAsia="Calibri" w:hAnsi="Calibri"/>
          <w:sz w:val="18"/>
          <w:szCs w:val="18"/>
          <w:color w:val="auto"/>
        </w:rPr>
        <w:t>These value-added oferings go above and beyond the leading sofware we provide to help ensure our customers get the most out</w:t>
      </w:r>
      <w:r>
        <w:rPr>
          <w:rFonts w:ascii="Calibri" w:cs="Calibri" w:eastAsia="Calibri" w:hAnsi="Calibri"/>
          <w:sz w:val="18"/>
          <w:szCs w:val="18"/>
          <w:b w:val="1"/>
          <w:bCs w:val="1"/>
          <w:i w:val="1"/>
          <w:iCs w:val="1"/>
          <w:color w:val="auto"/>
        </w:rPr>
        <w:t xml:space="preserve"> </w:t>
      </w:r>
      <w:r>
        <w:rPr>
          <w:rFonts w:ascii="Calibri" w:cs="Calibri" w:eastAsia="Calibri" w:hAnsi="Calibri"/>
          <w:sz w:val="18"/>
          <w:szCs w:val="18"/>
          <w:color w:val="auto"/>
        </w:rPr>
        <w:t>of their mainframe investments. These oferings unlock additonal value for organizatons in areas like educatng and upskilling the workforce, providing expert guidance and support for change events, uncovering opportunites to improve efciency and save costs.</w:t>
      </w:r>
    </w:p>
    <w:p>
      <w:pPr>
        <w:spacing w:after="0" w:line="108" w:lineRule="exact"/>
        <w:rPr>
          <w:sz w:val="20"/>
          <w:szCs w:val="20"/>
          <w:color w:val="auto"/>
        </w:rPr>
      </w:pPr>
    </w:p>
    <w:p>
      <w:pPr>
        <w:ind w:right="40" w:firstLine="396"/>
        <w:spacing w:after="0" w:line="230" w:lineRule="auto"/>
        <w:rPr>
          <w:sz w:val="20"/>
          <w:szCs w:val="20"/>
          <w:color w:val="auto"/>
        </w:rPr>
      </w:pPr>
      <w:r>
        <w:rPr>
          <w:rFonts w:ascii="Calibri" w:cs="Calibri" w:eastAsia="Calibri" w:hAnsi="Calibri"/>
          <w:sz w:val="18"/>
          <w:szCs w:val="18"/>
          <w:b w:val="1"/>
          <w:bCs w:val="1"/>
          <w:i w:val="1"/>
          <w:iCs w:val="1"/>
          <w:color w:val="auto"/>
        </w:rPr>
        <w:t>ValueOps</w:t>
      </w:r>
      <w:r>
        <w:rPr>
          <w:rFonts w:ascii="Calibri" w:cs="Calibri" w:eastAsia="Calibri" w:hAnsi="Calibri"/>
          <w:sz w:val="18"/>
          <w:szCs w:val="18"/>
          <w:i w:val="1"/>
          <w:iCs w:val="1"/>
          <w:color w:val="auto"/>
        </w:rPr>
        <w:t>:</w:t>
      </w:r>
      <w:r>
        <w:rPr>
          <w:rFonts w:ascii="Calibri" w:cs="Calibri" w:eastAsia="Calibri" w:hAnsi="Calibri"/>
          <w:sz w:val="18"/>
          <w:szCs w:val="18"/>
          <w:b w:val="1"/>
          <w:bCs w:val="1"/>
          <w:i w:val="1"/>
          <w:iCs w:val="1"/>
          <w:color w:val="auto"/>
        </w:rPr>
        <w:t xml:space="preserve"> </w:t>
      </w:r>
      <w:r>
        <w:rPr>
          <w:rFonts w:ascii="Calibri" w:cs="Calibri" w:eastAsia="Calibri" w:hAnsi="Calibri"/>
          <w:sz w:val="18"/>
          <w:szCs w:val="18"/>
          <w:color w:val="auto"/>
        </w:rPr>
        <w:t>This soluton delivers value stream management capabilites that enable customers to schedule, track, and manage work throughout its lifecycle</w:t>
      </w:r>
      <w:r>
        <w:rPr>
          <w:rFonts w:ascii="Calibri" w:cs="Calibri" w:eastAsia="Calibri" w:hAnsi="Calibri"/>
          <w:sz w:val="18"/>
          <w:szCs w:val="18"/>
          <w:b w:val="1"/>
          <w:bCs w:val="1"/>
          <w:i w:val="1"/>
          <w:iCs w:val="1"/>
          <w:color w:val="auto"/>
        </w:rPr>
        <w:t xml:space="preserve"> </w:t>
      </w:r>
      <w:r>
        <w:rPr>
          <w:rFonts w:ascii="Calibri" w:cs="Calibri" w:eastAsia="Calibri" w:hAnsi="Calibri"/>
          <w:sz w:val="18"/>
          <w:szCs w:val="18"/>
          <w:color w:val="auto"/>
        </w:rPr>
        <w:t>from investment planning to executon. It aligns business and development teams across the enterprise, increasing transparency, reducing inefciencies, and improving tme to value.</w:t>
      </w:r>
    </w:p>
    <w:p>
      <w:pPr>
        <w:spacing w:after="0" w:line="108" w:lineRule="exact"/>
        <w:rPr>
          <w:sz w:val="20"/>
          <w:szCs w:val="20"/>
          <w:color w:val="auto"/>
        </w:rPr>
      </w:pPr>
    </w:p>
    <w:p>
      <w:pPr>
        <w:ind w:right="420" w:firstLine="396"/>
        <w:spacing w:after="0" w:line="230" w:lineRule="auto"/>
        <w:rPr>
          <w:sz w:val="20"/>
          <w:szCs w:val="20"/>
          <w:color w:val="auto"/>
        </w:rPr>
      </w:pPr>
      <w:r>
        <w:rPr>
          <w:rFonts w:ascii="Calibri" w:cs="Calibri" w:eastAsia="Calibri" w:hAnsi="Calibri"/>
          <w:sz w:val="18"/>
          <w:szCs w:val="18"/>
          <w:b w:val="1"/>
          <w:bCs w:val="1"/>
          <w:i w:val="1"/>
          <w:iCs w:val="1"/>
          <w:color w:val="auto"/>
        </w:rPr>
        <w:t xml:space="preserve">DevOps: </w:t>
      </w:r>
      <w:r>
        <w:rPr>
          <w:rFonts w:ascii="Calibri" w:cs="Calibri" w:eastAsia="Calibri" w:hAnsi="Calibri"/>
          <w:sz w:val="18"/>
          <w:szCs w:val="18"/>
          <w:color w:val="auto"/>
        </w:rPr>
        <w:t>This soluton ofers capabilites that empower users of our agile processes and tools to track development progress and deploy releases</w:t>
      </w:r>
      <w:r>
        <w:rPr>
          <w:rFonts w:ascii="Calibri" w:cs="Calibri" w:eastAsia="Calibri" w:hAnsi="Calibri"/>
          <w:sz w:val="18"/>
          <w:szCs w:val="18"/>
          <w:b w:val="1"/>
          <w:bCs w:val="1"/>
          <w:i w:val="1"/>
          <w:iCs w:val="1"/>
          <w:color w:val="auto"/>
        </w:rPr>
        <w:t xml:space="preserve"> </w:t>
      </w:r>
      <w:r>
        <w:rPr>
          <w:rFonts w:ascii="Calibri" w:cs="Calibri" w:eastAsia="Calibri" w:hAnsi="Calibri"/>
          <w:sz w:val="18"/>
          <w:szCs w:val="18"/>
          <w:color w:val="auto"/>
        </w:rPr>
        <w:t>confdently with assurance of feature completeness, high-quality and reduced risk. Key stakeholders have a single view of key insights into release progress, health, quality, defect trends, and metrics that drive focus, gauge readiness, and help to ensure successful, quality releases.</w:t>
      </w:r>
    </w:p>
    <w:p>
      <w:pPr>
        <w:spacing w:after="0" w:line="108" w:lineRule="exact"/>
        <w:rPr>
          <w:sz w:val="20"/>
          <w:szCs w:val="20"/>
          <w:color w:val="auto"/>
        </w:rPr>
      </w:pPr>
    </w:p>
    <w:p>
      <w:pPr>
        <w:ind w:right="700" w:firstLine="396"/>
        <w:spacing w:after="0" w:line="230" w:lineRule="auto"/>
        <w:rPr>
          <w:sz w:val="20"/>
          <w:szCs w:val="20"/>
          <w:color w:val="auto"/>
        </w:rPr>
      </w:pPr>
      <w:r>
        <w:rPr>
          <w:rFonts w:ascii="Calibri" w:cs="Calibri" w:eastAsia="Calibri" w:hAnsi="Calibri"/>
          <w:sz w:val="18"/>
          <w:szCs w:val="18"/>
          <w:b w:val="1"/>
          <w:bCs w:val="1"/>
          <w:i w:val="1"/>
          <w:iCs w:val="1"/>
          <w:color w:val="auto"/>
        </w:rPr>
        <w:t xml:space="preserve">AIOps: </w:t>
      </w:r>
      <w:r>
        <w:rPr>
          <w:rFonts w:ascii="Calibri" w:cs="Calibri" w:eastAsia="Calibri" w:hAnsi="Calibri"/>
          <w:sz w:val="18"/>
          <w:szCs w:val="18"/>
          <w:color w:val="auto"/>
        </w:rPr>
        <w:t>This soluton combines applicaton, infrastructure and network monitoring and correlaton with intelligent remediaton capabilites to help</w:t>
      </w:r>
      <w:r>
        <w:rPr>
          <w:rFonts w:ascii="Calibri" w:cs="Calibri" w:eastAsia="Calibri" w:hAnsi="Calibri"/>
          <w:sz w:val="18"/>
          <w:szCs w:val="18"/>
          <w:b w:val="1"/>
          <w:bCs w:val="1"/>
          <w:i w:val="1"/>
          <w:iCs w:val="1"/>
          <w:color w:val="auto"/>
        </w:rPr>
        <w:t xml:space="preserve"> </w:t>
      </w:r>
      <w:r>
        <w:rPr>
          <w:rFonts w:ascii="Calibri" w:cs="Calibri" w:eastAsia="Calibri" w:hAnsi="Calibri"/>
          <w:sz w:val="18"/>
          <w:szCs w:val="18"/>
          <w:color w:val="auto"/>
        </w:rPr>
        <w:t>customers create more resilient producton environments and improve customer experience.</w:t>
      </w:r>
    </w:p>
    <w:p>
      <w:pPr>
        <w:spacing w:after="0" w:line="107" w:lineRule="exact"/>
        <w:rPr>
          <w:sz w:val="20"/>
          <w:szCs w:val="20"/>
          <w:color w:val="auto"/>
        </w:rPr>
      </w:pPr>
    </w:p>
    <w:p>
      <w:pPr>
        <w:ind w:right="140" w:firstLine="396"/>
        <w:spacing w:after="0" w:line="230" w:lineRule="auto"/>
        <w:rPr>
          <w:sz w:val="20"/>
          <w:szCs w:val="20"/>
          <w:color w:val="auto"/>
        </w:rPr>
      </w:pPr>
      <w:r>
        <w:rPr>
          <w:rFonts w:ascii="Calibri" w:cs="Calibri" w:eastAsia="Calibri" w:hAnsi="Calibri"/>
          <w:sz w:val="18"/>
          <w:szCs w:val="18"/>
          <w:b w:val="1"/>
          <w:bCs w:val="1"/>
          <w:i w:val="1"/>
          <w:iCs w:val="1"/>
          <w:color w:val="auto"/>
        </w:rPr>
        <w:t xml:space="preserve">Endpoint Security: </w:t>
      </w:r>
      <w:r>
        <w:rPr>
          <w:rFonts w:ascii="Calibri" w:cs="Calibri" w:eastAsia="Calibri" w:hAnsi="Calibri"/>
          <w:sz w:val="18"/>
          <w:szCs w:val="18"/>
          <w:color w:val="auto"/>
        </w:rPr>
        <w:t>Endpoints are the critcal last line of defense against cyber atackers. Our Symantec endpoint security solutons prevent, detect and</w:t>
      </w:r>
      <w:r>
        <w:rPr>
          <w:rFonts w:ascii="Calibri" w:cs="Calibri" w:eastAsia="Calibri" w:hAnsi="Calibri"/>
          <w:sz w:val="18"/>
          <w:szCs w:val="18"/>
          <w:b w:val="1"/>
          <w:bCs w:val="1"/>
          <w:i w:val="1"/>
          <w:iCs w:val="1"/>
          <w:color w:val="auto"/>
        </w:rPr>
        <w:t xml:space="preserve"> </w:t>
      </w:r>
      <w:r>
        <w:rPr>
          <w:rFonts w:ascii="Calibri" w:cs="Calibri" w:eastAsia="Calibri" w:hAnsi="Calibri"/>
          <w:sz w:val="18"/>
          <w:szCs w:val="18"/>
          <w:color w:val="auto"/>
        </w:rPr>
        <w:t>respond to emerging threats across all devices and operatng systems including laptops, desktops, tablets, mobile phones, servers and cloud workloads through an intelligent AI driven security console and single agent.</w:t>
      </w:r>
    </w:p>
    <w:p>
      <w:pPr>
        <w:spacing w:after="0" w:line="108" w:lineRule="exact"/>
        <w:rPr>
          <w:sz w:val="20"/>
          <w:szCs w:val="20"/>
          <w:color w:val="auto"/>
        </w:rPr>
      </w:pPr>
    </w:p>
    <w:p>
      <w:pPr>
        <w:ind w:right="440" w:firstLine="396"/>
        <w:spacing w:after="0" w:line="230" w:lineRule="auto"/>
        <w:rPr>
          <w:sz w:val="20"/>
          <w:szCs w:val="20"/>
          <w:color w:val="auto"/>
        </w:rPr>
      </w:pPr>
      <w:r>
        <w:rPr>
          <w:rFonts w:ascii="Calibri" w:cs="Calibri" w:eastAsia="Calibri" w:hAnsi="Calibri"/>
          <w:sz w:val="18"/>
          <w:szCs w:val="18"/>
          <w:b w:val="1"/>
          <w:bCs w:val="1"/>
          <w:i w:val="1"/>
          <w:iCs w:val="1"/>
          <w:color w:val="auto"/>
        </w:rPr>
        <w:t xml:space="preserve">Network Security: </w:t>
      </w:r>
      <w:r>
        <w:rPr>
          <w:rFonts w:ascii="Calibri" w:cs="Calibri" w:eastAsia="Calibri" w:hAnsi="Calibri"/>
          <w:sz w:val="18"/>
          <w:szCs w:val="18"/>
          <w:color w:val="auto"/>
        </w:rPr>
        <w:t>Email and web access are the lifeblood and essental communicaton means for every modern organizaton. We have a full array of</w:t>
      </w:r>
      <w:r>
        <w:rPr>
          <w:rFonts w:ascii="Calibri" w:cs="Calibri" w:eastAsia="Calibri" w:hAnsi="Calibri"/>
          <w:sz w:val="18"/>
          <w:szCs w:val="18"/>
          <w:b w:val="1"/>
          <w:bCs w:val="1"/>
          <w:i w:val="1"/>
          <w:iCs w:val="1"/>
          <w:color w:val="auto"/>
        </w:rPr>
        <w:t xml:space="preserve"> </w:t>
      </w:r>
      <w:r>
        <w:rPr>
          <w:rFonts w:ascii="Calibri" w:cs="Calibri" w:eastAsia="Calibri" w:hAnsi="Calibri"/>
          <w:sz w:val="18"/>
          <w:szCs w:val="18"/>
          <w:color w:val="auto"/>
        </w:rPr>
        <w:t>network security solutons, as well as a shared set of advanced threat protecton technologies to stop inbound and outbound threats targetng end users, informaton and key infrastructure.</w:t>
      </w:r>
    </w:p>
    <w:p>
      <w:pPr>
        <w:spacing w:after="0" w:line="108" w:lineRule="exact"/>
        <w:rPr>
          <w:sz w:val="20"/>
          <w:szCs w:val="20"/>
          <w:color w:val="auto"/>
        </w:rPr>
      </w:pPr>
    </w:p>
    <w:p>
      <w:pPr>
        <w:ind w:right="220" w:firstLine="396"/>
        <w:spacing w:after="0" w:line="230" w:lineRule="auto"/>
        <w:rPr>
          <w:sz w:val="20"/>
          <w:szCs w:val="20"/>
          <w:color w:val="auto"/>
        </w:rPr>
      </w:pPr>
      <w:r>
        <w:rPr>
          <w:rFonts w:ascii="Calibri" w:cs="Calibri" w:eastAsia="Calibri" w:hAnsi="Calibri"/>
          <w:sz w:val="18"/>
          <w:szCs w:val="18"/>
          <w:b w:val="1"/>
          <w:bCs w:val="1"/>
          <w:i w:val="1"/>
          <w:iCs w:val="1"/>
          <w:color w:val="auto"/>
        </w:rPr>
        <w:t xml:space="preserve">Informaton Security: </w:t>
      </w:r>
      <w:r>
        <w:rPr>
          <w:rFonts w:ascii="Calibri" w:cs="Calibri" w:eastAsia="Calibri" w:hAnsi="Calibri"/>
          <w:sz w:val="18"/>
          <w:szCs w:val="18"/>
          <w:color w:val="auto"/>
        </w:rPr>
        <w:t>Informaton protecton and compliance is critcal to managing risk. We ofer integrated informaton security solutons, based on an</w:t>
      </w:r>
      <w:r>
        <w:rPr>
          <w:rFonts w:ascii="Calibri" w:cs="Calibri" w:eastAsia="Calibri" w:hAnsi="Calibri"/>
          <w:sz w:val="18"/>
          <w:szCs w:val="18"/>
          <w:b w:val="1"/>
          <w:bCs w:val="1"/>
          <w:i w:val="1"/>
          <w:iCs w:val="1"/>
          <w:color w:val="auto"/>
        </w:rPr>
        <w:t xml:space="preserve"> </w:t>
      </w:r>
      <w:r>
        <w:rPr>
          <w:rFonts w:ascii="Calibri" w:cs="Calibri" w:eastAsia="Calibri" w:hAnsi="Calibri"/>
          <w:sz w:val="18"/>
          <w:szCs w:val="18"/>
          <w:color w:val="auto"/>
        </w:rPr>
        <w:t>efcient, single-policy that can be applied across the entre environment, to help organizatons identfy and protect risky users, applicatons and their most sensitve data everywhere across endpoints, on-premises networks, cloud services and private applicatons.</w:t>
      </w:r>
    </w:p>
    <w:p>
      <w:pPr>
        <w:spacing w:after="0" w:line="108" w:lineRule="exact"/>
        <w:rPr>
          <w:sz w:val="20"/>
          <w:szCs w:val="20"/>
          <w:color w:val="auto"/>
        </w:rPr>
      </w:pPr>
    </w:p>
    <w:p>
      <w:pPr>
        <w:jc w:val="both"/>
        <w:ind w:firstLine="396"/>
        <w:spacing w:after="0" w:line="230" w:lineRule="auto"/>
        <w:rPr>
          <w:sz w:val="20"/>
          <w:szCs w:val="20"/>
          <w:color w:val="auto"/>
        </w:rPr>
      </w:pPr>
      <w:r>
        <w:rPr>
          <w:rFonts w:ascii="Calibri" w:cs="Calibri" w:eastAsia="Calibri" w:hAnsi="Calibri"/>
          <w:sz w:val="18"/>
          <w:szCs w:val="18"/>
          <w:b w:val="1"/>
          <w:bCs w:val="1"/>
          <w:i w:val="1"/>
          <w:iCs w:val="1"/>
          <w:color w:val="auto"/>
        </w:rPr>
        <w:t xml:space="preserve">Identty Security: </w:t>
      </w:r>
      <w:r>
        <w:rPr>
          <w:rFonts w:ascii="Calibri" w:cs="Calibri" w:eastAsia="Calibri" w:hAnsi="Calibri"/>
          <w:sz w:val="18"/>
          <w:szCs w:val="18"/>
          <w:color w:val="auto"/>
        </w:rPr>
        <w:t>User identtes are under atack by cyber criminals hoping to exploit their access and privileges and do harm. We mitgate these atacks by</w:t>
      </w:r>
      <w:r>
        <w:rPr>
          <w:rFonts w:ascii="Calibri" w:cs="Calibri" w:eastAsia="Calibri" w:hAnsi="Calibri"/>
          <w:sz w:val="18"/>
          <w:szCs w:val="18"/>
          <w:b w:val="1"/>
          <w:bCs w:val="1"/>
          <w:i w:val="1"/>
          <w:iCs w:val="1"/>
          <w:color w:val="auto"/>
        </w:rPr>
        <w:t xml:space="preserve"> </w:t>
      </w:r>
      <w:r>
        <w:rPr>
          <w:rFonts w:ascii="Calibri" w:cs="Calibri" w:eastAsia="Calibri" w:hAnsi="Calibri"/>
          <w:sz w:val="18"/>
          <w:szCs w:val="18"/>
          <w:color w:val="auto"/>
        </w:rPr>
        <w:t>positvely identfying legitmate users, enforcing granular access control policies, and streamlining access governance to prevent unauthorized access to sensitve resources and data.</w:t>
      </w:r>
    </w:p>
    <w:p>
      <w:pPr>
        <w:spacing w:after="0" w:line="108" w:lineRule="exact"/>
        <w:rPr>
          <w:sz w:val="20"/>
          <w:szCs w:val="20"/>
          <w:color w:val="auto"/>
        </w:rPr>
      </w:pPr>
    </w:p>
    <w:p>
      <w:pPr>
        <w:ind w:right="40" w:firstLine="396"/>
        <w:spacing w:after="0" w:line="230" w:lineRule="auto"/>
        <w:rPr>
          <w:sz w:val="20"/>
          <w:szCs w:val="20"/>
          <w:color w:val="auto"/>
        </w:rPr>
      </w:pPr>
      <w:r>
        <w:rPr>
          <w:rFonts w:ascii="Calibri" w:cs="Calibri" w:eastAsia="Calibri" w:hAnsi="Calibri"/>
          <w:sz w:val="18"/>
          <w:szCs w:val="18"/>
          <w:b w:val="1"/>
          <w:bCs w:val="1"/>
          <w:i w:val="1"/>
          <w:iCs w:val="1"/>
          <w:color w:val="auto"/>
        </w:rPr>
        <w:t xml:space="preserve">Fibre Channel Switch Products: </w:t>
      </w:r>
      <w:r>
        <w:rPr>
          <w:rFonts w:ascii="Calibri" w:cs="Calibri" w:eastAsia="Calibri" w:hAnsi="Calibri"/>
          <w:sz w:val="18"/>
          <w:szCs w:val="18"/>
          <w:color w:val="auto"/>
        </w:rPr>
        <w:t>Our Brocade Fibre Channel switch products provide interconnecton, bandwidth and high-speed switching between servers</w:t>
      </w:r>
      <w:r>
        <w:rPr>
          <w:rFonts w:ascii="Calibri" w:cs="Calibri" w:eastAsia="Calibri" w:hAnsi="Calibri"/>
          <w:sz w:val="18"/>
          <w:szCs w:val="18"/>
          <w:b w:val="1"/>
          <w:bCs w:val="1"/>
          <w:i w:val="1"/>
          <w:iCs w:val="1"/>
          <w:color w:val="auto"/>
        </w:rPr>
        <w:t xml:space="preserve"> </w:t>
      </w:r>
      <w:r>
        <w:rPr>
          <w:rFonts w:ascii="Calibri" w:cs="Calibri" w:eastAsia="Calibri" w:hAnsi="Calibri"/>
          <w:sz w:val="18"/>
          <w:szCs w:val="18"/>
          <w:color w:val="auto"/>
        </w:rPr>
        <w:t>and storage devices which are in a FC SAN. FC SANs are networks dedicated to mission critcal storage trafc, and enable simultaneous high speed and secure connectons among multple host computers and multple storage arrays.</w:t>
      </w:r>
    </w:p>
    <w:p>
      <w:pPr>
        <w:spacing w:after="0" w:line="108" w:lineRule="exact"/>
        <w:rPr>
          <w:sz w:val="20"/>
          <w:szCs w:val="20"/>
          <w:color w:val="auto"/>
        </w:rPr>
      </w:pPr>
    </w:p>
    <w:p>
      <w:pPr>
        <w:ind w:right="200" w:firstLine="396"/>
        <w:spacing w:after="0" w:line="230" w:lineRule="auto"/>
        <w:rPr>
          <w:sz w:val="20"/>
          <w:szCs w:val="20"/>
          <w:color w:val="auto"/>
        </w:rPr>
      </w:pPr>
      <w:r>
        <w:rPr>
          <w:rFonts w:ascii="Calibri" w:cs="Calibri" w:eastAsia="Calibri" w:hAnsi="Calibri"/>
          <w:sz w:val="18"/>
          <w:szCs w:val="18"/>
          <w:b w:val="1"/>
          <w:bCs w:val="1"/>
          <w:i w:val="1"/>
          <w:iCs w:val="1"/>
          <w:color w:val="auto"/>
        </w:rPr>
        <w:t xml:space="preserve">Payment Security Suite: </w:t>
      </w:r>
      <w:r>
        <w:rPr>
          <w:rFonts w:ascii="Calibri" w:cs="Calibri" w:eastAsia="Calibri" w:hAnsi="Calibri"/>
          <w:sz w:val="18"/>
          <w:szCs w:val="18"/>
          <w:color w:val="auto"/>
        </w:rPr>
        <w:t>This is a sofware as a service (“SaaS”)-based payment authentcaton service to help banks and merchants protect against fraud</w:t>
      </w:r>
      <w:r>
        <w:rPr>
          <w:rFonts w:ascii="Calibri" w:cs="Calibri" w:eastAsia="Calibri" w:hAnsi="Calibri"/>
          <w:sz w:val="18"/>
          <w:szCs w:val="18"/>
          <w:b w:val="1"/>
          <w:bCs w:val="1"/>
          <w:i w:val="1"/>
          <w:iCs w:val="1"/>
          <w:color w:val="auto"/>
        </w:rPr>
        <w:t xml:space="preserve"> </w:t>
      </w:r>
      <w:r>
        <w:rPr>
          <w:rFonts w:ascii="Calibri" w:cs="Calibri" w:eastAsia="Calibri" w:hAnsi="Calibri"/>
          <w:sz w:val="18"/>
          <w:szCs w:val="18"/>
          <w:color w:val="auto"/>
        </w:rPr>
        <w:t>and ensure a hassle-free online shopping experience for their customers.</w:t>
      </w:r>
    </w:p>
    <w:p>
      <w:pPr>
        <w:spacing w:after="0" w:line="97"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Research and Development</w:t>
      </w:r>
    </w:p>
    <w:p>
      <w:pPr>
        <w:spacing w:after="0" w:line="107" w:lineRule="exact"/>
        <w:rPr>
          <w:sz w:val="20"/>
          <w:szCs w:val="20"/>
          <w:color w:val="auto"/>
        </w:rPr>
      </w:pPr>
    </w:p>
    <w:p>
      <w:pPr>
        <w:ind w:right="40" w:firstLine="396"/>
        <w:spacing w:after="0" w:line="230" w:lineRule="auto"/>
        <w:rPr>
          <w:sz w:val="20"/>
          <w:szCs w:val="20"/>
          <w:color w:val="auto"/>
        </w:rPr>
      </w:pPr>
      <w:r>
        <w:rPr>
          <w:rFonts w:ascii="Calibri" w:cs="Calibri" w:eastAsia="Calibri" w:hAnsi="Calibri"/>
          <w:sz w:val="18"/>
          <w:szCs w:val="18"/>
          <w:color w:val="auto"/>
        </w:rPr>
        <w:t>We are commited to contnuous investment in product development and enhancement, with a focus on rapidly introducing new, proprietary products and releases. Many of our products have grown out of our own research and development eforts, and have given us compettve advantages in certain target markets due to performance diferentaton. However, we opportunistcally seek to enhance our capabilites through the acquisiton of engineers with complementary research and development skills and complementary technologies and businesses. We focus our research and development eforts on the development of mission critcal, innovatve, sustainable and higher value product platorms and those that improve the quality and stability in our broadly deployed products. We leverage our design capabilites in markets where we believe our innovaton and reputaton will allow us to earn atractve margins by developing high value-add products.</w:t>
      </w: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09" w:right="359" w:bottom="1440" w:gutter="0" w:footer="0" w:header="0"/>
        </w:sectPr>
      </w:pPr>
    </w:p>
    <w:bookmarkStart w:id="9" w:name="page10"/>
    <w:bookmarkEnd w:id="9"/>
    <w:p>
      <w:pPr>
        <w:spacing w:after="0"/>
        <w:rPr>
          <w:sz w:val="20"/>
          <w:szCs w:val="20"/>
          <w:color w:val="auto"/>
        </w:rPr>
      </w:pPr>
      <w:r>
        <w:rPr>
          <w:rFonts w:ascii="Calibri" w:cs="Calibri" w:eastAsia="Calibri" w:hAnsi="Calibri"/>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right="40" w:firstLine="396"/>
        <w:spacing w:after="0" w:line="230" w:lineRule="auto"/>
        <w:rPr>
          <w:sz w:val="20"/>
          <w:szCs w:val="20"/>
          <w:color w:val="auto"/>
        </w:rPr>
      </w:pPr>
      <w:r>
        <w:rPr>
          <w:rFonts w:ascii="Calibri" w:cs="Calibri" w:eastAsia="Calibri" w:hAnsi="Calibri"/>
          <w:sz w:val="18"/>
          <w:szCs w:val="18"/>
          <w:color w:val="auto"/>
        </w:rPr>
        <w:t>We plan to contnue investng in product development, both organically and through acquisitons, to drive growth in our business. We also invest in process development and improvements to product features and functons, as well as fabricaton capabilites to optmize processes for devices that are manufactured internally. Our feld applicaton engineers, design engineers, and product and sofware development engineers are located in many places around the world, and in many cases near our top customers. This enhances our customer reach and our visibility into new product opportunites and, in the case of our semiconductor customers, enables us to support our customers in each stage of their product development cycle, from the early stages of producton design to volume manufacturing and future growth. By collaboratng with our customers, we have opportunites to develop high value-added, customized products for them that leverage our existng technologies. We antcipate that we will contnue to make signifcant research and development expenditures in order to maintain our compettve positon, and to ensure a contnuous fow of innovatve and sustainable product platorms.</w:t>
      </w:r>
    </w:p>
    <w:p>
      <w:pPr>
        <w:spacing w:after="0" w:line="101"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Customers, Sales and Distributon</w:t>
      </w:r>
    </w:p>
    <w:p>
      <w:pPr>
        <w:spacing w:after="0" w:line="107" w:lineRule="exact"/>
        <w:rPr>
          <w:sz w:val="20"/>
          <w:szCs w:val="20"/>
          <w:color w:val="auto"/>
        </w:rPr>
      </w:pPr>
    </w:p>
    <w:p>
      <w:pPr>
        <w:ind w:firstLine="396"/>
        <w:spacing w:after="0" w:line="230" w:lineRule="auto"/>
        <w:rPr>
          <w:sz w:val="20"/>
          <w:szCs w:val="20"/>
          <w:color w:val="auto"/>
        </w:rPr>
      </w:pPr>
      <w:r>
        <w:rPr>
          <w:rFonts w:ascii="Calibri" w:cs="Calibri" w:eastAsia="Calibri" w:hAnsi="Calibri"/>
          <w:sz w:val="18"/>
          <w:szCs w:val="18"/>
          <w:color w:val="auto"/>
        </w:rPr>
        <w:t>We sell our products through our direct sales force and a select network of distributors and channel partners globally. Distributors and OEMs, or their contract manufacturers, typically account for the substantal majority of our semiconductor sales. A relatvely small number of customers account for a signifcant porton of our net revenue. Sales to distributors accounted for 57% and 56% of our net revenue for fscal years 2023 and 2022, respectvely. We believe aggregate sales to our top fve end customers, through all channels, accounted for approximately 35% of our net revenue for each of our fscal years 2023 and 2022. We believe aggregate sales to Apple Inc., through all channels, accounted for approximately 20% of our net revenue for each of fscal years 2023 and 2022. We expect to contnue to experience signifcant customer concentraton in future periods. The loss of, or signifcant decrease in demand from, any of our top fve end customers could have a material adverse efect on our business, results of operatons and fnancial conditon.</w:t>
      </w:r>
    </w:p>
    <w:p>
      <w:pPr>
        <w:spacing w:after="0" w:line="110" w:lineRule="exact"/>
        <w:rPr>
          <w:sz w:val="20"/>
          <w:szCs w:val="20"/>
          <w:color w:val="auto"/>
        </w:rPr>
      </w:pPr>
    </w:p>
    <w:p>
      <w:pPr>
        <w:ind w:firstLine="396"/>
        <w:spacing w:after="0" w:line="230" w:lineRule="auto"/>
        <w:rPr>
          <w:sz w:val="20"/>
          <w:szCs w:val="20"/>
          <w:color w:val="auto"/>
        </w:rPr>
      </w:pPr>
      <w:r>
        <w:rPr>
          <w:rFonts w:ascii="Calibri" w:cs="Calibri" w:eastAsia="Calibri" w:hAnsi="Calibri"/>
          <w:sz w:val="18"/>
          <w:szCs w:val="18"/>
          <w:color w:val="auto"/>
        </w:rPr>
        <w:t>Many of our semiconductor customers design products in North America or Europe that are then manufactured in Asia. To serve customers around the world, we have strategically developed relatonships with large global electronic component distributors, complemented by a number of regional distributors with customer relatonships based on their respectve product ranges. We also sell our products to a wide variety of OEMs or their contract manufacturers. We have established strong relatonships with leading OEM customers across multple target markets. Our direct sales force focuses on supportng our large OEM customers, and has specialized product and service knowledge that enables us to sell specifc oferings at key levels throughout a customer’s organizaton. Certain customers require us to contract with them directly and with specifed intermediaries, such as contract manufacturers. Many of our major customer relatonships have been in place for many years and are ofen the result of years of collaboratve product development. This has enabled us to build our extensive IP portolio and develop critcal expertse regarding our customers’ requirements, including substantal system-level knowledge. This collaboraton has provided us with key insights into our customers' businesses and has enabled us to be more efcient and productve and to beter serve our target markets and customers. Many of our customers and their contract manufacturers ofen require tme critcal delivery of our products to multple locatons around the world. With sales ofces located in various countries, our primary warehouse in Malaysia, and dedicated regional customer support call centers, where we address customer issues and handle logistcs and other order fulfllment requirements, we believe we are well-positoned to support our customers throughout the design, technology transfer and manufacturing stages across all geographies.</w:t>
      </w:r>
    </w:p>
    <w:p>
      <w:pPr>
        <w:spacing w:after="0" w:line="115" w:lineRule="exact"/>
        <w:rPr>
          <w:sz w:val="20"/>
          <w:szCs w:val="20"/>
          <w:color w:val="auto"/>
        </w:rPr>
      </w:pPr>
    </w:p>
    <w:p>
      <w:pPr>
        <w:ind w:right="40" w:firstLine="396"/>
        <w:spacing w:after="0" w:line="244" w:lineRule="auto"/>
        <w:rPr>
          <w:sz w:val="20"/>
          <w:szCs w:val="20"/>
          <w:color w:val="auto"/>
        </w:rPr>
      </w:pPr>
      <w:r>
        <w:rPr>
          <w:rFonts w:ascii="Calibri" w:cs="Calibri" w:eastAsia="Calibri" w:hAnsi="Calibri"/>
          <w:sz w:val="17"/>
          <w:szCs w:val="17"/>
          <w:color w:val="auto"/>
        </w:rPr>
        <w:t>Our sofware customers are in most major industries worldwide, including banks, insurance companies, other fnancial services providers, government agencies, global IT service providers, telecommunicaton providers, transportaton companies, manufacturers, technology companies, retailers, educatonal organizatons and health care insttutons. Our customers generally consist of large enterprises that have computng environments from multple vendors and are highly complex. We remain focused on strengthening relatonships and increasing penetraton within our existng core, mainframe-centric, and Symantec endpoint customers and expanding the adopton of our enterprise sofware oferings with these customers. We believe our enterprise-wide license model will contnue to ofer our customers reduced complexity, more fexibility and an easier renewal process that will help drive revenue growth.</w:t>
      </w:r>
    </w:p>
    <w:p>
      <w:pPr>
        <w:spacing w:after="0" w:line="98"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Manufacturing Operatons</w:t>
      </w:r>
    </w:p>
    <w:p>
      <w:pPr>
        <w:spacing w:after="0" w:line="107" w:lineRule="exact"/>
        <w:rPr>
          <w:sz w:val="20"/>
          <w:szCs w:val="20"/>
          <w:color w:val="auto"/>
        </w:rPr>
      </w:pPr>
    </w:p>
    <w:p>
      <w:pPr>
        <w:ind w:right="20" w:firstLine="396"/>
        <w:spacing w:after="0" w:line="230" w:lineRule="auto"/>
        <w:rPr>
          <w:sz w:val="20"/>
          <w:szCs w:val="20"/>
          <w:color w:val="auto"/>
        </w:rPr>
      </w:pPr>
      <w:r>
        <w:rPr>
          <w:rFonts w:ascii="Calibri" w:cs="Calibri" w:eastAsia="Calibri" w:hAnsi="Calibri"/>
          <w:sz w:val="18"/>
          <w:szCs w:val="18"/>
          <w:color w:val="auto"/>
        </w:rPr>
        <w:t>We focus on maintaining an efcient global supply chain and a variable, low-cost operatng model. Accordingly, we outsource a majority of our manufacturing operatons, utlizing third-party foundry and assembly and test capabilites, as well as some of our corporate infrastructure functons. The majority of our front-end wafer manufacturing operatons is outsourced to external foundries, including Taiwan Semiconductor Manufacturing Company Limited (“TSMC”). We use third-party contract manufacturers for a signifcant majority of our assembly and test operatons, including TSMC, Advanced Semiconductor Engineering, Inc., Foxconn Technology Group, Amkor Technology, Inc. and Siliconware Precision Industries Co., Ltd. We use our internal fabricaton facilites for products utlizing our innovatve and proprietary processes, such as our FBAR flters for wireless communicatons and our vertcal-cavity surface emitng laser and side emitng lasers-based on GaAs and InP lasers for fber optc communicatons, while outsourcing commodity processes such as standard CMOS. By doing so, we can protect our IP and accelerate tme to market for our products. The majority of our internal III-V semiconductor wafer fabricaton is done in the U.S. and Singapore.</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9" w:right="339" w:bottom="1440" w:gutter="0" w:footer="0" w:header="0"/>
        </w:sectPr>
      </w:pPr>
    </w:p>
    <w:bookmarkStart w:id="10" w:name="page11"/>
    <w:bookmarkEnd w:id="10"/>
    <w:p>
      <w:pPr>
        <w:spacing w:after="0"/>
        <w:rPr>
          <w:sz w:val="20"/>
          <w:szCs w:val="20"/>
          <w:color w:val="auto"/>
        </w:rPr>
      </w:pPr>
      <w:r>
        <w:rPr>
          <w:rFonts w:ascii="Calibri" w:cs="Calibri" w:eastAsia="Calibri" w:hAnsi="Calibri"/>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firstLine="396"/>
        <w:spacing w:after="0" w:line="247" w:lineRule="auto"/>
        <w:rPr>
          <w:sz w:val="20"/>
          <w:szCs w:val="20"/>
          <w:color w:val="auto"/>
        </w:rPr>
      </w:pPr>
      <w:r>
        <w:rPr>
          <w:rFonts w:ascii="Calibri" w:cs="Calibri" w:eastAsia="Calibri" w:hAnsi="Calibri"/>
          <w:sz w:val="17"/>
          <w:szCs w:val="17"/>
          <w:color w:val="auto"/>
        </w:rPr>
        <w:t>We also have a long history of operatng in Asia where we manufacture and source the majority of our products and materials. We store the majority of our product inventory in our warehouse in Malaysia and our presence in Asia places us in close proximity to many of our customers’ manufacturing facilites.</w:t>
      </w:r>
    </w:p>
    <w:p>
      <w:pPr>
        <w:spacing w:after="0" w:line="91"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Manufacturing Materials and Suppliers</w:t>
      </w:r>
    </w:p>
    <w:p>
      <w:pPr>
        <w:spacing w:after="0" w:line="107" w:lineRule="exact"/>
        <w:rPr>
          <w:sz w:val="20"/>
          <w:szCs w:val="20"/>
          <w:color w:val="auto"/>
        </w:rPr>
      </w:pPr>
    </w:p>
    <w:p>
      <w:pPr>
        <w:ind w:firstLine="396"/>
        <w:spacing w:after="0" w:line="230" w:lineRule="auto"/>
        <w:rPr>
          <w:sz w:val="20"/>
          <w:szCs w:val="20"/>
          <w:color w:val="auto"/>
        </w:rPr>
      </w:pPr>
      <w:r>
        <w:rPr>
          <w:rFonts w:ascii="Calibri" w:cs="Calibri" w:eastAsia="Calibri" w:hAnsi="Calibri"/>
          <w:sz w:val="18"/>
          <w:szCs w:val="18"/>
          <w:color w:val="auto"/>
        </w:rPr>
        <w:t>Our manufacturing operatons employ a wide variety of semiconductors, electromechanical components and assemblies and raw materials. We purchase materials from hundreds of suppliers on a global basis. These purchases are generally on a purchase order basis and some parts are not readily available from alternate suppliers due to their unique design or the length of tme and cost necessary for re-design or qualifcaton. To address the potental disrupton in our supply chain, we may use a number of techniques, including redesigning products for alternatve components, making incremental or “lifetme” purchases, or qualifying more than one source of supply. Our long-term relatonships with our suppliers allow us to proactvely manage our technology development and product discontnuance plans, and to monitor our suppliers' fnancial health. Some suppliers may, nonetheless, extend their lead tmes, limit supplies, increase prices or cease to produce necessary parts for our products. If these are unique or highly specialized components, we may not be able to fnd a substtute quickly, or at all.</w:t>
      </w:r>
    </w:p>
    <w:p>
      <w:pPr>
        <w:spacing w:after="0" w:line="101"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Competton</w:t>
      </w:r>
    </w:p>
    <w:p>
      <w:pPr>
        <w:spacing w:after="0" w:line="107" w:lineRule="exact"/>
        <w:rPr>
          <w:sz w:val="20"/>
          <w:szCs w:val="20"/>
          <w:color w:val="auto"/>
        </w:rPr>
      </w:pPr>
    </w:p>
    <w:p>
      <w:pPr>
        <w:ind w:firstLine="396"/>
        <w:spacing w:after="0" w:line="244" w:lineRule="auto"/>
        <w:rPr>
          <w:sz w:val="20"/>
          <w:szCs w:val="20"/>
          <w:color w:val="auto"/>
        </w:rPr>
      </w:pPr>
      <w:r>
        <w:rPr>
          <w:rFonts w:ascii="Calibri" w:cs="Calibri" w:eastAsia="Calibri" w:hAnsi="Calibri"/>
          <w:sz w:val="17"/>
          <w:szCs w:val="17"/>
          <w:color w:val="auto"/>
        </w:rPr>
        <w:t>The markets in which we partcipate are highly compettve. Our compettors range from large, internatonal companies ofering a wide range of products to smaller companies specializing in narrow markets. The compettve landscape is changing as a result of a trend toward consolidaton within many industries, as some of our compettors have merged with or been acquired by other compettors, while others have begun collaboratng with each other. We expect this consolidaton trend to contnue. We expect competton in the markets in which we partcipate to contnue to increase as existng compettors improve or expand their product oferings and as new companies enter the market. Additonally, our ability to compete efectvely depends on a number of factors, including: quality, technical performance, price, product features, product system compatbility, system-level design capability, engineering expertse, responsiveness to customers, new product innovaton, product availability, delivery tming and reliability, and customer sales and technical support.</w:t>
      </w:r>
    </w:p>
    <w:p>
      <w:pPr>
        <w:spacing w:after="0" w:line="108" w:lineRule="exact"/>
        <w:rPr>
          <w:sz w:val="20"/>
          <w:szCs w:val="20"/>
          <w:color w:val="auto"/>
        </w:rPr>
      </w:pPr>
    </w:p>
    <w:p>
      <w:pPr>
        <w:ind w:right="100" w:firstLine="396"/>
        <w:spacing w:after="0" w:line="244" w:lineRule="auto"/>
        <w:rPr>
          <w:sz w:val="20"/>
          <w:szCs w:val="20"/>
          <w:color w:val="auto"/>
        </w:rPr>
      </w:pPr>
      <w:r>
        <w:rPr>
          <w:rFonts w:ascii="Calibri" w:cs="Calibri" w:eastAsia="Calibri" w:hAnsi="Calibri"/>
          <w:sz w:val="17"/>
          <w:szCs w:val="17"/>
          <w:color w:val="auto"/>
        </w:rPr>
        <w:t>In the semiconductor market, we compete with integrated device manufacturers, fabless semiconductor companies, as well as the internal resources of large, integrated OEMs. Our primary compettors are Advanced Micro Devices, Inc., Amlogic Inc., Analog Devices, Inc., Cisco Systems, Inc., GlobalFoundries Inc., Hamamatsu Photonics K.K., Heidenhain Corporaton, iC-Haus GmbH, Intel Corporaton, Lumentum Holdings Inc., MACOM Technology Solutons Holdings, Inc., Marvell Technology, Inc., MaxLinear, Inc., MediaTek Inc., Microchip Technology Incorporated, Mitsubishi Electric Corporaton, Murata Manufacturing Co., Ltd., NVIDIA Corporaton, NXP Semiconductors N.V., ON Semiconductor Corporaton, OSRAM Licht AG, Qorvo, Inc., Qualcomm Inc., Realtek Semiconductor Corp., Renesas Electronics Corporaton, Skyworks Solutons, Inc., STMicroelectronics N.V., Sumitomo Corporaton, Synaptcs Incorporated, Texas Instruments, Inc., TDK-EPC Corporaton, Toshiba Corporaton, Wolfspeed, Inc. (f/k/a Cree, Inc.), and II-VI Incorporated. We compete based on the strength and expertse of our high speed proprietary design expertse, FBAR technology, amplifer design, module integraton, proprietary materials processes, multple storage protocols and mixed-signal design, our broad product portolio, support of key industry standards, reputaton for quality products, and our customer relatonships.</w:t>
      </w:r>
    </w:p>
    <w:p>
      <w:pPr>
        <w:spacing w:after="0" w:line="108" w:lineRule="exact"/>
        <w:rPr>
          <w:sz w:val="20"/>
          <w:szCs w:val="20"/>
          <w:color w:val="auto"/>
        </w:rPr>
      </w:pPr>
    </w:p>
    <w:p>
      <w:pPr>
        <w:ind w:right="100" w:firstLine="396"/>
        <w:spacing w:after="0" w:line="230" w:lineRule="auto"/>
        <w:rPr>
          <w:sz w:val="20"/>
          <w:szCs w:val="20"/>
          <w:color w:val="auto"/>
        </w:rPr>
      </w:pPr>
      <w:r>
        <w:rPr>
          <w:rFonts w:ascii="Calibri" w:cs="Calibri" w:eastAsia="Calibri" w:hAnsi="Calibri"/>
          <w:sz w:val="18"/>
          <w:szCs w:val="18"/>
          <w:color w:val="auto"/>
        </w:rPr>
        <w:t>In the infrastructure sofware market, we compete with large enterprise sofware vendors who contnue to expand their product and service oferings and consolidate oferings into broad product lines, and smaller, niche players focused on specifc markets. Our primary compettors are Atlassian Corporaton, Plc, BeyondTrust Corporaton, BMC Sofware Inc., Cisco Systems, Inc., CrowdStrike Holdings, Inc., CyberArk Sofware, Ltd., Dino-Sofware Corporaton, Internatonal Business Machines Corporaton, Microsof Corporaton, New Relic, Inc., OpenText Corporaton, Oracle Corporaton, Proofpoint, Inc., Rocket Sofware, Inc., SailPoint Technologies Holdings, Inc., Salesforce.com, Inc., ServiceNow, Inc., SolarWinds Corporaton, Splunk, Inc. and Zscaler, Inc. We compete based on the breadth of our enterprise management tools portolio, breadth and synergy of oferings, our platorm and hardware independence, our global reach, and our deep customer relatonships and industry experience.</w:t>
      </w:r>
    </w:p>
    <w:p>
      <w:pPr>
        <w:spacing w:after="0" w:line="101"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Intellectual Property</w:t>
      </w:r>
    </w:p>
    <w:p>
      <w:pPr>
        <w:spacing w:after="0" w:line="107" w:lineRule="exact"/>
        <w:rPr>
          <w:sz w:val="20"/>
          <w:szCs w:val="20"/>
          <w:color w:val="auto"/>
        </w:rPr>
      </w:pPr>
    </w:p>
    <w:p>
      <w:pPr>
        <w:ind w:right="160" w:firstLine="396"/>
        <w:spacing w:after="0" w:line="230" w:lineRule="auto"/>
        <w:rPr>
          <w:sz w:val="20"/>
          <w:szCs w:val="20"/>
          <w:color w:val="auto"/>
        </w:rPr>
      </w:pPr>
      <w:r>
        <w:rPr>
          <w:rFonts w:ascii="Calibri" w:cs="Calibri" w:eastAsia="Calibri" w:hAnsi="Calibri"/>
          <w:sz w:val="18"/>
          <w:szCs w:val="18"/>
          <w:color w:val="auto"/>
        </w:rPr>
        <w:t>Our success depends in part upon our ability to protect our IP. To accomplish this, we rely on a combinaton of IP rights, including patents, copyrights, trademarks, service marks, trade secrets and similar IP, as well as customary contractual protectons with our customers, suppliers, employees and consultants, and through security measures to protect our trade secrets. We believe our current product expertse, key engineering talent and IP portolio provide us with a strong platorm from which to develop applicaton specifc products in key target markets.</w:t>
      </w:r>
    </w:p>
    <w:p>
      <w:pPr>
        <w:spacing w:after="0" w:line="108" w:lineRule="exact"/>
        <w:rPr>
          <w:sz w:val="20"/>
          <w:szCs w:val="20"/>
          <w:color w:val="auto"/>
        </w:rPr>
      </w:pPr>
    </w:p>
    <w:p>
      <w:pPr>
        <w:ind w:right="380" w:firstLine="396"/>
        <w:spacing w:after="0" w:line="230" w:lineRule="auto"/>
        <w:rPr>
          <w:sz w:val="20"/>
          <w:szCs w:val="20"/>
          <w:color w:val="auto"/>
        </w:rPr>
      </w:pPr>
      <w:r>
        <w:rPr>
          <w:rFonts w:ascii="Calibri" w:cs="Calibri" w:eastAsia="Calibri" w:hAnsi="Calibri"/>
          <w:sz w:val="18"/>
          <w:szCs w:val="18"/>
          <w:color w:val="auto"/>
        </w:rPr>
        <w:t>As of October 29, 2023, we had 15,400 U.S. and other patents and 910 U.S. and other pending patent applicatons. The expiraton dates of our patents range from 2023 to 2042, with a small number of patents expiring in the near future, none of</w:t>
      </w:r>
    </w:p>
    <w:p>
      <w:pPr>
        <w:spacing w:after="0" w:line="200" w:lineRule="exact"/>
        <w:rPr>
          <w:sz w:val="20"/>
          <w:szCs w:val="20"/>
          <w:color w:val="auto"/>
        </w:rPr>
      </w:pPr>
    </w:p>
    <w:p>
      <w:pPr>
        <w:spacing w:after="0" w:line="333"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09" w:right="359" w:bottom="1440" w:gutter="0" w:footer="0" w:header="0"/>
        </w:sectPr>
      </w:pPr>
    </w:p>
    <w:bookmarkStart w:id="11" w:name="page12"/>
    <w:bookmarkEnd w:id="11"/>
    <w:p>
      <w:pPr>
        <w:spacing w:after="0"/>
        <w:rPr>
          <w:sz w:val="20"/>
          <w:szCs w:val="20"/>
          <w:color w:val="auto"/>
        </w:rPr>
      </w:pPr>
      <w:r>
        <w:rPr>
          <w:rFonts w:ascii="Calibri" w:cs="Calibri" w:eastAsia="Calibri" w:hAnsi="Calibri"/>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Calibri" w:cs="Calibri" w:eastAsia="Calibri" w:hAnsi="Calibri"/>
          <w:sz w:val="18"/>
          <w:szCs w:val="18"/>
          <w:color w:val="auto"/>
        </w:rPr>
        <w:t>which are expected to be material to our IP portolio. We are not substantally dependent on any single patent or group of related patents.</w:t>
      </w:r>
    </w:p>
    <w:p>
      <w:pPr>
        <w:spacing w:after="0" w:line="107" w:lineRule="exact"/>
        <w:rPr>
          <w:sz w:val="20"/>
          <w:szCs w:val="20"/>
          <w:color w:val="auto"/>
        </w:rPr>
      </w:pPr>
    </w:p>
    <w:p>
      <w:pPr>
        <w:ind w:firstLine="396"/>
        <w:spacing w:after="0" w:line="230" w:lineRule="auto"/>
        <w:rPr>
          <w:sz w:val="20"/>
          <w:szCs w:val="20"/>
          <w:color w:val="auto"/>
        </w:rPr>
      </w:pPr>
      <w:r>
        <w:rPr>
          <w:rFonts w:ascii="Calibri" w:cs="Calibri" w:eastAsia="Calibri" w:hAnsi="Calibri"/>
          <w:sz w:val="18"/>
          <w:szCs w:val="18"/>
          <w:color w:val="auto"/>
        </w:rPr>
        <w:t>We focus our patent applicaton program to a greater extent on those inventons and improvements that we believe are likely to be incorporated into our products, as contrasted with more basic research. However, we do not know how many of our pending patent applicatons will result in the issuance of patents or the extent to which the examinaton process could require us to narrow our claims.</w:t>
      </w:r>
    </w:p>
    <w:p>
      <w:pPr>
        <w:spacing w:after="0" w:line="108" w:lineRule="exact"/>
        <w:rPr>
          <w:sz w:val="20"/>
          <w:szCs w:val="20"/>
          <w:color w:val="auto"/>
        </w:rPr>
      </w:pPr>
    </w:p>
    <w:p>
      <w:pPr>
        <w:ind w:right="60" w:firstLine="396"/>
        <w:spacing w:after="0" w:line="230" w:lineRule="auto"/>
        <w:rPr>
          <w:sz w:val="20"/>
          <w:szCs w:val="20"/>
          <w:color w:val="auto"/>
        </w:rPr>
      </w:pPr>
      <w:r>
        <w:rPr>
          <w:rFonts w:ascii="Calibri" w:cs="Calibri" w:eastAsia="Calibri" w:hAnsi="Calibri"/>
          <w:sz w:val="18"/>
          <w:szCs w:val="18"/>
          <w:color w:val="auto"/>
        </w:rPr>
        <w:t>We and our predecessors have also entered into a variety of IP licensing and cross-licensing arrangements that have both benefted our business and enabled some of our compettors. A porton of our revenue comes from IP licensing royalty payments and from litgaton setlements relatng to such IP. We also license third-party technologies that are incorporated into some elements of our design actvites, products and manufacturing processes. Historically, licenses of the third-party technologies used by us have generally been available to us on acceptable terms.</w:t>
      </w:r>
    </w:p>
    <w:p>
      <w:pPr>
        <w:spacing w:after="0" w:line="108" w:lineRule="exact"/>
        <w:rPr>
          <w:sz w:val="20"/>
          <w:szCs w:val="20"/>
          <w:color w:val="auto"/>
        </w:rPr>
      </w:pPr>
    </w:p>
    <w:p>
      <w:pPr>
        <w:ind w:right="100" w:firstLine="396"/>
        <w:spacing w:after="0" w:line="230" w:lineRule="auto"/>
        <w:rPr>
          <w:sz w:val="20"/>
          <w:szCs w:val="20"/>
          <w:color w:val="auto"/>
        </w:rPr>
      </w:pPr>
      <w:r>
        <w:rPr>
          <w:rFonts w:ascii="Calibri" w:cs="Calibri" w:eastAsia="Calibri" w:hAnsi="Calibri"/>
          <w:sz w:val="18"/>
          <w:szCs w:val="18"/>
          <w:color w:val="auto"/>
        </w:rPr>
        <w:t>The industries in which we compete are characterized by the existence of a large number of patents, copyrights, trademarks and trade secrets and by the vigorous pursuit, protecton and enforcement of IP rights, including by patent holding companies that do not make or sell products. Some of our customer agreements require us to indemnify our customers for third-party IP infringement claims arising from our products. Claims of this sort could harm our relatonships with our customers and might deter future customers from doing business with us. With respect to any IP rights claims against us or our customers or distributors, we may be required to defend ourselves or our customers or distributors in litgaton, cease manufacturing the infringing products, pay damages, expend resources to develop non-infringing technology, seek a license which may not be available on commercially reasonable terms or at all, or relinquish patents or other IP rights.</w:t>
      </w:r>
    </w:p>
    <w:p>
      <w:pPr>
        <w:spacing w:after="0" w:line="110" w:lineRule="exact"/>
        <w:rPr>
          <w:sz w:val="20"/>
          <w:szCs w:val="20"/>
          <w:color w:val="auto"/>
        </w:rPr>
      </w:pPr>
    </w:p>
    <w:p>
      <w:pPr>
        <w:ind w:right="180" w:firstLine="396"/>
        <w:spacing w:after="0" w:line="230" w:lineRule="auto"/>
        <w:rPr>
          <w:sz w:val="20"/>
          <w:szCs w:val="20"/>
          <w:color w:val="auto"/>
        </w:rPr>
      </w:pPr>
      <w:r>
        <w:rPr>
          <w:rFonts w:ascii="Calibri" w:cs="Calibri" w:eastAsia="Calibri" w:hAnsi="Calibri"/>
          <w:sz w:val="18"/>
          <w:szCs w:val="18"/>
          <w:color w:val="auto"/>
        </w:rPr>
        <w:t>With respect to our infrastructure sofware, the proprietary portons of our source code for our products are protected both as a trade secret and as copyrighted works. Except with respect to sofware components that are subject to open source licenses, our customers do not generally have access to the source code for our products. Rather, on-premise customers typically access only the executable code for our products, and SaaS customers access only the functonality of our SaaS oferings. Under certain contngent circumstances, some of our customers are benefciaries of a source code escrow arrangement that would enable them to obtain a limited right to access and use our source code if specifc conditons are met.</w:t>
      </w:r>
    </w:p>
    <w:p>
      <w:pPr>
        <w:spacing w:after="0" w:line="99"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Employees</w:t>
      </w:r>
    </w:p>
    <w:p>
      <w:pPr>
        <w:spacing w:after="0" w:line="107" w:lineRule="exact"/>
        <w:rPr>
          <w:sz w:val="20"/>
          <w:szCs w:val="20"/>
          <w:color w:val="auto"/>
        </w:rPr>
      </w:pPr>
    </w:p>
    <w:p>
      <w:pPr>
        <w:ind w:right="120" w:firstLine="396"/>
        <w:spacing w:after="0" w:line="230" w:lineRule="auto"/>
        <w:rPr>
          <w:sz w:val="20"/>
          <w:szCs w:val="20"/>
          <w:color w:val="auto"/>
        </w:rPr>
      </w:pPr>
      <w:r>
        <w:rPr>
          <w:rFonts w:ascii="Calibri" w:cs="Calibri" w:eastAsia="Calibri" w:hAnsi="Calibri"/>
          <w:sz w:val="18"/>
          <w:szCs w:val="18"/>
          <w:color w:val="auto"/>
        </w:rPr>
        <w:t>Our contnued success depends on our ability to atract, motvate and retain our workforce in a highly compettve labor market. Specifcally, as the source of our technological and product innovatons, our engineering and technical personnel are a critcal asset.</w:t>
      </w:r>
    </w:p>
    <w:p>
      <w:pPr>
        <w:spacing w:after="0" w:line="107" w:lineRule="exact"/>
        <w:rPr>
          <w:sz w:val="20"/>
          <w:szCs w:val="20"/>
          <w:color w:val="auto"/>
        </w:rPr>
      </w:pPr>
    </w:p>
    <w:p>
      <w:pPr>
        <w:ind w:right="120" w:firstLine="396"/>
        <w:spacing w:after="0" w:line="247" w:lineRule="auto"/>
        <w:rPr>
          <w:sz w:val="20"/>
          <w:szCs w:val="20"/>
          <w:color w:val="auto"/>
        </w:rPr>
      </w:pPr>
      <w:r>
        <w:rPr>
          <w:rFonts w:ascii="Calibri" w:cs="Calibri" w:eastAsia="Calibri" w:hAnsi="Calibri"/>
          <w:sz w:val="17"/>
          <w:szCs w:val="17"/>
          <w:color w:val="auto"/>
        </w:rPr>
        <w:t>We measure our employees’ engagement by our voluntary atriton rate and employee feedback. Our global voluntary atriton rate in fscal year 2023 was approximately 3.3%, well below the technology industry benchmark (AON, 2023 Salary Increase and Turnover Study — Second Editon, September 2023).</w:t>
      </w:r>
    </w:p>
    <w:p>
      <w:pPr>
        <w:spacing w:after="0" w:line="101" w:lineRule="exact"/>
        <w:rPr>
          <w:sz w:val="20"/>
          <w:szCs w:val="20"/>
          <w:color w:val="auto"/>
        </w:rPr>
      </w:pPr>
    </w:p>
    <w:p>
      <w:pPr>
        <w:ind w:right="20" w:firstLine="396"/>
        <w:spacing w:after="0" w:line="230" w:lineRule="auto"/>
        <w:rPr>
          <w:sz w:val="20"/>
          <w:szCs w:val="20"/>
          <w:color w:val="auto"/>
        </w:rPr>
      </w:pPr>
      <w:r>
        <w:rPr>
          <w:rFonts w:ascii="Calibri" w:cs="Calibri" w:eastAsia="Calibri" w:hAnsi="Calibri"/>
          <w:sz w:val="18"/>
          <w:szCs w:val="18"/>
          <w:color w:val="auto"/>
        </w:rPr>
        <w:t>We also track the porton of our workforce in research and development roles. As of October 29, 2023, we had approximately 20,000 employees worldwide, with approximately 63% in research and development roles. By geography, approximately 54% of our employees are located in North America, 34% in Asia, and 12% in Europe, the Middle East and Africa.</w:t>
      </w:r>
    </w:p>
    <w:p>
      <w:pPr>
        <w:spacing w:after="0" w:line="98"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Governmental Regulaton</w:t>
      </w:r>
    </w:p>
    <w:p>
      <w:pPr>
        <w:spacing w:after="0" w:line="107" w:lineRule="exact"/>
        <w:rPr>
          <w:sz w:val="20"/>
          <w:szCs w:val="20"/>
          <w:color w:val="auto"/>
        </w:rPr>
      </w:pPr>
    </w:p>
    <w:p>
      <w:pPr>
        <w:ind w:right="200" w:firstLine="396"/>
        <w:spacing w:after="0" w:line="245" w:lineRule="auto"/>
        <w:rPr>
          <w:sz w:val="20"/>
          <w:szCs w:val="20"/>
          <w:color w:val="auto"/>
        </w:rPr>
      </w:pPr>
      <w:r>
        <w:rPr>
          <w:rFonts w:ascii="Calibri" w:cs="Calibri" w:eastAsia="Calibri" w:hAnsi="Calibri"/>
          <w:sz w:val="17"/>
          <w:szCs w:val="17"/>
          <w:color w:val="auto"/>
        </w:rPr>
        <w:t>Our semiconductor manufacturing operatons and research and development involve the use of hazardous substances and are regulated under internatonal, federal, state and local laws governing health, safety and the environment. These regulatons include limitatons on discharge of pollutants to air, water, and soil; remediaton requirements; product chemical content limitatons; manufacturing chemical use and handling restrictons; polluton control requirements; waste minimizaton consideratons; and treatment, transport, storage and disposal of solid and hazardous wastes. We are also subject to regulaton by the U.S. Occupatonal Safety and Health Administraton and similar health and safety laws in other jurisdictons.</w:t>
      </w:r>
    </w:p>
    <w:p>
      <w:pPr>
        <w:spacing w:after="0" w:line="103" w:lineRule="exact"/>
        <w:rPr>
          <w:sz w:val="20"/>
          <w:szCs w:val="20"/>
          <w:color w:val="auto"/>
        </w:rPr>
      </w:pPr>
    </w:p>
    <w:p>
      <w:pPr>
        <w:ind w:right="120" w:firstLine="396"/>
        <w:spacing w:after="0" w:line="230" w:lineRule="auto"/>
        <w:rPr>
          <w:sz w:val="20"/>
          <w:szCs w:val="20"/>
          <w:color w:val="auto"/>
        </w:rPr>
      </w:pPr>
      <w:r>
        <w:rPr>
          <w:rFonts w:ascii="Calibri" w:cs="Calibri" w:eastAsia="Calibri" w:hAnsi="Calibri"/>
          <w:sz w:val="18"/>
          <w:szCs w:val="18"/>
          <w:color w:val="auto"/>
        </w:rPr>
        <w:t>We believe that our propertes and operatons at our facilites comply in all material respects with applicable environmental laws and worker health and safety laws. However, the risk of environmental liabilites cannot be completely eliminated and there can be no assurance that the applicaton of environmental, health and safety laws to our business will not require us to incur signifcant expenditures.</w:t>
      </w:r>
    </w:p>
    <w:p>
      <w:pPr>
        <w:spacing w:after="0" w:line="108" w:lineRule="exact"/>
        <w:rPr>
          <w:sz w:val="20"/>
          <w:szCs w:val="20"/>
          <w:color w:val="auto"/>
        </w:rPr>
      </w:pPr>
    </w:p>
    <w:p>
      <w:pPr>
        <w:ind w:right="160" w:firstLine="396"/>
        <w:spacing w:after="0" w:line="230" w:lineRule="auto"/>
        <w:rPr>
          <w:sz w:val="20"/>
          <w:szCs w:val="20"/>
          <w:color w:val="auto"/>
        </w:rPr>
      </w:pPr>
      <w:r>
        <w:rPr>
          <w:rFonts w:ascii="Calibri" w:cs="Calibri" w:eastAsia="Calibri" w:hAnsi="Calibri"/>
          <w:sz w:val="18"/>
          <w:szCs w:val="18"/>
          <w:color w:val="auto"/>
        </w:rPr>
        <w:t>We are also regulated under a number of internatonal, federal, state and local laws regarding recycling, product packaging and product content requirements, including legislaton enacted in the U.S., European Union and China, among a growing number of jurisdictons, which have placed greater restrictons on the use of lead, among other restricted substances, in electronic products, which afects materials compositon and semiconductor packaging. In additon, our business is subject</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9" w:right="339" w:bottom="1440" w:gutter="0" w:footer="0" w:header="0"/>
        </w:sectPr>
      </w:pPr>
    </w:p>
    <w:bookmarkStart w:id="12" w:name="page13"/>
    <w:bookmarkEnd w:id="12"/>
    <w:p>
      <w:pPr>
        <w:spacing w:after="0"/>
        <w:rPr>
          <w:sz w:val="20"/>
          <w:szCs w:val="20"/>
          <w:color w:val="auto"/>
        </w:rPr>
      </w:pPr>
      <w:r>
        <w:rPr>
          <w:rFonts w:ascii="Calibri" w:cs="Calibri" w:eastAsia="Calibri" w:hAnsi="Calibri"/>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right="80"/>
        <w:spacing w:after="0" w:line="230" w:lineRule="auto"/>
        <w:rPr>
          <w:sz w:val="20"/>
          <w:szCs w:val="20"/>
          <w:color w:val="auto"/>
        </w:rPr>
      </w:pPr>
      <w:r>
        <w:rPr>
          <w:rFonts w:ascii="Calibri" w:cs="Calibri" w:eastAsia="Calibri" w:hAnsi="Calibri"/>
          <w:sz w:val="18"/>
          <w:szCs w:val="18"/>
          <w:color w:val="auto"/>
        </w:rPr>
        <w:t>to various import/export regulatons, such as the U.S. Export Administraton Regulatons, and applicable executve orders, and rules of industrial standards bodies, like the Internatonal Organizaton for Standardizaton, as well as regulaton by other agencies, such as the U.S. Federal Trade Commission (“FTC”). These laws, regulatons and orders are complex, may change frequently and with limited notce, have generally and may contnue to become more stringent over tme. We may incur signifcant expenditures in future periods as a result.</w:t>
      </w:r>
    </w:p>
    <w:p>
      <w:pPr>
        <w:spacing w:after="0" w:line="99"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Seasonality</w:t>
      </w:r>
    </w:p>
    <w:p>
      <w:pPr>
        <w:spacing w:after="0" w:line="107" w:lineRule="exact"/>
        <w:rPr>
          <w:sz w:val="20"/>
          <w:szCs w:val="20"/>
          <w:color w:val="auto"/>
        </w:rPr>
      </w:pPr>
    </w:p>
    <w:p>
      <w:pPr>
        <w:ind w:right="100" w:firstLine="396"/>
        <w:spacing w:after="0" w:line="230" w:lineRule="auto"/>
        <w:rPr>
          <w:sz w:val="20"/>
          <w:szCs w:val="20"/>
          <w:color w:val="auto"/>
        </w:rPr>
      </w:pPr>
      <w:r>
        <w:rPr>
          <w:rFonts w:ascii="Calibri" w:cs="Calibri" w:eastAsia="Calibri" w:hAnsi="Calibri"/>
          <w:sz w:val="18"/>
          <w:szCs w:val="18"/>
          <w:color w:val="auto"/>
        </w:rPr>
        <w:t>Historically, our net revenue has typically been higher in the second half of the fscal year than in the frst half, primarily due to seasonality in our wireless communicatons products. These products have historically experienced seasonality due to launches of new mobile devices manufactured by our OEM customers. However, from tme to tme, typical seasonality and industry cyclicality are overshadowed by other factors such as wider macroeconomic efects, the tming of signifcant product transitons and launches by large OEMs, partcularly with our wireless communicatons products. We have a diversifed business portolio and we believe that our overall revenue is less susceptble to seasonal variatons as a result of this diversifcaton.</w:t>
      </w:r>
    </w:p>
    <w:p>
      <w:pPr>
        <w:spacing w:after="0" w:line="99"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Other Informaton</w:t>
      </w:r>
    </w:p>
    <w:p>
      <w:pPr>
        <w:spacing w:after="0" w:line="107" w:lineRule="exact"/>
        <w:rPr>
          <w:sz w:val="20"/>
          <w:szCs w:val="20"/>
          <w:color w:val="auto"/>
        </w:rPr>
      </w:pPr>
    </w:p>
    <w:p>
      <w:pPr>
        <w:ind w:firstLine="396"/>
        <w:spacing w:after="0" w:line="232" w:lineRule="auto"/>
        <w:rPr>
          <w:sz w:val="20"/>
          <w:szCs w:val="20"/>
          <w:color w:val="auto"/>
        </w:rPr>
      </w:pPr>
      <w:r>
        <w:rPr>
          <w:rFonts w:ascii="Calibri" w:cs="Calibri" w:eastAsia="Calibri" w:hAnsi="Calibri"/>
          <w:sz w:val="18"/>
          <w:szCs w:val="18"/>
          <w:color w:val="auto"/>
        </w:rPr>
        <w:t>Our website is www.broadcom.com. You may access our annual reports on Form 10-K, quarterly reports on Form 10-Q, current reports on Form 8-K and other reports (and amendments thereto) fled or furnished pursuant to Secton 13(a) or 15(d) of the Securites Exchange Act of 1934 (the “Exchange Act”) with the Securites and Exchange Commission (the “SEC”), as well as proxy statements fled by Broadcom, free of charge at the “Investor Center - SEC Filings” secton of our website at www.broadcom.com, as soon as reasonably practcable afer such material is electronically fled with, or furnished to, the SEC. Such periodic reports, proxy statements and other informaton are also available at the SEC’s website at www.sec.gov</w:t>
      </w:r>
      <w:r>
        <w:rPr>
          <w:rFonts w:ascii="Times New Roman" w:cs="Times New Roman" w:eastAsia="Times New Roman" w:hAnsi="Times New Roman"/>
          <w:sz w:val="18"/>
          <w:szCs w:val="18"/>
          <w:color w:val="auto"/>
        </w:rPr>
        <w:t>.</w:t>
      </w:r>
      <w:r>
        <w:rPr>
          <w:rFonts w:ascii="Calibri" w:cs="Calibri" w:eastAsia="Calibri" w:hAnsi="Calibri"/>
          <w:sz w:val="18"/>
          <w:szCs w:val="18"/>
          <w:color w:val="auto"/>
        </w:rPr>
        <w:t xml:space="preserve"> The reference to our website address does not consttute incorporaton by reference of the informaton contained on or accessible through our website.</w:t>
      </w:r>
    </w:p>
    <w:p>
      <w:pPr>
        <w:spacing w:after="0" w:line="102"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Informaton About Our Executve Ofcers</w:t>
      </w:r>
    </w:p>
    <w:p>
      <w:pPr>
        <w:spacing w:after="0" w:line="97" w:lineRule="exact"/>
        <w:rPr>
          <w:sz w:val="20"/>
          <w:szCs w:val="20"/>
          <w:color w:val="auto"/>
        </w:rPr>
      </w:pPr>
    </w:p>
    <w:p>
      <w:pPr>
        <w:ind w:left="400"/>
        <w:spacing w:after="0"/>
        <w:rPr>
          <w:sz w:val="20"/>
          <w:szCs w:val="20"/>
          <w:color w:val="auto"/>
        </w:rPr>
      </w:pPr>
      <w:r>
        <w:rPr>
          <w:rFonts w:ascii="Calibri" w:cs="Calibri" w:eastAsia="Calibri" w:hAnsi="Calibri"/>
          <w:sz w:val="18"/>
          <w:szCs w:val="18"/>
          <w:color w:val="auto"/>
        </w:rPr>
        <w:t>The following table provides informaton regarding our executve ofcers as of December 14, 2023:</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0" w:type="dxa"/>
            <w:vAlign w:val="bottom"/>
          </w:tcPr>
          <w:p>
            <w:pPr>
              <w:spacing w:after="0"/>
              <w:rPr>
                <w:sz w:val="19"/>
                <w:szCs w:val="19"/>
                <w:color w:val="auto"/>
              </w:rPr>
            </w:pPr>
          </w:p>
        </w:tc>
        <w:tc>
          <w:tcPr>
            <w:tcW w:w="2540" w:type="dxa"/>
            <w:vAlign w:val="bottom"/>
            <w:gridSpan w:val="2"/>
          </w:tcPr>
          <w:p>
            <w:pPr>
              <w:spacing w:after="0"/>
              <w:rPr>
                <w:sz w:val="20"/>
                <w:szCs w:val="20"/>
                <w:color w:val="auto"/>
              </w:rPr>
            </w:pPr>
            <w:r>
              <w:rPr>
                <w:rFonts w:ascii="Calibri" w:cs="Calibri" w:eastAsia="Calibri" w:hAnsi="Calibri"/>
                <w:sz w:val="18"/>
                <w:szCs w:val="18"/>
                <w:b w:val="1"/>
                <w:bCs w:val="1"/>
                <w:color w:val="auto"/>
              </w:rPr>
              <w:t>Name and Title</w:t>
            </w:r>
          </w:p>
        </w:tc>
        <w:tc>
          <w:tcPr>
            <w:tcW w:w="1280" w:type="dxa"/>
            <w:vAlign w:val="bottom"/>
            <w:gridSpan w:val="3"/>
          </w:tcPr>
          <w:p>
            <w:pPr>
              <w:jc w:val="center"/>
              <w:ind w:left="592"/>
              <w:spacing w:after="0"/>
              <w:rPr>
                <w:sz w:val="20"/>
                <w:szCs w:val="20"/>
                <w:color w:val="auto"/>
              </w:rPr>
            </w:pPr>
            <w:r>
              <w:rPr>
                <w:rFonts w:ascii="Calibri" w:cs="Calibri" w:eastAsia="Calibri" w:hAnsi="Calibri"/>
                <w:sz w:val="18"/>
                <w:szCs w:val="18"/>
                <w:b w:val="1"/>
                <w:bCs w:val="1"/>
                <w:color w:val="auto"/>
                <w:w w:val="98"/>
              </w:rPr>
              <w:t>Age</w:t>
            </w:r>
          </w:p>
        </w:tc>
        <w:tc>
          <w:tcPr>
            <w:tcW w:w="6760" w:type="dxa"/>
            <w:vAlign w:val="bottom"/>
            <w:gridSpan w:val="3"/>
          </w:tcPr>
          <w:p>
            <w:pPr>
              <w:ind w:left="180"/>
              <w:spacing w:after="0"/>
              <w:rPr>
                <w:sz w:val="20"/>
                <w:szCs w:val="20"/>
                <w:color w:val="auto"/>
              </w:rPr>
            </w:pPr>
            <w:r>
              <w:rPr>
                <w:rFonts w:ascii="Calibri" w:cs="Calibri" w:eastAsia="Calibri" w:hAnsi="Calibri"/>
                <w:sz w:val="18"/>
                <w:szCs w:val="18"/>
                <w:b w:val="1"/>
                <w:bCs w:val="1"/>
                <w:color w:val="auto"/>
              </w:rPr>
              <w:t>Positon and Ofces</w:t>
            </w:r>
          </w:p>
        </w:tc>
      </w:tr>
      <w:tr>
        <w:trPr>
          <w:trHeight w:val="33"/>
        </w:trPr>
        <w:tc>
          <w:tcPr>
            <w:tcW w:w="20" w:type="dxa"/>
            <w:vAlign w:val="bottom"/>
          </w:tcPr>
          <w:p>
            <w:pPr>
              <w:spacing w:after="0"/>
              <w:rPr>
                <w:sz w:val="2"/>
                <w:szCs w:val="2"/>
                <w:color w:val="auto"/>
              </w:rPr>
            </w:pPr>
          </w:p>
        </w:tc>
        <w:tc>
          <w:tcPr>
            <w:tcW w:w="1080" w:type="dxa"/>
            <w:vAlign w:val="bottom"/>
            <w:tcBorders>
              <w:top w:val="single" w:sz="8" w:color="auto"/>
            </w:tcBorders>
          </w:tcPr>
          <w:p>
            <w:pPr>
              <w:spacing w:after="0"/>
              <w:rPr>
                <w:sz w:val="2"/>
                <w:szCs w:val="2"/>
                <w:color w:val="auto"/>
              </w:rPr>
            </w:pPr>
          </w:p>
        </w:tc>
        <w:tc>
          <w:tcPr>
            <w:tcW w:w="1460" w:type="dxa"/>
            <w:vAlign w:val="bottom"/>
          </w:tcPr>
          <w:p>
            <w:pPr>
              <w:spacing w:after="0"/>
              <w:rPr>
                <w:sz w:val="2"/>
                <w:szCs w:val="2"/>
                <w:color w:val="auto"/>
              </w:rPr>
            </w:pPr>
          </w:p>
        </w:tc>
        <w:tc>
          <w:tcPr>
            <w:tcW w:w="840" w:type="dxa"/>
            <w:vAlign w:val="bottom"/>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Borders>
              <w:top w:val="single" w:sz="8" w:color="auto"/>
            </w:tcBorders>
          </w:tcPr>
          <w:p>
            <w:pPr>
              <w:spacing w:after="0"/>
              <w:rPr>
                <w:sz w:val="2"/>
                <w:szCs w:val="2"/>
                <w:color w:val="auto"/>
              </w:rPr>
            </w:pPr>
          </w:p>
        </w:tc>
        <w:tc>
          <w:tcPr>
            <w:tcW w:w="5180" w:type="dxa"/>
            <w:vAlign w:val="bottom"/>
          </w:tcPr>
          <w:p>
            <w:pPr>
              <w:spacing w:after="0"/>
              <w:rPr>
                <w:sz w:val="2"/>
                <w:szCs w:val="2"/>
                <w:color w:val="auto"/>
              </w:rPr>
            </w:pPr>
          </w:p>
        </w:tc>
      </w:tr>
      <w:tr>
        <w:trPr>
          <w:trHeight w:val="231"/>
        </w:trPr>
        <w:tc>
          <w:tcPr>
            <w:tcW w:w="20" w:type="dxa"/>
            <w:vAlign w:val="bottom"/>
            <w:tcBorders>
              <w:bottom w:val="single" w:sz="8" w:color="CCEEFF"/>
            </w:tcBorders>
            <w:shd w:val="clear" w:color="auto" w:fill="CCEEFF"/>
          </w:tcPr>
          <w:p>
            <w:pPr>
              <w:spacing w:after="0"/>
              <w:rPr>
                <w:sz w:val="20"/>
                <w:szCs w:val="20"/>
                <w:color w:val="auto"/>
              </w:rPr>
            </w:pPr>
          </w:p>
        </w:tc>
        <w:tc>
          <w:tcPr>
            <w:tcW w:w="2540" w:type="dxa"/>
            <w:vAlign w:val="bottom"/>
            <w:tcBorders>
              <w:bottom w:val="single" w:sz="8" w:color="CCEEFF"/>
            </w:tcBorders>
            <w:gridSpan w:val="2"/>
            <w:shd w:val="clear" w:color="auto" w:fill="CCEEFF"/>
          </w:tcPr>
          <w:p>
            <w:pPr>
              <w:spacing w:after="0" w:line="210" w:lineRule="exact"/>
              <w:rPr>
                <w:sz w:val="20"/>
                <w:szCs w:val="20"/>
                <w:color w:val="auto"/>
              </w:rPr>
            </w:pPr>
            <w:r>
              <w:rPr>
                <w:rFonts w:ascii="Calibri" w:cs="Calibri" w:eastAsia="Calibri" w:hAnsi="Calibri"/>
                <w:sz w:val="18"/>
                <w:szCs w:val="18"/>
                <w:color w:val="auto"/>
              </w:rPr>
              <w:t>Hock E. Tan</w:t>
            </w:r>
          </w:p>
        </w:tc>
        <w:tc>
          <w:tcPr>
            <w:tcW w:w="1120" w:type="dxa"/>
            <w:vAlign w:val="bottom"/>
            <w:tcBorders>
              <w:bottom w:val="single" w:sz="8" w:color="CCEEFF"/>
            </w:tcBorders>
            <w:gridSpan w:val="2"/>
            <w:shd w:val="clear" w:color="auto" w:fill="CCEEFF"/>
          </w:tcPr>
          <w:p>
            <w:pPr>
              <w:jc w:val="center"/>
              <w:ind w:left="752"/>
              <w:spacing w:after="0" w:line="210" w:lineRule="exact"/>
              <w:rPr>
                <w:sz w:val="20"/>
                <w:szCs w:val="20"/>
                <w:color w:val="auto"/>
              </w:rPr>
            </w:pPr>
            <w:r>
              <w:rPr>
                <w:rFonts w:ascii="Calibri" w:cs="Calibri" w:eastAsia="Calibri" w:hAnsi="Calibri"/>
                <w:sz w:val="18"/>
                <w:szCs w:val="18"/>
                <w:color w:val="auto"/>
                <w:w w:val="87"/>
              </w:rPr>
              <w:t>72</w:t>
            </w:r>
          </w:p>
        </w:tc>
        <w:tc>
          <w:tcPr>
            <w:tcW w:w="160" w:type="dxa"/>
            <w:vAlign w:val="bottom"/>
            <w:tcBorders>
              <w:bottom w:val="single" w:sz="8" w:color="CCEEFF"/>
            </w:tcBorders>
            <w:shd w:val="clear" w:color="auto" w:fill="CCEEFF"/>
          </w:tcPr>
          <w:p>
            <w:pPr>
              <w:spacing w:after="0"/>
              <w:rPr>
                <w:sz w:val="20"/>
                <w:szCs w:val="20"/>
                <w:color w:val="auto"/>
              </w:rPr>
            </w:pPr>
          </w:p>
        </w:tc>
        <w:tc>
          <w:tcPr>
            <w:tcW w:w="6760" w:type="dxa"/>
            <w:vAlign w:val="bottom"/>
            <w:tcBorders>
              <w:bottom w:val="single" w:sz="8" w:color="CCEEFF"/>
            </w:tcBorders>
            <w:gridSpan w:val="3"/>
            <w:shd w:val="clear" w:color="auto" w:fill="CCEEFF"/>
          </w:tcPr>
          <w:p>
            <w:pPr>
              <w:ind w:left="180"/>
              <w:spacing w:after="0" w:line="210" w:lineRule="exact"/>
              <w:rPr>
                <w:sz w:val="20"/>
                <w:szCs w:val="20"/>
                <w:color w:val="auto"/>
              </w:rPr>
            </w:pPr>
            <w:r>
              <w:rPr>
                <w:rFonts w:ascii="Calibri" w:cs="Calibri" w:eastAsia="Calibri" w:hAnsi="Calibri"/>
                <w:sz w:val="18"/>
                <w:szCs w:val="18"/>
                <w:color w:val="242424"/>
              </w:rPr>
              <w:t>President, Chief Executve Ofcer and Director</w:t>
            </w:r>
          </w:p>
        </w:tc>
      </w:tr>
      <w:tr>
        <w:trPr>
          <w:trHeight w:val="210"/>
        </w:trPr>
        <w:tc>
          <w:tcPr>
            <w:tcW w:w="20" w:type="dxa"/>
            <w:vAlign w:val="bottom"/>
          </w:tcPr>
          <w:p>
            <w:pPr>
              <w:spacing w:after="0"/>
              <w:rPr>
                <w:sz w:val="18"/>
                <w:szCs w:val="18"/>
                <w:color w:val="auto"/>
              </w:rPr>
            </w:pPr>
          </w:p>
        </w:tc>
        <w:tc>
          <w:tcPr>
            <w:tcW w:w="2540" w:type="dxa"/>
            <w:vAlign w:val="bottom"/>
            <w:gridSpan w:val="2"/>
          </w:tcPr>
          <w:p>
            <w:pPr>
              <w:spacing w:after="0" w:line="210" w:lineRule="exact"/>
              <w:rPr>
                <w:sz w:val="20"/>
                <w:szCs w:val="20"/>
                <w:color w:val="auto"/>
              </w:rPr>
            </w:pPr>
            <w:r>
              <w:rPr>
                <w:rFonts w:ascii="Calibri" w:cs="Calibri" w:eastAsia="Calibri" w:hAnsi="Calibri"/>
                <w:sz w:val="18"/>
                <w:szCs w:val="18"/>
                <w:color w:val="242424"/>
              </w:rPr>
              <w:t>Kirsten M. Spears</w:t>
            </w:r>
          </w:p>
        </w:tc>
        <w:tc>
          <w:tcPr>
            <w:tcW w:w="1120" w:type="dxa"/>
            <w:vAlign w:val="bottom"/>
            <w:gridSpan w:val="2"/>
          </w:tcPr>
          <w:p>
            <w:pPr>
              <w:jc w:val="center"/>
              <w:ind w:left="752"/>
              <w:spacing w:after="0" w:line="210" w:lineRule="exact"/>
              <w:rPr>
                <w:sz w:val="20"/>
                <w:szCs w:val="20"/>
                <w:color w:val="auto"/>
              </w:rPr>
            </w:pPr>
            <w:r>
              <w:rPr>
                <w:rFonts w:ascii="Calibri" w:cs="Calibri" w:eastAsia="Calibri" w:hAnsi="Calibri"/>
                <w:sz w:val="18"/>
                <w:szCs w:val="18"/>
                <w:color w:val="auto"/>
                <w:w w:val="87"/>
              </w:rPr>
              <w:t>59</w:t>
            </w:r>
          </w:p>
        </w:tc>
        <w:tc>
          <w:tcPr>
            <w:tcW w:w="160" w:type="dxa"/>
            <w:vAlign w:val="bottom"/>
          </w:tcPr>
          <w:p>
            <w:pPr>
              <w:spacing w:after="0"/>
              <w:rPr>
                <w:sz w:val="18"/>
                <w:szCs w:val="18"/>
                <w:color w:val="auto"/>
              </w:rPr>
            </w:pPr>
          </w:p>
        </w:tc>
        <w:tc>
          <w:tcPr>
            <w:tcW w:w="6760" w:type="dxa"/>
            <w:vAlign w:val="bottom"/>
            <w:gridSpan w:val="3"/>
          </w:tcPr>
          <w:p>
            <w:pPr>
              <w:ind w:left="180"/>
              <w:spacing w:after="0" w:line="210" w:lineRule="exact"/>
              <w:rPr>
                <w:sz w:val="20"/>
                <w:szCs w:val="20"/>
                <w:color w:val="auto"/>
              </w:rPr>
            </w:pPr>
            <w:r>
              <w:rPr>
                <w:rFonts w:ascii="Calibri" w:cs="Calibri" w:eastAsia="Calibri" w:hAnsi="Calibri"/>
                <w:sz w:val="18"/>
                <w:szCs w:val="18"/>
                <w:color w:val="242424"/>
              </w:rPr>
              <w:t>Chief Financial Ofcer and Chief Accountng Ofcer</w:t>
            </w:r>
          </w:p>
        </w:tc>
      </w:tr>
      <w:tr>
        <w:trPr>
          <w:trHeight w:val="41"/>
        </w:trPr>
        <w:tc>
          <w:tcPr>
            <w:tcW w:w="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460" w:type="dxa"/>
            <w:vAlign w:val="bottom"/>
          </w:tcPr>
          <w:p>
            <w:pPr>
              <w:spacing w:after="0"/>
              <w:rPr>
                <w:sz w:val="3"/>
                <w:szCs w:val="3"/>
                <w:color w:val="auto"/>
              </w:rPr>
            </w:pPr>
          </w:p>
        </w:tc>
        <w:tc>
          <w:tcPr>
            <w:tcW w:w="8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80" w:type="dxa"/>
            <w:vAlign w:val="bottom"/>
          </w:tcPr>
          <w:p>
            <w:pPr>
              <w:spacing w:after="0"/>
              <w:rPr>
                <w:sz w:val="3"/>
                <w:szCs w:val="3"/>
                <w:color w:val="auto"/>
              </w:rPr>
            </w:pPr>
          </w:p>
        </w:tc>
        <w:tc>
          <w:tcPr>
            <w:tcW w:w="1400" w:type="dxa"/>
            <w:vAlign w:val="bottom"/>
          </w:tcPr>
          <w:p>
            <w:pPr>
              <w:spacing w:after="0"/>
              <w:rPr>
                <w:sz w:val="3"/>
                <w:szCs w:val="3"/>
                <w:color w:val="auto"/>
              </w:rPr>
            </w:pPr>
          </w:p>
        </w:tc>
        <w:tc>
          <w:tcPr>
            <w:tcW w:w="5180" w:type="dxa"/>
            <w:vAlign w:val="bottom"/>
          </w:tcPr>
          <w:p>
            <w:pPr>
              <w:spacing w:after="0"/>
              <w:rPr>
                <w:sz w:val="3"/>
                <w:szCs w:val="3"/>
                <w:color w:val="auto"/>
              </w:rPr>
            </w:pPr>
          </w:p>
        </w:tc>
      </w:tr>
      <w:tr>
        <w:trPr>
          <w:trHeight w:val="231"/>
        </w:trPr>
        <w:tc>
          <w:tcPr>
            <w:tcW w:w="20" w:type="dxa"/>
            <w:vAlign w:val="bottom"/>
            <w:tcBorders>
              <w:bottom w:val="single" w:sz="8" w:color="CCEEFF"/>
            </w:tcBorders>
            <w:shd w:val="clear" w:color="auto" w:fill="CCEEFF"/>
          </w:tcPr>
          <w:p>
            <w:pPr>
              <w:spacing w:after="0"/>
              <w:rPr>
                <w:sz w:val="20"/>
                <w:szCs w:val="20"/>
                <w:color w:val="auto"/>
              </w:rPr>
            </w:pPr>
          </w:p>
        </w:tc>
        <w:tc>
          <w:tcPr>
            <w:tcW w:w="2540" w:type="dxa"/>
            <w:vAlign w:val="bottom"/>
            <w:tcBorders>
              <w:bottom w:val="single" w:sz="8" w:color="CCEEFF"/>
            </w:tcBorders>
            <w:gridSpan w:val="2"/>
            <w:shd w:val="clear" w:color="auto" w:fill="CCEEFF"/>
          </w:tcPr>
          <w:p>
            <w:pPr>
              <w:spacing w:after="0" w:line="210" w:lineRule="exact"/>
              <w:rPr>
                <w:sz w:val="20"/>
                <w:szCs w:val="20"/>
                <w:color w:val="auto"/>
              </w:rPr>
            </w:pPr>
            <w:r>
              <w:rPr>
                <w:rFonts w:ascii="Calibri" w:cs="Calibri" w:eastAsia="Calibri" w:hAnsi="Calibri"/>
                <w:sz w:val="18"/>
                <w:szCs w:val="18"/>
                <w:color w:val="242424"/>
              </w:rPr>
              <w:t>Mark D. Brazeal</w:t>
            </w:r>
          </w:p>
        </w:tc>
        <w:tc>
          <w:tcPr>
            <w:tcW w:w="1120" w:type="dxa"/>
            <w:vAlign w:val="bottom"/>
            <w:tcBorders>
              <w:bottom w:val="single" w:sz="8" w:color="CCEEFF"/>
            </w:tcBorders>
            <w:gridSpan w:val="2"/>
            <w:shd w:val="clear" w:color="auto" w:fill="CCEEFF"/>
          </w:tcPr>
          <w:p>
            <w:pPr>
              <w:jc w:val="center"/>
              <w:ind w:left="752"/>
              <w:spacing w:after="0" w:line="210" w:lineRule="exact"/>
              <w:rPr>
                <w:sz w:val="20"/>
                <w:szCs w:val="20"/>
                <w:color w:val="auto"/>
              </w:rPr>
            </w:pPr>
            <w:r>
              <w:rPr>
                <w:rFonts w:ascii="Calibri" w:cs="Calibri" w:eastAsia="Calibri" w:hAnsi="Calibri"/>
                <w:sz w:val="18"/>
                <w:szCs w:val="18"/>
                <w:color w:val="auto"/>
                <w:w w:val="87"/>
              </w:rPr>
              <w:t>55</w:t>
            </w:r>
          </w:p>
        </w:tc>
        <w:tc>
          <w:tcPr>
            <w:tcW w:w="160" w:type="dxa"/>
            <w:vAlign w:val="bottom"/>
            <w:tcBorders>
              <w:bottom w:val="single" w:sz="8" w:color="CCEEFF"/>
            </w:tcBorders>
            <w:shd w:val="clear" w:color="auto" w:fill="CCEEFF"/>
          </w:tcPr>
          <w:p>
            <w:pPr>
              <w:spacing w:after="0"/>
              <w:rPr>
                <w:sz w:val="20"/>
                <w:szCs w:val="20"/>
                <w:color w:val="auto"/>
              </w:rPr>
            </w:pPr>
          </w:p>
        </w:tc>
        <w:tc>
          <w:tcPr>
            <w:tcW w:w="6760" w:type="dxa"/>
            <w:vAlign w:val="bottom"/>
            <w:tcBorders>
              <w:bottom w:val="single" w:sz="8" w:color="CCEEFF"/>
            </w:tcBorders>
            <w:gridSpan w:val="3"/>
            <w:shd w:val="clear" w:color="auto" w:fill="CCEEFF"/>
          </w:tcPr>
          <w:p>
            <w:pPr>
              <w:ind w:left="180"/>
              <w:spacing w:after="0" w:line="210" w:lineRule="exact"/>
              <w:rPr>
                <w:sz w:val="20"/>
                <w:szCs w:val="20"/>
                <w:color w:val="auto"/>
              </w:rPr>
            </w:pPr>
            <w:r>
              <w:rPr>
                <w:rFonts w:ascii="Calibri" w:cs="Calibri" w:eastAsia="Calibri" w:hAnsi="Calibri"/>
                <w:sz w:val="18"/>
                <w:szCs w:val="18"/>
                <w:color w:val="242424"/>
              </w:rPr>
              <w:t>Chief Legal and Corporate Afairs Ofcer</w:t>
            </w:r>
          </w:p>
        </w:tc>
      </w:tr>
      <w:tr>
        <w:trPr>
          <w:trHeight w:val="210"/>
        </w:trPr>
        <w:tc>
          <w:tcPr>
            <w:tcW w:w="20" w:type="dxa"/>
            <w:vAlign w:val="bottom"/>
          </w:tcPr>
          <w:p>
            <w:pPr>
              <w:spacing w:after="0"/>
              <w:rPr>
                <w:sz w:val="18"/>
                <w:szCs w:val="18"/>
                <w:color w:val="auto"/>
              </w:rPr>
            </w:pPr>
          </w:p>
        </w:tc>
        <w:tc>
          <w:tcPr>
            <w:tcW w:w="2540" w:type="dxa"/>
            <w:vAlign w:val="bottom"/>
            <w:gridSpan w:val="2"/>
          </w:tcPr>
          <w:p>
            <w:pPr>
              <w:spacing w:after="0" w:line="210" w:lineRule="exact"/>
              <w:rPr>
                <w:sz w:val="20"/>
                <w:szCs w:val="20"/>
                <w:color w:val="auto"/>
              </w:rPr>
            </w:pPr>
            <w:r>
              <w:rPr>
                <w:rFonts w:ascii="Calibri" w:cs="Calibri" w:eastAsia="Calibri" w:hAnsi="Calibri"/>
                <w:sz w:val="18"/>
                <w:szCs w:val="18"/>
                <w:color w:val="242424"/>
              </w:rPr>
              <w:t>Charlie B. Kawwas, Ph.D.</w:t>
            </w:r>
          </w:p>
        </w:tc>
        <w:tc>
          <w:tcPr>
            <w:tcW w:w="1120" w:type="dxa"/>
            <w:vAlign w:val="bottom"/>
            <w:gridSpan w:val="2"/>
          </w:tcPr>
          <w:p>
            <w:pPr>
              <w:jc w:val="center"/>
              <w:ind w:left="752"/>
              <w:spacing w:after="0" w:line="210" w:lineRule="exact"/>
              <w:rPr>
                <w:sz w:val="20"/>
                <w:szCs w:val="20"/>
                <w:color w:val="auto"/>
              </w:rPr>
            </w:pPr>
            <w:r>
              <w:rPr>
                <w:rFonts w:ascii="Calibri" w:cs="Calibri" w:eastAsia="Calibri" w:hAnsi="Calibri"/>
                <w:sz w:val="18"/>
                <w:szCs w:val="18"/>
                <w:color w:val="auto"/>
                <w:w w:val="87"/>
              </w:rPr>
              <w:t>53</w:t>
            </w:r>
          </w:p>
        </w:tc>
        <w:tc>
          <w:tcPr>
            <w:tcW w:w="160" w:type="dxa"/>
            <w:vAlign w:val="bottom"/>
          </w:tcPr>
          <w:p>
            <w:pPr>
              <w:spacing w:after="0"/>
              <w:rPr>
                <w:sz w:val="18"/>
                <w:szCs w:val="18"/>
                <w:color w:val="auto"/>
              </w:rPr>
            </w:pPr>
          </w:p>
        </w:tc>
        <w:tc>
          <w:tcPr>
            <w:tcW w:w="6760" w:type="dxa"/>
            <w:vAlign w:val="bottom"/>
            <w:gridSpan w:val="3"/>
          </w:tcPr>
          <w:p>
            <w:pPr>
              <w:ind w:left="180"/>
              <w:spacing w:after="0" w:line="210" w:lineRule="exact"/>
              <w:rPr>
                <w:sz w:val="20"/>
                <w:szCs w:val="20"/>
                <w:color w:val="auto"/>
              </w:rPr>
            </w:pPr>
            <w:r>
              <w:rPr>
                <w:rFonts w:ascii="Calibri" w:cs="Calibri" w:eastAsia="Calibri" w:hAnsi="Calibri"/>
                <w:sz w:val="18"/>
                <w:szCs w:val="18"/>
                <w:color w:val="242424"/>
              </w:rPr>
              <w:t>President, Semiconductor Solutons Group</w:t>
            </w:r>
          </w:p>
        </w:tc>
      </w:tr>
    </w:tbl>
    <w:p>
      <w:pPr>
        <w:spacing w:after="0" w:line="218" w:lineRule="exact"/>
        <w:rPr>
          <w:sz w:val="20"/>
          <w:szCs w:val="20"/>
          <w:color w:val="auto"/>
        </w:rPr>
      </w:pPr>
    </w:p>
    <w:p>
      <w:pPr>
        <w:ind w:right="60" w:firstLine="396"/>
        <w:spacing w:after="0" w:line="230" w:lineRule="auto"/>
        <w:rPr>
          <w:sz w:val="20"/>
          <w:szCs w:val="20"/>
          <w:color w:val="auto"/>
        </w:rPr>
      </w:pPr>
      <w:r>
        <w:rPr>
          <w:rFonts w:ascii="Calibri" w:cs="Calibri" w:eastAsia="Calibri" w:hAnsi="Calibri"/>
          <w:sz w:val="18"/>
          <w:szCs w:val="18"/>
          <w:color w:val="auto"/>
        </w:rPr>
        <w:t>Hock E. Tan has served as our President and Chief Executve Ofcer since March 2006. He was President and Chief Executve Ofcer at Integrated Circuit Systems, Inc. (“ICS”), a publicly traded tming solutons IC company, from 1999 untl its acquisiton by Integrated Device Technology, Inc. in 2005. He also held several executve leadership positons at ICS, including Chief Operatng Ofcer from 1996 to 1999 and Senior Vice President and Chief Financial Ofcer from 1995 to 1999. He was Vice President of Finance at Commodore Internatonal, Ltd. from 1992 to 1994, and held senior management positons at PepsiCo, Inc. and General Motors Corporaton. He was also managing director of Pacven Investment, Ltd., a venture capital fund in Singapore, from 1988 to 1992, and was managing director of Hume Industries Ltd. in Malaysia from 1983 to 1988.</w:t>
      </w:r>
    </w:p>
    <w:p>
      <w:pPr>
        <w:spacing w:after="0" w:line="110" w:lineRule="exact"/>
        <w:rPr>
          <w:sz w:val="20"/>
          <w:szCs w:val="20"/>
          <w:color w:val="auto"/>
        </w:rPr>
      </w:pPr>
    </w:p>
    <w:p>
      <w:pPr>
        <w:ind w:right="220" w:firstLine="396"/>
        <w:spacing w:after="0" w:line="230" w:lineRule="auto"/>
        <w:rPr>
          <w:sz w:val="20"/>
          <w:szCs w:val="20"/>
          <w:color w:val="auto"/>
        </w:rPr>
      </w:pPr>
      <w:r>
        <w:rPr>
          <w:rFonts w:ascii="Calibri" w:cs="Calibri" w:eastAsia="Calibri" w:hAnsi="Calibri"/>
          <w:sz w:val="18"/>
          <w:szCs w:val="18"/>
          <w:color w:val="auto"/>
        </w:rPr>
        <w:t>Kirsten M. Spears has served as our Chief Financial Ofcer and Chief Accountng Ofcer since December 2020. She served as our Principal Accountng Ofcer from March 2016 to December 2020 and Vice President and Corporate Controller from May 2014 to December 2020. She was Vice President and Corporate Controller at LSI Corporaton from 2007 untl its acquisiton by us in 2014. She held several management positons in accountng and reportng at LSI from 1997 to 2007. She also worked for PriceWaterhouseCoopers prior to joining LSI.</w:t>
      </w:r>
    </w:p>
    <w:p>
      <w:pPr>
        <w:spacing w:after="0" w:line="108" w:lineRule="exact"/>
        <w:rPr>
          <w:sz w:val="20"/>
          <w:szCs w:val="20"/>
          <w:color w:val="auto"/>
        </w:rPr>
      </w:pPr>
    </w:p>
    <w:p>
      <w:pPr>
        <w:ind w:right="80" w:firstLine="396"/>
        <w:spacing w:after="0" w:line="230" w:lineRule="auto"/>
        <w:rPr>
          <w:sz w:val="20"/>
          <w:szCs w:val="20"/>
          <w:color w:val="auto"/>
        </w:rPr>
      </w:pPr>
      <w:r>
        <w:rPr>
          <w:rFonts w:ascii="Calibri" w:cs="Calibri" w:eastAsia="Calibri" w:hAnsi="Calibri"/>
          <w:sz w:val="18"/>
          <w:szCs w:val="18"/>
          <w:color w:val="auto"/>
        </w:rPr>
        <w:t>Mark D. Brazeal has served as our Chief Legal and Corporate Afairs Ofcer since December 2021. He served as our Chief Legal Ofcer from March 2017 to December 2021. He was Chief Legal Ofcer and Senior Vice President, IP Licensing for SanDisk Corporaton from 2014 untl its acquisiton by Western Digital Corporaton in 2016. He held several senior legal positons at Broadcom Corporaton from 2000 to 2014, including Senior Vice President and Senior Deputy General Counsel in charge of all commercial, operatonal, IP licensing and litgaton maters. He was also an atorney in the transactonal and IP groups at the law frms of Wilson Sonsini Goodrich &amp; Rosat, Yuasa &amp; Hara and Howrey &amp; Simon prior to joining Broadcom Corporaton.</w:t>
      </w:r>
    </w:p>
    <w:p>
      <w:pPr>
        <w:spacing w:after="0" w:line="109" w:lineRule="exact"/>
        <w:rPr>
          <w:sz w:val="20"/>
          <w:szCs w:val="20"/>
          <w:color w:val="auto"/>
        </w:rPr>
      </w:pPr>
    </w:p>
    <w:p>
      <w:pPr>
        <w:ind w:right="60" w:firstLine="396"/>
        <w:spacing w:after="0" w:line="230" w:lineRule="auto"/>
        <w:rPr>
          <w:sz w:val="20"/>
          <w:szCs w:val="20"/>
          <w:color w:val="auto"/>
        </w:rPr>
      </w:pPr>
      <w:r>
        <w:rPr>
          <w:rFonts w:ascii="Calibri" w:cs="Calibri" w:eastAsia="Calibri" w:hAnsi="Calibri"/>
          <w:sz w:val="18"/>
          <w:szCs w:val="18"/>
          <w:color w:val="auto"/>
        </w:rPr>
        <w:t>Charlie B. Kawwas has served as our President, Semiconductor Solutons Group since July 2022. He served as our Chief Operatng Ofcer from December 2020 to July 2022, Senior Vice President and Chief Sales Ofcer from June 2015 to December 2020 and Senior Vice President, Worldwide Sales from May 2014 to June 2015. He was head of worldwide sales at</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9" w:right="339" w:bottom="1440" w:gutter="0" w:footer="0" w:header="0"/>
        </w:sectPr>
      </w:pPr>
    </w:p>
    <w:bookmarkStart w:id="13" w:name="page14"/>
    <w:bookmarkEnd w:id="13"/>
    <w:p>
      <w:pPr>
        <w:spacing w:after="0"/>
        <w:rPr>
          <w:sz w:val="20"/>
          <w:szCs w:val="20"/>
          <w:color w:val="auto"/>
        </w:rPr>
      </w:pPr>
      <w:r>
        <w:rPr>
          <w:rFonts w:ascii="Calibri" w:cs="Calibri" w:eastAsia="Calibri" w:hAnsi="Calibri"/>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line="230" w:lineRule="auto"/>
        <w:rPr>
          <w:sz w:val="20"/>
          <w:szCs w:val="20"/>
          <w:color w:val="auto"/>
        </w:rPr>
      </w:pPr>
      <w:r>
        <w:rPr>
          <w:rFonts w:ascii="Calibri" w:cs="Calibri" w:eastAsia="Calibri" w:hAnsi="Calibri"/>
          <w:sz w:val="18"/>
          <w:szCs w:val="18"/>
          <w:color w:val="auto"/>
        </w:rPr>
        <w:t>LSI Corporaton from 2010 untl its acquisiton by us in 2014. He held several executve leadership positons at LSI from 2007 to 2010, including Vice President of Sales and Marketng for the networking division and Vice President of Marketng for the networking and storage products group. He was also the leader of Product Line Management for the Optcal Ethernet and Mult-service Edge portolio at Nortel Networks Corporaton prior to joining LSI.</w:t>
      </w:r>
    </w:p>
    <w:p>
      <w:pPr>
        <w:spacing w:after="0" w:line="200" w:lineRule="exact"/>
        <w:rPr>
          <w:sz w:val="20"/>
          <w:szCs w:val="20"/>
          <w:color w:val="auto"/>
        </w:rPr>
      </w:pPr>
    </w:p>
    <w:p>
      <w:pPr>
        <w:spacing w:after="0" w:line="334" w:lineRule="exact"/>
        <w:rPr>
          <w:sz w:val="20"/>
          <w:szCs w:val="20"/>
          <w:color w:val="auto"/>
        </w:rPr>
      </w:pPr>
    </w:p>
    <w:p>
      <w:pPr>
        <w:jc w:val="center"/>
        <w:ind w:right="-159"/>
        <w:spacing w:after="0"/>
        <w:rPr>
          <w:sz w:val="20"/>
          <w:szCs w:val="20"/>
          <w:color w:val="auto"/>
        </w:rPr>
      </w:pPr>
      <w:r>
        <w:rPr>
          <w:rFonts w:ascii="Calibri" w:cs="Calibri" w:eastAsia="Calibri" w:hAnsi="Calibri"/>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100"/>
          </w:cols>
          <w:pgMar w:left="320" w:top="109" w:right="479" w:bottom="1440" w:gutter="0" w:footer="0" w:header="0"/>
        </w:sectPr>
      </w:pPr>
    </w:p>
    <w:bookmarkStart w:id="14" w:name="page15"/>
    <w:bookmarkEnd w:id="14"/>
    <w:p>
      <w:pPr>
        <w:spacing w:after="0"/>
        <w:rPr>
          <w:sz w:val="20"/>
          <w:szCs w:val="20"/>
          <w:color w:val="auto"/>
        </w:rPr>
      </w:pPr>
      <w:r>
        <w:rPr>
          <w:rFonts w:ascii="Calibri" w:cs="Calibri" w:eastAsia="Calibri" w:hAnsi="Calibri"/>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tabs>
          <w:tab w:leader="none" w:pos="820" w:val="left"/>
        </w:tabs>
        <w:rPr>
          <w:sz w:val="20"/>
          <w:szCs w:val="20"/>
          <w:color w:val="auto"/>
        </w:rPr>
      </w:pPr>
      <w:r>
        <w:rPr>
          <w:rFonts w:ascii="Calibri" w:cs="Calibri" w:eastAsia="Calibri" w:hAnsi="Calibri"/>
          <w:sz w:val="18"/>
          <w:szCs w:val="18"/>
          <w:b w:val="1"/>
          <w:bCs w:val="1"/>
          <w:color w:val="auto"/>
        </w:rPr>
        <w:t>ITEM 1A.</w:t>
      </w:r>
      <w:r>
        <w:rPr>
          <w:sz w:val="20"/>
          <w:szCs w:val="20"/>
          <w:color w:val="auto"/>
        </w:rPr>
        <w:tab/>
      </w:r>
      <w:r>
        <w:rPr>
          <w:rFonts w:ascii="Calibri" w:cs="Calibri" w:eastAsia="Calibri" w:hAnsi="Calibri"/>
          <w:sz w:val="17"/>
          <w:szCs w:val="17"/>
          <w:b w:val="1"/>
          <w:bCs w:val="1"/>
          <w:color w:val="auto"/>
        </w:rPr>
        <w:t>RISK FACTORS</w:t>
      </w:r>
    </w:p>
    <w:p>
      <w:pPr>
        <w:spacing w:after="0" w:line="107" w:lineRule="exact"/>
        <w:rPr>
          <w:sz w:val="20"/>
          <w:szCs w:val="20"/>
          <w:color w:val="auto"/>
        </w:rPr>
      </w:pPr>
    </w:p>
    <w:p>
      <w:pPr>
        <w:ind w:firstLine="317"/>
        <w:spacing w:after="0" w:line="230" w:lineRule="auto"/>
        <w:rPr>
          <w:sz w:val="20"/>
          <w:szCs w:val="20"/>
          <w:color w:val="auto"/>
        </w:rPr>
      </w:pPr>
      <w:r>
        <w:rPr>
          <w:rFonts w:ascii="Calibri" w:cs="Calibri" w:eastAsia="Calibri" w:hAnsi="Calibri"/>
          <w:sz w:val="18"/>
          <w:szCs w:val="18"/>
          <w:color w:val="auto"/>
        </w:rPr>
        <w:t>Our business, operatons and fnancial results are subject to various risks and uncertaintes, including those described below, that could adversely afect our business, fnancial conditon, results of operatons, cash fows, and the trading price of our common stock. The following material factors, among others, could cause our actual results to difer materially from historical results and those expressed in forward-looking statements made by us or on our behalf in flings with the SEC, press releases, communicatons with investors and oral statements.</w:t>
      </w:r>
    </w:p>
    <w:p>
      <w:pPr>
        <w:spacing w:after="0" w:line="99"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Risk Factors Summary</w:t>
      </w:r>
    </w:p>
    <w:p>
      <w:pPr>
        <w:spacing w:after="0" w:line="97" w:lineRule="exact"/>
        <w:rPr>
          <w:sz w:val="20"/>
          <w:szCs w:val="20"/>
          <w:color w:val="auto"/>
        </w:rPr>
      </w:pPr>
    </w:p>
    <w:p>
      <w:pPr>
        <w:ind w:left="320"/>
        <w:spacing w:after="0"/>
        <w:rPr>
          <w:sz w:val="20"/>
          <w:szCs w:val="20"/>
          <w:color w:val="auto"/>
        </w:rPr>
      </w:pPr>
      <w:r>
        <w:rPr>
          <w:rFonts w:ascii="Calibri" w:cs="Calibri" w:eastAsia="Calibri" w:hAnsi="Calibri"/>
          <w:sz w:val="18"/>
          <w:szCs w:val="18"/>
          <w:color w:val="auto"/>
        </w:rPr>
        <w:t>The following is a summary of the principal risks that could adversely afect our business, operatons and fnancial results.</w:t>
      </w:r>
    </w:p>
    <w:p>
      <w:pPr>
        <w:spacing w:after="0" w:line="97" w:lineRule="exact"/>
        <w:rPr>
          <w:sz w:val="20"/>
          <w:szCs w:val="20"/>
          <w:color w:val="auto"/>
        </w:rPr>
      </w:pPr>
    </w:p>
    <w:p>
      <w:pPr>
        <w:ind w:left="80"/>
        <w:spacing w:after="0"/>
        <w:rPr>
          <w:sz w:val="20"/>
          <w:szCs w:val="20"/>
          <w:color w:val="auto"/>
        </w:rPr>
      </w:pPr>
      <w:r>
        <w:rPr>
          <w:rFonts w:ascii="Calibri" w:cs="Calibri" w:eastAsia="Calibri" w:hAnsi="Calibri"/>
          <w:sz w:val="18"/>
          <w:szCs w:val="18"/>
          <w:b w:val="1"/>
          <w:bCs w:val="1"/>
          <w:i w:val="1"/>
          <w:iCs w:val="1"/>
          <w:color w:val="auto"/>
        </w:rPr>
        <w:t>Risks Related to Our Business</w:t>
      </w:r>
    </w:p>
    <w:p>
      <w:pPr>
        <w:spacing w:after="0" w:line="44" w:lineRule="exact"/>
        <w:rPr>
          <w:sz w:val="20"/>
          <w:szCs w:val="20"/>
          <w:color w:val="auto"/>
        </w:rPr>
      </w:pPr>
    </w:p>
    <w:p>
      <w:pPr>
        <w:ind w:left="640" w:hanging="317"/>
        <w:spacing w:after="0"/>
        <w:tabs>
          <w:tab w:leader="none" w:pos="640" w:val="left"/>
        </w:tabs>
        <w:numPr>
          <w:ilvl w:val="0"/>
          <w:numId w:val="3"/>
        </w:numPr>
        <w:rPr>
          <w:rFonts w:ascii="Calibri" w:cs="Calibri" w:eastAsia="Calibri" w:hAnsi="Calibri"/>
          <w:sz w:val="18"/>
          <w:szCs w:val="18"/>
          <w:color w:val="auto"/>
        </w:rPr>
      </w:pPr>
      <w:r>
        <w:rPr>
          <w:rFonts w:ascii="Calibri" w:cs="Calibri" w:eastAsia="Calibri" w:hAnsi="Calibri"/>
          <w:sz w:val="18"/>
          <w:szCs w:val="18"/>
          <w:color w:val="auto"/>
        </w:rPr>
        <w:t>Adverse global economic conditons could have a negatve efect on us.</w:t>
      </w:r>
    </w:p>
    <w:p>
      <w:pPr>
        <w:spacing w:after="0" w:line="54" w:lineRule="exact"/>
        <w:rPr>
          <w:rFonts w:ascii="Calibri" w:cs="Calibri" w:eastAsia="Calibri" w:hAnsi="Calibri"/>
          <w:sz w:val="18"/>
          <w:szCs w:val="18"/>
          <w:color w:val="auto"/>
        </w:rPr>
      </w:pPr>
    </w:p>
    <w:p>
      <w:pPr>
        <w:ind w:left="640" w:right="40" w:hanging="317"/>
        <w:spacing w:after="0" w:line="230" w:lineRule="auto"/>
        <w:tabs>
          <w:tab w:leader="none" w:pos="633" w:val="left"/>
        </w:tabs>
        <w:numPr>
          <w:ilvl w:val="0"/>
          <w:numId w:val="3"/>
        </w:numPr>
        <w:rPr>
          <w:rFonts w:ascii="Calibri" w:cs="Calibri" w:eastAsia="Calibri" w:hAnsi="Calibri"/>
          <w:sz w:val="18"/>
          <w:szCs w:val="18"/>
          <w:color w:val="auto"/>
        </w:rPr>
      </w:pPr>
      <w:r>
        <w:rPr>
          <w:rFonts w:ascii="Calibri" w:cs="Calibri" w:eastAsia="Calibri" w:hAnsi="Calibri"/>
          <w:sz w:val="18"/>
          <w:szCs w:val="18"/>
          <w:color w:val="auto"/>
        </w:rPr>
        <w:t>Our business is subject to various governmental regulatons and trade restrictons. Compliance with these regulatons may cause us to incur signifcant expense and, if we fail to maintain compliance, we may be forced to cease manufacture and distributon of certain products or subjected to administratve proceedings and civil or criminal penaltes.</w:t>
      </w:r>
    </w:p>
    <w:p>
      <w:pPr>
        <w:spacing w:after="0" w:line="45" w:lineRule="exact"/>
        <w:rPr>
          <w:rFonts w:ascii="Calibri" w:cs="Calibri" w:eastAsia="Calibri" w:hAnsi="Calibri"/>
          <w:sz w:val="18"/>
          <w:szCs w:val="18"/>
          <w:color w:val="auto"/>
        </w:rPr>
      </w:pPr>
    </w:p>
    <w:p>
      <w:pPr>
        <w:ind w:left="640" w:hanging="317"/>
        <w:spacing w:after="0"/>
        <w:tabs>
          <w:tab w:leader="none" w:pos="640" w:val="left"/>
        </w:tabs>
        <w:numPr>
          <w:ilvl w:val="0"/>
          <w:numId w:val="3"/>
        </w:numPr>
        <w:rPr>
          <w:rFonts w:ascii="Calibri" w:cs="Calibri" w:eastAsia="Calibri" w:hAnsi="Calibri"/>
          <w:sz w:val="18"/>
          <w:szCs w:val="18"/>
          <w:color w:val="auto"/>
        </w:rPr>
      </w:pPr>
      <w:r>
        <w:rPr>
          <w:rFonts w:ascii="Calibri" w:cs="Calibri" w:eastAsia="Calibri" w:hAnsi="Calibri"/>
          <w:sz w:val="18"/>
          <w:szCs w:val="18"/>
          <w:color w:val="auto"/>
        </w:rPr>
        <w:t>Global politcal and economic conditons and other factors related to our internatonal operatons could adversely afect us.</w:t>
      </w:r>
    </w:p>
    <w:p>
      <w:pPr>
        <w:spacing w:after="0" w:line="44" w:lineRule="exact"/>
        <w:rPr>
          <w:rFonts w:ascii="Calibri" w:cs="Calibri" w:eastAsia="Calibri" w:hAnsi="Calibri"/>
          <w:sz w:val="18"/>
          <w:szCs w:val="18"/>
          <w:color w:val="auto"/>
        </w:rPr>
      </w:pPr>
    </w:p>
    <w:p>
      <w:pPr>
        <w:ind w:left="640" w:hanging="317"/>
        <w:spacing w:after="0"/>
        <w:tabs>
          <w:tab w:leader="none" w:pos="640" w:val="left"/>
        </w:tabs>
        <w:numPr>
          <w:ilvl w:val="0"/>
          <w:numId w:val="3"/>
        </w:numPr>
        <w:rPr>
          <w:rFonts w:ascii="Calibri" w:cs="Calibri" w:eastAsia="Calibri" w:hAnsi="Calibri"/>
          <w:sz w:val="18"/>
          <w:szCs w:val="18"/>
          <w:color w:val="auto"/>
        </w:rPr>
      </w:pPr>
      <w:r>
        <w:rPr>
          <w:rFonts w:ascii="Calibri" w:cs="Calibri" w:eastAsia="Calibri" w:hAnsi="Calibri"/>
          <w:sz w:val="18"/>
          <w:szCs w:val="18"/>
          <w:color w:val="auto"/>
        </w:rPr>
        <w:t>The failure to realize the expected benefts from the VMware Merger may adversely afect our business and the value of our common stock.</w:t>
      </w:r>
    </w:p>
    <w:p>
      <w:pPr>
        <w:spacing w:after="0" w:line="44" w:lineRule="exact"/>
        <w:rPr>
          <w:rFonts w:ascii="Calibri" w:cs="Calibri" w:eastAsia="Calibri" w:hAnsi="Calibri"/>
          <w:sz w:val="18"/>
          <w:szCs w:val="18"/>
          <w:color w:val="auto"/>
        </w:rPr>
      </w:pPr>
    </w:p>
    <w:p>
      <w:pPr>
        <w:ind w:left="640" w:hanging="317"/>
        <w:spacing w:after="0"/>
        <w:tabs>
          <w:tab w:leader="none" w:pos="640" w:val="left"/>
        </w:tabs>
        <w:numPr>
          <w:ilvl w:val="0"/>
          <w:numId w:val="3"/>
        </w:numPr>
        <w:rPr>
          <w:rFonts w:ascii="Calibri" w:cs="Calibri" w:eastAsia="Calibri" w:hAnsi="Calibri"/>
          <w:sz w:val="18"/>
          <w:szCs w:val="18"/>
          <w:color w:val="auto"/>
        </w:rPr>
      </w:pPr>
      <w:r>
        <w:rPr>
          <w:rFonts w:ascii="Calibri" w:cs="Calibri" w:eastAsia="Calibri" w:hAnsi="Calibri"/>
          <w:sz w:val="18"/>
          <w:szCs w:val="18"/>
          <w:color w:val="auto"/>
        </w:rPr>
        <w:t>We may pursue acquisitons, investments, joint ventures and dispositons, which could adversely afect our results of operatons.</w:t>
      </w:r>
    </w:p>
    <w:p>
      <w:pPr>
        <w:spacing w:after="0" w:line="54" w:lineRule="exact"/>
        <w:rPr>
          <w:rFonts w:ascii="Calibri" w:cs="Calibri" w:eastAsia="Calibri" w:hAnsi="Calibri"/>
          <w:sz w:val="18"/>
          <w:szCs w:val="18"/>
          <w:color w:val="auto"/>
        </w:rPr>
      </w:pPr>
    </w:p>
    <w:p>
      <w:pPr>
        <w:ind w:left="640" w:hanging="317"/>
        <w:spacing w:after="0"/>
        <w:tabs>
          <w:tab w:leader="none" w:pos="640" w:val="left"/>
        </w:tabs>
        <w:numPr>
          <w:ilvl w:val="0"/>
          <w:numId w:val="3"/>
        </w:numPr>
        <w:rPr>
          <w:rFonts w:ascii="Calibri" w:cs="Calibri" w:eastAsia="Calibri" w:hAnsi="Calibri"/>
          <w:sz w:val="17"/>
          <w:szCs w:val="17"/>
          <w:color w:val="auto"/>
        </w:rPr>
      </w:pPr>
      <w:r>
        <w:rPr>
          <w:rFonts w:ascii="Calibri" w:cs="Calibri" w:eastAsia="Calibri" w:hAnsi="Calibri"/>
          <w:sz w:val="17"/>
          <w:szCs w:val="17"/>
          <w:color w:val="auto"/>
        </w:rPr>
        <w:t>We are subject to risks associated with our distributors and other channel partners, including product inventory levels and product sell-through.</w:t>
      </w:r>
    </w:p>
    <w:p>
      <w:pPr>
        <w:spacing w:after="0" w:line="56" w:lineRule="exact"/>
        <w:rPr>
          <w:rFonts w:ascii="Calibri" w:cs="Calibri" w:eastAsia="Calibri" w:hAnsi="Calibri"/>
          <w:sz w:val="17"/>
          <w:szCs w:val="17"/>
          <w:color w:val="auto"/>
        </w:rPr>
      </w:pPr>
    </w:p>
    <w:p>
      <w:pPr>
        <w:ind w:left="640" w:right="140" w:hanging="317"/>
        <w:spacing w:after="0" w:line="230" w:lineRule="auto"/>
        <w:tabs>
          <w:tab w:leader="none" w:pos="633" w:val="left"/>
        </w:tabs>
        <w:numPr>
          <w:ilvl w:val="0"/>
          <w:numId w:val="3"/>
        </w:numPr>
        <w:rPr>
          <w:rFonts w:ascii="Calibri" w:cs="Calibri" w:eastAsia="Calibri" w:hAnsi="Calibri"/>
          <w:sz w:val="18"/>
          <w:szCs w:val="18"/>
          <w:color w:val="auto"/>
        </w:rPr>
      </w:pPr>
      <w:r>
        <w:rPr>
          <w:rFonts w:ascii="Calibri" w:cs="Calibri" w:eastAsia="Calibri" w:hAnsi="Calibri"/>
          <w:sz w:val="18"/>
          <w:szCs w:val="18"/>
          <w:color w:val="auto"/>
        </w:rPr>
        <w:t>We are dependent on senior management and if we are unable to atract and retain qualifed personnel, we may not be able to execute our business strategy efectvely.</w:t>
      </w:r>
    </w:p>
    <w:p>
      <w:pPr>
        <w:spacing w:after="0" w:line="54" w:lineRule="exact"/>
        <w:rPr>
          <w:rFonts w:ascii="Calibri" w:cs="Calibri" w:eastAsia="Calibri" w:hAnsi="Calibri"/>
          <w:sz w:val="18"/>
          <w:szCs w:val="18"/>
          <w:color w:val="auto"/>
        </w:rPr>
      </w:pPr>
    </w:p>
    <w:p>
      <w:pPr>
        <w:ind w:left="640" w:right="100" w:hanging="317"/>
        <w:spacing w:after="0" w:line="230" w:lineRule="auto"/>
        <w:tabs>
          <w:tab w:leader="none" w:pos="633" w:val="left"/>
        </w:tabs>
        <w:numPr>
          <w:ilvl w:val="0"/>
          <w:numId w:val="3"/>
        </w:numPr>
        <w:rPr>
          <w:rFonts w:ascii="Calibri" w:cs="Calibri" w:eastAsia="Calibri" w:hAnsi="Calibri"/>
          <w:sz w:val="18"/>
          <w:szCs w:val="18"/>
          <w:color w:val="auto"/>
        </w:rPr>
      </w:pPr>
      <w:r>
        <w:rPr>
          <w:rFonts w:ascii="Calibri" w:cs="Calibri" w:eastAsia="Calibri" w:hAnsi="Calibri"/>
          <w:sz w:val="18"/>
          <w:szCs w:val="18"/>
          <w:color w:val="auto"/>
        </w:rPr>
        <w:t>An impairment of the confdentality, integrity, or availability of our IT systems, or those of one or more of our corporate infrastructure vendors, could have a material adverse efect on our business.</w:t>
      </w:r>
    </w:p>
    <w:p>
      <w:pPr>
        <w:spacing w:after="0" w:line="44" w:lineRule="exact"/>
        <w:rPr>
          <w:rFonts w:ascii="Calibri" w:cs="Calibri" w:eastAsia="Calibri" w:hAnsi="Calibri"/>
          <w:sz w:val="18"/>
          <w:szCs w:val="18"/>
          <w:color w:val="auto"/>
        </w:rPr>
      </w:pPr>
    </w:p>
    <w:p>
      <w:pPr>
        <w:ind w:left="640" w:hanging="317"/>
        <w:spacing w:after="0"/>
        <w:tabs>
          <w:tab w:leader="none" w:pos="640" w:val="left"/>
        </w:tabs>
        <w:numPr>
          <w:ilvl w:val="0"/>
          <w:numId w:val="3"/>
        </w:numPr>
        <w:rPr>
          <w:rFonts w:ascii="Calibri" w:cs="Calibri" w:eastAsia="Calibri" w:hAnsi="Calibri"/>
          <w:sz w:val="18"/>
          <w:szCs w:val="18"/>
          <w:color w:val="auto"/>
        </w:rPr>
      </w:pPr>
      <w:r>
        <w:rPr>
          <w:rFonts w:ascii="Calibri" w:cs="Calibri" w:eastAsia="Calibri" w:hAnsi="Calibri"/>
          <w:sz w:val="18"/>
          <w:szCs w:val="18"/>
          <w:color w:val="auto"/>
        </w:rPr>
        <w:t>We operate in the highly cyclical semiconductor industry.</w:t>
      </w:r>
    </w:p>
    <w:p>
      <w:pPr>
        <w:spacing w:after="0" w:line="54" w:lineRule="exact"/>
        <w:rPr>
          <w:rFonts w:ascii="Calibri" w:cs="Calibri" w:eastAsia="Calibri" w:hAnsi="Calibri"/>
          <w:sz w:val="18"/>
          <w:szCs w:val="18"/>
          <w:color w:val="auto"/>
        </w:rPr>
      </w:pPr>
    </w:p>
    <w:p>
      <w:pPr>
        <w:ind w:left="640" w:right="120" w:hanging="317"/>
        <w:spacing w:after="0" w:line="230" w:lineRule="auto"/>
        <w:tabs>
          <w:tab w:leader="none" w:pos="633" w:val="left"/>
        </w:tabs>
        <w:numPr>
          <w:ilvl w:val="0"/>
          <w:numId w:val="3"/>
        </w:numPr>
        <w:rPr>
          <w:rFonts w:ascii="Calibri" w:cs="Calibri" w:eastAsia="Calibri" w:hAnsi="Calibri"/>
          <w:sz w:val="18"/>
          <w:szCs w:val="18"/>
          <w:color w:val="auto"/>
        </w:rPr>
      </w:pPr>
      <w:r>
        <w:rPr>
          <w:rFonts w:ascii="Calibri" w:cs="Calibri" w:eastAsia="Calibri" w:hAnsi="Calibri"/>
          <w:sz w:val="18"/>
          <w:szCs w:val="18"/>
          <w:color w:val="auto"/>
        </w:rPr>
        <w:t>The majority of our sales come from a small number of customers and a reducton in demand or loss of one or more of our signifcant customers may adversely afect our business.</w:t>
      </w:r>
    </w:p>
    <w:p>
      <w:pPr>
        <w:spacing w:after="0" w:line="54" w:lineRule="exact"/>
        <w:rPr>
          <w:rFonts w:ascii="Calibri" w:cs="Calibri" w:eastAsia="Calibri" w:hAnsi="Calibri"/>
          <w:sz w:val="18"/>
          <w:szCs w:val="18"/>
          <w:color w:val="auto"/>
        </w:rPr>
      </w:pPr>
    </w:p>
    <w:p>
      <w:pPr>
        <w:ind w:left="640" w:right="40" w:hanging="317"/>
        <w:spacing w:after="0" w:line="230" w:lineRule="auto"/>
        <w:tabs>
          <w:tab w:leader="none" w:pos="633" w:val="left"/>
        </w:tabs>
        <w:numPr>
          <w:ilvl w:val="0"/>
          <w:numId w:val="3"/>
        </w:numPr>
        <w:rPr>
          <w:rFonts w:ascii="Calibri" w:cs="Calibri" w:eastAsia="Calibri" w:hAnsi="Calibri"/>
          <w:sz w:val="18"/>
          <w:szCs w:val="18"/>
          <w:color w:val="auto"/>
        </w:rPr>
      </w:pPr>
      <w:r>
        <w:rPr>
          <w:rFonts w:ascii="Calibri" w:cs="Calibri" w:eastAsia="Calibri" w:hAnsi="Calibri"/>
          <w:sz w:val="18"/>
          <w:szCs w:val="18"/>
          <w:color w:val="auto"/>
        </w:rPr>
        <w:t>Dependence on contract manufacturing and suppliers of critcal components within our supply chain may adversely afect our ability to bring products to market.</w:t>
      </w:r>
    </w:p>
    <w:p>
      <w:pPr>
        <w:spacing w:after="0" w:line="44" w:lineRule="exact"/>
        <w:rPr>
          <w:rFonts w:ascii="Calibri" w:cs="Calibri" w:eastAsia="Calibri" w:hAnsi="Calibri"/>
          <w:sz w:val="18"/>
          <w:szCs w:val="18"/>
          <w:color w:val="auto"/>
        </w:rPr>
      </w:pPr>
    </w:p>
    <w:p>
      <w:pPr>
        <w:ind w:left="640" w:hanging="317"/>
        <w:spacing w:after="0"/>
        <w:tabs>
          <w:tab w:leader="none" w:pos="640" w:val="left"/>
        </w:tabs>
        <w:numPr>
          <w:ilvl w:val="0"/>
          <w:numId w:val="3"/>
        </w:numPr>
        <w:rPr>
          <w:rFonts w:ascii="Calibri" w:cs="Calibri" w:eastAsia="Calibri" w:hAnsi="Calibri"/>
          <w:sz w:val="18"/>
          <w:szCs w:val="18"/>
          <w:color w:val="auto"/>
        </w:rPr>
      </w:pPr>
      <w:r>
        <w:rPr>
          <w:rFonts w:ascii="Calibri" w:cs="Calibri" w:eastAsia="Calibri" w:hAnsi="Calibri"/>
          <w:sz w:val="18"/>
          <w:szCs w:val="18"/>
          <w:color w:val="auto"/>
        </w:rPr>
        <w:t>We purchase a signifcant amount of the materials used in our products from a limited number of suppliers.</w:t>
      </w:r>
    </w:p>
    <w:p>
      <w:pPr>
        <w:spacing w:after="0" w:line="44" w:lineRule="exact"/>
        <w:rPr>
          <w:rFonts w:ascii="Calibri" w:cs="Calibri" w:eastAsia="Calibri" w:hAnsi="Calibri"/>
          <w:sz w:val="18"/>
          <w:szCs w:val="18"/>
          <w:color w:val="auto"/>
        </w:rPr>
      </w:pPr>
    </w:p>
    <w:p>
      <w:pPr>
        <w:ind w:left="640" w:hanging="317"/>
        <w:spacing w:after="0"/>
        <w:tabs>
          <w:tab w:leader="none" w:pos="640" w:val="left"/>
        </w:tabs>
        <w:numPr>
          <w:ilvl w:val="0"/>
          <w:numId w:val="3"/>
        </w:numPr>
        <w:rPr>
          <w:rFonts w:ascii="Calibri" w:cs="Calibri" w:eastAsia="Calibri" w:hAnsi="Calibri"/>
          <w:sz w:val="18"/>
          <w:szCs w:val="18"/>
          <w:color w:val="auto"/>
        </w:rPr>
      </w:pPr>
      <w:r>
        <w:rPr>
          <w:rFonts w:ascii="Calibri" w:cs="Calibri" w:eastAsia="Calibri" w:hAnsi="Calibri"/>
          <w:sz w:val="18"/>
          <w:szCs w:val="18"/>
          <w:color w:val="auto"/>
        </w:rPr>
        <w:t>Failure to adjust our manufacturing and supply chain to accurately meet customer demand could adversely afect our results of operatons.</w:t>
      </w:r>
    </w:p>
    <w:p>
      <w:pPr>
        <w:spacing w:after="0" w:line="54" w:lineRule="exact"/>
        <w:rPr>
          <w:rFonts w:ascii="Calibri" w:cs="Calibri" w:eastAsia="Calibri" w:hAnsi="Calibri"/>
          <w:sz w:val="18"/>
          <w:szCs w:val="18"/>
          <w:color w:val="auto"/>
        </w:rPr>
      </w:pPr>
    </w:p>
    <w:p>
      <w:pPr>
        <w:ind w:left="640" w:hanging="317"/>
        <w:spacing w:after="0" w:line="230" w:lineRule="auto"/>
        <w:tabs>
          <w:tab w:leader="none" w:pos="633" w:val="left"/>
        </w:tabs>
        <w:numPr>
          <w:ilvl w:val="0"/>
          <w:numId w:val="3"/>
        </w:numPr>
        <w:rPr>
          <w:rFonts w:ascii="Calibri" w:cs="Calibri" w:eastAsia="Calibri" w:hAnsi="Calibri"/>
          <w:sz w:val="18"/>
          <w:szCs w:val="18"/>
          <w:color w:val="auto"/>
        </w:rPr>
      </w:pPr>
      <w:r>
        <w:rPr>
          <w:rFonts w:ascii="Calibri" w:cs="Calibri" w:eastAsia="Calibri" w:hAnsi="Calibri"/>
          <w:sz w:val="18"/>
          <w:szCs w:val="18"/>
          <w:color w:val="auto"/>
        </w:rPr>
        <w:t>Winning business in the semiconductor solutons industry is subject to a lengthy process that ofen requires us to incur signifcant expense, from which we may ultmately generate no revenue.</w:t>
      </w:r>
    </w:p>
    <w:p>
      <w:pPr>
        <w:spacing w:after="0" w:line="54" w:lineRule="exact"/>
        <w:rPr>
          <w:rFonts w:ascii="Calibri" w:cs="Calibri" w:eastAsia="Calibri" w:hAnsi="Calibri"/>
          <w:sz w:val="18"/>
          <w:szCs w:val="18"/>
          <w:color w:val="auto"/>
        </w:rPr>
      </w:pPr>
    </w:p>
    <w:p>
      <w:pPr>
        <w:ind w:left="640" w:right="20" w:hanging="317"/>
        <w:spacing w:after="0" w:line="230" w:lineRule="auto"/>
        <w:tabs>
          <w:tab w:leader="none" w:pos="633" w:val="left"/>
        </w:tabs>
        <w:numPr>
          <w:ilvl w:val="0"/>
          <w:numId w:val="3"/>
        </w:numPr>
        <w:rPr>
          <w:rFonts w:ascii="Calibri" w:cs="Calibri" w:eastAsia="Calibri" w:hAnsi="Calibri"/>
          <w:sz w:val="18"/>
          <w:szCs w:val="18"/>
          <w:color w:val="auto"/>
        </w:rPr>
      </w:pPr>
      <w:r>
        <w:rPr>
          <w:rFonts w:ascii="Calibri" w:cs="Calibri" w:eastAsia="Calibri" w:hAnsi="Calibri"/>
          <w:sz w:val="18"/>
          <w:szCs w:val="18"/>
          <w:color w:val="auto"/>
        </w:rPr>
        <w:t>A prolonged disrupton of our manufacturing facilites, research and development facilites, warehouses or other signifcant operatons, or those of our suppliers, could have a material adverse efect on us.</w:t>
      </w:r>
    </w:p>
    <w:p>
      <w:pPr>
        <w:spacing w:after="0" w:line="44" w:lineRule="exact"/>
        <w:rPr>
          <w:rFonts w:ascii="Calibri" w:cs="Calibri" w:eastAsia="Calibri" w:hAnsi="Calibri"/>
          <w:sz w:val="18"/>
          <w:szCs w:val="18"/>
          <w:color w:val="auto"/>
        </w:rPr>
      </w:pPr>
    </w:p>
    <w:p>
      <w:pPr>
        <w:ind w:left="640" w:hanging="317"/>
        <w:spacing w:after="0"/>
        <w:tabs>
          <w:tab w:leader="none" w:pos="640" w:val="left"/>
        </w:tabs>
        <w:numPr>
          <w:ilvl w:val="0"/>
          <w:numId w:val="3"/>
        </w:numPr>
        <w:rPr>
          <w:rFonts w:ascii="Calibri" w:cs="Calibri" w:eastAsia="Calibri" w:hAnsi="Calibri"/>
          <w:sz w:val="18"/>
          <w:szCs w:val="18"/>
          <w:color w:val="auto"/>
        </w:rPr>
      </w:pPr>
      <w:r>
        <w:rPr>
          <w:rFonts w:ascii="Calibri" w:cs="Calibri" w:eastAsia="Calibri" w:hAnsi="Calibri"/>
          <w:sz w:val="18"/>
          <w:szCs w:val="18"/>
          <w:color w:val="auto"/>
        </w:rPr>
        <w:t>We may be unable to maintain appropriate manufacturing capacity or product yields at our own manufacturing facilites.</w:t>
      </w:r>
    </w:p>
    <w:p>
      <w:pPr>
        <w:spacing w:after="0" w:line="44" w:lineRule="exact"/>
        <w:rPr>
          <w:rFonts w:ascii="Calibri" w:cs="Calibri" w:eastAsia="Calibri" w:hAnsi="Calibri"/>
          <w:sz w:val="18"/>
          <w:szCs w:val="18"/>
          <w:color w:val="auto"/>
        </w:rPr>
      </w:pPr>
    </w:p>
    <w:p>
      <w:pPr>
        <w:ind w:left="640" w:hanging="317"/>
        <w:spacing w:after="0"/>
        <w:tabs>
          <w:tab w:leader="none" w:pos="640" w:val="left"/>
        </w:tabs>
        <w:numPr>
          <w:ilvl w:val="0"/>
          <w:numId w:val="3"/>
        </w:numPr>
        <w:rPr>
          <w:rFonts w:ascii="Calibri" w:cs="Calibri" w:eastAsia="Calibri" w:hAnsi="Calibri"/>
          <w:sz w:val="18"/>
          <w:szCs w:val="18"/>
          <w:color w:val="auto"/>
        </w:rPr>
      </w:pPr>
      <w:r>
        <w:rPr>
          <w:rFonts w:ascii="Calibri" w:cs="Calibri" w:eastAsia="Calibri" w:hAnsi="Calibri"/>
          <w:sz w:val="18"/>
          <w:szCs w:val="18"/>
          <w:color w:val="auto"/>
        </w:rPr>
        <w:t>We may be involved in legal proceedings, including IP, securites litgaton, and employee-related claims that could adversely afect our business.</w:t>
      </w:r>
    </w:p>
    <w:p>
      <w:pPr>
        <w:spacing w:after="0" w:line="44" w:lineRule="exact"/>
        <w:rPr>
          <w:rFonts w:ascii="Calibri" w:cs="Calibri" w:eastAsia="Calibri" w:hAnsi="Calibri"/>
          <w:sz w:val="18"/>
          <w:szCs w:val="18"/>
          <w:color w:val="auto"/>
        </w:rPr>
      </w:pPr>
    </w:p>
    <w:p>
      <w:pPr>
        <w:ind w:left="640" w:hanging="317"/>
        <w:spacing w:after="0"/>
        <w:tabs>
          <w:tab w:leader="none" w:pos="640" w:val="left"/>
        </w:tabs>
        <w:numPr>
          <w:ilvl w:val="0"/>
          <w:numId w:val="3"/>
        </w:numPr>
        <w:rPr>
          <w:rFonts w:ascii="Calibri" w:cs="Calibri" w:eastAsia="Calibri" w:hAnsi="Calibri"/>
          <w:sz w:val="18"/>
          <w:szCs w:val="18"/>
          <w:color w:val="auto"/>
        </w:rPr>
      </w:pPr>
      <w:r>
        <w:rPr>
          <w:rFonts w:ascii="Calibri" w:cs="Calibri" w:eastAsia="Calibri" w:hAnsi="Calibri"/>
          <w:sz w:val="18"/>
          <w:szCs w:val="18"/>
          <w:color w:val="auto"/>
        </w:rPr>
        <w:t>If demand for our data center virtualizaton products is less than antcipated, our business could be adversely afected.</w:t>
      </w:r>
    </w:p>
    <w:p>
      <w:pPr>
        <w:spacing w:after="0" w:line="44" w:lineRule="exact"/>
        <w:rPr>
          <w:rFonts w:ascii="Calibri" w:cs="Calibri" w:eastAsia="Calibri" w:hAnsi="Calibri"/>
          <w:sz w:val="18"/>
          <w:szCs w:val="18"/>
          <w:color w:val="auto"/>
        </w:rPr>
      </w:pPr>
    </w:p>
    <w:p>
      <w:pPr>
        <w:ind w:left="640" w:hanging="317"/>
        <w:spacing w:after="0"/>
        <w:tabs>
          <w:tab w:leader="none" w:pos="640" w:val="left"/>
        </w:tabs>
        <w:numPr>
          <w:ilvl w:val="0"/>
          <w:numId w:val="3"/>
        </w:numPr>
        <w:rPr>
          <w:rFonts w:ascii="Calibri" w:cs="Calibri" w:eastAsia="Calibri" w:hAnsi="Calibri"/>
          <w:sz w:val="18"/>
          <w:szCs w:val="18"/>
          <w:color w:val="auto"/>
        </w:rPr>
      </w:pPr>
      <w:r>
        <w:rPr>
          <w:rFonts w:ascii="Calibri" w:cs="Calibri" w:eastAsia="Calibri" w:hAnsi="Calibri"/>
          <w:sz w:val="18"/>
          <w:szCs w:val="18"/>
          <w:color w:val="auto"/>
        </w:rPr>
        <w:t>The growth of our sofware business depends on customer acceptance of our newer products and services.</w:t>
      </w:r>
    </w:p>
    <w:p>
      <w:pPr>
        <w:spacing w:after="0" w:line="54" w:lineRule="exact"/>
        <w:rPr>
          <w:rFonts w:ascii="Calibri" w:cs="Calibri" w:eastAsia="Calibri" w:hAnsi="Calibri"/>
          <w:sz w:val="18"/>
          <w:szCs w:val="18"/>
          <w:color w:val="auto"/>
        </w:rPr>
      </w:pPr>
    </w:p>
    <w:p>
      <w:pPr>
        <w:ind w:left="640" w:right="40" w:hanging="317"/>
        <w:spacing w:after="0" w:line="230" w:lineRule="auto"/>
        <w:tabs>
          <w:tab w:leader="none" w:pos="633" w:val="left"/>
        </w:tabs>
        <w:numPr>
          <w:ilvl w:val="0"/>
          <w:numId w:val="3"/>
        </w:numPr>
        <w:rPr>
          <w:rFonts w:ascii="Calibri" w:cs="Calibri" w:eastAsia="Calibri" w:hAnsi="Calibri"/>
          <w:sz w:val="18"/>
          <w:szCs w:val="18"/>
          <w:color w:val="auto"/>
        </w:rPr>
      </w:pPr>
      <w:r>
        <w:rPr>
          <w:rFonts w:ascii="Calibri" w:cs="Calibri" w:eastAsia="Calibri" w:hAnsi="Calibri"/>
          <w:sz w:val="18"/>
          <w:szCs w:val="18"/>
          <w:color w:val="auto"/>
        </w:rPr>
        <w:t>Incompatbility of our sofware products with operatng environments, platorms, or third-party products, demand for our products and services could decrease.</w:t>
      </w:r>
    </w:p>
    <w:p>
      <w:pPr>
        <w:spacing w:after="0" w:line="44" w:lineRule="exact"/>
        <w:rPr>
          <w:rFonts w:ascii="Calibri" w:cs="Calibri" w:eastAsia="Calibri" w:hAnsi="Calibri"/>
          <w:sz w:val="18"/>
          <w:szCs w:val="18"/>
          <w:color w:val="auto"/>
        </w:rPr>
      </w:pPr>
    </w:p>
    <w:p>
      <w:pPr>
        <w:ind w:left="640" w:hanging="317"/>
        <w:spacing w:after="0"/>
        <w:tabs>
          <w:tab w:leader="none" w:pos="640" w:val="left"/>
        </w:tabs>
        <w:numPr>
          <w:ilvl w:val="0"/>
          <w:numId w:val="3"/>
        </w:numPr>
        <w:rPr>
          <w:rFonts w:ascii="Calibri" w:cs="Calibri" w:eastAsia="Calibri" w:hAnsi="Calibri"/>
          <w:sz w:val="18"/>
          <w:szCs w:val="18"/>
          <w:color w:val="auto"/>
        </w:rPr>
      </w:pPr>
      <w:r>
        <w:rPr>
          <w:rFonts w:ascii="Calibri" w:cs="Calibri" w:eastAsia="Calibri" w:hAnsi="Calibri"/>
          <w:sz w:val="18"/>
          <w:szCs w:val="18"/>
          <w:color w:val="auto"/>
        </w:rPr>
        <w:t>Failure to enter into sofware license agreements on a satsfactory basis could adversely afect us.</w:t>
      </w:r>
    </w:p>
    <w:p>
      <w:pPr>
        <w:spacing w:after="0" w:line="54" w:lineRule="exact"/>
        <w:rPr>
          <w:rFonts w:ascii="Calibri" w:cs="Calibri" w:eastAsia="Calibri" w:hAnsi="Calibri"/>
          <w:sz w:val="18"/>
          <w:szCs w:val="18"/>
          <w:color w:val="auto"/>
        </w:rPr>
      </w:pPr>
    </w:p>
    <w:p>
      <w:pPr>
        <w:ind w:left="640" w:right="120" w:hanging="317"/>
        <w:spacing w:after="0" w:line="230" w:lineRule="auto"/>
        <w:tabs>
          <w:tab w:leader="none" w:pos="633" w:val="left"/>
        </w:tabs>
        <w:numPr>
          <w:ilvl w:val="0"/>
          <w:numId w:val="3"/>
        </w:numPr>
        <w:rPr>
          <w:rFonts w:ascii="Calibri" w:cs="Calibri" w:eastAsia="Calibri" w:hAnsi="Calibri"/>
          <w:sz w:val="18"/>
          <w:szCs w:val="18"/>
          <w:color w:val="auto"/>
        </w:rPr>
      </w:pPr>
      <w:r>
        <w:rPr>
          <w:rFonts w:ascii="Calibri" w:cs="Calibri" w:eastAsia="Calibri" w:hAnsi="Calibri"/>
          <w:sz w:val="18"/>
          <w:szCs w:val="18"/>
          <w:color w:val="auto"/>
        </w:rPr>
        <w:t>Licensed third party sofware used in our products may not be available to us in the future, which may delay product development and producton or cause us to incur additonal expense.</w:t>
      </w:r>
    </w:p>
    <w:p>
      <w:pPr>
        <w:spacing w:after="0" w:line="200" w:lineRule="exact"/>
        <w:rPr>
          <w:sz w:val="20"/>
          <w:szCs w:val="20"/>
          <w:color w:val="auto"/>
        </w:rPr>
      </w:pPr>
    </w:p>
    <w:p>
      <w:pPr>
        <w:spacing w:after="0" w:line="373" w:lineRule="exact"/>
        <w:rPr>
          <w:sz w:val="20"/>
          <w:szCs w:val="20"/>
          <w:color w:val="auto"/>
        </w:rPr>
      </w:pPr>
    </w:p>
    <w:p>
      <w:pPr>
        <w:jc w:val="center"/>
        <w:ind w:right="-119"/>
        <w:spacing w:after="0"/>
        <w:rPr>
          <w:sz w:val="20"/>
          <w:szCs w:val="20"/>
          <w:color w:val="auto"/>
        </w:rPr>
      </w:pPr>
      <w:r>
        <w:rPr>
          <w:rFonts w:ascii="Calibri" w:cs="Calibri" w:eastAsia="Calibri" w:hAnsi="Calibri"/>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120"/>
          </w:cols>
          <w:pgMar w:left="320" w:top="109" w:right="459" w:bottom="1440" w:gutter="0" w:footer="0" w:header="0"/>
        </w:sectPr>
      </w:pPr>
    </w:p>
    <w:bookmarkStart w:id="15" w:name="page16"/>
    <w:bookmarkEnd w:id="15"/>
    <w:p>
      <w:pPr>
        <w:spacing w:after="0"/>
        <w:rPr>
          <w:sz w:val="20"/>
          <w:szCs w:val="20"/>
          <w:color w:val="auto"/>
        </w:rPr>
      </w:pPr>
      <w:r>
        <w:rPr>
          <w:rFonts w:ascii="Calibri" w:cs="Calibri" w:eastAsia="Calibri" w:hAnsi="Calibri"/>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640" w:right="300" w:hanging="317"/>
        <w:spacing w:after="0" w:line="230" w:lineRule="auto"/>
        <w:tabs>
          <w:tab w:leader="none" w:pos="633" w:val="left"/>
        </w:tabs>
        <w:numPr>
          <w:ilvl w:val="0"/>
          <w:numId w:val="4"/>
        </w:numPr>
        <w:rPr>
          <w:rFonts w:ascii="Calibri" w:cs="Calibri" w:eastAsia="Calibri" w:hAnsi="Calibri"/>
          <w:sz w:val="18"/>
          <w:szCs w:val="18"/>
          <w:color w:val="auto"/>
        </w:rPr>
      </w:pPr>
      <w:r>
        <w:rPr>
          <w:rFonts w:ascii="Calibri" w:cs="Calibri" w:eastAsia="Calibri" w:hAnsi="Calibri"/>
          <w:sz w:val="18"/>
          <w:szCs w:val="18"/>
          <w:color w:val="auto"/>
        </w:rPr>
        <w:t>Our use of open source sofware in certain products and services could materially adversely afect our business, fnancial conditon and results of operatons.</w:t>
      </w:r>
    </w:p>
    <w:p>
      <w:pPr>
        <w:spacing w:after="0" w:line="54" w:lineRule="exact"/>
        <w:rPr>
          <w:rFonts w:ascii="Calibri" w:cs="Calibri" w:eastAsia="Calibri" w:hAnsi="Calibri"/>
          <w:sz w:val="18"/>
          <w:szCs w:val="18"/>
          <w:color w:val="auto"/>
        </w:rPr>
      </w:pPr>
    </w:p>
    <w:p>
      <w:pPr>
        <w:ind w:left="640" w:hanging="317"/>
        <w:spacing w:after="0"/>
        <w:tabs>
          <w:tab w:leader="none" w:pos="640" w:val="left"/>
        </w:tabs>
        <w:numPr>
          <w:ilvl w:val="0"/>
          <w:numId w:val="4"/>
        </w:numPr>
        <w:rPr>
          <w:rFonts w:ascii="Calibri" w:cs="Calibri" w:eastAsia="Calibri" w:hAnsi="Calibri"/>
          <w:sz w:val="17"/>
          <w:szCs w:val="17"/>
          <w:color w:val="auto"/>
        </w:rPr>
      </w:pPr>
      <w:r>
        <w:rPr>
          <w:rFonts w:ascii="Calibri" w:cs="Calibri" w:eastAsia="Calibri" w:hAnsi="Calibri"/>
          <w:sz w:val="17"/>
          <w:szCs w:val="17"/>
          <w:color w:val="auto"/>
        </w:rPr>
        <w:t>Failure of our sofware products to manage and secure IT infrastructures and environments could have a material adverse efect on our business.</w:t>
      </w:r>
    </w:p>
    <w:p>
      <w:pPr>
        <w:spacing w:after="0" w:line="56" w:lineRule="exact"/>
        <w:rPr>
          <w:rFonts w:ascii="Calibri" w:cs="Calibri" w:eastAsia="Calibri" w:hAnsi="Calibri"/>
          <w:sz w:val="17"/>
          <w:szCs w:val="17"/>
          <w:color w:val="auto"/>
        </w:rPr>
      </w:pPr>
    </w:p>
    <w:p>
      <w:pPr>
        <w:ind w:left="640" w:right="340" w:hanging="317"/>
        <w:spacing w:after="0" w:line="230" w:lineRule="auto"/>
        <w:tabs>
          <w:tab w:leader="none" w:pos="633" w:val="left"/>
        </w:tabs>
        <w:numPr>
          <w:ilvl w:val="0"/>
          <w:numId w:val="4"/>
        </w:numPr>
        <w:rPr>
          <w:rFonts w:ascii="Calibri" w:cs="Calibri" w:eastAsia="Calibri" w:hAnsi="Calibri"/>
          <w:sz w:val="18"/>
          <w:szCs w:val="18"/>
          <w:color w:val="auto"/>
        </w:rPr>
      </w:pPr>
      <w:r>
        <w:rPr>
          <w:rFonts w:ascii="Calibri" w:cs="Calibri" w:eastAsia="Calibri" w:hAnsi="Calibri"/>
          <w:sz w:val="18"/>
          <w:szCs w:val="18"/>
          <w:color w:val="auto"/>
        </w:rPr>
        <w:t>Our sales to government customers subject us to uncertaintes and governmental regulatons, which could have a material adverse efect on our business.</w:t>
      </w:r>
    </w:p>
    <w:p>
      <w:pPr>
        <w:spacing w:after="0" w:line="44" w:lineRule="exact"/>
        <w:rPr>
          <w:rFonts w:ascii="Calibri" w:cs="Calibri" w:eastAsia="Calibri" w:hAnsi="Calibri"/>
          <w:sz w:val="18"/>
          <w:szCs w:val="18"/>
          <w:color w:val="auto"/>
        </w:rPr>
      </w:pPr>
    </w:p>
    <w:p>
      <w:pPr>
        <w:ind w:left="640" w:hanging="317"/>
        <w:spacing w:after="0"/>
        <w:tabs>
          <w:tab w:leader="none" w:pos="640" w:val="left"/>
        </w:tabs>
        <w:numPr>
          <w:ilvl w:val="0"/>
          <w:numId w:val="4"/>
        </w:numPr>
        <w:rPr>
          <w:rFonts w:ascii="Calibri" w:cs="Calibri" w:eastAsia="Calibri" w:hAnsi="Calibri"/>
          <w:sz w:val="18"/>
          <w:szCs w:val="18"/>
          <w:color w:val="auto"/>
        </w:rPr>
      </w:pPr>
      <w:r>
        <w:rPr>
          <w:rFonts w:ascii="Calibri" w:cs="Calibri" w:eastAsia="Calibri" w:hAnsi="Calibri"/>
          <w:sz w:val="18"/>
          <w:szCs w:val="18"/>
          <w:color w:val="auto"/>
        </w:rPr>
        <w:t>Failure to efectvely manage our products and services lifecycles could harm our business.</w:t>
      </w:r>
    </w:p>
    <w:p>
      <w:pPr>
        <w:spacing w:after="0" w:line="44" w:lineRule="exact"/>
        <w:rPr>
          <w:rFonts w:ascii="Calibri" w:cs="Calibri" w:eastAsia="Calibri" w:hAnsi="Calibri"/>
          <w:sz w:val="18"/>
          <w:szCs w:val="18"/>
          <w:color w:val="auto"/>
        </w:rPr>
      </w:pPr>
    </w:p>
    <w:p>
      <w:pPr>
        <w:ind w:left="640" w:hanging="317"/>
        <w:spacing w:after="0"/>
        <w:tabs>
          <w:tab w:leader="none" w:pos="640" w:val="left"/>
        </w:tabs>
        <w:numPr>
          <w:ilvl w:val="0"/>
          <w:numId w:val="4"/>
        </w:numPr>
        <w:rPr>
          <w:rFonts w:ascii="Calibri" w:cs="Calibri" w:eastAsia="Calibri" w:hAnsi="Calibri"/>
          <w:sz w:val="18"/>
          <w:szCs w:val="18"/>
          <w:color w:val="auto"/>
        </w:rPr>
      </w:pPr>
      <w:r>
        <w:rPr>
          <w:rFonts w:ascii="Calibri" w:cs="Calibri" w:eastAsia="Calibri" w:hAnsi="Calibri"/>
          <w:sz w:val="18"/>
          <w:szCs w:val="18"/>
          <w:color w:val="auto"/>
        </w:rPr>
        <w:t>Our operatng results are subject to substantal quarterly and annual fuctuatons.</w:t>
      </w:r>
    </w:p>
    <w:p>
      <w:pPr>
        <w:spacing w:after="0" w:line="44" w:lineRule="exact"/>
        <w:rPr>
          <w:rFonts w:ascii="Calibri" w:cs="Calibri" w:eastAsia="Calibri" w:hAnsi="Calibri"/>
          <w:sz w:val="18"/>
          <w:szCs w:val="18"/>
          <w:color w:val="auto"/>
        </w:rPr>
      </w:pPr>
    </w:p>
    <w:p>
      <w:pPr>
        <w:ind w:left="640" w:hanging="317"/>
        <w:spacing w:after="0"/>
        <w:tabs>
          <w:tab w:leader="none" w:pos="640" w:val="left"/>
        </w:tabs>
        <w:numPr>
          <w:ilvl w:val="0"/>
          <w:numId w:val="4"/>
        </w:numPr>
        <w:rPr>
          <w:rFonts w:ascii="Calibri" w:cs="Calibri" w:eastAsia="Calibri" w:hAnsi="Calibri"/>
          <w:sz w:val="18"/>
          <w:szCs w:val="18"/>
          <w:color w:val="auto"/>
        </w:rPr>
      </w:pPr>
      <w:r>
        <w:rPr>
          <w:rFonts w:ascii="Calibri" w:cs="Calibri" w:eastAsia="Calibri" w:hAnsi="Calibri"/>
          <w:sz w:val="18"/>
          <w:szCs w:val="18"/>
          <w:color w:val="auto"/>
        </w:rPr>
        <w:t>Competton in our industries could prevent us from growing our revenue.</w:t>
      </w:r>
    </w:p>
    <w:p>
      <w:pPr>
        <w:spacing w:after="0" w:line="44" w:lineRule="exact"/>
        <w:rPr>
          <w:rFonts w:ascii="Calibri" w:cs="Calibri" w:eastAsia="Calibri" w:hAnsi="Calibri"/>
          <w:sz w:val="18"/>
          <w:szCs w:val="18"/>
          <w:color w:val="auto"/>
        </w:rPr>
      </w:pPr>
    </w:p>
    <w:p>
      <w:pPr>
        <w:ind w:left="640" w:hanging="317"/>
        <w:spacing w:after="0"/>
        <w:tabs>
          <w:tab w:leader="none" w:pos="640" w:val="left"/>
        </w:tabs>
        <w:numPr>
          <w:ilvl w:val="0"/>
          <w:numId w:val="4"/>
        </w:numPr>
        <w:rPr>
          <w:rFonts w:ascii="Calibri" w:cs="Calibri" w:eastAsia="Calibri" w:hAnsi="Calibri"/>
          <w:sz w:val="18"/>
          <w:szCs w:val="18"/>
          <w:color w:val="auto"/>
        </w:rPr>
      </w:pPr>
      <w:r>
        <w:rPr>
          <w:rFonts w:ascii="Calibri" w:cs="Calibri" w:eastAsia="Calibri" w:hAnsi="Calibri"/>
          <w:sz w:val="18"/>
          <w:szCs w:val="18"/>
          <w:color w:val="auto"/>
        </w:rPr>
        <w:t>Our ability to maintain or improve gross margin.</w:t>
      </w:r>
    </w:p>
    <w:p>
      <w:pPr>
        <w:spacing w:after="0" w:line="44" w:lineRule="exact"/>
        <w:rPr>
          <w:rFonts w:ascii="Calibri" w:cs="Calibri" w:eastAsia="Calibri" w:hAnsi="Calibri"/>
          <w:sz w:val="18"/>
          <w:szCs w:val="18"/>
          <w:color w:val="auto"/>
        </w:rPr>
      </w:pPr>
    </w:p>
    <w:p>
      <w:pPr>
        <w:ind w:left="640" w:hanging="317"/>
        <w:spacing w:after="0"/>
        <w:tabs>
          <w:tab w:leader="none" w:pos="640" w:val="left"/>
        </w:tabs>
        <w:numPr>
          <w:ilvl w:val="0"/>
          <w:numId w:val="4"/>
        </w:numPr>
        <w:rPr>
          <w:rFonts w:ascii="Calibri" w:cs="Calibri" w:eastAsia="Calibri" w:hAnsi="Calibri"/>
          <w:sz w:val="18"/>
          <w:szCs w:val="18"/>
          <w:color w:val="auto"/>
        </w:rPr>
      </w:pPr>
      <w:r>
        <w:rPr>
          <w:rFonts w:ascii="Calibri" w:cs="Calibri" w:eastAsia="Calibri" w:hAnsi="Calibri"/>
          <w:sz w:val="18"/>
          <w:szCs w:val="18"/>
          <w:color w:val="auto"/>
        </w:rPr>
        <w:t>Our ability to protect the signifcant amount of IP in our business.</w:t>
      </w:r>
    </w:p>
    <w:p>
      <w:pPr>
        <w:spacing w:after="0" w:line="44" w:lineRule="exact"/>
        <w:rPr>
          <w:rFonts w:ascii="Calibri" w:cs="Calibri" w:eastAsia="Calibri" w:hAnsi="Calibri"/>
          <w:sz w:val="18"/>
          <w:szCs w:val="18"/>
          <w:color w:val="auto"/>
        </w:rPr>
      </w:pPr>
    </w:p>
    <w:p>
      <w:pPr>
        <w:ind w:left="640" w:hanging="317"/>
        <w:spacing w:after="0"/>
        <w:tabs>
          <w:tab w:leader="none" w:pos="640" w:val="left"/>
        </w:tabs>
        <w:numPr>
          <w:ilvl w:val="0"/>
          <w:numId w:val="4"/>
        </w:numPr>
        <w:rPr>
          <w:rFonts w:ascii="Calibri" w:cs="Calibri" w:eastAsia="Calibri" w:hAnsi="Calibri"/>
          <w:sz w:val="18"/>
          <w:szCs w:val="18"/>
          <w:color w:val="auto"/>
        </w:rPr>
      </w:pPr>
      <w:r>
        <w:rPr>
          <w:rFonts w:ascii="Calibri" w:cs="Calibri" w:eastAsia="Calibri" w:hAnsi="Calibri"/>
          <w:sz w:val="18"/>
          <w:szCs w:val="18"/>
          <w:color w:val="auto"/>
        </w:rPr>
        <w:t>We are subject to warranty claims, product recalls and product liability.</w:t>
      </w:r>
    </w:p>
    <w:p>
      <w:pPr>
        <w:spacing w:after="0" w:line="44" w:lineRule="exact"/>
        <w:rPr>
          <w:rFonts w:ascii="Calibri" w:cs="Calibri" w:eastAsia="Calibri" w:hAnsi="Calibri"/>
          <w:sz w:val="18"/>
          <w:szCs w:val="18"/>
          <w:color w:val="auto"/>
        </w:rPr>
      </w:pPr>
    </w:p>
    <w:p>
      <w:pPr>
        <w:ind w:left="640" w:hanging="317"/>
        <w:spacing w:after="0"/>
        <w:tabs>
          <w:tab w:leader="none" w:pos="640" w:val="left"/>
        </w:tabs>
        <w:numPr>
          <w:ilvl w:val="0"/>
          <w:numId w:val="4"/>
        </w:numPr>
        <w:rPr>
          <w:rFonts w:ascii="Calibri" w:cs="Calibri" w:eastAsia="Calibri" w:hAnsi="Calibri"/>
          <w:sz w:val="18"/>
          <w:szCs w:val="18"/>
          <w:color w:val="auto"/>
        </w:rPr>
      </w:pPr>
      <w:r>
        <w:rPr>
          <w:rFonts w:ascii="Calibri" w:cs="Calibri" w:eastAsia="Calibri" w:hAnsi="Calibri"/>
          <w:sz w:val="18"/>
          <w:szCs w:val="18"/>
          <w:color w:val="auto"/>
        </w:rPr>
        <w:t>The complexity of our products could result in unforeseen delays or expense or undetected defects or bugs.</w:t>
      </w:r>
    </w:p>
    <w:p>
      <w:pPr>
        <w:spacing w:after="0" w:line="54" w:lineRule="exact"/>
        <w:rPr>
          <w:rFonts w:ascii="Calibri" w:cs="Calibri" w:eastAsia="Calibri" w:hAnsi="Calibri"/>
          <w:sz w:val="18"/>
          <w:szCs w:val="18"/>
          <w:color w:val="auto"/>
        </w:rPr>
      </w:pPr>
    </w:p>
    <w:p>
      <w:pPr>
        <w:ind w:left="640" w:hanging="317"/>
        <w:spacing w:after="0" w:line="230" w:lineRule="auto"/>
        <w:tabs>
          <w:tab w:leader="none" w:pos="633" w:val="left"/>
        </w:tabs>
        <w:numPr>
          <w:ilvl w:val="0"/>
          <w:numId w:val="4"/>
        </w:numPr>
        <w:rPr>
          <w:rFonts w:ascii="Calibri" w:cs="Calibri" w:eastAsia="Calibri" w:hAnsi="Calibri"/>
          <w:sz w:val="18"/>
          <w:szCs w:val="18"/>
          <w:color w:val="auto"/>
        </w:rPr>
      </w:pPr>
      <w:r>
        <w:rPr>
          <w:rFonts w:ascii="Calibri" w:cs="Calibri" w:eastAsia="Calibri" w:hAnsi="Calibri"/>
          <w:sz w:val="18"/>
          <w:szCs w:val="18"/>
          <w:color w:val="auto"/>
        </w:rPr>
        <w:t>We make substantal investments in research and development and unsuccessful investments could materially adversely afect our business, fnancial conditon and results of operatons.</w:t>
      </w:r>
    </w:p>
    <w:p>
      <w:pPr>
        <w:spacing w:after="0" w:line="54" w:lineRule="exact"/>
        <w:rPr>
          <w:rFonts w:ascii="Calibri" w:cs="Calibri" w:eastAsia="Calibri" w:hAnsi="Calibri"/>
          <w:sz w:val="18"/>
          <w:szCs w:val="18"/>
          <w:color w:val="auto"/>
        </w:rPr>
      </w:pPr>
    </w:p>
    <w:p>
      <w:pPr>
        <w:ind w:left="640" w:right="60" w:hanging="317"/>
        <w:spacing w:after="0" w:line="230" w:lineRule="auto"/>
        <w:tabs>
          <w:tab w:leader="none" w:pos="633" w:val="left"/>
        </w:tabs>
        <w:numPr>
          <w:ilvl w:val="0"/>
          <w:numId w:val="4"/>
        </w:numPr>
        <w:rPr>
          <w:rFonts w:ascii="Calibri" w:cs="Calibri" w:eastAsia="Calibri" w:hAnsi="Calibri"/>
          <w:sz w:val="18"/>
          <w:szCs w:val="18"/>
          <w:color w:val="auto"/>
        </w:rPr>
      </w:pPr>
      <w:r>
        <w:rPr>
          <w:rFonts w:ascii="Calibri" w:cs="Calibri" w:eastAsia="Calibri" w:hAnsi="Calibri"/>
          <w:sz w:val="18"/>
          <w:szCs w:val="18"/>
          <w:color w:val="auto"/>
        </w:rPr>
        <w:t>We collect, use, store, or otherwise process personal informaton, which subjects us to privacy and data security laws and contractual commitments, and our actual or perceived failure to comply with such laws and commitments could harm our business.</w:t>
      </w:r>
    </w:p>
    <w:p>
      <w:pPr>
        <w:spacing w:after="0" w:line="31" w:lineRule="exact"/>
        <w:rPr>
          <w:rFonts w:ascii="Calibri" w:cs="Calibri" w:eastAsia="Calibri" w:hAnsi="Calibri"/>
          <w:sz w:val="18"/>
          <w:szCs w:val="18"/>
          <w:color w:val="auto"/>
        </w:rPr>
      </w:pPr>
    </w:p>
    <w:p>
      <w:pPr>
        <w:ind w:left="640" w:hanging="317"/>
        <w:spacing w:after="0"/>
        <w:tabs>
          <w:tab w:leader="none" w:pos="640" w:val="left"/>
        </w:tabs>
        <w:numPr>
          <w:ilvl w:val="0"/>
          <w:numId w:val="4"/>
        </w:numPr>
        <w:rPr>
          <w:rFonts w:ascii="Calibri" w:cs="Calibri" w:eastAsia="Calibri" w:hAnsi="Calibri"/>
          <w:sz w:val="18"/>
          <w:szCs w:val="18"/>
          <w:color w:val="auto"/>
        </w:rPr>
      </w:pPr>
      <w:r>
        <w:rPr>
          <w:rFonts w:ascii="Calibri" w:cs="Calibri" w:eastAsia="Calibri" w:hAnsi="Calibri"/>
          <w:sz w:val="18"/>
          <w:szCs w:val="18"/>
          <w:color w:val="auto"/>
        </w:rPr>
        <w:t>We are subject to environmental, health and safety laws, which could increase our costs, restrict our operatons and require expenditures.</w:t>
      </w:r>
    </w:p>
    <w:p>
      <w:pPr>
        <w:spacing w:after="0" w:line="31" w:lineRule="exact"/>
        <w:rPr>
          <w:rFonts w:ascii="Calibri" w:cs="Calibri" w:eastAsia="Calibri" w:hAnsi="Calibri"/>
          <w:sz w:val="18"/>
          <w:szCs w:val="18"/>
          <w:color w:val="auto"/>
        </w:rPr>
      </w:pPr>
    </w:p>
    <w:p>
      <w:pPr>
        <w:ind w:left="640" w:hanging="317"/>
        <w:spacing w:after="0"/>
        <w:tabs>
          <w:tab w:leader="none" w:pos="640" w:val="left"/>
        </w:tabs>
        <w:numPr>
          <w:ilvl w:val="0"/>
          <w:numId w:val="4"/>
        </w:numPr>
        <w:rPr>
          <w:rFonts w:ascii="Calibri" w:cs="Calibri" w:eastAsia="Calibri" w:hAnsi="Calibri"/>
          <w:sz w:val="18"/>
          <w:szCs w:val="18"/>
          <w:color w:val="auto"/>
        </w:rPr>
      </w:pPr>
      <w:r>
        <w:rPr>
          <w:rFonts w:ascii="Calibri" w:cs="Calibri" w:eastAsia="Calibri" w:hAnsi="Calibri"/>
          <w:sz w:val="18"/>
          <w:szCs w:val="18"/>
          <w:color w:val="auto"/>
        </w:rPr>
        <w:t>Environmental, social and governance maters may adversely afect our relatonships with customers and investors.</w:t>
      </w:r>
    </w:p>
    <w:p>
      <w:pPr>
        <w:spacing w:after="0" w:line="44" w:lineRule="exact"/>
        <w:rPr>
          <w:rFonts w:ascii="Calibri" w:cs="Calibri" w:eastAsia="Calibri" w:hAnsi="Calibri"/>
          <w:sz w:val="18"/>
          <w:szCs w:val="18"/>
          <w:color w:val="auto"/>
        </w:rPr>
      </w:pPr>
    </w:p>
    <w:p>
      <w:pPr>
        <w:ind w:left="640" w:hanging="317"/>
        <w:spacing w:after="0"/>
        <w:tabs>
          <w:tab w:leader="none" w:pos="640" w:val="left"/>
        </w:tabs>
        <w:numPr>
          <w:ilvl w:val="0"/>
          <w:numId w:val="4"/>
        </w:numPr>
        <w:rPr>
          <w:rFonts w:ascii="Calibri" w:cs="Calibri" w:eastAsia="Calibri" w:hAnsi="Calibri"/>
          <w:sz w:val="18"/>
          <w:szCs w:val="18"/>
          <w:color w:val="auto"/>
        </w:rPr>
      </w:pPr>
      <w:r>
        <w:rPr>
          <w:rFonts w:ascii="Calibri" w:cs="Calibri" w:eastAsia="Calibri" w:hAnsi="Calibri"/>
          <w:sz w:val="18"/>
          <w:szCs w:val="18"/>
          <w:color w:val="auto"/>
        </w:rPr>
        <w:t>The average selling prices of semiconductor products in our markets have ofen decreased rapidly and may do so in the future.</w:t>
      </w:r>
    </w:p>
    <w:p>
      <w:pPr>
        <w:spacing w:after="0" w:line="44" w:lineRule="exact"/>
        <w:rPr>
          <w:rFonts w:ascii="Calibri" w:cs="Calibri" w:eastAsia="Calibri" w:hAnsi="Calibri"/>
          <w:sz w:val="18"/>
          <w:szCs w:val="18"/>
          <w:color w:val="auto"/>
        </w:rPr>
      </w:pPr>
    </w:p>
    <w:p>
      <w:pPr>
        <w:ind w:left="640" w:hanging="317"/>
        <w:spacing w:after="0"/>
        <w:tabs>
          <w:tab w:leader="none" w:pos="640" w:val="left"/>
        </w:tabs>
        <w:numPr>
          <w:ilvl w:val="0"/>
          <w:numId w:val="4"/>
        </w:numPr>
        <w:rPr>
          <w:rFonts w:ascii="Calibri" w:cs="Calibri" w:eastAsia="Calibri" w:hAnsi="Calibri"/>
          <w:sz w:val="18"/>
          <w:szCs w:val="18"/>
          <w:color w:val="auto"/>
        </w:rPr>
      </w:pPr>
      <w:r>
        <w:rPr>
          <w:rFonts w:ascii="Calibri" w:cs="Calibri" w:eastAsia="Calibri" w:hAnsi="Calibri"/>
          <w:sz w:val="18"/>
          <w:szCs w:val="18"/>
          <w:color w:val="auto"/>
        </w:rPr>
        <w:t>Fluctuatons in foreign exchange rates could result in losses.</w:t>
      </w:r>
    </w:p>
    <w:p>
      <w:pPr>
        <w:spacing w:after="0" w:line="97" w:lineRule="exact"/>
        <w:rPr>
          <w:sz w:val="20"/>
          <w:szCs w:val="20"/>
          <w:color w:val="auto"/>
        </w:rPr>
      </w:pPr>
    </w:p>
    <w:p>
      <w:pPr>
        <w:ind w:left="80"/>
        <w:spacing w:after="0"/>
        <w:rPr>
          <w:sz w:val="20"/>
          <w:szCs w:val="20"/>
          <w:color w:val="auto"/>
        </w:rPr>
      </w:pPr>
      <w:r>
        <w:rPr>
          <w:rFonts w:ascii="Calibri" w:cs="Calibri" w:eastAsia="Calibri" w:hAnsi="Calibri"/>
          <w:sz w:val="18"/>
          <w:szCs w:val="18"/>
          <w:b w:val="1"/>
          <w:bCs w:val="1"/>
          <w:i w:val="1"/>
          <w:iCs w:val="1"/>
          <w:color w:val="auto"/>
        </w:rPr>
        <w:t>Risks Relatng to Taxes</w:t>
      </w:r>
    </w:p>
    <w:p>
      <w:pPr>
        <w:spacing w:after="0" w:line="44" w:lineRule="exact"/>
        <w:rPr>
          <w:sz w:val="20"/>
          <w:szCs w:val="20"/>
          <w:color w:val="auto"/>
        </w:rPr>
      </w:pPr>
    </w:p>
    <w:p>
      <w:pPr>
        <w:ind w:left="640" w:hanging="317"/>
        <w:spacing w:after="0"/>
        <w:tabs>
          <w:tab w:leader="none" w:pos="640" w:val="left"/>
        </w:tabs>
        <w:numPr>
          <w:ilvl w:val="0"/>
          <w:numId w:val="5"/>
        </w:numPr>
        <w:rPr>
          <w:rFonts w:ascii="Calibri" w:cs="Calibri" w:eastAsia="Calibri" w:hAnsi="Calibri"/>
          <w:sz w:val="18"/>
          <w:szCs w:val="18"/>
          <w:color w:val="auto"/>
        </w:rPr>
      </w:pPr>
      <w:r>
        <w:rPr>
          <w:rFonts w:ascii="Calibri" w:cs="Calibri" w:eastAsia="Calibri" w:hAnsi="Calibri"/>
          <w:sz w:val="18"/>
          <w:szCs w:val="18"/>
          <w:color w:val="auto"/>
        </w:rPr>
        <w:t>Changes in tax legislaton or policies could materially impact our fnancial positon and results of operatons.</w:t>
      </w:r>
    </w:p>
    <w:p>
      <w:pPr>
        <w:spacing w:after="0" w:line="54" w:lineRule="exact"/>
        <w:rPr>
          <w:rFonts w:ascii="Calibri" w:cs="Calibri" w:eastAsia="Calibri" w:hAnsi="Calibri"/>
          <w:sz w:val="18"/>
          <w:szCs w:val="18"/>
          <w:color w:val="auto"/>
        </w:rPr>
      </w:pPr>
    </w:p>
    <w:p>
      <w:pPr>
        <w:ind w:left="640" w:right="240" w:hanging="317"/>
        <w:spacing w:after="0" w:line="230" w:lineRule="auto"/>
        <w:tabs>
          <w:tab w:leader="none" w:pos="633" w:val="left"/>
        </w:tabs>
        <w:numPr>
          <w:ilvl w:val="0"/>
          <w:numId w:val="5"/>
        </w:numPr>
        <w:rPr>
          <w:rFonts w:ascii="Calibri" w:cs="Calibri" w:eastAsia="Calibri" w:hAnsi="Calibri"/>
          <w:sz w:val="18"/>
          <w:szCs w:val="18"/>
          <w:color w:val="auto"/>
        </w:rPr>
      </w:pPr>
      <w:r>
        <w:rPr>
          <w:rFonts w:ascii="Calibri" w:cs="Calibri" w:eastAsia="Calibri" w:hAnsi="Calibri"/>
          <w:sz w:val="18"/>
          <w:szCs w:val="18"/>
          <w:color w:val="auto"/>
        </w:rPr>
        <w:t>Our corporate income taxes could signifcantly increase if we are unable to maintain our tax concessions or if our assumptons and interpretatons regarding tax laws and concessions prove to be incorrect.</w:t>
      </w:r>
    </w:p>
    <w:p>
      <w:pPr>
        <w:spacing w:after="0" w:line="44" w:lineRule="exact"/>
        <w:rPr>
          <w:rFonts w:ascii="Calibri" w:cs="Calibri" w:eastAsia="Calibri" w:hAnsi="Calibri"/>
          <w:sz w:val="18"/>
          <w:szCs w:val="18"/>
          <w:color w:val="auto"/>
        </w:rPr>
      </w:pPr>
    </w:p>
    <w:p>
      <w:pPr>
        <w:ind w:left="640" w:hanging="317"/>
        <w:spacing w:after="0"/>
        <w:tabs>
          <w:tab w:leader="none" w:pos="640" w:val="left"/>
        </w:tabs>
        <w:numPr>
          <w:ilvl w:val="0"/>
          <w:numId w:val="5"/>
        </w:numPr>
        <w:rPr>
          <w:rFonts w:ascii="Calibri" w:cs="Calibri" w:eastAsia="Calibri" w:hAnsi="Calibri"/>
          <w:sz w:val="18"/>
          <w:szCs w:val="18"/>
          <w:color w:val="auto"/>
        </w:rPr>
      </w:pPr>
      <w:r>
        <w:rPr>
          <w:rFonts w:ascii="Calibri" w:cs="Calibri" w:eastAsia="Calibri" w:hAnsi="Calibri"/>
          <w:sz w:val="18"/>
          <w:szCs w:val="18"/>
          <w:color w:val="auto"/>
        </w:rPr>
        <w:t>Our income taxes and overall cash tax costs are afected by a number of factors that could materially, adversely afect fnancial results.</w:t>
      </w:r>
    </w:p>
    <w:p>
      <w:pPr>
        <w:spacing w:after="0" w:line="54" w:lineRule="exact"/>
        <w:rPr>
          <w:rFonts w:ascii="Calibri" w:cs="Calibri" w:eastAsia="Calibri" w:hAnsi="Calibri"/>
          <w:sz w:val="18"/>
          <w:szCs w:val="18"/>
          <w:color w:val="auto"/>
        </w:rPr>
      </w:pPr>
    </w:p>
    <w:p>
      <w:pPr>
        <w:ind w:left="640" w:right="320" w:hanging="317"/>
        <w:spacing w:after="0" w:line="230" w:lineRule="auto"/>
        <w:tabs>
          <w:tab w:leader="none" w:pos="633" w:val="left"/>
        </w:tabs>
        <w:numPr>
          <w:ilvl w:val="0"/>
          <w:numId w:val="5"/>
        </w:numPr>
        <w:rPr>
          <w:rFonts w:ascii="Calibri" w:cs="Calibri" w:eastAsia="Calibri" w:hAnsi="Calibri"/>
          <w:sz w:val="18"/>
          <w:szCs w:val="18"/>
          <w:color w:val="auto"/>
        </w:rPr>
      </w:pPr>
      <w:r>
        <w:rPr>
          <w:rFonts w:ascii="Calibri" w:cs="Calibri" w:eastAsia="Calibri" w:hAnsi="Calibri"/>
          <w:sz w:val="18"/>
          <w:szCs w:val="18"/>
          <w:color w:val="auto"/>
        </w:rPr>
        <w:t>We have potental tax liabilites as a result of VMware’s former controlling ownership by Dell, which could have an adverse efect on our fnancial conditon and operatng results.</w:t>
      </w:r>
    </w:p>
    <w:p>
      <w:pPr>
        <w:spacing w:after="0" w:line="97" w:lineRule="exact"/>
        <w:rPr>
          <w:sz w:val="20"/>
          <w:szCs w:val="20"/>
          <w:color w:val="auto"/>
        </w:rPr>
      </w:pPr>
    </w:p>
    <w:p>
      <w:pPr>
        <w:ind w:left="80"/>
        <w:spacing w:after="0"/>
        <w:rPr>
          <w:sz w:val="20"/>
          <w:szCs w:val="20"/>
          <w:color w:val="auto"/>
        </w:rPr>
      </w:pPr>
      <w:r>
        <w:rPr>
          <w:rFonts w:ascii="Calibri" w:cs="Calibri" w:eastAsia="Calibri" w:hAnsi="Calibri"/>
          <w:sz w:val="18"/>
          <w:szCs w:val="18"/>
          <w:b w:val="1"/>
          <w:bCs w:val="1"/>
          <w:i w:val="1"/>
          <w:iCs w:val="1"/>
          <w:color w:val="auto"/>
        </w:rPr>
        <w:t>Risks Relatng to Our Indebtedness</w:t>
      </w:r>
    </w:p>
    <w:p>
      <w:pPr>
        <w:spacing w:after="0" w:line="44" w:lineRule="exact"/>
        <w:rPr>
          <w:sz w:val="20"/>
          <w:szCs w:val="20"/>
          <w:color w:val="auto"/>
        </w:rPr>
      </w:pPr>
    </w:p>
    <w:p>
      <w:pPr>
        <w:ind w:left="640" w:hanging="317"/>
        <w:spacing w:after="0"/>
        <w:tabs>
          <w:tab w:leader="none" w:pos="640" w:val="left"/>
        </w:tabs>
        <w:numPr>
          <w:ilvl w:val="0"/>
          <w:numId w:val="6"/>
        </w:numPr>
        <w:rPr>
          <w:rFonts w:ascii="Calibri" w:cs="Calibri" w:eastAsia="Calibri" w:hAnsi="Calibri"/>
          <w:sz w:val="18"/>
          <w:szCs w:val="18"/>
          <w:color w:val="auto"/>
        </w:rPr>
      </w:pPr>
      <w:r>
        <w:rPr>
          <w:rFonts w:ascii="Calibri" w:cs="Calibri" w:eastAsia="Calibri" w:hAnsi="Calibri"/>
          <w:sz w:val="18"/>
          <w:szCs w:val="18"/>
          <w:color w:val="auto"/>
        </w:rPr>
        <w:t>Our substantal indebtedness could adversely afect our fnancial health and our ability to execute our business strategy.</w:t>
      </w:r>
    </w:p>
    <w:p>
      <w:pPr>
        <w:spacing w:after="0" w:line="44" w:lineRule="exact"/>
        <w:rPr>
          <w:rFonts w:ascii="Calibri" w:cs="Calibri" w:eastAsia="Calibri" w:hAnsi="Calibri"/>
          <w:sz w:val="18"/>
          <w:szCs w:val="18"/>
          <w:color w:val="auto"/>
        </w:rPr>
      </w:pPr>
    </w:p>
    <w:p>
      <w:pPr>
        <w:ind w:left="640" w:hanging="317"/>
        <w:spacing w:after="0"/>
        <w:tabs>
          <w:tab w:leader="none" w:pos="640" w:val="left"/>
        </w:tabs>
        <w:numPr>
          <w:ilvl w:val="0"/>
          <w:numId w:val="6"/>
        </w:numPr>
        <w:rPr>
          <w:rFonts w:ascii="Calibri" w:cs="Calibri" w:eastAsia="Calibri" w:hAnsi="Calibri"/>
          <w:sz w:val="18"/>
          <w:szCs w:val="18"/>
          <w:color w:val="auto"/>
        </w:rPr>
      </w:pPr>
      <w:r>
        <w:rPr>
          <w:rFonts w:ascii="Calibri" w:cs="Calibri" w:eastAsia="Calibri" w:hAnsi="Calibri"/>
          <w:sz w:val="18"/>
          <w:szCs w:val="18"/>
          <w:color w:val="auto"/>
        </w:rPr>
        <w:t>The instruments governing our indebtedness impose certain restrictons on our business.</w:t>
      </w:r>
    </w:p>
    <w:p>
      <w:pPr>
        <w:spacing w:after="0" w:line="54" w:lineRule="exact"/>
        <w:rPr>
          <w:rFonts w:ascii="Calibri" w:cs="Calibri" w:eastAsia="Calibri" w:hAnsi="Calibri"/>
          <w:sz w:val="18"/>
          <w:szCs w:val="18"/>
          <w:color w:val="auto"/>
        </w:rPr>
      </w:pPr>
    </w:p>
    <w:p>
      <w:pPr>
        <w:ind w:left="640" w:hanging="317"/>
        <w:spacing w:after="0"/>
        <w:tabs>
          <w:tab w:leader="none" w:pos="640" w:val="left"/>
        </w:tabs>
        <w:numPr>
          <w:ilvl w:val="0"/>
          <w:numId w:val="6"/>
        </w:numPr>
        <w:rPr>
          <w:rFonts w:ascii="Calibri" w:cs="Calibri" w:eastAsia="Calibri" w:hAnsi="Calibri"/>
          <w:sz w:val="17"/>
          <w:szCs w:val="17"/>
          <w:color w:val="auto"/>
        </w:rPr>
      </w:pPr>
      <w:r>
        <w:rPr>
          <w:rFonts w:ascii="Calibri" w:cs="Calibri" w:eastAsia="Calibri" w:hAnsi="Calibri"/>
          <w:sz w:val="17"/>
          <w:szCs w:val="17"/>
          <w:color w:val="auto"/>
        </w:rPr>
        <w:t>Servicing our debt requires a signifcant amount of cash, and we may not have sufcient cash fows from our business to pay our substantal debt.</w:t>
      </w:r>
    </w:p>
    <w:p>
      <w:pPr>
        <w:spacing w:after="0" w:line="100" w:lineRule="exact"/>
        <w:rPr>
          <w:sz w:val="20"/>
          <w:szCs w:val="20"/>
          <w:color w:val="auto"/>
        </w:rPr>
      </w:pPr>
    </w:p>
    <w:p>
      <w:pPr>
        <w:ind w:left="80"/>
        <w:spacing w:after="0"/>
        <w:rPr>
          <w:sz w:val="20"/>
          <w:szCs w:val="20"/>
          <w:color w:val="auto"/>
        </w:rPr>
      </w:pPr>
      <w:r>
        <w:rPr>
          <w:rFonts w:ascii="Calibri" w:cs="Calibri" w:eastAsia="Calibri" w:hAnsi="Calibri"/>
          <w:sz w:val="18"/>
          <w:szCs w:val="18"/>
          <w:b w:val="1"/>
          <w:bCs w:val="1"/>
          <w:i w:val="1"/>
          <w:iCs w:val="1"/>
          <w:color w:val="auto"/>
        </w:rPr>
        <w:t>Risks Relatng to Owning Our Common Stock</w:t>
      </w:r>
    </w:p>
    <w:p>
      <w:pPr>
        <w:spacing w:after="0" w:line="44" w:lineRule="exact"/>
        <w:rPr>
          <w:sz w:val="20"/>
          <w:szCs w:val="20"/>
          <w:color w:val="auto"/>
        </w:rPr>
      </w:pPr>
    </w:p>
    <w:p>
      <w:pPr>
        <w:ind w:left="640" w:hanging="317"/>
        <w:spacing w:after="0"/>
        <w:tabs>
          <w:tab w:leader="none" w:pos="640" w:val="left"/>
        </w:tabs>
        <w:numPr>
          <w:ilvl w:val="0"/>
          <w:numId w:val="7"/>
        </w:numPr>
        <w:rPr>
          <w:rFonts w:ascii="Calibri" w:cs="Calibri" w:eastAsia="Calibri" w:hAnsi="Calibri"/>
          <w:sz w:val="18"/>
          <w:szCs w:val="18"/>
          <w:color w:val="auto"/>
        </w:rPr>
      </w:pPr>
      <w:r>
        <w:rPr>
          <w:rFonts w:ascii="Calibri" w:cs="Calibri" w:eastAsia="Calibri" w:hAnsi="Calibri"/>
          <w:sz w:val="18"/>
          <w:szCs w:val="18"/>
          <w:color w:val="auto"/>
        </w:rPr>
        <w:t>Volatlity of our stock price could result in substantal losses for our investors as well as class acton litgaton against us and our management.</w:t>
      </w:r>
    </w:p>
    <w:p>
      <w:pPr>
        <w:spacing w:after="0" w:line="44" w:lineRule="exact"/>
        <w:rPr>
          <w:rFonts w:ascii="Calibri" w:cs="Calibri" w:eastAsia="Calibri" w:hAnsi="Calibri"/>
          <w:sz w:val="18"/>
          <w:szCs w:val="18"/>
          <w:color w:val="auto"/>
        </w:rPr>
      </w:pPr>
    </w:p>
    <w:p>
      <w:pPr>
        <w:ind w:left="640" w:hanging="317"/>
        <w:spacing w:after="0"/>
        <w:tabs>
          <w:tab w:leader="none" w:pos="640" w:val="left"/>
        </w:tabs>
        <w:numPr>
          <w:ilvl w:val="0"/>
          <w:numId w:val="7"/>
        </w:numPr>
        <w:rPr>
          <w:rFonts w:ascii="Calibri" w:cs="Calibri" w:eastAsia="Calibri" w:hAnsi="Calibri"/>
          <w:sz w:val="18"/>
          <w:szCs w:val="18"/>
          <w:color w:val="auto"/>
        </w:rPr>
      </w:pPr>
      <w:r>
        <w:rPr>
          <w:rFonts w:ascii="Calibri" w:cs="Calibri" w:eastAsia="Calibri" w:hAnsi="Calibri"/>
          <w:sz w:val="18"/>
          <w:szCs w:val="18"/>
          <w:color w:val="auto"/>
        </w:rPr>
        <w:t>The amount and frequency of our stock repurchases may fuctuate.</w:t>
      </w:r>
    </w:p>
    <w:p>
      <w:pPr>
        <w:spacing w:after="0" w:line="44" w:lineRule="exact"/>
        <w:rPr>
          <w:rFonts w:ascii="Calibri" w:cs="Calibri" w:eastAsia="Calibri" w:hAnsi="Calibri"/>
          <w:sz w:val="18"/>
          <w:szCs w:val="18"/>
          <w:color w:val="auto"/>
        </w:rPr>
      </w:pPr>
    </w:p>
    <w:p>
      <w:pPr>
        <w:ind w:left="640" w:hanging="317"/>
        <w:spacing w:after="0"/>
        <w:tabs>
          <w:tab w:leader="none" w:pos="640" w:val="left"/>
        </w:tabs>
        <w:numPr>
          <w:ilvl w:val="0"/>
          <w:numId w:val="7"/>
        </w:numPr>
        <w:rPr>
          <w:rFonts w:ascii="Calibri" w:cs="Calibri" w:eastAsia="Calibri" w:hAnsi="Calibri"/>
          <w:sz w:val="18"/>
          <w:szCs w:val="18"/>
          <w:color w:val="auto"/>
        </w:rPr>
      </w:pPr>
      <w:r>
        <w:rPr>
          <w:rFonts w:ascii="Calibri" w:cs="Calibri" w:eastAsia="Calibri" w:hAnsi="Calibri"/>
          <w:sz w:val="18"/>
          <w:szCs w:val="18"/>
          <w:color w:val="auto"/>
        </w:rPr>
        <w:t>A substantal amount of our stock is held by a small number of large investors.</w:t>
      </w:r>
    </w:p>
    <w:p>
      <w:pPr>
        <w:spacing w:after="0" w:line="44" w:lineRule="exact"/>
        <w:rPr>
          <w:rFonts w:ascii="Calibri" w:cs="Calibri" w:eastAsia="Calibri" w:hAnsi="Calibri"/>
          <w:sz w:val="18"/>
          <w:szCs w:val="18"/>
          <w:color w:val="auto"/>
        </w:rPr>
      </w:pPr>
    </w:p>
    <w:p>
      <w:pPr>
        <w:ind w:left="640" w:hanging="317"/>
        <w:spacing w:after="0"/>
        <w:tabs>
          <w:tab w:leader="none" w:pos="640" w:val="left"/>
        </w:tabs>
        <w:numPr>
          <w:ilvl w:val="0"/>
          <w:numId w:val="7"/>
        </w:numPr>
        <w:rPr>
          <w:rFonts w:ascii="Calibri" w:cs="Calibri" w:eastAsia="Calibri" w:hAnsi="Calibri"/>
          <w:sz w:val="18"/>
          <w:szCs w:val="18"/>
          <w:color w:val="auto"/>
        </w:rPr>
      </w:pPr>
      <w:r>
        <w:rPr>
          <w:rFonts w:ascii="Calibri" w:cs="Calibri" w:eastAsia="Calibri" w:hAnsi="Calibri"/>
          <w:sz w:val="18"/>
          <w:szCs w:val="18"/>
          <w:color w:val="auto"/>
        </w:rPr>
        <w:t>There can be no assurance that we will contnue to declare cash dividends.</w:t>
      </w:r>
    </w:p>
    <w:p>
      <w:pPr>
        <w:spacing w:after="0" w:line="97" w:lineRule="exact"/>
        <w:rPr>
          <w:sz w:val="20"/>
          <w:szCs w:val="20"/>
          <w:color w:val="auto"/>
        </w:rPr>
      </w:pPr>
    </w:p>
    <w:p>
      <w:pPr>
        <w:ind w:left="320"/>
        <w:spacing w:after="0"/>
        <w:rPr>
          <w:sz w:val="20"/>
          <w:szCs w:val="20"/>
          <w:color w:val="auto"/>
        </w:rPr>
      </w:pPr>
      <w:r>
        <w:rPr>
          <w:rFonts w:ascii="Calibri" w:cs="Calibri" w:eastAsia="Calibri" w:hAnsi="Calibri"/>
          <w:sz w:val="18"/>
          <w:szCs w:val="18"/>
          <w:color w:val="auto"/>
        </w:rPr>
        <w:t>For a more complete discussion of the material risks facing our business, see below.</w:t>
      </w:r>
    </w:p>
    <w:p>
      <w:pPr>
        <w:spacing w:after="0" w:line="200" w:lineRule="exact"/>
        <w:rPr>
          <w:sz w:val="20"/>
          <w:szCs w:val="20"/>
          <w:color w:val="auto"/>
        </w:rPr>
      </w:pPr>
    </w:p>
    <w:p>
      <w:pPr>
        <w:spacing w:after="0" w:line="373" w:lineRule="exact"/>
        <w:rPr>
          <w:sz w:val="20"/>
          <w:szCs w:val="20"/>
          <w:color w:val="auto"/>
        </w:rPr>
      </w:pPr>
    </w:p>
    <w:p>
      <w:pPr>
        <w:jc w:val="center"/>
        <w:ind w:right="-239"/>
        <w:spacing w:after="0"/>
        <w:rPr>
          <w:sz w:val="20"/>
          <w:szCs w:val="20"/>
          <w:color w:val="auto"/>
        </w:rPr>
      </w:pPr>
      <w:r>
        <w:rPr>
          <w:rFonts w:ascii="Calibri" w:cs="Calibri" w:eastAsia="Calibri" w:hAnsi="Calibri"/>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000"/>
          </w:cols>
          <w:pgMar w:left="320" w:top="109" w:right="579" w:bottom="1440" w:gutter="0" w:footer="0" w:header="0"/>
        </w:sectPr>
      </w:pPr>
    </w:p>
    <w:bookmarkStart w:id="16" w:name="page17"/>
    <w:bookmarkEnd w:id="16"/>
    <w:p>
      <w:pPr>
        <w:spacing w:after="0"/>
        <w:rPr>
          <w:sz w:val="20"/>
          <w:szCs w:val="20"/>
          <w:color w:val="auto"/>
        </w:rPr>
      </w:pPr>
      <w:r>
        <w:rPr>
          <w:rFonts w:ascii="Calibri" w:cs="Calibri" w:eastAsia="Calibri" w:hAnsi="Calibri"/>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Risks Related to Our Business</w:t>
      </w:r>
    </w:p>
    <w:p>
      <w:pPr>
        <w:spacing w:after="0" w:line="97" w:lineRule="exact"/>
        <w:rPr>
          <w:sz w:val="20"/>
          <w:szCs w:val="20"/>
          <w:color w:val="auto"/>
        </w:rPr>
      </w:pPr>
    </w:p>
    <w:p>
      <w:pPr>
        <w:ind w:left="80"/>
        <w:spacing w:after="0"/>
        <w:rPr>
          <w:sz w:val="20"/>
          <w:szCs w:val="20"/>
          <w:color w:val="auto"/>
        </w:rPr>
      </w:pPr>
      <w:r>
        <w:rPr>
          <w:rFonts w:ascii="Calibri" w:cs="Calibri" w:eastAsia="Calibri" w:hAnsi="Calibri"/>
          <w:sz w:val="18"/>
          <w:szCs w:val="18"/>
          <w:b w:val="1"/>
          <w:bCs w:val="1"/>
          <w:i w:val="1"/>
          <w:iCs w:val="1"/>
          <w:color w:val="auto"/>
        </w:rPr>
        <w:t>Adverse global economic conditons could have a negatve efect on our business, results of operatons and fnancial conditon and liquidity.</w:t>
      </w:r>
    </w:p>
    <w:p>
      <w:pPr>
        <w:spacing w:after="0" w:line="107" w:lineRule="exact"/>
        <w:rPr>
          <w:sz w:val="20"/>
          <w:szCs w:val="20"/>
          <w:color w:val="auto"/>
        </w:rPr>
      </w:pPr>
    </w:p>
    <w:p>
      <w:pPr>
        <w:ind w:firstLine="317"/>
        <w:spacing w:after="0" w:line="244" w:lineRule="auto"/>
        <w:rPr>
          <w:sz w:val="20"/>
          <w:szCs w:val="20"/>
          <w:color w:val="auto"/>
        </w:rPr>
      </w:pPr>
      <w:r>
        <w:rPr>
          <w:rFonts w:ascii="Calibri" w:cs="Calibri" w:eastAsia="Calibri" w:hAnsi="Calibri"/>
          <w:sz w:val="17"/>
          <w:szCs w:val="17"/>
          <w:color w:val="auto"/>
        </w:rPr>
        <w:t>A general slowdown in the global economy, including a recession, or in a partcular region or industry, an increase in trade tensions with U.S. trading partners, infaton or a tghtening of the credit markets could negatvely impact our business, fnancial conditon and liquidity. Adverse global economic conditons have from tme to tme caused or exacerbated signifcant slowdowns in the industries and markets in which we operate, which have adversely afected our business and results of operatons. Macroeconomic weakness and uncertainty also make it more difcult for us to accurately forecast revenue, gross margin and expenses, and may make it more difcult to raise or refnance debt. An escalaton of trade tensions between the U.S. and China has resulted in trade restrictons, increased protectonism and increased tarifs that harm our ability to partcipate in Chinese markets or compete efectvely with Chinese companies. Sustained uncertainty about, or worsening of, current global economic conditons and further escalaton of trade tensions between the U.S. and its trading partners, especially China, and possible decoupling of the U.S. and China economies, could result in a global economic slowdown and long-term changes to global trade. Such events may also (i) cause our customers and consumers to reduce, delay or forgo technology spending, (ii) result in customers sourcing products from other suppliers not subject to such restrictons or tarifs, (iii) lead to the insolvency or consolidaton of key suppliers and customers, and (iv) intensify pricing pressures. Any or all of these factors could negatvely afect demand for our products and our business, fnancial conditon and results of operatons.</w:t>
      </w:r>
    </w:p>
    <w:p>
      <w:pPr>
        <w:spacing w:after="0" w:line="109" w:lineRule="exact"/>
        <w:rPr>
          <w:sz w:val="20"/>
          <w:szCs w:val="20"/>
          <w:color w:val="auto"/>
        </w:rPr>
      </w:pPr>
    </w:p>
    <w:p>
      <w:pPr>
        <w:ind w:right="40" w:firstLine="79"/>
        <w:spacing w:after="0" w:line="230" w:lineRule="auto"/>
        <w:rPr>
          <w:sz w:val="20"/>
          <w:szCs w:val="20"/>
          <w:color w:val="auto"/>
        </w:rPr>
      </w:pPr>
      <w:r>
        <w:rPr>
          <w:rFonts w:ascii="Calibri" w:cs="Calibri" w:eastAsia="Calibri" w:hAnsi="Calibri"/>
          <w:sz w:val="18"/>
          <w:szCs w:val="18"/>
          <w:b w:val="1"/>
          <w:bCs w:val="1"/>
          <w:i w:val="1"/>
          <w:iCs w:val="1"/>
          <w:color w:val="auto"/>
        </w:rPr>
        <w:t>Our business is subject to various governmental regulatons, and compliance with these regulatons may cause us to incur signifcant expense. If we fail to maintain compliance with applicable regulatons, we may be forced to cease the manufacture and distributon of certain products, and we could be subject to administratve proceedings and civil or criminal penaltes.</w:t>
      </w:r>
    </w:p>
    <w:p>
      <w:pPr>
        <w:spacing w:after="0" w:line="1" w:lineRule="exact"/>
        <w:rPr>
          <w:sz w:val="20"/>
          <w:szCs w:val="20"/>
          <w:color w:val="auto"/>
        </w:rPr>
      </w:pPr>
    </w:p>
    <w:p>
      <w:pPr>
        <w:ind w:right="100" w:firstLine="317"/>
        <w:spacing w:after="0" w:line="218" w:lineRule="auto"/>
        <w:rPr>
          <w:sz w:val="20"/>
          <w:szCs w:val="20"/>
          <w:color w:val="auto"/>
        </w:rPr>
      </w:pPr>
      <w:r>
        <w:rPr>
          <w:rFonts w:ascii="Calibri" w:cs="Calibri" w:eastAsia="Calibri" w:hAnsi="Calibri"/>
          <w:sz w:val="17"/>
          <w:szCs w:val="17"/>
          <w:color w:val="auto"/>
        </w:rPr>
        <w:t>Our business is subject to various domestc and internatonal laws and other legal requirements, including ant-competton and import/export regulatons, such as the U.S. Export Administraton Regulatons, and applicable executve orders. These laws, regulatons and orders are complex, may change frequently and with limited notce, and have generally and may contnue to become more stringent over tme. We may be required to incur signifcant expense to comply with, or to remedy violatons of, these regulatons. In additon, if our customers fail to comply with these regulatons, we may be required to suspend sales to these customers, which could damage our reputaton and negatvely impact our results of operatons. The U.S. government may also add companies to its restricted entty list and/or technologies to its list of prohibited exports to specifc countries, which have had and may contnue to have an adverse efect on our ability to sell our products and our revenue. For example, Huawei Technologies Co., Ltd., one of our customers, is subject to certain U.S. export restrictons, which has required us to suspend sales to Huawei untl we obtain licenses from the U.S. Department of Commerce. We may be unable to obtain or maintain the necessary licenses to allow us to export products to them. These restrictve governmental actons and any similar measures that may be imposed on U.S. companies by other governments, especially in light of ongoing trade tensions with China, will likely limit or prevent us from doing business with certain of our customers or suppliers and harm our ability to compete efectvely or otherwise negatvely afect our ability to sell our products, and adversely afect our business and results of operatons. Furthermore, government authorites may take retaliatory actons, impose conditons for the supply of products or require the license or other transfer of intellectual property, which could have a material adverse efect on our business.</w:t>
      </w:r>
    </w:p>
    <w:p>
      <w:pPr>
        <w:spacing w:after="0" w:line="99" w:lineRule="exact"/>
        <w:rPr>
          <w:sz w:val="20"/>
          <w:szCs w:val="20"/>
          <w:color w:val="auto"/>
        </w:rPr>
      </w:pPr>
    </w:p>
    <w:p>
      <w:pPr>
        <w:ind w:right="60" w:firstLine="317"/>
        <w:spacing w:after="0" w:line="230" w:lineRule="auto"/>
        <w:rPr>
          <w:sz w:val="20"/>
          <w:szCs w:val="20"/>
          <w:color w:val="auto"/>
        </w:rPr>
      </w:pPr>
      <w:r>
        <w:rPr>
          <w:rFonts w:ascii="Calibri" w:cs="Calibri" w:eastAsia="Calibri" w:hAnsi="Calibri"/>
          <w:sz w:val="18"/>
          <w:szCs w:val="18"/>
          <w:color w:val="auto"/>
        </w:rPr>
        <w:t>Our products and operatons are also subject to regulaton by U.S. and non-U.S. regulatory agencies, such as the FTC. From tme to tme, we may also be involved or required to partcipate in regulatory investgatons or inquiries, such as the ongoing investgaton by the Korean Fair Trade Commission into certain of our contractng and business practces, which may evolve into legal or other administratve proceedings. Growing public concern over concentraton of economic power in corporatons is likely to result in increased ant-competton legislaton, regulaton, administratve rule making, and enforcement actvity. Involvement in regulatory investgatons or inquiries, can be costly, lengthy, complex and tme consuming, divertng the atenton and energies of our management and technical personnel.</w:t>
      </w:r>
    </w:p>
    <w:p>
      <w:pPr>
        <w:spacing w:after="0" w:line="110" w:lineRule="exact"/>
        <w:rPr>
          <w:sz w:val="20"/>
          <w:szCs w:val="20"/>
          <w:color w:val="auto"/>
        </w:rPr>
      </w:pPr>
    </w:p>
    <w:p>
      <w:pPr>
        <w:ind w:right="260" w:firstLine="317"/>
        <w:spacing w:after="0" w:line="230" w:lineRule="auto"/>
        <w:rPr>
          <w:sz w:val="20"/>
          <w:szCs w:val="20"/>
          <w:color w:val="auto"/>
        </w:rPr>
      </w:pPr>
      <w:r>
        <w:rPr>
          <w:rFonts w:ascii="Calibri" w:cs="Calibri" w:eastAsia="Calibri" w:hAnsi="Calibri"/>
          <w:sz w:val="18"/>
          <w:szCs w:val="18"/>
          <w:color w:val="auto"/>
        </w:rPr>
        <w:t>If any pending or future governmental investgatons result in an unfavorable resoluton, we could be required to cease the manufacture and sale of the subject products or technology, pay fnes or disgorge profts or other payments, and/or cease certain conduct and/or modify our contractng or business practces, which could have a material adverse efect on our business, fnancial conditon and results of operatons. We may be obligated to indemnify our current or former directors or employees, or former directors or employees of companies that we have acquired, in connecton with regulatory investgatons. These liabilites could be substantal and may include, among other things, the cost of government, law enforcement or regulatory investgatons and civil or criminal fnes and penaltes.</w:t>
      </w:r>
    </w:p>
    <w:p>
      <w:pPr>
        <w:spacing w:after="0" w:line="110" w:lineRule="exact"/>
        <w:rPr>
          <w:sz w:val="20"/>
          <w:szCs w:val="20"/>
          <w:color w:val="auto"/>
        </w:rPr>
      </w:pPr>
    </w:p>
    <w:p>
      <w:pPr>
        <w:ind w:right="20" w:firstLine="317"/>
        <w:spacing w:after="0" w:line="245" w:lineRule="auto"/>
        <w:rPr>
          <w:sz w:val="20"/>
          <w:szCs w:val="20"/>
          <w:color w:val="auto"/>
        </w:rPr>
      </w:pPr>
      <w:r>
        <w:rPr>
          <w:rFonts w:ascii="Calibri" w:cs="Calibri" w:eastAsia="Calibri" w:hAnsi="Calibri"/>
          <w:sz w:val="17"/>
          <w:szCs w:val="17"/>
          <w:color w:val="auto"/>
        </w:rPr>
        <w:t>In additon, the manufacture and distributon of our semiconductors must comply with various laws and adapt to changes in regulatory requirements as they occur. For example, if a country in which our products are manufactured or sold sets technical standards that are not widely shared, it may require us to stop distributng our products commercially untl they comply with such new standards, lead certain of our customers to suspend imports of their products into that country, require manufacturers in that country to manufacture products with diferent technical standards and disrupt cross-border</w:t>
      </w: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9" w:right="339" w:bottom="1440" w:gutter="0" w:footer="0" w:header="0"/>
        </w:sectPr>
      </w:pPr>
    </w:p>
    <w:bookmarkStart w:id="17" w:name="page18"/>
    <w:bookmarkEnd w:id="17"/>
    <w:p>
      <w:pPr>
        <w:spacing w:after="0"/>
        <w:rPr>
          <w:sz w:val="20"/>
          <w:szCs w:val="20"/>
          <w:color w:val="auto"/>
        </w:rPr>
      </w:pPr>
      <w:r>
        <w:rPr>
          <w:rFonts w:ascii="Calibri" w:cs="Calibri" w:eastAsia="Calibri" w:hAnsi="Calibri"/>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right="100"/>
        <w:spacing w:after="0" w:line="230" w:lineRule="auto"/>
        <w:rPr>
          <w:sz w:val="20"/>
          <w:szCs w:val="20"/>
          <w:color w:val="auto"/>
        </w:rPr>
      </w:pPr>
      <w:r>
        <w:rPr>
          <w:rFonts w:ascii="Calibri" w:cs="Calibri" w:eastAsia="Calibri" w:hAnsi="Calibri"/>
          <w:sz w:val="18"/>
          <w:szCs w:val="18"/>
          <w:color w:val="auto"/>
        </w:rPr>
        <w:t>manufacturing relatonships, any of which could have a material adverse efect on our business, fnancial conditon and results of operatons. If we fail to comply with these requirements, we could also be required to pay civil penaltes or face criminal prosecuton.</w:t>
      </w:r>
    </w:p>
    <w:p>
      <w:pPr>
        <w:spacing w:after="0" w:line="107" w:lineRule="exact"/>
        <w:rPr>
          <w:sz w:val="20"/>
          <w:szCs w:val="20"/>
          <w:color w:val="auto"/>
        </w:rPr>
      </w:pPr>
    </w:p>
    <w:p>
      <w:pPr>
        <w:ind w:right="20" w:firstLine="79"/>
        <w:spacing w:after="0" w:line="230" w:lineRule="auto"/>
        <w:rPr>
          <w:sz w:val="20"/>
          <w:szCs w:val="20"/>
          <w:color w:val="auto"/>
        </w:rPr>
      </w:pPr>
      <w:r>
        <w:rPr>
          <w:rFonts w:ascii="Calibri" w:cs="Calibri" w:eastAsia="Calibri" w:hAnsi="Calibri"/>
          <w:sz w:val="18"/>
          <w:szCs w:val="18"/>
          <w:b w:val="1"/>
          <w:bCs w:val="1"/>
          <w:i w:val="1"/>
          <w:iCs w:val="1"/>
          <w:color w:val="auto"/>
        </w:rPr>
        <w:t>Global politcal and economic conditons and other factors related to our internatonal operatons could adversely afect our business, fnancial conditon and results of operatons.</w:t>
      </w:r>
    </w:p>
    <w:p>
      <w:pPr>
        <w:spacing w:after="0" w:line="107" w:lineRule="exact"/>
        <w:rPr>
          <w:sz w:val="20"/>
          <w:szCs w:val="20"/>
          <w:color w:val="auto"/>
        </w:rPr>
      </w:pPr>
    </w:p>
    <w:p>
      <w:pPr>
        <w:ind w:right="80" w:firstLine="317"/>
        <w:spacing w:after="0" w:line="230" w:lineRule="auto"/>
        <w:rPr>
          <w:sz w:val="20"/>
          <w:szCs w:val="20"/>
          <w:color w:val="auto"/>
        </w:rPr>
      </w:pPr>
      <w:r>
        <w:rPr>
          <w:rFonts w:ascii="Calibri" w:cs="Calibri" w:eastAsia="Calibri" w:hAnsi="Calibri"/>
          <w:sz w:val="18"/>
          <w:szCs w:val="18"/>
          <w:color w:val="auto"/>
        </w:rPr>
        <w:t>A majority of our products are produced, sourced and sold internatonally and our internatonal revenue represents a signifcant percentage of our overall revenue. In additon, as of October 29, 2023, nearly 49% of our employees were located outside the U.S. Multple factors relatng to our internatonal operatons and to partcular countries in which we operate could have a material adverse efect on our business, fnancial conditon and results of operatons. These factors include:</w:t>
      </w:r>
    </w:p>
    <w:p>
      <w:pPr>
        <w:spacing w:after="0" w:line="108" w:lineRule="exact"/>
        <w:rPr>
          <w:sz w:val="20"/>
          <w:szCs w:val="20"/>
          <w:color w:val="auto"/>
        </w:rPr>
      </w:pPr>
    </w:p>
    <w:p>
      <w:pPr>
        <w:ind w:left="640" w:right="420" w:hanging="317"/>
        <w:spacing w:after="0" w:line="247" w:lineRule="auto"/>
        <w:tabs>
          <w:tab w:leader="none" w:pos="633" w:val="left"/>
        </w:tabs>
        <w:numPr>
          <w:ilvl w:val="0"/>
          <w:numId w:val="8"/>
        </w:numPr>
        <w:rPr>
          <w:rFonts w:ascii="Calibri" w:cs="Calibri" w:eastAsia="Calibri" w:hAnsi="Calibri"/>
          <w:sz w:val="17"/>
          <w:szCs w:val="17"/>
          <w:color w:val="auto"/>
        </w:rPr>
      </w:pPr>
      <w:r>
        <w:rPr>
          <w:rFonts w:ascii="Calibri" w:cs="Calibri" w:eastAsia="Calibri" w:hAnsi="Calibri"/>
          <w:sz w:val="17"/>
          <w:szCs w:val="17"/>
          <w:color w:val="auto"/>
        </w:rPr>
        <w:t>changes in politcal, regulatory, legal or economic conditons or geopolitcal turmoil (including China-Taiwan relatons), including terrorism, war or politcal or military coups, state-sponsored or politcally motvated cyber-atacks, or civil disturbances or politcal instability (foreign and domestc);</w:t>
      </w:r>
    </w:p>
    <w:p>
      <w:pPr>
        <w:spacing w:after="0" w:line="101" w:lineRule="exact"/>
        <w:rPr>
          <w:rFonts w:ascii="Calibri" w:cs="Calibri" w:eastAsia="Calibri" w:hAnsi="Calibri"/>
          <w:sz w:val="17"/>
          <w:szCs w:val="17"/>
          <w:color w:val="auto"/>
        </w:rPr>
      </w:pPr>
    </w:p>
    <w:p>
      <w:pPr>
        <w:ind w:left="640" w:right="100" w:hanging="317"/>
        <w:spacing w:after="0" w:line="230" w:lineRule="auto"/>
        <w:tabs>
          <w:tab w:leader="none" w:pos="633" w:val="left"/>
        </w:tabs>
        <w:numPr>
          <w:ilvl w:val="0"/>
          <w:numId w:val="8"/>
        </w:numPr>
        <w:rPr>
          <w:rFonts w:ascii="Calibri" w:cs="Calibri" w:eastAsia="Calibri" w:hAnsi="Calibri"/>
          <w:sz w:val="18"/>
          <w:szCs w:val="18"/>
          <w:color w:val="auto"/>
        </w:rPr>
      </w:pPr>
      <w:r>
        <w:rPr>
          <w:rFonts w:ascii="Calibri" w:cs="Calibri" w:eastAsia="Calibri" w:hAnsi="Calibri"/>
          <w:sz w:val="18"/>
          <w:szCs w:val="18"/>
          <w:color w:val="auto"/>
        </w:rPr>
        <w:t>restrictve governmental actons, such as restrictons on the transfer or repatriaton of funds and foreign investments, data privacy regulatons, impositon of climate change regulatons, and trade protecton measures, including increasing protectonism, import/export restrictons (including with regards to advanced technologies), import/export dutes and quotas, trade sanctons and customs dutes and tarifs, all of which have increased in recent years;</w:t>
      </w:r>
    </w:p>
    <w:p>
      <w:pPr>
        <w:spacing w:after="0" w:line="98" w:lineRule="exact"/>
        <w:rPr>
          <w:rFonts w:ascii="Calibri" w:cs="Calibri" w:eastAsia="Calibri" w:hAnsi="Calibri"/>
          <w:sz w:val="18"/>
          <w:szCs w:val="18"/>
          <w:color w:val="auto"/>
        </w:rPr>
      </w:pPr>
    </w:p>
    <w:p>
      <w:pPr>
        <w:ind w:left="640" w:hanging="317"/>
        <w:spacing w:after="0"/>
        <w:tabs>
          <w:tab w:leader="none" w:pos="640" w:val="left"/>
        </w:tabs>
        <w:numPr>
          <w:ilvl w:val="0"/>
          <w:numId w:val="8"/>
        </w:numPr>
        <w:rPr>
          <w:rFonts w:ascii="Calibri" w:cs="Calibri" w:eastAsia="Calibri" w:hAnsi="Calibri"/>
          <w:sz w:val="18"/>
          <w:szCs w:val="18"/>
          <w:color w:val="auto"/>
        </w:rPr>
      </w:pPr>
      <w:r>
        <w:rPr>
          <w:rFonts w:ascii="Calibri" w:cs="Calibri" w:eastAsia="Calibri" w:hAnsi="Calibri"/>
          <w:sz w:val="18"/>
          <w:szCs w:val="18"/>
          <w:color w:val="auto"/>
        </w:rPr>
        <w:t>difculty in obtaining product distributon and support, and transportaton delays;</w:t>
      </w:r>
    </w:p>
    <w:p>
      <w:pPr>
        <w:spacing w:after="0" w:line="97" w:lineRule="exact"/>
        <w:rPr>
          <w:rFonts w:ascii="Calibri" w:cs="Calibri" w:eastAsia="Calibri" w:hAnsi="Calibri"/>
          <w:sz w:val="18"/>
          <w:szCs w:val="18"/>
          <w:color w:val="auto"/>
        </w:rPr>
      </w:pPr>
    </w:p>
    <w:p>
      <w:pPr>
        <w:ind w:left="640" w:hanging="317"/>
        <w:spacing w:after="0"/>
        <w:tabs>
          <w:tab w:leader="none" w:pos="640" w:val="left"/>
        </w:tabs>
        <w:numPr>
          <w:ilvl w:val="0"/>
          <w:numId w:val="8"/>
        </w:numPr>
        <w:rPr>
          <w:rFonts w:ascii="Calibri" w:cs="Calibri" w:eastAsia="Calibri" w:hAnsi="Calibri"/>
          <w:sz w:val="18"/>
          <w:szCs w:val="18"/>
          <w:color w:val="auto"/>
        </w:rPr>
      </w:pPr>
      <w:r>
        <w:rPr>
          <w:rFonts w:ascii="Calibri" w:cs="Calibri" w:eastAsia="Calibri" w:hAnsi="Calibri"/>
          <w:sz w:val="18"/>
          <w:szCs w:val="18"/>
          <w:color w:val="auto"/>
        </w:rPr>
        <w:t>potental inability to localize sofware products;</w:t>
      </w:r>
    </w:p>
    <w:p>
      <w:pPr>
        <w:spacing w:after="0" w:line="97" w:lineRule="exact"/>
        <w:rPr>
          <w:rFonts w:ascii="Calibri" w:cs="Calibri" w:eastAsia="Calibri" w:hAnsi="Calibri"/>
          <w:sz w:val="18"/>
          <w:szCs w:val="18"/>
          <w:color w:val="auto"/>
        </w:rPr>
      </w:pPr>
    </w:p>
    <w:p>
      <w:pPr>
        <w:ind w:left="640" w:hanging="317"/>
        <w:spacing w:after="0"/>
        <w:tabs>
          <w:tab w:leader="none" w:pos="640" w:val="left"/>
        </w:tabs>
        <w:numPr>
          <w:ilvl w:val="0"/>
          <w:numId w:val="8"/>
        </w:numPr>
        <w:rPr>
          <w:rFonts w:ascii="Calibri" w:cs="Calibri" w:eastAsia="Calibri" w:hAnsi="Calibri"/>
          <w:sz w:val="18"/>
          <w:szCs w:val="18"/>
          <w:color w:val="auto"/>
        </w:rPr>
      </w:pPr>
      <w:r>
        <w:rPr>
          <w:rFonts w:ascii="Calibri" w:cs="Calibri" w:eastAsia="Calibri" w:hAnsi="Calibri"/>
          <w:sz w:val="18"/>
          <w:szCs w:val="18"/>
          <w:color w:val="auto"/>
        </w:rPr>
        <w:t>difculty in enforcing contracts, collectng accounts receivables and maintaining appropriate fnancial control;</w:t>
      </w:r>
    </w:p>
    <w:p>
      <w:pPr>
        <w:spacing w:after="0" w:line="97" w:lineRule="exact"/>
        <w:rPr>
          <w:rFonts w:ascii="Calibri" w:cs="Calibri" w:eastAsia="Calibri" w:hAnsi="Calibri"/>
          <w:sz w:val="18"/>
          <w:szCs w:val="18"/>
          <w:color w:val="auto"/>
        </w:rPr>
      </w:pPr>
    </w:p>
    <w:p>
      <w:pPr>
        <w:ind w:left="640" w:hanging="317"/>
        <w:spacing w:after="0"/>
        <w:tabs>
          <w:tab w:leader="none" w:pos="640" w:val="left"/>
        </w:tabs>
        <w:numPr>
          <w:ilvl w:val="0"/>
          <w:numId w:val="8"/>
        </w:numPr>
        <w:rPr>
          <w:rFonts w:ascii="Calibri" w:cs="Calibri" w:eastAsia="Calibri" w:hAnsi="Calibri"/>
          <w:sz w:val="18"/>
          <w:szCs w:val="18"/>
          <w:color w:val="auto"/>
        </w:rPr>
      </w:pPr>
      <w:r>
        <w:rPr>
          <w:rFonts w:ascii="Calibri" w:cs="Calibri" w:eastAsia="Calibri" w:hAnsi="Calibri"/>
          <w:sz w:val="18"/>
          <w:szCs w:val="18"/>
          <w:color w:val="auto"/>
        </w:rPr>
        <w:t>difculty in conductng due diligence with respect to business partners;</w:t>
      </w:r>
    </w:p>
    <w:p>
      <w:pPr>
        <w:spacing w:after="0" w:line="97" w:lineRule="exact"/>
        <w:rPr>
          <w:rFonts w:ascii="Calibri" w:cs="Calibri" w:eastAsia="Calibri" w:hAnsi="Calibri"/>
          <w:sz w:val="18"/>
          <w:szCs w:val="18"/>
          <w:color w:val="auto"/>
        </w:rPr>
      </w:pPr>
    </w:p>
    <w:p>
      <w:pPr>
        <w:ind w:left="640" w:hanging="317"/>
        <w:spacing w:after="0"/>
        <w:tabs>
          <w:tab w:leader="none" w:pos="640" w:val="left"/>
        </w:tabs>
        <w:numPr>
          <w:ilvl w:val="0"/>
          <w:numId w:val="8"/>
        </w:numPr>
        <w:rPr>
          <w:rFonts w:ascii="Calibri" w:cs="Calibri" w:eastAsia="Calibri" w:hAnsi="Calibri"/>
          <w:sz w:val="18"/>
          <w:szCs w:val="18"/>
          <w:color w:val="auto"/>
        </w:rPr>
      </w:pPr>
      <w:r>
        <w:rPr>
          <w:rFonts w:ascii="Calibri" w:cs="Calibri" w:eastAsia="Calibri" w:hAnsi="Calibri"/>
          <w:sz w:val="18"/>
          <w:szCs w:val="18"/>
          <w:color w:val="auto"/>
        </w:rPr>
        <w:t>public health or safety concerns, medical epidemics or pandemics, such as COVID-19, and other natural- or man-made disasters;</w:t>
      </w:r>
    </w:p>
    <w:p>
      <w:pPr>
        <w:spacing w:after="0" w:line="97" w:lineRule="exact"/>
        <w:rPr>
          <w:rFonts w:ascii="Calibri" w:cs="Calibri" w:eastAsia="Calibri" w:hAnsi="Calibri"/>
          <w:sz w:val="18"/>
          <w:szCs w:val="18"/>
          <w:color w:val="auto"/>
        </w:rPr>
      </w:pPr>
    </w:p>
    <w:p>
      <w:pPr>
        <w:ind w:left="640" w:hanging="317"/>
        <w:spacing w:after="0"/>
        <w:tabs>
          <w:tab w:leader="none" w:pos="640" w:val="left"/>
        </w:tabs>
        <w:numPr>
          <w:ilvl w:val="0"/>
          <w:numId w:val="8"/>
        </w:numPr>
        <w:rPr>
          <w:rFonts w:ascii="Calibri" w:cs="Calibri" w:eastAsia="Calibri" w:hAnsi="Calibri"/>
          <w:sz w:val="18"/>
          <w:szCs w:val="18"/>
          <w:color w:val="auto"/>
        </w:rPr>
      </w:pPr>
      <w:r>
        <w:rPr>
          <w:rFonts w:ascii="Calibri" w:cs="Calibri" w:eastAsia="Calibri" w:hAnsi="Calibri"/>
          <w:sz w:val="18"/>
          <w:szCs w:val="18"/>
          <w:color w:val="auto"/>
        </w:rPr>
        <w:t>natonalizaton of businesses and expropriaton of assets; and</w:t>
      </w:r>
    </w:p>
    <w:p>
      <w:pPr>
        <w:spacing w:after="0" w:line="97" w:lineRule="exact"/>
        <w:rPr>
          <w:rFonts w:ascii="Calibri" w:cs="Calibri" w:eastAsia="Calibri" w:hAnsi="Calibri"/>
          <w:sz w:val="18"/>
          <w:szCs w:val="18"/>
          <w:color w:val="auto"/>
        </w:rPr>
      </w:pPr>
    </w:p>
    <w:p>
      <w:pPr>
        <w:ind w:left="640" w:hanging="317"/>
        <w:spacing w:after="0"/>
        <w:tabs>
          <w:tab w:leader="none" w:pos="640" w:val="left"/>
        </w:tabs>
        <w:numPr>
          <w:ilvl w:val="0"/>
          <w:numId w:val="8"/>
        </w:numPr>
        <w:rPr>
          <w:rFonts w:ascii="Calibri" w:cs="Calibri" w:eastAsia="Calibri" w:hAnsi="Calibri"/>
          <w:sz w:val="18"/>
          <w:szCs w:val="18"/>
          <w:color w:val="auto"/>
        </w:rPr>
      </w:pPr>
      <w:r>
        <w:rPr>
          <w:rFonts w:ascii="Calibri" w:cs="Calibri" w:eastAsia="Calibri" w:hAnsi="Calibri"/>
          <w:sz w:val="18"/>
          <w:szCs w:val="18"/>
          <w:color w:val="auto"/>
        </w:rPr>
        <w:t>changes in U.S. and foreign tax laws.</w:t>
      </w:r>
    </w:p>
    <w:p>
      <w:pPr>
        <w:spacing w:after="0" w:line="107" w:lineRule="exact"/>
        <w:rPr>
          <w:sz w:val="20"/>
          <w:szCs w:val="20"/>
          <w:color w:val="auto"/>
        </w:rPr>
      </w:pPr>
    </w:p>
    <w:p>
      <w:pPr>
        <w:ind w:right="220" w:firstLine="317"/>
        <w:spacing w:after="0" w:line="230" w:lineRule="auto"/>
        <w:rPr>
          <w:sz w:val="20"/>
          <w:szCs w:val="20"/>
          <w:color w:val="auto"/>
        </w:rPr>
      </w:pPr>
      <w:r>
        <w:rPr>
          <w:rFonts w:ascii="Calibri" w:cs="Calibri" w:eastAsia="Calibri" w:hAnsi="Calibri"/>
          <w:sz w:val="18"/>
          <w:szCs w:val="18"/>
          <w:color w:val="auto"/>
        </w:rPr>
        <w:t>A signifcant legal risk associated with conductng business internatonally is compliance with the various and difering laws and regulatons of the many countries in which we do business. In additon, the laws in various countries are constantly evolving and may, in some cases, confict with each other or with agreements we have made in one or more jurisdictons. Although our policies prohibit us, our employees and our agents from engaging in unethical business practces, there can be no assurance that all of our employees, distributors or other agents will refrain from actng in violaton of our related ant-corrupton or other policies and procedures. Any such violaton could have a material adverse efect on our business.</w:t>
      </w:r>
    </w:p>
    <w:p>
      <w:pPr>
        <w:spacing w:after="0" w:line="99" w:lineRule="exact"/>
        <w:rPr>
          <w:sz w:val="20"/>
          <w:szCs w:val="20"/>
          <w:color w:val="auto"/>
        </w:rPr>
      </w:pPr>
    </w:p>
    <w:p>
      <w:pPr>
        <w:ind w:left="80"/>
        <w:spacing w:after="0"/>
        <w:rPr>
          <w:sz w:val="20"/>
          <w:szCs w:val="20"/>
          <w:color w:val="auto"/>
        </w:rPr>
      </w:pPr>
      <w:r>
        <w:rPr>
          <w:rFonts w:ascii="Calibri" w:cs="Calibri" w:eastAsia="Calibri" w:hAnsi="Calibri"/>
          <w:sz w:val="18"/>
          <w:szCs w:val="18"/>
          <w:b w:val="1"/>
          <w:bCs w:val="1"/>
          <w:i w:val="1"/>
          <w:iCs w:val="1"/>
          <w:color w:val="auto"/>
        </w:rPr>
        <w:t>Failure to realize the benefts expected from the VMware Merger could adversely afect our business and the value of our common stock.</w:t>
      </w:r>
    </w:p>
    <w:p>
      <w:pPr>
        <w:spacing w:after="0" w:line="94" w:lineRule="exact"/>
        <w:rPr>
          <w:sz w:val="20"/>
          <w:szCs w:val="20"/>
          <w:color w:val="auto"/>
        </w:rPr>
      </w:pPr>
    </w:p>
    <w:p>
      <w:pPr>
        <w:ind w:right="20" w:firstLine="317"/>
        <w:spacing w:after="0" w:line="245" w:lineRule="auto"/>
        <w:rPr>
          <w:sz w:val="20"/>
          <w:szCs w:val="20"/>
          <w:color w:val="auto"/>
        </w:rPr>
      </w:pPr>
      <w:r>
        <w:rPr>
          <w:rFonts w:ascii="Calibri" w:cs="Calibri" w:eastAsia="Calibri" w:hAnsi="Calibri"/>
          <w:sz w:val="17"/>
          <w:szCs w:val="17"/>
          <w:color w:val="auto"/>
        </w:rPr>
        <w:t>As part of our integraton of the VMware business, we plan to focus on VMware’s core business of creatng private and hybrid cloud environments among large enterprises globally and divestng non-core assets. If VMware customers do not accept this plan, the investments we have made or may make to implement this plan may be of no or limited value, we may lose customers, our fnancial results may be adversely afected and our stock price may sufer.</w:t>
      </w:r>
    </w:p>
    <w:p>
      <w:pPr>
        <w:spacing w:after="0" w:line="104" w:lineRule="exact"/>
        <w:rPr>
          <w:sz w:val="20"/>
          <w:szCs w:val="20"/>
          <w:color w:val="auto"/>
        </w:rPr>
      </w:pPr>
    </w:p>
    <w:p>
      <w:pPr>
        <w:ind w:firstLine="317"/>
        <w:spacing w:after="0" w:line="230" w:lineRule="auto"/>
        <w:rPr>
          <w:sz w:val="20"/>
          <w:szCs w:val="20"/>
          <w:color w:val="auto"/>
        </w:rPr>
      </w:pPr>
      <w:r>
        <w:rPr>
          <w:rFonts w:ascii="Calibri" w:cs="Calibri" w:eastAsia="Calibri" w:hAnsi="Calibri"/>
          <w:sz w:val="18"/>
          <w:szCs w:val="18"/>
          <w:color w:val="auto"/>
        </w:rPr>
        <w:t>Although we expect signifcant benefts to result from the VMware Merger, there can be no assurance that we will actually realize these benefts. Achieving these benefts will depend, in part, on our ability to integrate VMware's business successfully and efciently. The challenges involved in this integraton, which are complex and tme consuming, include the following:</w:t>
      </w:r>
    </w:p>
    <w:p>
      <w:pPr>
        <w:spacing w:after="0" w:line="112" w:lineRule="exact"/>
        <w:rPr>
          <w:sz w:val="20"/>
          <w:szCs w:val="20"/>
          <w:color w:val="auto"/>
        </w:rPr>
      </w:pPr>
    </w:p>
    <w:p>
      <w:pPr>
        <w:ind w:left="640" w:hanging="317"/>
        <w:spacing w:after="0"/>
        <w:tabs>
          <w:tab w:leader="none" w:pos="640" w:val="left"/>
        </w:tabs>
        <w:numPr>
          <w:ilvl w:val="0"/>
          <w:numId w:val="9"/>
        </w:numPr>
        <w:rPr>
          <w:rFonts w:ascii="Arial" w:cs="Arial" w:eastAsia="Arial" w:hAnsi="Arial"/>
          <w:sz w:val="21"/>
          <w:szCs w:val="21"/>
          <w:color w:val="auto"/>
        </w:rPr>
      </w:pPr>
      <w:r>
        <w:rPr>
          <w:rFonts w:ascii="Calibri" w:cs="Calibri" w:eastAsia="Calibri" w:hAnsi="Calibri"/>
          <w:sz w:val="18"/>
          <w:szCs w:val="18"/>
          <w:color w:val="auto"/>
        </w:rPr>
        <w:t>preserving customer and other important relatonships of VMware and atractng new business and operatonal relatonships;</w:t>
      </w:r>
    </w:p>
    <w:p>
      <w:pPr>
        <w:spacing w:after="0" w:line="97" w:lineRule="exact"/>
        <w:rPr>
          <w:rFonts w:ascii="Arial" w:cs="Arial" w:eastAsia="Arial" w:hAnsi="Arial"/>
          <w:sz w:val="21"/>
          <w:szCs w:val="21"/>
          <w:color w:val="auto"/>
        </w:rPr>
      </w:pPr>
    </w:p>
    <w:p>
      <w:pPr>
        <w:ind w:left="640" w:hanging="317"/>
        <w:spacing w:after="0"/>
        <w:tabs>
          <w:tab w:leader="none" w:pos="640" w:val="left"/>
        </w:tabs>
        <w:numPr>
          <w:ilvl w:val="0"/>
          <w:numId w:val="9"/>
        </w:numPr>
        <w:rPr>
          <w:rFonts w:ascii="Calibri" w:cs="Calibri" w:eastAsia="Calibri" w:hAnsi="Calibri"/>
          <w:sz w:val="18"/>
          <w:szCs w:val="18"/>
          <w:color w:val="auto"/>
        </w:rPr>
      </w:pPr>
      <w:r>
        <w:rPr>
          <w:rFonts w:ascii="Calibri" w:cs="Calibri" w:eastAsia="Calibri" w:hAnsi="Calibri"/>
          <w:sz w:val="18"/>
          <w:szCs w:val="18"/>
          <w:color w:val="auto"/>
        </w:rPr>
        <w:t>integratng fnancial forecastng and controls, procedures and reportng cycles;</w:t>
      </w:r>
    </w:p>
    <w:p>
      <w:pPr>
        <w:spacing w:after="0" w:line="83" w:lineRule="exact"/>
        <w:rPr>
          <w:rFonts w:ascii="Calibri" w:cs="Calibri" w:eastAsia="Calibri" w:hAnsi="Calibri"/>
          <w:sz w:val="18"/>
          <w:szCs w:val="18"/>
          <w:color w:val="auto"/>
        </w:rPr>
      </w:pPr>
    </w:p>
    <w:p>
      <w:pPr>
        <w:ind w:left="640" w:hanging="317"/>
        <w:spacing w:after="0"/>
        <w:tabs>
          <w:tab w:leader="none" w:pos="640" w:val="left"/>
        </w:tabs>
        <w:numPr>
          <w:ilvl w:val="0"/>
          <w:numId w:val="9"/>
        </w:numPr>
        <w:rPr>
          <w:rFonts w:ascii="Calibri" w:cs="Calibri" w:eastAsia="Calibri" w:hAnsi="Calibri"/>
          <w:sz w:val="18"/>
          <w:szCs w:val="18"/>
          <w:color w:val="auto"/>
        </w:rPr>
      </w:pPr>
      <w:r>
        <w:rPr>
          <w:rFonts w:ascii="Calibri" w:cs="Calibri" w:eastAsia="Calibri" w:hAnsi="Calibri"/>
          <w:sz w:val="18"/>
          <w:szCs w:val="18"/>
          <w:color w:val="auto"/>
        </w:rPr>
        <w:t>consolidatng and integratng corporate, informaton technology, fnance and administratve infrastructures;</w:t>
      </w:r>
    </w:p>
    <w:p>
      <w:pPr>
        <w:spacing w:after="0" w:line="97" w:lineRule="exact"/>
        <w:rPr>
          <w:rFonts w:ascii="Calibri" w:cs="Calibri" w:eastAsia="Calibri" w:hAnsi="Calibri"/>
          <w:sz w:val="18"/>
          <w:szCs w:val="18"/>
          <w:color w:val="auto"/>
        </w:rPr>
      </w:pPr>
    </w:p>
    <w:p>
      <w:pPr>
        <w:ind w:left="640" w:hanging="317"/>
        <w:spacing w:after="0"/>
        <w:tabs>
          <w:tab w:leader="none" w:pos="640" w:val="left"/>
        </w:tabs>
        <w:numPr>
          <w:ilvl w:val="0"/>
          <w:numId w:val="9"/>
        </w:numPr>
        <w:rPr>
          <w:rFonts w:ascii="Calibri" w:cs="Calibri" w:eastAsia="Calibri" w:hAnsi="Calibri"/>
          <w:sz w:val="18"/>
          <w:szCs w:val="18"/>
          <w:color w:val="auto"/>
        </w:rPr>
      </w:pPr>
      <w:r>
        <w:rPr>
          <w:rFonts w:ascii="Calibri" w:cs="Calibri" w:eastAsia="Calibri" w:hAnsi="Calibri"/>
          <w:sz w:val="18"/>
          <w:szCs w:val="18"/>
          <w:color w:val="auto"/>
        </w:rPr>
        <w:t>coordinatng sales and marketng eforts to efectvely positon our capabilites;</w:t>
      </w:r>
    </w:p>
    <w:p>
      <w:pPr>
        <w:spacing w:after="0" w:line="97" w:lineRule="exact"/>
        <w:rPr>
          <w:rFonts w:ascii="Calibri" w:cs="Calibri" w:eastAsia="Calibri" w:hAnsi="Calibri"/>
          <w:sz w:val="18"/>
          <w:szCs w:val="18"/>
          <w:color w:val="auto"/>
        </w:rPr>
      </w:pPr>
    </w:p>
    <w:p>
      <w:pPr>
        <w:ind w:left="640" w:hanging="317"/>
        <w:spacing w:after="0"/>
        <w:tabs>
          <w:tab w:leader="none" w:pos="640" w:val="left"/>
        </w:tabs>
        <w:numPr>
          <w:ilvl w:val="0"/>
          <w:numId w:val="9"/>
        </w:numPr>
        <w:rPr>
          <w:rFonts w:ascii="Calibri" w:cs="Calibri" w:eastAsia="Calibri" w:hAnsi="Calibri"/>
          <w:sz w:val="18"/>
          <w:szCs w:val="18"/>
          <w:color w:val="auto"/>
        </w:rPr>
      </w:pPr>
      <w:r>
        <w:rPr>
          <w:rFonts w:ascii="Calibri" w:cs="Calibri" w:eastAsia="Calibri" w:hAnsi="Calibri"/>
          <w:sz w:val="18"/>
          <w:szCs w:val="18"/>
          <w:color w:val="auto"/>
        </w:rPr>
        <w:t>coordinatng and integratng operatons in countries in which we have not previously operated;</w:t>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9" w:right="339" w:bottom="1440" w:gutter="0" w:footer="0" w:header="0"/>
        </w:sectPr>
      </w:pPr>
    </w:p>
    <w:bookmarkStart w:id="18" w:name="page19"/>
    <w:bookmarkEnd w:id="18"/>
    <w:p>
      <w:pPr>
        <w:spacing w:after="0"/>
        <w:rPr>
          <w:sz w:val="20"/>
          <w:szCs w:val="20"/>
          <w:color w:val="auto"/>
        </w:rPr>
      </w:pPr>
      <w:r>
        <w:rPr>
          <w:rFonts w:ascii="Calibri" w:cs="Calibri" w:eastAsia="Calibri" w:hAnsi="Calibri"/>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640" w:hanging="317"/>
        <w:spacing w:after="0"/>
        <w:tabs>
          <w:tab w:leader="none" w:pos="640" w:val="left"/>
        </w:tabs>
        <w:numPr>
          <w:ilvl w:val="0"/>
          <w:numId w:val="10"/>
        </w:numPr>
        <w:rPr>
          <w:rFonts w:ascii="Calibri" w:cs="Calibri" w:eastAsia="Calibri" w:hAnsi="Calibri"/>
          <w:sz w:val="18"/>
          <w:szCs w:val="18"/>
          <w:color w:val="auto"/>
        </w:rPr>
      </w:pPr>
      <w:r>
        <w:rPr>
          <w:rFonts w:ascii="Calibri" w:cs="Calibri" w:eastAsia="Calibri" w:hAnsi="Calibri"/>
          <w:sz w:val="18"/>
          <w:szCs w:val="18"/>
          <w:color w:val="auto"/>
        </w:rPr>
        <w:t>reorientng the VMware sales and marketng force to align with the change in strategy and efectvely positon the business; and</w:t>
      </w:r>
    </w:p>
    <w:p>
      <w:pPr>
        <w:spacing w:after="0" w:line="106" w:lineRule="exact"/>
        <w:rPr>
          <w:rFonts w:ascii="Calibri" w:cs="Calibri" w:eastAsia="Calibri" w:hAnsi="Calibri"/>
          <w:sz w:val="18"/>
          <w:szCs w:val="18"/>
          <w:color w:val="auto"/>
        </w:rPr>
      </w:pPr>
    </w:p>
    <w:p>
      <w:pPr>
        <w:ind w:left="640" w:hanging="317"/>
        <w:spacing w:after="0"/>
        <w:tabs>
          <w:tab w:leader="none" w:pos="640" w:val="left"/>
        </w:tabs>
        <w:numPr>
          <w:ilvl w:val="0"/>
          <w:numId w:val="10"/>
        </w:numPr>
        <w:rPr>
          <w:rFonts w:ascii="Calibri" w:cs="Calibri" w:eastAsia="Calibri" w:hAnsi="Calibri"/>
          <w:sz w:val="17"/>
          <w:szCs w:val="17"/>
          <w:color w:val="auto"/>
        </w:rPr>
      </w:pPr>
      <w:r>
        <w:rPr>
          <w:rFonts w:ascii="Calibri" w:cs="Calibri" w:eastAsia="Calibri" w:hAnsi="Calibri"/>
          <w:sz w:val="17"/>
          <w:szCs w:val="17"/>
          <w:color w:val="auto"/>
        </w:rPr>
        <w:t>integratng the VMware workforce, including managing employee transitons and atriton, maintaining employee morale and retaining key employees.</w:t>
      </w:r>
    </w:p>
    <w:p>
      <w:pPr>
        <w:spacing w:after="0" w:line="109" w:lineRule="exact"/>
        <w:rPr>
          <w:sz w:val="20"/>
          <w:szCs w:val="20"/>
          <w:color w:val="auto"/>
        </w:rPr>
      </w:pPr>
    </w:p>
    <w:p>
      <w:pPr>
        <w:ind w:right="40" w:firstLine="317"/>
        <w:spacing w:after="0" w:line="223" w:lineRule="auto"/>
        <w:rPr>
          <w:sz w:val="20"/>
          <w:szCs w:val="20"/>
          <w:color w:val="auto"/>
        </w:rPr>
      </w:pPr>
      <w:r>
        <w:rPr>
          <w:rFonts w:ascii="Calibri" w:cs="Calibri" w:eastAsia="Calibri" w:hAnsi="Calibri"/>
          <w:sz w:val="18"/>
          <w:szCs w:val="18"/>
          <w:color w:val="auto"/>
        </w:rPr>
        <w:t>If we do not successfully manage these issues and the other challenges inherent in integratng an acquired business, then we may not achieve the antcipated benefts of the VMware Merger within our antcipated tmeframe or at all and our revenue, expenses, operatng results, fnancial conditon and stock price could be materially adversely afected. The successful integraton of the VMware business will require signifcant management atenton both before and afer the completon of the VMware Merger, and may divert the atenton of management from our business and operatonal issues.</w:t>
      </w:r>
    </w:p>
    <w:p>
      <w:pPr>
        <w:spacing w:after="0" w:line="85" w:lineRule="exact"/>
        <w:rPr>
          <w:sz w:val="20"/>
          <w:szCs w:val="20"/>
          <w:color w:val="auto"/>
        </w:rPr>
      </w:pPr>
    </w:p>
    <w:p>
      <w:pPr>
        <w:ind w:left="80"/>
        <w:spacing w:after="0"/>
        <w:rPr>
          <w:sz w:val="20"/>
          <w:szCs w:val="20"/>
          <w:color w:val="auto"/>
        </w:rPr>
      </w:pPr>
      <w:r>
        <w:rPr>
          <w:rFonts w:ascii="Calibri" w:cs="Calibri" w:eastAsia="Calibri" w:hAnsi="Calibri"/>
          <w:sz w:val="18"/>
          <w:szCs w:val="18"/>
          <w:b w:val="1"/>
          <w:bCs w:val="1"/>
          <w:i w:val="1"/>
          <w:iCs w:val="1"/>
          <w:color w:val="auto"/>
        </w:rPr>
        <w:t>We may pursue acquisitons, investments, joint ventures and dispositons, which could adversely afect our results of operatons.</w:t>
      </w:r>
    </w:p>
    <w:p>
      <w:pPr>
        <w:spacing w:after="0" w:line="107" w:lineRule="exact"/>
        <w:rPr>
          <w:sz w:val="20"/>
          <w:szCs w:val="20"/>
          <w:color w:val="auto"/>
        </w:rPr>
      </w:pPr>
    </w:p>
    <w:p>
      <w:pPr>
        <w:ind w:right="360" w:firstLine="317"/>
        <w:spacing w:after="0" w:line="230" w:lineRule="auto"/>
        <w:rPr>
          <w:sz w:val="20"/>
          <w:szCs w:val="20"/>
          <w:color w:val="auto"/>
        </w:rPr>
      </w:pPr>
      <w:r>
        <w:rPr>
          <w:rFonts w:ascii="Calibri" w:cs="Calibri" w:eastAsia="Calibri" w:hAnsi="Calibri"/>
          <w:sz w:val="18"/>
          <w:szCs w:val="18"/>
          <w:color w:val="auto"/>
        </w:rPr>
        <w:t>Our growth strategy includes acquiring or investng in businesses that ofer complementary products, services and technologies, or enhance our market coverage or technological capabilites.</w:t>
      </w:r>
    </w:p>
    <w:p>
      <w:pPr>
        <w:spacing w:after="0" w:line="97" w:lineRule="exact"/>
        <w:rPr>
          <w:sz w:val="20"/>
          <w:szCs w:val="20"/>
          <w:color w:val="auto"/>
        </w:rPr>
      </w:pPr>
    </w:p>
    <w:p>
      <w:pPr>
        <w:ind w:left="320"/>
        <w:spacing w:after="0"/>
        <w:rPr>
          <w:sz w:val="20"/>
          <w:szCs w:val="20"/>
          <w:color w:val="auto"/>
        </w:rPr>
      </w:pPr>
      <w:r>
        <w:rPr>
          <w:rFonts w:ascii="Calibri" w:cs="Calibri" w:eastAsia="Calibri" w:hAnsi="Calibri"/>
          <w:sz w:val="18"/>
          <w:szCs w:val="18"/>
          <w:color w:val="auto"/>
        </w:rPr>
        <w:t>Any acquisitons we may undertake, including the VMware Merger, and their integraton involve risks and uncertaintes, such as:</w:t>
      </w:r>
    </w:p>
    <w:p>
      <w:pPr>
        <w:spacing w:after="0" w:line="97" w:lineRule="exact"/>
        <w:rPr>
          <w:sz w:val="20"/>
          <w:szCs w:val="20"/>
          <w:color w:val="auto"/>
        </w:rPr>
      </w:pPr>
    </w:p>
    <w:p>
      <w:pPr>
        <w:ind w:left="640" w:hanging="317"/>
        <w:spacing w:after="0"/>
        <w:tabs>
          <w:tab w:leader="none" w:pos="640" w:val="left"/>
        </w:tabs>
        <w:numPr>
          <w:ilvl w:val="0"/>
          <w:numId w:val="11"/>
        </w:numPr>
        <w:rPr>
          <w:rFonts w:ascii="Calibri" w:cs="Calibri" w:eastAsia="Calibri" w:hAnsi="Calibri"/>
          <w:sz w:val="18"/>
          <w:szCs w:val="18"/>
          <w:color w:val="auto"/>
        </w:rPr>
      </w:pPr>
      <w:r>
        <w:rPr>
          <w:rFonts w:ascii="Calibri" w:cs="Calibri" w:eastAsia="Calibri" w:hAnsi="Calibri"/>
          <w:sz w:val="18"/>
          <w:szCs w:val="18"/>
          <w:color w:val="auto"/>
        </w:rPr>
        <w:t>unexpected delays, challenges and related expenses, and disrupton of our business;</w:t>
      </w:r>
    </w:p>
    <w:p>
      <w:pPr>
        <w:spacing w:after="0" w:line="97" w:lineRule="exact"/>
        <w:rPr>
          <w:rFonts w:ascii="Calibri" w:cs="Calibri" w:eastAsia="Calibri" w:hAnsi="Calibri"/>
          <w:sz w:val="18"/>
          <w:szCs w:val="18"/>
          <w:color w:val="auto"/>
        </w:rPr>
      </w:pPr>
    </w:p>
    <w:p>
      <w:pPr>
        <w:ind w:left="640" w:hanging="317"/>
        <w:spacing w:after="0"/>
        <w:tabs>
          <w:tab w:leader="none" w:pos="640" w:val="left"/>
        </w:tabs>
        <w:numPr>
          <w:ilvl w:val="0"/>
          <w:numId w:val="11"/>
        </w:numPr>
        <w:rPr>
          <w:rFonts w:ascii="Calibri" w:cs="Calibri" w:eastAsia="Calibri" w:hAnsi="Calibri"/>
          <w:sz w:val="18"/>
          <w:szCs w:val="18"/>
          <w:color w:val="auto"/>
        </w:rPr>
      </w:pPr>
      <w:r>
        <w:rPr>
          <w:rFonts w:ascii="Calibri" w:cs="Calibri" w:eastAsia="Calibri" w:hAnsi="Calibri"/>
          <w:sz w:val="18"/>
          <w:szCs w:val="18"/>
          <w:color w:val="auto"/>
        </w:rPr>
        <w:t>diversion of management’s atenton from daily operatons and the pursuit of other opportunites;</w:t>
      </w:r>
    </w:p>
    <w:p>
      <w:pPr>
        <w:spacing w:after="0" w:line="106" w:lineRule="exact"/>
        <w:rPr>
          <w:rFonts w:ascii="Calibri" w:cs="Calibri" w:eastAsia="Calibri" w:hAnsi="Calibri"/>
          <w:sz w:val="18"/>
          <w:szCs w:val="18"/>
          <w:color w:val="auto"/>
        </w:rPr>
      </w:pPr>
    </w:p>
    <w:p>
      <w:pPr>
        <w:ind w:left="640" w:right="480" w:hanging="317"/>
        <w:spacing w:after="0" w:line="247" w:lineRule="auto"/>
        <w:tabs>
          <w:tab w:leader="none" w:pos="633" w:val="left"/>
        </w:tabs>
        <w:numPr>
          <w:ilvl w:val="0"/>
          <w:numId w:val="11"/>
        </w:numPr>
        <w:rPr>
          <w:rFonts w:ascii="Calibri" w:cs="Calibri" w:eastAsia="Calibri" w:hAnsi="Calibri"/>
          <w:sz w:val="17"/>
          <w:szCs w:val="17"/>
          <w:color w:val="auto"/>
        </w:rPr>
      </w:pPr>
      <w:r>
        <w:rPr>
          <w:rFonts w:ascii="Calibri" w:cs="Calibri" w:eastAsia="Calibri" w:hAnsi="Calibri"/>
          <w:sz w:val="17"/>
          <w:szCs w:val="17"/>
          <w:color w:val="auto"/>
        </w:rPr>
        <w:t>incurring signifcant restructuring charges and amortzaton expense, assuming liabilites (some of which may be unexpected) and ongoing or new lawsuits, potental impairment of acquired goodwill and other intangible assets, and increasing our expenses and working capital requirements;</w:t>
      </w:r>
    </w:p>
    <w:p>
      <w:pPr>
        <w:spacing w:after="0" w:line="101" w:lineRule="exact"/>
        <w:rPr>
          <w:rFonts w:ascii="Calibri" w:cs="Calibri" w:eastAsia="Calibri" w:hAnsi="Calibri"/>
          <w:sz w:val="17"/>
          <w:szCs w:val="17"/>
          <w:color w:val="auto"/>
        </w:rPr>
      </w:pPr>
    </w:p>
    <w:p>
      <w:pPr>
        <w:ind w:left="640" w:right="680" w:hanging="317"/>
        <w:spacing w:after="0" w:line="230" w:lineRule="auto"/>
        <w:tabs>
          <w:tab w:leader="none" w:pos="633" w:val="left"/>
        </w:tabs>
        <w:numPr>
          <w:ilvl w:val="0"/>
          <w:numId w:val="11"/>
        </w:numPr>
        <w:rPr>
          <w:rFonts w:ascii="Calibri" w:cs="Calibri" w:eastAsia="Calibri" w:hAnsi="Calibri"/>
          <w:sz w:val="18"/>
          <w:szCs w:val="18"/>
          <w:color w:val="auto"/>
        </w:rPr>
      </w:pPr>
      <w:r>
        <w:rPr>
          <w:rFonts w:ascii="Calibri" w:cs="Calibri" w:eastAsia="Calibri" w:hAnsi="Calibri"/>
          <w:sz w:val="18"/>
          <w:szCs w:val="18"/>
          <w:color w:val="auto"/>
        </w:rPr>
        <w:t>the potental for defciencies in internal controls at the acquired business, as well as implementng our own management informaton systems, operatng systems and internal controls for the acquired operatons;</w:t>
      </w:r>
    </w:p>
    <w:p>
      <w:pPr>
        <w:spacing w:after="0" w:line="107" w:lineRule="exact"/>
        <w:rPr>
          <w:rFonts w:ascii="Calibri" w:cs="Calibri" w:eastAsia="Calibri" w:hAnsi="Calibri"/>
          <w:sz w:val="18"/>
          <w:szCs w:val="18"/>
          <w:color w:val="auto"/>
        </w:rPr>
      </w:pPr>
    </w:p>
    <w:p>
      <w:pPr>
        <w:ind w:left="640" w:hanging="317"/>
        <w:spacing w:after="0" w:line="247" w:lineRule="auto"/>
        <w:tabs>
          <w:tab w:leader="none" w:pos="633" w:val="left"/>
        </w:tabs>
        <w:numPr>
          <w:ilvl w:val="0"/>
          <w:numId w:val="11"/>
        </w:numPr>
        <w:rPr>
          <w:rFonts w:ascii="Calibri" w:cs="Calibri" w:eastAsia="Calibri" w:hAnsi="Calibri"/>
          <w:sz w:val="17"/>
          <w:szCs w:val="17"/>
          <w:color w:val="auto"/>
        </w:rPr>
      </w:pPr>
      <w:r>
        <w:rPr>
          <w:rFonts w:ascii="Calibri" w:cs="Calibri" w:eastAsia="Calibri" w:hAnsi="Calibri"/>
          <w:sz w:val="17"/>
          <w:szCs w:val="17"/>
          <w:color w:val="auto"/>
        </w:rPr>
        <w:t>our due diligence process may fail to identfy signifcant issues with the acquired business’ products, fnancial disclosures, accountng practces, legal, tax and other contngencies, compliance with local laws and regulatons (and interpretatons thereof) in the U.S. and multple internatonal jurisdictons;</w:t>
      </w:r>
    </w:p>
    <w:p>
      <w:pPr>
        <w:spacing w:after="0" w:line="101" w:lineRule="exact"/>
        <w:rPr>
          <w:rFonts w:ascii="Calibri" w:cs="Calibri" w:eastAsia="Calibri" w:hAnsi="Calibri"/>
          <w:sz w:val="17"/>
          <w:szCs w:val="17"/>
          <w:color w:val="auto"/>
        </w:rPr>
      </w:pPr>
    </w:p>
    <w:p>
      <w:pPr>
        <w:ind w:left="640" w:right="300" w:hanging="317"/>
        <w:spacing w:after="0" w:line="230" w:lineRule="auto"/>
        <w:tabs>
          <w:tab w:leader="none" w:pos="633" w:val="left"/>
        </w:tabs>
        <w:numPr>
          <w:ilvl w:val="0"/>
          <w:numId w:val="11"/>
        </w:numPr>
        <w:rPr>
          <w:rFonts w:ascii="Calibri" w:cs="Calibri" w:eastAsia="Calibri" w:hAnsi="Calibri"/>
          <w:sz w:val="18"/>
          <w:szCs w:val="18"/>
          <w:color w:val="auto"/>
        </w:rPr>
      </w:pPr>
      <w:r>
        <w:rPr>
          <w:rFonts w:ascii="Calibri" w:cs="Calibri" w:eastAsia="Calibri" w:hAnsi="Calibri"/>
          <w:sz w:val="18"/>
          <w:szCs w:val="18"/>
          <w:color w:val="auto"/>
        </w:rPr>
        <w:t>additonal acquisiton-related debt, which could increase our leverage and potentally negatvely afect our credit ratngs resultng in more restrictve borrowing terms or increased borrowing costs thereby limitng our ability to borrow;</w:t>
      </w:r>
    </w:p>
    <w:p>
      <w:pPr>
        <w:spacing w:after="0" w:line="97" w:lineRule="exact"/>
        <w:rPr>
          <w:rFonts w:ascii="Calibri" w:cs="Calibri" w:eastAsia="Calibri" w:hAnsi="Calibri"/>
          <w:sz w:val="18"/>
          <w:szCs w:val="18"/>
          <w:color w:val="auto"/>
        </w:rPr>
      </w:pPr>
    </w:p>
    <w:p>
      <w:pPr>
        <w:ind w:left="640" w:hanging="317"/>
        <w:spacing w:after="0"/>
        <w:tabs>
          <w:tab w:leader="none" w:pos="640" w:val="left"/>
        </w:tabs>
        <w:numPr>
          <w:ilvl w:val="0"/>
          <w:numId w:val="11"/>
        </w:numPr>
        <w:rPr>
          <w:rFonts w:ascii="Calibri" w:cs="Calibri" w:eastAsia="Calibri" w:hAnsi="Calibri"/>
          <w:sz w:val="18"/>
          <w:szCs w:val="18"/>
          <w:color w:val="auto"/>
        </w:rPr>
      </w:pPr>
      <w:r>
        <w:rPr>
          <w:rFonts w:ascii="Calibri" w:cs="Calibri" w:eastAsia="Calibri" w:hAnsi="Calibri"/>
          <w:sz w:val="18"/>
          <w:szCs w:val="18"/>
          <w:color w:val="auto"/>
        </w:rPr>
        <w:t>diluton of stock ownership of existng stockholders;</w:t>
      </w:r>
    </w:p>
    <w:p>
      <w:pPr>
        <w:spacing w:after="0" w:line="97" w:lineRule="exact"/>
        <w:rPr>
          <w:rFonts w:ascii="Calibri" w:cs="Calibri" w:eastAsia="Calibri" w:hAnsi="Calibri"/>
          <w:sz w:val="18"/>
          <w:szCs w:val="18"/>
          <w:color w:val="auto"/>
        </w:rPr>
      </w:pPr>
    </w:p>
    <w:p>
      <w:pPr>
        <w:ind w:left="640" w:hanging="317"/>
        <w:spacing w:after="0"/>
        <w:tabs>
          <w:tab w:leader="none" w:pos="640" w:val="left"/>
        </w:tabs>
        <w:numPr>
          <w:ilvl w:val="0"/>
          <w:numId w:val="11"/>
        </w:numPr>
        <w:rPr>
          <w:rFonts w:ascii="Calibri" w:cs="Calibri" w:eastAsia="Calibri" w:hAnsi="Calibri"/>
          <w:sz w:val="18"/>
          <w:szCs w:val="18"/>
          <w:color w:val="auto"/>
        </w:rPr>
      </w:pPr>
      <w:r>
        <w:rPr>
          <w:rFonts w:ascii="Calibri" w:cs="Calibri" w:eastAsia="Calibri" w:hAnsi="Calibri"/>
          <w:sz w:val="18"/>
          <w:szCs w:val="18"/>
          <w:color w:val="auto"/>
        </w:rPr>
        <w:t>difcultes integratng the acquired business or company and in managing and retaining acquired employees, vendors and customers; and</w:t>
      </w:r>
    </w:p>
    <w:p>
      <w:pPr>
        <w:spacing w:after="0" w:line="106" w:lineRule="exact"/>
        <w:rPr>
          <w:rFonts w:ascii="Calibri" w:cs="Calibri" w:eastAsia="Calibri" w:hAnsi="Calibri"/>
          <w:sz w:val="18"/>
          <w:szCs w:val="18"/>
          <w:color w:val="auto"/>
        </w:rPr>
      </w:pPr>
    </w:p>
    <w:p>
      <w:pPr>
        <w:ind w:left="640" w:right="540" w:hanging="317"/>
        <w:spacing w:after="0" w:line="230" w:lineRule="auto"/>
        <w:tabs>
          <w:tab w:leader="none" w:pos="633" w:val="left"/>
        </w:tabs>
        <w:numPr>
          <w:ilvl w:val="0"/>
          <w:numId w:val="11"/>
        </w:numPr>
        <w:rPr>
          <w:rFonts w:ascii="Calibri" w:cs="Calibri" w:eastAsia="Calibri" w:hAnsi="Calibri"/>
          <w:sz w:val="18"/>
          <w:szCs w:val="18"/>
          <w:color w:val="auto"/>
        </w:rPr>
      </w:pPr>
      <w:r>
        <w:rPr>
          <w:rFonts w:ascii="Calibri" w:cs="Calibri" w:eastAsia="Calibri" w:hAnsi="Calibri"/>
          <w:sz w:val="18"/>
          <w:szCs w:val="18"/>
          <w:color w:val="auto"/>
        </w:rPr>
        <w:t>inaccuracies in our original estmates and assumptons used to assess a transacton, which may result in us not realizing the expected fnancial or strategic benefts of any such transacton.</w:t>
      </w:r>
    </w:p>
    <w:p>
      <w:pPr>
        <w:spacing w:after="0" w:line="107" w:lineRule="exact"/>
        <w:rPr>
          <w:sz w:val="20"/>
          <w:szCs w:val="20"/>
          <w:color w:val="auto"/>
        </w:rPr>
      </w:pPr>
    </w:p>
    <w:p>
      <w:pPr>
        <w:ind w:right="80" w:firstLine="317"/>
        <w:spacing w:after="0" w:line="230" w:lineRule="auto"/>
        <w:rPr>
          <w:sz w:val="20"/>
          <w:szCs w:val="20"/>
          <w:color w:val="auto"/>
        </w:rPr>
      </w:pPr>
      <w:r>
        <w:rPr>
          <w:rFonts w:ascii="Calibri" w:cs="Calibri" w:eastAsia="Calibri" w:hAnsi="Calibri"/>
          <w:sz w:val="18"/>
          <w:szCs w:val="18"/>
          <w:color w:val="auto"/>
        </w:rPr>
        <w:t>In additon, current and future changes to the U.S. and foreign regulatory approval process and requirements related to acquisitons may cause approvals to take longer than antcipated, not be forthcoming or contain burdensome conditons, which may prevent the transacton or jeopardize, delay or reduce the antcipated benefts of the transacton, and impede the executon of our business strategy.</w:t>
      </w:r>
    </w:p>
    <w:p>
      <w:pPr>
        <w:spacing w:after="0" w:line="108" w:lineRule="exact"/>
        <w:rPr>
          <w:sz w:val="20"/>
          <w:szCs w:val="20"/>
          <w:color w:val="auto"/>
        </w:rPr>
      </w:pPr>
    </w:p>
    <w:p>
      <w:pPr>
        <w:ind w:right="100" w:firstLine="317"/>
        <w:spacing w:after="0" w:line="230" w:lineRule="auto"/>
        <w:rPr>
          <w:sz w:val="20"/>
          <w:szCs w:val="20"/>
          <w:color w:val="auto"/>
        </w:rPr>
      </w:pPr>
      <w:r>
        <w:rPr>
          <w:rFonts w:ascii="Calibri" w:cs="Calibri" w:eastAsia="Calibri" w:hAnsi="Calibri"/>
          <w:sz w:val="18"/>
          <w:szCs w:val="18"/>
          <w:color w:val="auto"/>
        </w:rPr>
        <w:t>From tme to tme, we may also seek to divest or wind down portons of our business, either acquired or otherwise, or we may exit minority investments, any of which could materially afect our cash fows and results of operatons. Such dispositons involve risks and uncertaintes, including our ability to sell such businesses on terms acceptable to us, or at all, disrupton to other parts of our business, potental loss of employees or customers, or exposure to unantcipated liabilites or ongoing obligatons to us following any such dispositons. In additon, dispositons may include the transfer of technology and/or the licensing of certain IP rights to third-party purchasers, which could limit our ability to utlize such IP rights or assert these rights against such third-party purchasers or other third partes.</w:t>
      </w:r>
    </w:p>
    <w:p>
      <w:pPr>
        <w:spacing w:after="0" w:line="100" w:lineRule="exact"/>
        <w:rPr>
          <w:sz w:val="20"/>
          <w:szCs w:val="20"/>
          <w:color w:val="auto"/>
        </w:rPr>
      </w:pPr>
    </w:p>
    <w:p>
      <w:pPr>
        <w:ind w:left="80"/>
        <w:spacing w:after="0"/>
        <w:rPr>
          <w:sz w:val="20"/>
          <w:szCs w:val="20"/>
          <w:color w:val="auto"/>
        </w:rPr>
      </w:pPr>
      <w:r>
        <w:rPr>
          <w:rFonts w:ascii="Calibri" w:cs="Calibri" w:eastAsia="Calibri" w:hAnsi="Calibri"/>
          <w:sz w:val="18"/>
          <w:szCs w:val="18"/>
          <w:b w:val="1"/>
          <w:bCs w:val="1"/>
          <w:i w:val="1"/>
          <w:iCs w:val="1"/>
          <w:color w:val="auto"/>
        </w:rPr>
        <w:t>We are subject to risks associated with our distributors and other channel partners, including product inventory levels and product sell-through.</w:t>
      </w:r>
    </w:p>
    <w:p>
      <w:pPr>
        <w:spacing w:after="0" w:line="107" w:lineRule="exact"/>
        <w:rPr>
          <w:sz w:val="20"/>
          <w:szCs w:val="20"/>
          <w:color w:val="auto"/>
        </w:rPr>
      </w:pPr>
    </w:p>
    <w:p>
      <w:pPr>
        <w:ind w:left="320"/>
        <w:spacing w:after="0"/>
        <w:rPr>
          <w:sz w:val="20"/>
          <w:szCs w:val="20"/>
          <w:color w:val="auto"/>
        </w:rPr>
      </w:pPr>
      <w:r>
        <w:rPr>
          <w:rFonts w:ascii="Calibri" w:cs="Calibri" w:eastAsia="Calibri" w:hAnsi="Calibri"/>
          <w:sz w:val="17"/>
          <w:szCs w:val="17"/>
          <w:color w:val="auto"/>
        </w:rPr>
        <w:t>We sell our products through a direct sales force and a select network of distributors and other channel partners globally. Sales to distributors accounted for</w:t>
      </w:r>
    </w:p>
    <w:p>
      <w:pPr>
        <w:spacing w:after="0" w:line="233" w:lineRule="auto"/>
        <w:rPr>
          <w:sz w:val="20"/>
          <w:szCs w:val="20"/>
          <w:color w:val="auto"/>
        </w:rPr>
      </w:pPr>
      <w:r>
        <w:rPr>
          <w:rFonts w:ascii="Calibri" w:cs="Calibri" w:eastAsia="Calibri" w:hAnsi="Calibri"/>
          <w:sz w:val="18"/>
          <w:szCs w:val="18"/>
          <w:color w:val="auto"/>
        </w:rPr>
        <w:t>57% of our net revenue in the fscal year ended October 29, 2023 and are subject to a number of risks, including:</w:t>
      </w:r>
    </w:p>
    <w:p>
      <w:pPr>
        <w:spacing w:after="0" w:line="200" w:lineRule="exact"/>
        <w:rPr>
          <w:sz w:val="20"/>
          <w:szCs w:val="20"/>
          <w:color w:val="auto"/>
        </w:rPr>
      </w:pPr>
    </w:p>
    <w:p>
      <w:pPr>
        <w:spacing w:after="0" w:line="373" w:lineRule="exact"/>
        <w:rPr>
          <w:sz w:val="20"/>
          <w:szCs w:val="20"/>
          <w:color w:val="auto"/>
        </w:rPr>
      </w:pPr>
    </w:p>
    <w:p>
      <w:pPr>
        <w:jc w:val="center"/>
        <w:ind w:right="-39"/>
        <w:spacing w:after="0"/>
        <w:rPr>
          <w:sz w:val="20"/>
          <w:szCs w:val="20"/>
          <w:color w:val="auto"/>
        </w:rPr>
      </w:pPr>
      <w:r>
        <w:rPr>
          <w:rFonts w:ascii="Calibri" w:cs="Calibri" w:eastAsia="Calibri" w:hAnsi="Calibri"/>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09" w:right="359" w:bottom="1440" w:gutter="0" w:footer="0" w:header="0"/>
        </w:sectPr>
      </w:pPr>
    </w:p>
    <w:bookmarkStart w:id="19" w:name="page20"/>
    <w:bookmarkEnd w:id="19"/>
    <w:p>
      <w:pPr>
        <w:spacing w:after="0"/>
        <w:rPr>
          <w:sz w:val="20"/>
          <w:szCs w:val="20"/>
          <w:color w:val="auto"/>
        </w:rPr>
      </w:pPr>
      <w:r>
        <w:rPr>
          <w:rFonts w:ascii="Calibri" w:cs="Calibri" w:eastAsia="Calibri" w:hAnsi="Calibri"/>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640" w:hanging="317"/>
        <w:spacing w:after="0"/>
        <w:tabs>
          <w:tab w:leader="none" w:pos="640" w:val="left"/>
        </w:tabs>
        <w:numPr>
          <w:ilvl w:val="0"/>
          <w:numId w:val="12"/>
        </w:numPr>
        <w:rPr>
          <w:rFonts w:ascii="Calibri" w:cs="Calibri" w:eastAsia="Calibri" w:hAnsi="Calibri"/>
          <w:sz w:val="18"/>
          <w:szCs w:val="18"/>
          <w:color w:val="auto"/>
        </w:rPr>
      </w:pPr>
      <w:r>
        <w:rPr>
          <w:rFonts w:ascii="Calibri" w:cs="Calibri" w:eastAsia="Calibri" w:hAnsi="Calibri"/>
          <w:sz w:val="18"/>
          <w:szCs w:val="18"/>
          <w:color w:val="auto"/>
        </w:rPr>
        <w:t>fuctuatons in demand based on our distributors’ product inventory levels and end customer demand;</w:t>
      </w:r>
    </w:p>
    <w:p>
      <w:pPr>
        <w:spacing w:after="0" w:line="106" w:lineRule="exact"/>
        <w:rPr>
          <w:rFonts w:ascii="Calibri" w:cs="Calibri" w:eastAsia="Calibri" w:hAnsi="Calibri"/>
          <w:sz w:val="18"/>
          <w:szCs w:val="18"/>
          <w:color w:val="auto"/>
        </w:rPr>
      </w:pPr>
    </w:p>
    <w:p>
      <w:pPr>
        <w:ind w:left="640" w:right="160" w:hanging="317"/>
        <w:spacing w:after="0" w:line="230" w:lineRule="auto"/>
        <w:tabs>
          <w:tab w:leader="none" w:pos="633" w:val="left"/>
        </w:tabs>
        <w:numPr>
          <w:ilvl w:val="0"/>
          <w:numId w:val="12"/>
        </w:numPr>
        <w:rPr>
          <w:rFonts w:ascii="Calibri" w:cs="Calibri" w:eastAsia="Calibri" w:hAnsi="Calibri"/>
          <w:sz w:val="18"/>
          <w:szCs w:val="18"/>
          <w:color w:val="auto"/>
        </w:rPr>
      </w:pPr>
      <w:r>
        <w:rPr>
          <w:rFonts w:ascii="Calibri" w:cs="Calibri" w:eastAsia="Calibri" w:hAnsi="Calibri"/>
          <w:sz w:val="18"/>
          <w:szCs w:val="18"/>
          <w:color w:val="auto"/>
        </w:rPr>
        <w:t>our distributors and other channel partners are generally not subject to minimum sales requirements or any obligaton to market our products to their customers;</w:t>
      </w:r>
    </w:p>
    <w:p>
      <w:pPr>
        <w:spacing w:after="0" w:line="97" w:lineRule="exact"/>
        <w:rPr>
          <w:rFonts w:ascii="Calibri" w:cs="Calibri" w:eastAsia="Calibri" w:hAnsi="Calibri"/>
          <w:sz w:val="18"/>
          <w:szCs w:val="18"/>
          <w:color w:val="auto"/>
        </w:rPr>
      </w:pPr>
    </w:p>
    <w:p>
      <w:pPr>
        <w:ind w:left="640" w:hanging="317"/>
        <w:spacing w:after="0"/>
        <w:tabs>
          <w:tab w:leader="none" w:pos="640" w:val="left"/>
        </w:tabs>
        <w:numPr>
          <w:ilvl w:val="0"/>
          <w:numId w:val="12"/>
        </w:numPr>
        <w:rPr>
          <w:rFonts w:ascii="Calibri" w:cs="Calibri" w:eastAsia="Calibri" w:hAnsi="Calibri"/>
          <w:sz w:val="18"/>
          <w:szCs w:val="18"/>
          <w:color w:val="auto"/>
        </w:rPr>
      </w:pPr>
      <w:r>
        <w:rPr>
          <w:rFonts w:ascii="Calibri" w:cs="Calibri" w:eastAsia="Calibri" w:hAnsi="Calibri"/>
          <w:sz w:val="18"/>
          <w:szCs w:val="18"/>
          <w:color w:val="auto"/>
        </w:rPr>
        <w:t>our distributors and other channel partners agreements are generally nonexclusive and may be terminated at any tme without cause;</w:t>
      </w:r>
    </w:p>
    <w:p>
      <w:pPr>
        <w:spacing w:after="0" w:line="97" w:lineRule="exact"/>
        <w:rPr>
          <w:rFonts w:ascii="Calibri" w:cs="Calibri" w:eastAsia="Calibri" w:hAnsi="Calibri"/>
          <w:sz w:val="18"/>
          <w:szCs w:val="18"/>
          <w:color w:val="auto"/>
        </w:rPr>
      </w:pPr>
    </w:p>
    <w:p>
      <w:pPr>
        <w:ind w:left="640" w:hanging="317"/>
        <w:spacing w:after="0"/>
        <w:tabs>
          <w:tab w:leader="none" w:pos="640" w:val="left"/>
        </w:tabs>
        <w:numPr>
          <w:ilvl w:val="0"/>
          <w:numId w:val="12"/>
        </w:numPr>
        <w:rPr>
          <w:rFonts w:ascii="Calibri" w:cs="Calibri" w:eastAsia="Calibri" w:hAnsi="Calibri"/>
          <w:sz w:val="18"/>
          <w:szCs w:val="18"/>
          <w:color w:val="auto"/>
        </w:rPr>
      </w:pPr>
      <w:r>
        <w:rPr>
          <w:rFonts w:ascii="Calibri" w:cs="Calibri" w:eastAsia="Calibri" w:hAnsi="Calibri"/>
          <w:sz w:val="18"/>
          <w:szCs w:val="18"/>
          <w:color w:val="auto"/>
        </w:rPr>
        <w:t>our lack of control over the tming of delivery of our products to end customers; and</w:t>
      </w:r>
    </w:p>
    <w:p>
      <w:pPr>
        <w:spacing w:after="0" w:line="106" w:lineRule="exact"/>
        <w:rPr>
          <w:rFonts w:ascii="Calibri" w:cs="Calibri" w:eastAsia="Calibri" w:hAnsi="Calibri"/>
          <w:sz w:val="18"/>
          <w:szCs w:val="18"/>
          <w:color w:val="auto"/>
        </w:rPr>
      </w:pPr>
    </w:p>
    <w:p>
      <w:pPr>
        <w:ind w:left="640" w:right="580" w:hanging="317"/>
        <w:spacing w:after="0" w:line="230" w:lineRule="auto"/>
        <w:tabs>
          <w:tab w:leader="none" w:pos="633" w:val="left"/>
        </w:tabs>
        <w:numPr>
          <w:ilvl w:val="0"/>
          <w:numId w:val="12"/>
        </w:numPr>
        <w:rPr>
          <w:rFonts w:ascii="Calibri" w:cs="Calibri" w:eastAsia="Calibri" w:hAnsi="Calibri"/>
          <w:sz w:val="18"/>
          <w:szCs w:val="18"/>
          <w:color w:val="auto"/>
        </w:rPr>
      </w:pPr>
      <w:r>
        <w:rPr>
          <w:rFonts w:ascii="Calibri" w:cs="Calibri" w:eastAsia="Calibri" w:hAnsi="Calibri"/>
          <w:sz w:val="18"/>
          <w:szCs w:val="18"/>
          <w:color w:val="auto"/>
        </w:rPr>
        <w:t>our distributors and other channel partners may market and distribute competng products and may place greater emphasis on the sale of these products.</w:t>
      </w:r>
    </w:p>
    <w:p>
      <w:pPr>
        <w:spacing w:after="0" w:line="107" w:lineRule="exact"/>
        <w:rPr>
          <w:sz w:val="20"/>
          <w:szCs w:val="20"/>
          <w:color w:val="auto"/>
        </w:rPr>
      </w:pPr>
    </w:p>
    <w:p>
      <w:pPr>
        <w:ind w:right="60" w:firstLine="317"/>
        <w:spacing w:after="0" w:line="230" w:lineRule="auto"/>
        <w:rPr>
          <w:sz w:val="20"/>
          <w:szCs w:val="20"/>
          <w:color w:val="auto"/>
        </w:rPr>
      </w:pPr>
      <w:r>
        <w:rPr>
          <w:rFonts w:ascii="Calibri" w:cs="Calibri" w:eastAsia="Calibri" w:hAnsi="Calibri"/>
          <w:sz w:val="18"/>
          <w:szCs w:val="18"/>
          <w:color w:val="auto"/>
        </w:rPr>
        <w:t>We expect our dependence on channel partners will increase following the VMware Merger. Failure to maintain good relatonships with our distributors and channel partners could adversely impact our business. In additon, we sell our semiconductor products through an increasingly limited number of distributors, which exposes us to additonal customer concentraton and related credit risks.</w:t>
      </w:r>
    </w:p>
    <w:p>
      <w:pPr>
        <w:spacing w:after="0" w:line="108" w:lineRule="exact"/>
        <w:rPr>
          <w:sz w:val="20"/>
          <w:szCs w:val="20"/>
          <w:color w:val="auto"/>
        </w:rPr>
      </w:pPr>
    </w:p>
    <w:p>
      <w:pPr>
        <w:ind w:right="20" w:firstLine="317"/>
        <w:spacing w:after="0" w:line="230" w:lineRule="auto"/>
        <w:rPr>
          <w:sz w:val="20"/>
          <w:szCs w:val="20"/>
          <w:color w:val="auto"/>
        </w:rPr>
      </w:pPr>
      <w:r>
        <w:rPr>
          <w:rFonts w:ascii="Calibri" w:cs="Calibri" w:eastAsia="Calibri" w:hAnsi="Calibri"/>
          <w:sz w:val="18"/>
          <w:szCs w:val="18"/>
          <w:color w:val="auto"/>
        </w:rPr>
        <w:t>We do not always have a direct relatonship with the end customers of our products. As a result, our semiconductor products may be used in applicatons for which they were not necessarily designed or tested, including, for example, medical devices, and they may not perform as antcipated in such applicatons. In such event, failure of even a small number of parts could result in signifcant liabilites to us, damage our reputaton and harm our business and results of operatons.</w:t>
      </w:r>
    </w:p>
    <w:p>
      <w:pPr>
        <w:spacing w:after="0" w:line="99" w:lineRule="exact"/>
        <w:rPr>
          <w:sz w:val="20"/>
          <w:szCs w:val="20"/>
          <w:color w:val="auto"/>
        </w:rPr>
      </w:pPr>
    </w:p>
    <w:p>
      <w:pPr>
        <w:ind w:left="80"/>
        <w:spacing w:after="0"/>
        <w:rPr>
          <w:sz w:val="20"/>
          <w:szCs w:val="20"/>
          <w:color w:val="auto"/>
        </w:rPr>
      </w:pPr>
      <w:r>
        <w:rPr>
          <w:rFonts w:ascii="Calibri" w:cs="Calibri" w:eastAsia="Calibri" w:hAnsi="Calibri"/>
          <w:sz w:val="18"/>
          <w:szCs w:val="18"/>
          <w:b w:val="1"/>
          <w:bCs w:val="1"/>
          <w:i w:val="1"/>
          <w:iCs w:val="1"/>
          <w:color w:val="auto"/>
        </w:rPr>
        <w:t>Our business would be adversely afected by the departure of existng members of our senior management team.</w:t>
      </w:r>
    </w:p>
    <w:p>
      <w:pPr>
        <w:spacing w:after="0" w:line="107" w:lineRule="exact"/>
        <w:rPr>
          <w:sz w:val="20"/>
          <w:szCs w:val="20"/>
          <w:color w:val="auto"/>
        </w:rPr>
      </w:pPr>
    </w:p>
    <w:p>
      <w:pPr>
        <w:ind w:right="60" w:firstLine="317"/>
        <w:spacing w:after="0" w:line="245" w:lineRule="auto"/>
        <w:rPr>
          <w:sz w:val="20"/>
          <w:szCs w:val="20"/>
          <w:color w:val="auto"/>
        </w:rPr>
      </w:pPr>
      <w:r>
        <w:rPr>
          <w:rFonts w:ascii="Calibri" w:cs="Calibri" w:eastAsia="Calibri" w:hAnsi="Calibri"/>
          <w:sz w:val="17"/>
          <w:szCs w:val="17"/>
          <w:color w:val="auto"/>
        </w:rPr>
        <w:t>Our success depends, in large part, on the contnued contributons of our senior management team, and in partcular, the services of Hock E. Tan, our President and Chief Executve Ofcer. Efectve succession planning is also important for our long-term success. Failure to ensure efectve transfers of knowledge and smooth transitons involving senior management could hinder our strategic planning and executon. None of our senior management is bound by writen employment contracts. In additon, we do not currently maintain key person life insurance covering our senior management. The loss of any of our senior management could harm our ability to implement our business strategy and respond to the rapidly changing market conditons in which we operate.</w:t>
      </w:r>
    </w:p>
    <w:p>
      <w:pPr>
        <w:spacing w:after="0" w:line="103" w:lineRule="exact"/>
        <w:rPr>
          <w:sz w:val="20"/>
          <w:szCs w:val="20"/>
          <w:color w:val="auto"/>
        </w:rPr>
      </w:pPr>
    </w:p>
    <w:p>
      <w:pPr>
        <w:ind w:right="260" w:firstLine="79"/>
        <w:spacing w:after="0" w:line="230" w:lineRule="auto"/>
        <w:rPr>
          <w:sz w:val="20"/>
          <w:szCs w:val="20"/>
          <w:color w:val="auto"/>
        </w:rPr>
      </w:pPr>
      <w:r>
        <w:rPr>
          <w:rFonts w:ascii="Calibri" w:cs="Calibri" w:eastAsia="Calibri" w:hAnsi="Calibri"/>
          <w:sz w:val="18"/>
          <w:szCs w:val="18"/>
          <w:b w:val="1"/>
          <w:bCs w:val="1"/>
          <w:i w:val="1"/>
          <w:iCs w:val="1"/>
          <w:color w:val="auto"/>
        </w:rPr>
        <w:t>If we are unable to atract and retain qualifed personnel, especially our engineering and technical personnel, we may not be able to execute our business strategy efectvely.</w:t>
      </w:r>
    </w:p>
    <w:p>
      <w:pPr>
        <w:spacing w:after="0" w:line="107" w:lineRule="exact"/>
        <w:rPr>
          <w:sz w:val="20"/>
          <w:szCs w:val="20"/>
          <w:color w:val="auto"/>
        </w:rPr>
      </w:pPr>
    </w:p>
    <w:p>
      <w:pPr>
        <w:ind w:firstLine="317"/>
        <w:spacing w:after="0" w:line="244" w:lineRule="auto"/>
        <w:rPr>
          <w:sz w:val="20"/>
          <w:szCs w:val="20"/>
          <w:color w:val="auto"/>
        </w:rPr>
      </w:pPr>
      <w:r>
        <w:rPr>
          <w:rFonts w:ascii="Calibri" w:cs="Calibri" w:eastAsia="Calibri" w:hAnsi="Calibri"/>
          <w:sz w:val="17"/>
          <w:szCs w:val="17"/>
          <w:color w:val="auto"/>
        </w:rPr>
        <w:t>Our future success depends on our ability to atract, retain and motvate qualifed personnel. As the source of our technological and product innovatons, our engineering and technical personnel (including cyber security experts) are a signifcant asset. Competton for these employees is signifcant in many areas of the world in which we operate, partcularly in Silicon Valley and Southeast Asia where qualifed engineers are in high demand. In additon, current or future immigraton laws may make it more difcult to hire or retain qualifed engineers, further limitng the pool of available talent. We believe equity awards provide a powerful long-term retenton incentve and have historically granted these awards to the substantal majority of our employees. If we are unable to contnue our current equity grantng philosophy, this could impair our eforts to atract and retain necessary personnel. Any inability to retain, atract or motvate such personnel and provide compettve employment benefts could have a material adverse efect on our business, fnancial conditon and results of operatons.</w:t>
      </w:r>
    </w:p>
    <w:p>
      <w:pPr>
        <w:spacing w:after="0" w:line="108" w:lineRule="exact"/>
        <w:rPr>
          <w:sz w:val="20"/>
          <w:szCs w:val="20"/>
          <w:color w:val="auto"/>
        </w:rPr>
      </w:pPr>
    </w:p>
    <w:p>
      <w:pPr>
        <w:ind w:right="80" w:firstLine="79"/>
        <w:spacing w:after="0" w:line="230" w:lineRule="auto"/>
        <w:rPr>
          <w:sz w:val="20"/>
          <w:szCs w:val="20"/>
          <w:color w:val="auto"/>
        </w:rPr>
      </w:pPr>
      <w:r>
        <w:rPr>
          <w:rFonts w:ascii="Calibri" w:cs="Calibri" w:eastAsia="Calibri" w:hAnsi="Calibri"/>
          <w:sz w:val="18"/>
          <w:szCs w:val="18"/>
          <w:b w:val="1"/>
          <w:bCs w:val="1"/>
          <w:i w:val="1"/>
          <w:iCs w:val="1"/>
          <w:color w:val="auto"/>
        </w:rPr>
        <w:t>An impairment of the confdentality, integrity, or availability of our IT systems, or those of one or more of our corporate infrastructure vendors could have a material adverse efect on our business.</w:t>
      </w:r>
    </w:p>
    <w:p>
      <w:pPr>
        <w:spacing w:after="0" w:line="107" w:lineRule="exact"/>
        <w:rPr>
          <w:sz w:val="20"/>
          <w:szCs w:val="20"/>
          <w:color w:val="auto"/>
        </w:rPr>
      </w:pPr>
    </w:p>
    <w:p>
      <w:pPr>
        <w:ind w:right="60" w:firstLine="317"/>
        <w:spacing w:after="0" w:line="230" w:lineRule="auto"/>
        <w:rPr>
          <w:sz w:val="20"/>
          <w:szCs w:val="20"/>
          <w:color w:val="auto"/>
        </w:rPr>
      </w:pPr>
      <w:r>
        <w:rPr>
          <w:rFonts w:ascii="Calibri" w:cs="Calibri" w:eastAsia="Calibri" w:hAnsi="Calibri"/>
          <w:sz w:val="18"/>
          <w:szCs w:val="18"/>
          <w:color w:val="auto"/>
        </w:rPr>
        <w:t>Our business depends on a wide variety of complex IT systems and services, including cloud-based and other critcal corporate services relatng to, among other things, product research and development, fnancial reportng, product orders and fulfllment, HR, beneft plan administraton, IT network management, and electronic communicaton and collaboraton services. These systems and services are both internally managed and outsourced, and in many cases we rely upon third-party data centers. Any failure of these internal or third-party systems and services to operate efectvely could disrupt our operatons and could have a material adverse efect on our business, fnancial conditon and results of operatons. Our operatons are dependent upon our ability to protect our IT infrastructure against damage from business contnuity events that could have a signifcant disruptve efect. Although these systems are designed to protect and secure our customers’, suppliers’ and employees’ confdental informaton, as well as our own proprietary informaton, we are, out of necessity, dependent on our vendors to adequately address cyber security threats to their own systems. In additon, sofware products we use and technologies produced by us have occasionally had in the past and may have in the future, vulnerabilites that, if lef unmitgated, could reduce the overall level of security of the systems on which the sofware is installed.</w:t>
      </w:r>
    </w:p>
    <w:p>
      <w:pPr>
        <w:spacing w:after="0" w:line="113" w:lineRule="exact"/>
        <w:rPr>
          <w:sz w:val="20"/>
          <w:szCs w:val="20"/>
          <w:color w:val="auto"/>
        </w:rPr>
      </w:pPr>
    </w:p>
    <w:p>
      <w:pPr>
        <w:ind w:right="200" w:firstLine="317"/>
        <w:spacing w:after="0" w:line="230" w:lineRule="auto"/>
        <w:rPr>
          <w:sz w:val="20"/>
          <w:szCs w:val="20"/>
          <w:color w:val="auto"/>
        </w:rPr>
      </w:pPr>
      <w:r>
        <w:rPr>
          <w:rFonts w:ascii="Calibri" w:cs="Calibri" w:eastAsia="Calibri" w:hAnsi="Calibri"/>
          <w:sz w:val="18"/>
          <w:szCs w:val="18"/>
          <w:color w:val="auto"/>
        </w:rPr>
        <w:t>Cyber-atacks are increasing in number and sophistcaton, are well-fnanced, in some cases supported by state actors, and are designed to not only atack, but also to evade detecton. Since the techniques used to obtain unauthorized access to systems, or to otherwise sabotage them, change frequently and are ofen not recognized untl launched against a target, we</w:t>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9" w:right="339" w:bottom="1440" w:gutter="0" w:footer="0" w:header="0"/>
        </w:sectPr>
      </w:pPr>
    </w:p>
    <w:bookmarkStart w:id="20" w:name="page21"/>
    <w:bookmarkEnd w:id="20"/>
    <w:p>
      <w:pPr>
        <w:spacing w:after="0"/>
        <w:rPr>
          <w:sz w:val="20"/>
          <w:szCs w:val="20"/>
          <w:color w:val="auto"/>
        </w:rPr>
      </w:pPr>
      <w:r>
        <w:rPr>
          <w:rFonts w:ascii="Calibri" w:cs="Calibri" w:eastAsia="Calibri" w:hAnsi="Calibri"/>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right="220"/>
        <w:spacing w:after="0" w:line="245" w:lineRule="auto"/>
        <w:rPr>
          <w:sz w:val="20"/>
          <w:szCs w:val="20"/>
          <w:color w:val="auto"/>
        </w:rPr>
      </w:pPr>
      <w:r>
        <w:rPr>
          <w:rFonts w:ascii="Calibri" w:cs="Calibri" w:eastAsia="Calibri" w:hAnsi="Calibri"/>
          <w:sz w:val="17"/>
          <w:szCs w:val="17"/>
          <w:color w:val="auto"/>
        </w:rPr>
        <w:t>may be unable to antcipate these techniques or to implement adequate preventatve measures. As a critcal vendor in the digital supply chain for both governmental enttes and critcal infrastructure operators, we and our products may be targeted by those seeking to threaten the confdentality, integrity and availability of systems supportng essental public services. Geopolitcal instability may increase the likelihood that we will experience direct or collateral consequences from cyber conficts between naton-states or other politcally motvated actors targetng critcal technology infrastructure.</w:t>
      </w:r>
    </w:p>
    <w:p>
      <w:pPr>
        <w:spacing w:after="0" w:line="103" w:lineRule="exact"/>
        <w:rPr>
          <w:sz w:val="20"/>
          <w:szCs w:val="20"/>
          <w:color w:val="auto"/>
        </w:rPr>
      </w:pPr>
    </w:p>
    <w:p>
      <w:pPr>
        <w:ind w:right="20" w:firstLine="317"/>
        <w:spacing w:after="0" w:line="230" w:lineRule="auto"/>
        <w:rPr>
          <w:sz w:val="20"/>
          <w:szCs w:val="20"/>
          <w:color w:val="auto"/>
        </w:rPr>
      </w:pPr>
      <w:r>
        <w:rPr>
          <w:rFonts w:ascii="Calibri" w:cs="Calibri" w:eastAsia="Calibri" w:hAnsi="Calibri"/>
          <w:sz w:val="18"/>
          <w:szCs w:val="18"/>
          <w:color w:val="auto"/>
        </w:rPr>
        <w:t>Accidental or willful security breaches or other unauthorized access to our informaton systems or the systems of our service providers and business partners, or the existence of computer viruses or malware (such as ransomware) in our or their data or sofware have in the past, and could in the future, expose us to a risk of informaton loss, business disrupton, and misappropriaton of proprietary and confdental informaton, including informaton relatng to our products or customers and the personal informaton of our employees or third partes. Such an event could disrupt our business and result in, among other things, unfavorable publicity, damage to our reputaton, loss of our trade secrets and other compettve informaton, litgaton by afected partes and possible fnancial obligatons for liabilites and damages related to the thef or misuse of such informaton, signifcant remediaton costs, disrupton of key business operatons and signifcant diversion of our resources, as well as fnes and other sanctons resultng from any related breaches of data privacy regulatons (such as the General Data Protecton Regulaton), any of which could have a material adverse efect on our business, proftability and fnancial conditon. While we may be enttled to damages if our vendors fail to perform under their agreements with us, any award may be insufcient to cover the actual costs incurred by us and, as a result of a vendor’s failure to perform, we may be unable to collect any damages.</w:t>
      </w:r>
    </w:p>
    <w:p>
      <w:pPr>
        <w:spacing w:after="0" w:line="113" w:lineRule="exact"/>
        <w:rPr>
          <w:sz w:val="20"/>
          <w:szCs w:val="20"/>
          <w:color w:val="auto"/>
        </w:rPr>
      </w:pPr>
    </w:p>
    <w:p>
      <w:pPr>
        <w:ind w:firstLine="317"/>
        <w:spacing w:after="0" w:line="245" w:lineRule="auto"/>
        <w:rPr>
          <w:sz w:val="20"/>
          <w:szCs w:val="20"/>
          <w:color w:val="auto"/>
        </w:rPr>
      </w:pPr>
      <w:r>
        <w:rPr>
          <w:rFonts w:ascii="Calibri" w:cs="Calibri" w:eastAsia="Calibri" w:hAnsi="Calibri"/>
          <w:sz w:val="17"/>
          <w:szCs w:val="17"/>
          <w:color w:val="auto"/>
        </w:rPr>
        <w:t>Despite our internal controls and investment in security measures, we have, from tme to tme, been subject to disruptve cyber-atacks and unauthorized network intrusions and malware on our own IT networks or those of our service providers or business partners. Although no such cyber security incidents have been material to Broadcom, we contnue to devote resources to protect our systems and data from unauthorized access or misuse, and we may be required to expend greater resources in the future. Businesses we acquire may increase the scope and complexity of our IT networks, and this may increase our risk exposure to cyber-atacks when there are difcultes integratng diverse legacy systems that support operatons for the acquired businesses.</w:t>
      </w:r>
    </w:p>
    <w:p>
      <w:pPr>
        <w:spacing w:after="0" w:line="103" w:lineRule="exact"/>
        <w:rPr>
          <w:sz w:val="20"/>
          <w:szCs w:val="20"/>
          <w:color w:val="auto"/>
        </w:rPr>
      </w:pPr>
    </w:p>
    <w:p>
      <w:pPr>
        <w:ind w:right="40" w:firstLine="317"/>
        <w:spacing w:after="0" w:line="230" w:lineRule="auto"/>
        <w:rPr>
          <w:sz w:val="20"/>
          <w:szCs w:val="20"/>
          <w:color w:val="auto"/>
        </w:rPr>
      </w:pPr>
      <w:r>
        <w:rPr>
          <w:rFonts w:ascii="Calibri" w:cs="Calibri" w:eastAsia="Calibri" w:hAnsi="Calibri"/>
          <w:sz w:val="18"/>
          <w:szCs w:val="18"/>
          <w:color w:val="auto"/>
        </w:rPr>
        <w:t>In additon, certain aspects of efectve cybersecurity are dependent upon our employees, contractors and other trusted partners reliably safeguarding secrets (e.g., applicaton credentals) and adhering to our security policies and access control mechanisms. We have in the past experienced, and expect in the future to experience, security incidents arising from a failure to properly handle such secrets or adhere to such policies and, although no such events have had a material adverse efect on our business, there can be no assurance that an insider threat will not result in an incident that is material to Broadcom. Our logging, alertng and cyber incident detecton mechanisms may not cover every system potentally targeted by threat actors, may not have the capability to detect certain types of unauthorized actvites, and may not capture and surface informaton sufcient to enable us to tmely detect and take responsive acton to insider or external threats.</w:t>
      </w:r>
    </w:p>
    <w:p>
      <w:pPr>
        <w:spacing w:after="0" w:line="110" w:lineRule="exact"/>
        <w:rPr>
          <w:sz w:val="20"/>
          <w:szCs w:val="20"/>
          <w:color w:val="auto"/>
        </w:rPr>
      </w:pPr>
    </w:p>
    <w:p>
      <w:pPr>
        <w:ind w:right="20" w:firstLine="317"/>
        <w:spacing w:after="0" w:line="230" w:lineRule="auto"/>
        <w:rPr>
          <w:sz w:val="20"/>
          <w:szCs w:val="20"/>
          <w:color w:val="auto"/>
        </w:rPr>
      </w:pPr>
      <w:r>
        <w:rPr>
          <w:rFonts w:ascii="Calibri" w:cs="Calibri" w:eastAsia="Calibri" w:hAnsi="Calibri"/>
          <w:sz w:val="18"/>
          <w:szCs w:val="18"/>
          <w:color w:val="auto"/>
        </w:rPr>
        <w:t>U.S. and foreign regulators, as well as customers and service providers, have also increased their focus on cyber security vulnerabilites and risks. Compliance with laws, regulatons, and contractual provisions concerning privacy, cyber security, secure technology development, data governance, data protecton, confdentality and IP could result in signifcant expense, and any failure to comply could result in proceedings against us by regulatory authorites or other third partes and may also increase our overall compliance burden.</w:t>
      </w:r>
    </w:p>
    <w:p>
      <w:pPr>
        <w:spacing w:after="0" w:line="99" w:lineRule="exact"/>
        <w:rPr>
          <w:sz w:val="20"/>
          <w:szCs w:val="20"/>
          <w:color w:val="auto"/>
        </w:rPr>
      </w:pPr>
    </w:p>
    <w:p>
      <w:pPr>
        <w:ind w:left="160"/>
        <w:spacing w:after="0"/>
        <w:rPr>
          <w:sz w:val="20"/>
          <w:szCs w:val="20"/>
          <w:color w:val="auto"/>
        </w:rPr>
      </w:pPr>
      <w:r>
        <w:rPr>
          <w:rFonts w:ascii="Calibri" w:cs="Calibri" w:eastAsia="Calibri" w:hAnsi="Calibri"/>
          <w:sz w:val="18"/>
          <w:szCs w:val="18"/>
          <w:b w:val="1"/>
          <w:bCs w:val="1"/>
          <w:i w:val="1"/>
          <w:iCs w:val="1"/>
          <w:color w:val="auto"/>
        </w:rPr>
        <w:t>We operate in the highly cyclical semiconductor industry.</w:t>
      </w:r>
    </w:p>
    <w:p>
      <w:pPr>
        <w:spacing w:after="0" w:line="107" w:lineRule="exact"/>
        <w:rPr>
          <w:sz w:val="20"/>
          <w:szCs w:val="20"/>
          <w:color w:val="auto"/>
        </w:rPr>
      </w:pPr>
    </w:p>
    <w:p>
      <w:pPr>
        <w:ind w:right="180" w:firstLine="317"/>
        <w:spacing w:after="0" w:line="230" w:lineRule="auto"/>
        <w:rPr>
          <w:sz w:val="20"/>
          <w:szCs w:val="20"/>
          <w:color w:val="auto"/>
        </w:rPr>
      </w:pPr>
      <w:r>
        <w:rPr>
          <w:rFonts w:ascii="Calibri" w:cs="Calibri" w:eastAsia="Calibri" w:hAnsi="Calibri"/>
          <w:sz w:val="18"/>
          <w:szCs w:val="18"/>
          <w:color w:val="auto"/>
        </w:rPr>
        <w:t>The semiconductor industry is highly cyclical and is characterized by price erosion, wide fuctuatons in product supply and demand, constant and rapid technological change, evolving technical standards, frequent new product introductons, and short product life cycles (for semiconductors and for many of the end products in which they are used). From tme to tme, these factors, together with changes in general economic conditons, cause signifcant upturns and downturns in the industry in general, and in our business in partcular. The industry previously experienced a signifcant upturn due to a supply imbalance that resulted in record proftability and increases in average selling prices. The industry, however is currently experiencing a downturn, and historically, such down-cycles have been characterized by diminished demand for end-user products, high inventory levels and periods of inventory adjustment, under-utlizaton of manufacturing capacity, changes in revenue mix, accelerated erosion of average selling prices and eliminaton of expedite fees leading to reduced proftability and a decline in our stock price. The Creatng Helpful Incentves to Produce Semiconductors for America Act could also result in an increase in supply leading to excess inventory and a decrease in average selling prices. We expect our business to contnue to be subject to cyclical downturns even when overall economic conditons are relatvely stable. If we cannot ofset industry or market downturns, our net revenue may decline and our fnancial conditon and results of operatons may sufer.</w:t>
      </w: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9" w:right="339" w:bottom="1440" w:gutter="0" w:footer="0" w:header="0"/>
        </w:sectPr>
      </w:pPr>
    </w:p>
    <w:bookmarkStart w:id="21" w:name="page22"/>
    <w:bookmarkEnd w:id="21"/>
    <w:p>
      <w:pPr>
        <w:spacing w:after="0"/>
        <w:rPr>
          <w:sz w:val="20"/>
          <w:szCs w:val="20"/>
          <w:color w:val="auto"/>
        </w:rPr>
      </w:pPr>
      <w:r>
        <w:rPr>
          <w:rFonts w:ascii="Calibri" w:cs="Calibri" w:eastAsia="Calibri" w:hAnsi="Calibri"/>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right="500" w:firstLine="79"/>
        <w:spacing w:after="0" w:line="230" w:lineRule="auto"/>
        <w:rPr>
          <w:sz w:val="20"/>
          <w:szCs w:val="20"/>
          <w:color w:val="auto"/>
        </w:rPr>
      </w:pPr>
      <w:r>
        <w:rPr>
          <w:rFonts w:ascii="Calibri" w:cs="Calibri" w:eastAsia="Calibri" w:hAnsi="Calibri"/>
          <w:sz w:val="18"/>
          <w:szCs w:val="18"/>
          <w:b w:val="1"/>
          <w:bCs w:val="1"/>
          <w:i w:val="1"/>
          <w:iCs w:val="1"/>
          <w:color w:val="auto"/>
        </w:rPr>
        <w:t>The majority of our sales have historically come from a small number of customers and a reducton in demand or loss of one or more of our signifcant customers may adversely afect our business.</w:t>
      </w:r>
    </w:p>
    <w:p>
      <w:pPr>
        <w:spacing w:after="0" w:line="107" w:lineRule="exact"/>
        <w:rPr>
          <w:sz w:val="20"/>
          <w:szCs w:val="20"/>
          <w:color w:val="auto"/>
        </w:rPr>
      </w:pPr>
    </w:p>
    <w:p>
      <w:pPr>
        <w:ind w:firstLine="317"/>
        <w:spacing w:after="0" w:line="230" w:lineRule="auto"/>
        <w:rPr>
          <w:sz w:val="20"/>
          <w:szCs w:val="20"/>
          <w:color w:val="auto"/>
        </w:rPr>
      </w:pPr>
      <w:r>
        <w:rPr>
          <w:rFonts w:ascii="Calibri" w:cs="Calibri" w:eastAsia="Calibri" w:hAnsi="Calibri"/>
          <w:sz w:val="18"/>
          <w:szCs w:val="18"/>
          <w:color w:val="auto"/>
        </w:rPr>
        <w:t>We have historically depended on a small number of end customers, OEMs, their respectve contract manufacturers (“CMs”) and certain distributors for a majority of our business and revenue. For fscal year 2023, sales to distributors accounted for 57% of our net revenue. We believe aggregate sales, through all channels, to Apple and our top fve end customers, accounted for approximately 20% and 35% of our net revenue for fscal year 2023, respectvely. This customer concentraton increases the risk of quarterly fuctuatons in our operatng results and our sensitvity to any material adverse developments experienced by our signifcant customers.</w:t>
      </w:r>
    </w:p>
    <w:p>
      <w:pPr>
        <w:spacing w:after="0" w:line="109" w:lineRule="exact"/>
        <w:rPr>
          <w:sz w:val="20"/>
          <w:szCs w:val="20"/>
          <w:color w:val="auto"/>
        </w:rPr>
      </w:pPr>
    </w:p>
    <w:p>
      <w:pPr>
        <w:ind w:right="20" w:firstLine="317"/>
        <w:spacing w:after="0" w:line="244" w:lineRule="auto"/>
        <w:rPr>
          <w:sz w:val="20"/>
          <w:szCs w:val="20"/>
          <w:color w:val="auto"/>
        </w:rPr>
      </w:pPr>
      <w:r>
        <w:rPr>
          <w:rFonts w:ascii="Calibri" w:cs="Calibri" w:eastAsia="Calibri" w:hAnsi="Calibri"/>
          <w:sz w:val="17"/>
          <w:szCs w:val="17"/>
          <w:color w:val="auto"/>
        </w:rPr>
        <w:t>Our semiconductor customers are not generally required to purchase specifc quanttes of products. Even when customers agree to source an agreed porton of their product needs from us, such arrangements ofen include pricing schedules or methodologies that apply regardless of the volume of products purchased, and those customers may not purchase the amount of product we expect. As a result, we may not generate the amount of revenue or achieve the level of proftability we expect under such arrangements. Moreover, our top customers’ purchasing power has, in some cases, given them the ability to make greater demands on us with regard to pricing and contractual terms in general. We expect this trend to contnue, which may adversely afect our gross margin on certain products and, should we fail to perform under these arrangements, we could also be liable for signifcant monetary damages.</w:t>
      </w:r>
    </w:p>
    <w:p>
      <w:pPr>
        <w:spacing w:after="0" w:line="107" w:lineRule="exact"/>
        <w:rPr>
          <w:sz w:val="20"/>
          <w:szCs w:val="20"/>
          <w:color w:val="auto"/>
        </w:rPr>
      </w:pPr>
    </w:p>
    <w:p>
      <w:pPr>
        <w:ind w:firstLine="317"/>
        <w:spacing w:after="0" w:line="230" w:lineRule="auto"/>
        <w:rPr>
          <w:sz w:val="20"/>
          <w:szCs w:val="20"/>
          <w:color w:val="auto"/>
        </w:rPr>
      </w:pPr>
      <w:r>
        <w:rPr>
          <w:rFonts w:ascii="Calibri" w:cs="Calibri" w:eastAsia="Calibri" w:hAnsi="Calibri"/>
          <w:sz w:val="18"/>
          <w:szCs w:val="18"/>
          <w:color w:val="auto"/>
        </w:rPr>
        <w:t>The loss of, or any substantal reducton in sales to, any of our top customers could have a material adverse efect on our business, fnancial conditon, results of operatons and cash fows.</w:t>
      </w:r>
    </w:p>
    <w:p>
      <w:pPr>
        <w:spacing w:after="0" w:line="107" w:lineRule="exact"/>
        <w:rPr>
          <w:sz w:val="20"/>
          <w:szCs w:val="20"/>
          <w:color w:val="auto"/>
        </w:rPr>
      </w:pPr>
    </w:p>
    <w:p>
      <w:pPr>
        <w:ind w:right="300" w:firstLine="79"/>
        <w:spacing w:after="0" w:line="230" w:lineRule="auto"/>
        <w:rPr>
          <w:sz w:val="20"/>
          <w:szCs w:val="20"/>
          <w:color w:val="auto"/>
        </w:rPr>
      </w:pPr>
      <w:r>
        <w:rPr>
          <w:rFonts w:ascii="Calibri" w:cs="Calibri" w:eastAsia="Calibri" w:hAnsi="Calibri"/>
          <w:sz w:val="18"/>
          <w:szCs w:val="18"/>
          <w:b w:val="1"/>
          <w:bCs w:val="1"/>
          <w:i w:val="1"/>
          <w:iCs w:val="1"/>
          <w:color w:val="auto"/>
        </w:rPr>
        <w:t>Dependence on contract manufacturing and suppliers of critcal components within our supply chain may adversely afect our ability to bring products to market, damage our reputaton and adversely afect our results of operatons.</w:t>
      </w:r>
    </w:p>
    <w:p>
      <w:pPr>
        <w:spacing w:after="0" w:line="107" w:lineRule="exact"/>
        <w:rPr>
          <w:sz w:val="20"/>
          <w:szCs w:val="20"/>
          <w:color w:val="auto"/>
        </w:rPr>
      </w:pPr>
    </w:p>
    <w:p>
      <w:pPr>
        <w:ind w:right="260" w:firstLine="317"/>
        <w:spacing w:after="0" w:line="245" w:lineRule="auto"/>
        <w:rPr>
          <w:sz w:val="20"/>
          <w:szCs w:val="20"/>
          <w:color w:val="auto"/>
        </w:rPr>
      </w:pPr>
      <w:r>
        <w:rPr>
          <w:rFonts w:ascii="Calibri" w:cs="Calibri" w:eastAsia="Calibri" w:hAnsi="Calibri"/>
          <w:sz w:val="17"/>
          <w:szCs w:val="17"/>
          <w:color w:val="auto"/>
        </w:rPr>
        <w:t>We operate a primarily outsourced manufacturing business model that principally utlizes CMs, such as third-party wafer foundries and module assembly and test capabilites. Our semiconductor products require wafer manufacturers with state-of-the-art fabricaton equipment and techniques, and most of our products are designed to be manufactured in a specifc process, typically at one partcular fab or foundry, either our own or with a partcular CM.</w:t>
      </w:r>
    </w:p>
    <w:p>
      <w:pPr>
        <w:spacing w:after="0" w:line="104" w:lineRule="exact"/>
        <w:rPr>
          <w:sz w:val="20"/>
          <w:szCs w:val="20"/>
          <w:color w:val="auto"/>
        </w:rPr>
      </w:pPr>
    </w:p>
    <w:p>
      <w:pPr>
        <w:ind w:right="20" w:firstLine="317"/>
        <w:spacing w:after="0" w:line="230" w:lineRule="auto"/>
        <w:rPr>
          <w:sz w:val="20"/>
          <w:szCs w:val="20"/>
          <w:color w:val="auto"/>
        </w:rPr>
      </w:pPr>
      <w:r>
        <w:rPr>
          <w:rFonts w:ascii="Calibri" w:cs="Calibri" w:eastAsia="Calibri" w:hAnsi="Calibri"/>
          <w:sz w:val="18"/>
          <w:szCs w:val="18"/>
          <w:color w:val="auto"/>
        </w:rPr>
        <w:t>We depend on our CMs to allocate sufcient manufacturing capacity to meet our needs, to produce products of acceptable quality at acceptable yields, and to deliver those products to us on a tmely basis. We do not generally have long-term capacity commitments with our CMs and substantally all of our manufacturing services are on a purchase order basis with no minimum quanttes. Further, our CMs may fail to tmely develop new, advanced manufacturing processes, including transitons to smaller geometry process technologies or, from tme to tme, will cease to, or will become unable to, manufacture a component for us. As lead tmes to identfy, qualify and establish reliable producton at acceptable yields with a new CM is typically lengthy, there is ofen no readily available alternatve source and there may be other constraints on our ability to change CMs. In additon, qualifying new CMs is ofen expensive, and they may not produce products as cost-efectvely as our current suppliers.</w:t>
      </w:r>
    </w:p>
    <w:p>
      <w:pPr>
        <w:spacing w:after="0" w:line="110" w:lineRule="exact"/>
        <w:rPr>
          <w:sz w:val="20"/>
          <w:szCs w:val="20"/>
          <w:color w:val="auto"/>
        </w:rPr>
      </w:pPr>
    </w:p>
    <w:p>
      <w:pPr>
        <w:ind w:right="80" w:firstLine="317"/>
        <w:spacing w:after="0" w:line="230" w:lineRule="auto"/>
        <w:rPr>
          <w:sz w:val="20"/>
          <w:szCs w:val="20"/>
          <w:color w:val="auto"/>
        </w:rPr>
      </w:pPr>
      <w:r>
        <w:rPr>
          <w:rFonts w:ascii="Calibri" w:cs="Calibri" w:eastAsia="Calibri" w:hAnsi="Calibri"/>
          <w:sz w:val="18"/>
          <w:szCs w:val="18"/>
          <w:color w:val="auto"/>
        </w:rPr>
        <w:t>TSMC, one of our CMs, manufactured approximately 90% of the wafers manufactured by our CMs during fscal year 2023. We believe our wafer requirements represent a meaningful porton of TSMC’s total producton capacity. However, TSMC also fabricates wafers for other companies, including some of our compettors, and could choose or be required to prioritze capacity for other customers or reduce or eliminate deliveries to us on short notce. In additon, TSMC has, and may in the future, raise their prices to us.</w:t>
      </w:r>
    </w:p>
    <w:p>
      <w:pPr>
        <w:spacing w:after="0" w:line="108" w:lineRule="exact"/>
        <w:rPr>
          <w:sz w:val="20"/>
          <w:szCs w:val="20"/>
          <w:color w:val="auto"/>
        </w:rPr>
      </w:pPr>
    </w:p>
    <w:p>
      <w:pPr>
        <w:ind w:right="180" w:firstLine="317"/>
        <w:spacing w:after="0" w:line="230" w:lineRule="auto"/>
        <w:rPr>
          <w:sz w:val="20"/>
          <w:szCs w:val="20"/>
          <w:color w:val="auto"/>
        </w:rPr>
      </w:pPr>
      <w:r>
        <w:rPr>
          <w:rFonts w:ascii="Calibri" w:cs="Calibri" w:eastAsia="Calibri" w:hAnsi="Calibri"/>
          <w:sz w:val="18"/>
          <w:szCs w:val="18"/>
          <w:color w:val="auto"/>
        </w:rPr>
        <w:t>If any of the foregoing circumstances occur, we may be unable to meet our customer demand, or to the same extent as our compettors, fail to meet our contractual obligatons or forgo revenue opportunites. This could damage our relatonships with our customers or result in litgaton for alleged failure to meet our obligatons, payment of signifcant damages, and our net revenue could decline, adversely afectng our business, fnancial conditon, results of operatons and gross margin.</w:t>
      </w:r>
    </w:p>
    <w:p>
      <w:pPr>
        <w:spacing w:after="0" w:line="108" w:lineRule="exact"/>
        <w:rPr>
          <w:sz w:val="20"/>
          <w:szCs w:val="20"/>
          <w:color w:val="auto"/>
        </w:rPr>
      </w:pPr>
    </w:p>
    <w:p>
      <w:pPr>
        <w:ind w:right="180" w:firstLine="317"/>
        <w:spacing w:after="0" w:line="230" w:lineRule="auto"/>
        <w:rPr>
          <w:sz w:val="20"/>
          <w:szCs w:val="20"/>
          <w:color w:val="auto"/>
        </w:rPr>
      </w:pPr>
      <w:r>
        <w:rPr>
          <w:rFonts w:ascii="Calibri" w:cs="Calibri" w:eastAsia="Calibri" w:hAnsi="Calibri"/>
          <w:sz w:val="18"/>
          <w:szCs w:val="18"/>
          <w:color w:val="auto"/>
        </w:rPr>
        <w:t>Further, any substantal disrupton in the contract manufacturing services that we utlize, including TSMC’s supply of wafers to us, as a result of a natural disaster, climate change, water shortages, politcal unrest, military conficts, geopolitcal turmoil, trade tensions, government orders, labor shortages, medical epidemics, such as the COVID-19 pandemic, economic instability, equipment failure or other cause, could materially harm our business, customer relatonships and results of operatons.</w:t>
      </w:r>
    </w:p>
    <w:p>
      <w:pPr>
        <w:spacing w:after="0" w:line="99" w:lineRule="exact"/>
        <w:rPr>
          <w:sz w:val="20"/>
          <w:szCs w:val="20"/>
          <w:color w:val="auto"/>
        </w:rPr>
      </w:pPr>
    </w:p>
    <w:p>
      <w:pPr>
        <w:ind w:left="80"/>
        <w:spacing w:after="0"/>
        <w:rPr>
          <w:sz w:val="20"/>
          <w:szCs w:val="20"/>
          <w:color w:val="auto"/>
        </w:rPr>
      </w:pPr>
      <w:r>
        <w:rPr>
          <w:rFonts w:ascii="Calibri" w:cs="Calibri" w:eastAsia="Calibri" w:hAnsi="Calibri"/>
          <w:sz w:val="18"/>
          <w:szCs w:val="18"/>
          <w:b w:val="1"/>
          <w:bCs w:val="1"/>
          <w:i w:val="1"/>
          <w:iCs w:val="1"/>
          <w:color w:val="auto"/>
        </w:rPr>
        <w:t>We purchase a signifcant amount of the materials used in our products from a limited number of suppliers.</w:t>
      </w:r>
    </w:p>
    <w:p>
      <w:pPr>
        <w:spacing w:after="0" w:line="107" w:lineRule="exact"/>
        <w:rPr>
          <w:sz w:val="20"/>
          <w:szCs w:val="20"/>
          <w:color w:val="auto"/>
        </w:rPr>
      </w:pPr>
    </w:p>
    <w:p>
      <w:pPr>
        <w:ind w:right="220" w:firstLine="317"/>
        <w:spacing w:after="0" w:line="236" w:lineRule="auto"/>
        <w:rPr>
          <w:sz w:val="20"/>
          <w:szCs w:val="20"/>
          <w:color w:val="auto"/>
        </w:rPr>
      </w:pPr>
      <w:r>
        <w:rPr>
          <w:rFonts w:ascii="Calibri" w:cs="Calibri" w:eastAsia="Calibri" w:hAnsi="Calibri"/>
          <w:sz w:val="17"/>
          <w:szCs w:val="17"/>
          <w:color w:val="auto"/>
        </w:rPr>
        <w:t>Our manufacturing processes and those of our CMs rely on many materials, including silicon, GaAs and InP wafers, copper lead frames, precious and rare earth metals, mold compound, ceramic packages and various chemicals and gases. During fscal year 2023, we purchased approximately two-thirds of our manufacturing materials from fve materials providers, some of which are single source suppliers. As certain materials are highly specialized, the lead tme needed to identfy and qualify a new supplier is typically lengthy and there is ofen no readily available alternatve source. We do not generally have long-term</w:t>
      </w: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09" w:right="359" w:bottom="1440" w:gutter="0" w:footer="0" w:header="0"/>
        </w:sectPr>
      </w:pPr>
    </w:p>
    <w:bookmarkStart w:id="22" w:name="page23"/>
    <w:bookmarkEnd w:id="22"/>
    <w:p>
      <w:pPr>
        <w:spacing w:after="0"/>
        <w:rPr>
          <w:sz w:val="20"/>
          <w:szCs w:val="20"/>
          <w:color w:val="auto"/>
        </w:rPr>
      </w:pPr>
      <w:r>
        <w:rPr>
          <w:rFonts w:ascii="Calibri" w:cs="Calibri" w:eastAsia="Calibri" w:hAnsi="Calibri"/>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right="100"/>
        <w:spacing w:after="0" w:line="223" w:lineRule="auto"/>
        <w:rPr>
          <w:sz w:val="20"/>
          <w:szCs w:val="20"/>
          <w:color w:val="auto"/>
        </w:rPr>
      </w:pPr>
      <w:r>
        <w:rPr>
          <w:rFonts w:ascii="Calibri" w:cs="Calibri" w:eastAsia="Calibri" w:hAnsi="Calibri"/>
          <w:sz w:val="18"/>
          <w:szCs w:val="18"/>
          <w:color w:val="auto"/>
        </w:rPr>
        <w:t>contracts with our materials providers and substantally all of our purchases are on a purchase order basis. Suppliers may extend lead tmes, limit supplies, place products on allocaton or increase prices due to commodity price increases, capacity constraints, infaton, or other factors, any of which could lead to interrupton of supply or increased demand in the industry. For example, macroeconomic and geopolitcal conditons, as well as the COVID-19 pandemic, caused some supply constraints and increases in prices, including with respect to wafers and substrates. Additonally, the supply of these materials may be negatvely impacted by increased trade tensions between the U.S. and its trading partners, partcularly China. Any such supply constraints could result in loss of revenue opportunites and adversely impact our business, fnancial conditon and results of operatons.</w:t>
      </w:r>
    </w:p>
    <w:p>
      <w:pPr>
        <w:spacing w:after="0" w:line="86" w:lineRule="exact"/>
        <w:rPr>
          <w:sz w:val="20"/>
          <w:szCs w:val="20"/>
          <w:color w:val="auto"/>
        </w:rPr>
      </w:pPr>
    </w:p>
    <w:p>
      <w:pPr>
        <w:ind w:left="80"/>
        <w:spacing w:after="0"/>
        <w:rPr>
          <w:sz w:val="20"/>
          <w:szCs w:val="20"/>
          <w:color w:val="auto"/>
        </w:rPr>
      </w:pPr>
      <w:r>
        <w:rPr>
          <w:rFonts w:ascii="Calibri" w:cs="Calibri" w:eastAsia="Calibri" w:hAnsi="Calibri"/>
          <w:sz w:val="18"/>
          <w:szCs w:val="18"/>
          <w:b w:val="1"/>
          <w:bCs w:val="1"/>
          <w:i w:val="1"/>
          <w:iCs w:val="1"/>
          <w:color w:val="auto"/>
        </w:rPr>
        <w:t>Failure to adjust our manufacturing and supply chain to accurately meet customer demand could adversely afect our results of operatons.</w:t>
      </w:r>
    </w:p>
    <w:p>
      <w:pPr>
        <w:spacing w:after="0" w:line="94" w:lineRule="exact"/>
        <w:rPr>
          <w:sz w:val="20"/>
          <w:szCs w:val="20"/>
          <w:color w:val="auto"/>
        </w:rPr>
      </w:pPr>
    </w:p>
    <w:p>
      <w:pPr>
        <w:ind w:right="60" w:firstLine="317"/>
        <w:spacing w:after="0" w:line="230" w:lineRule="auto"/>
        <w:rPr>
          <w:sz w:val="20"/>
          <w:szCs w:val="20"/>
          <w:color w:val="auto"/>
        </w:rPr>
      </w:pPr>
      <w:r>
        <w:rPr>
          <w:rFonts w:ascii="Calibri" w:cs="Calibri" w:eastAsia="Calibri" w:hAnsi="Calibri"/>
          <w:sz w:val="18"/>
          <w:szCs w:val="18"/>
          <w:color w:val="auto"/>
        </w:rPr>
        <w:t>We make signifcant decisions, including determining the levels of business that we will seek and accept, producton schedules, levels of reliance on contract manufacturing and outsourcing, internal fabricaton utlizaton and other resource requirements, based on customer requirements or estmates thereof, which may not be accurate.</w:t>
      </w:r>
    </w:p>
    <w:p>
      <w:pPr>
        <w:spacing w:after="0" w:line="108" w:lineRule="exact"/>
        <w:rPr>
          <w:sz w:val="20"/>
          <w:szCs w:val="20"/>
          <w:color w:val="auto"/>
        </w:rPr>
      </w:pPr>
    </w:p>
    <w:p>
      <w:pPr>
        <w:ind w:firstLine="317"/>
        <w:spacing w:after="0" w:line="230" w:lineRule="auto"/>
        <w:rPr>
          <w:sz w:val="20"/>
          <w:szCs w:val="20"/>
          <w:color w:val="auto"/>
        </w:rPr>
      </w:pPr>
      <w:r>
        <w:rPr>
          <w:rFonts w:ascii="Calibri" w:cs="Calibri" w:eastAsia="Calibri" w:hAnsi="Calibri"/>
          <w:sz w:val="18"/>
          <w:szCs w:val="18"/>
          <w:color w:val="auto"/>
        </w:rPr>
        <w:t>We largely build to order and have extended customer lead tmes substantally, which has limited and may contnue to limit our ability to fulfll orders and satsfy all of the demand for our products. Customers may require rapid increases in producton on short notce. If we are unable to meet such increases in demand, this could damage our customer relatonships, reduce revenue growth and margins, subject us to additonal liabilites, harm our reputaton, and prevent us from taking advantage of opportunites.</w:t>
      </w:r>
    </w:p>
    <w:p>
      <w:pPr>
        <w:spacing w:after="0" w:line="108" w:lineRule="exact"/>
        <w:rPr>
          <w:sz w:val="20"/>
          <w:szCs w:val="20"/>
          <w:color w:val="auto"/>
        </w:rPr>
      </w:pPr>
    </w:p>
    <w:p>
      <w:pPr>
        <w:jc w:val="both"/>
        <w:ind w:right="520" w:firstLine="396"/>
        <w:spacing w:after="0" w:line="230" w:lineRule="auto"/>
        <w:rPr>
          <w:sz w:val="20"/>
          <w:szCs w:val="20"/>
          <w:color w:val="auto"/>
        </w:rPr>
      </w:pPr>
      <w:r>
        <w:rPr>
          <w:rFonts w:ascii="Calibri" w:cs="Calibri" w:eastAsia="Calibri" w:hAnsi="Calibri"/>
          <w:sz w:val="18"/>
          <w:szCs w:val="18"/>
          <w:color w:val="auto"/>
        </w:rPr>
        <w:t>Conversely, if actual sales of our products is lower than expected, we may also experience higher inventory carrying and operatng costs and product obsolescence. Because certain of our sales, research and development, and internal manufacturing overhead expenses are relatvely fxed, a reducton in customer demand may also decrease our gross margin and operatng income.</w:t>
      </w:r>
    </w:p>
    <w:p>
      <w:pPr>
        <w:spacing w:after="0" w:line="108" w:lineRule="exact"/>
        <w:rPr>
          <w:sz w:val="20"/>
          <w:szCs w:val="20"/>
          <w:color w:val="auto"/>
        </w:rPr>
      </w:pPr>
    </w:p>
    <w:p>
      <w:pPr>
        <w:ind w:left="80" w:right="180" w:firstLine="79"/>
        <w:spacing w:after="0" w:line="230" w:lineRule="auto"/>
        <w:rPr>
          <w:sz w:val="20"/>
          <w:szCs w:val="20"/>
          <w:color w:val="auto"/>
        </w:rPr>
      </w:pPr>
      <w:r>
        <w:rPr>
          <w:rFonts w:ascii="Calibri" w:cs="Calibri" w:eastAsia="Calibri" w:hAnsi="Calibri"/>
          <w:sz w:val="18"/>
          <w:szCs w:val="18"/>
          <w:b w:val="1"/>
          <w:bCs w:val="1"/>
          <w:i w:val="1"/>
          <w:iCs w:val="1"/>
          <w:color w:val="auto"/>
        </w:rPr>
        <w:t>Winning business in the semiconductor solutons industry is subject to a lengthy process that ofen requires us to incur signifcant expense, from which we may ultmately generate no revenue.</w:t>
      </w:r>
    </w:p>
    <w:p>
      <w:pPr>
        <w:spacing w:after="0" w:line="107" w:lineRule="exact"/>
        <w:rPr>
          <w:sz w:val="20"/>
          <w:szCs w:val="20"/>
          <w:color w:val="auto"/>
        </w:rPr>
      </w:pPr>
    </w:p>
    <w:p>
      <w:pPr>
        <w:jc w:val="both"/>
        <w:ind w:firstLine="317"/>
        <w:spacing w:after="0" w:line="230" w:lineRule="auto"/>
        <w:rPr>
          <w:sz w:val="20"/>
          <w:szCs w:val="20"/>
          <w:color w:val="auto"/>
        </w:rPr>
      </w:pPr>
      <w:r>
        <w:rPr>
          <w:rFonts w:ascii="Calibri" w:cs="Calibri" w:eastAsia="Calibri" w:hAnsi="Calibri"/>
          <w:sz w:val="18"/>
          <w:szCs w:val="18"/>
          <w:color w:val="auto"/>
        </w:rPr>
        <w:t>Our semiconductor business is dependent on us winning compettve bid selecton processes, known as “design wins”. These selecton processes are typically lengthy and can require us to dedicate signifcant development expenditures and scarce engineering resources in pursuit of a single customer opportunity. Failure to obtain a partcular design win may prevent us from obtaining design wins in subsequent generatons of a partcular product. This can result in lost revenue and can weaken our positon in future selecton processes.</w:t>
      </w:r>
    </w:p>
    <w:p>
      <w:pPr>
        <w:spacing w:after="0" w:line="108" w:lineRule="exact"/>
        <w:rPr>
          <w:sz w:val="20"/>
          <w:szCs w:val="20"/>
          <w:color w:val="auto"/>
        </w:rPr>
      </w:pPr>
    </w:p>
    <w:p>
      <w:pPr>
        <w:ind w:right="80" w:firstLine="317"/>
        <w:spacing w:after="0" w:line="230" w:lineRule="auto"/>
        <w:rPr>
          <w:sz w:val="20"/>
          <w:szCs w:val="20"/>
          <w:color w:val="auto"/>
        </w:rPr>
      </w:pPr>
      <w:r>
        <w:rPr>
          <w:rFonts w:ascii="Calibri" w:cs="Calibri" w:eastAsia="Calibri" w:hAnsi="Calibri"/>
          <w:sz w:val="18"/>
          <w:szCs w:val="18"/>
          <w:color w:val="auto"/>
        </w:rPr>
        <w:t>Winning a product design does not guarantee sales to a customer. A delay or cancellaton of a customer’s plans could materially and adversely afect our fnancial results, as we incur signifcant expense in the design process and may generate litle or no revenue from it. In additon, the tming of design wins is unpredictable and implementng producton for a major design win, or multple design wins at the same tme, may strain our resources and those of our CMs. In such event, we may be forced to dedicate signifcant additonal resources and incur additonal costs and expenses. Further, ofen customers will only purchase limited numbers of evaluaton units untl they qualify the products and/or the manufacturing line for those products. The qualifcaton process can take signifcant tme and resources. Delays in qualifcaton or failure to qualify our products may cause a customer to discontnue use of our products and result in a signifcant loss of revenue. Finally, customers could choose at any tme to stop using our products or could fail to successfully market and sell their products, which could reduce demand for our products and cause us to hold excess inventory, materially adversely afectng our business, fnancial conditon and results of operatons. These risks are exacerbated by the fact that many of our products, and the end products into which our products are incorporated, ofen have very short life cycles.</w:t>
      </w:r>
    </w:p>
    <w:p>
      <w:pPr>
        <w:spacing w:after="0" w:line="113" w:lineRule="exact"/>
        <w:rPr>
          <w:sz w:val="20"/>
          <w:szCs w:val="20"/>
          <w:color w:val="auto"/>
        </w:rPr>
      </w:pPr>
    </w:p>
    <w:p>
      <w:pPr>
        <w:ind w:left="80" w:right="380" w:firstLine="79"/>
        <w:spacing w:after="0" w:line="230" w:lineRule="auto"/>
        <w:rPr>
          <w:sz w:val="20"/>
          <w:szCs w:val="20"/>
          <w:color w:val="auto"/>
        </w:rPr>
      </w:pPr>
      <w:r>
        <w:rPr>
          <w:rFonts w:ascii="Calibri" w:cs="Calibri" w:eastAsia="Calibri" w:hAnsi="Calibri"/>
          <w:sz w:val="18"/>
          <w:szCs w:val="18"/>
          <w:b w:val="1"/>
          <w:bCs w:val="1"/>
          <w:i w:val="1"/>
          <w:iCs w:val="1"/>
          <w:color w:val="auto"/>
        </w:rPr>
        <w:t>A prolonged disrupton of our manufacturing facilites, research and development facilites, warehouses or other signifcant operatons, or those of our suppliers, could have a material adverse efect on our business, fnancial conditon and results of operatons.</w:t>
      </w:r>
    </w:p>
    <w:p>
      <w:pPr>
        <w:spacing w:after="0" w:line="107" w:lineRule="exact"/>
        <w:rPr>
          <w:sz w:val="20"/>
          <w:szCs w:val="20"/>
          <w:color w:val="auto"/>
        </w:rPr>
      </w:pPr>
    </w:p>
    <w:p>
      <w:pPr>
        <w:ind w:right="100" w:firstLine="317"/>
        <w:spacing w:after="0" w:line="230" w:lineRule="auto"/>
        <w:rPr>
          <w:sz w:val="20"/>
          <w:szCs w:val="20"/>
          <w:color w:val="auto"/>
        </w:rPr>
      </w:pPr>
      <w:r>
        <w:rPr>
          <w:rFonts w:ascii="Calibri" w:cs="Calibri" w:eastAsia="Calibri" w:hAnsi="Calibri"/>
          <w:sz w:val="18"/>
          <w:szCs w:val="18"/>
          <w:color w:val="auto"/>
        </w:rPr>
        <w:t>Although we operate a primarily outsourced manufacturing business model, we also rely on our own manufacturing facilites, in partcular in Fort Collins, Colorado, Singapore, and Breinigsville, Pennsylvania. We use these internal fabricaton facilites for products utlizing our innovatve and proprietary processes. Our Fort Collins and Breinigsville facilites are the sole sources for the FBAR components used in many of our wireless devices and for the InP-based wafers used in our fbre optcs products, respectvely. Many of our facilites, and those of our CMs and suppliers, are located in California and the Pacifc Rim region, which have above average seismic actvity and severe weather actvity. In additon, a signifcant majority of our research and development personnel are located in the Czech Republic, India, Israel, and the U.S., with the expertse of the personnel at each such locaton tending to be focused on one or two specifc areas, and our primary warehouse is in Malaysia.</w:t>
      </w:r>
    </w:p>
    <w:p>
      <w:pPr>
        <w:spacing w:after="0" w:line="110" w:lineRule="exact"/>
        <w:rPr>
          <w:sz w:val="20"/>
          <w:szCs w:val="20"/>
          <w:color w:val="auto"/>
        </w:rPr>
      </w:pPr>
    </w:p>
    <w:p>
      <w:pPr>
        <w:ind w:right="400" w:firstLine="317"/>
        <w:spacing w:after="0" w:line="230" w:lineRule="auto"/>
        <w:rPr>
          <w:sz w:val="20"/>
          <w:szCs w:val="20"/>
          <w:color w:val="auto"/>
        </w:rPr>
      </w:pPr>
      <w:r>
        <w:rPr>
          <w:rFonts w:ascii="Calibri" w:cs="Calibri" w:eastAsia="Calibri" w:hAnsi="Calibri"/>
          <w:sz w:val="18"/>
          <w:szCs w:val="18"/>
          <w:color w:val="auto"/>
        </w:rPr>
        <w:t>A prolonged disrupton at or shut-down of one or more of our manufacturing facilites or warehouses, especially our Colorado, Singapore, Malaysia and Pennsylvania facilites, or those of our CMs or suppliers, due to natural- or man-made</w:t>
      </w: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9" w:right="339" w:bottom="1440" w:gutter="0" w:footer="0" w:header="0"/>
        </w:sectPr>
      </w:pPr>
    </w:p>
    <w:bookmarkStart w:id="23" w:name="page24"/>
    <w:bookmarkEnd w:id="23"/>
    <w:p>
      <w:pPr>
        <w:spacing w:after="0"/>
        <w:rPr>
          <w:sz w:val="20"/>
          <w:szCs w:val="20"/>
          <w:color w:val="auto"/>
        </w:rPr>
      </w:pPr>
      <w:r>
        <w:rPr>
          <w:rFonts w:ascii="Calibri" w:cs="Calibri" w:eastAsia="Calibri" w:hAnsi="Calibri"/>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line="230" w:lineRule="auto"/>
        <w:rPr>
          <w:sz w:val="20"/>
          <w:szCs w:val="20"/>
          <w:color w:val="auto"/>
        </w:rPr>
      </w:pPr>
      <w:r>
        <w:rPr>
          <w:rFonts w:ascii="Calibri" w:cs="Calibri" w:eastAsia="Calibri" w:hAnsi="Calibri"/>
          <w:sz w:val="18"/>
          <w:szCs w:val="18"/>
          <w:color w:val="auto"/>
        </w:rPr>
        <w:t>disasters or other events outside of our control, such as equipment malfuncton or widespread outbreaks of acute illness, including COVID-19, or for any other reason, would limit our capacity to meet customer demands and delay new product development untl a replacement facility and equipment, if necessary, were found. To date, we have not experienced a material event, however such an event could disrupt our operatons, delay producton, shipments and revenue, result in us being unable to tmely satsfy customer demand, expose us to claims by our customers, result in signifcant expense to repair or replace our afected facilites, and, in some instances, could signifcantly curtail our research and development eforts in a partcular product area or target market. As a result, we could forgo revenue opportunites, potentally lose market share, damage our customer relatonships and be subject to litgaton and additonal liabilites, all of which could materially and adversely afect our business. Although we purchase insurance to mitgate certain losses, such insurance ofen carries a high deductble amount and any uninsured losses could negatvely afect our operatng results. In additon, even if we were able to promptly resume producton of our afected products, if our customers cannot tmely resume their own manufacturing following such an event, they may cancel or scale back their orders from us and this may in turn adversely afect our results of operatons. Such events could also result in increased fxed costs relatve to the revenue we generate and adversely afect our results of operatons.</w:t>
      </w:r>
    </w:p>
    <w:p>
      <w:pPr>
        <w:spacing w:after="0" w:line="113" w:lineRule="exact"/>
        <w:rPr>
          <w:sz w:val="20"/>
          <w:szCs w:val="20"/>
          <w:color w:val="auto"/>
        </w:rPr>
      </w:pPr>
    </w:p>
    <w:p>
      <w:pPr>
        <w:ind w:right="200" w:firstLine="79"/>
        <w:spacing w:after="0" w:line="230" w:lineRule="auto"/>
        <w:rPr>
          <w:sz w:val="20"/>
          <w:szCs w:val="20"/>
          <w:color w:val="auto"/>
        </w:rPr>
      </w:pPr>
      <w:r>
        <w:rPr>
          <w:rFonts w:ascii="Calibri" w:cs="Calibri" w:eastAsia="Calibri" w:hAnsi="Calibri"/>
          <w:sz w:val="18"/>
          <w:szCs w:val="18"/>
          <w:b w:val="1"/>
          <w:bCs w:val="1"/>
          <w:i w:val="1"/>
          <w:iCs w:val="1"/>
          <w:color w:val="auto"/>
        </w:rPr>
        <w:t>We may be unable to maintain appropriate manufacturing capacity or product yields at our own manufacturing facilites, which could adversely afect our relatonships with our customers, and our business, fnancial conditon and results of operatons.</w:t>
      </w:r>
    </w:p>
    <w:p>
      <w:pPr>
        <w:spacing w:after="0" w:line="107" w:lineRule="exact"/>
        <w:rPr>
          <w:sz w:val="20"/>
          <w:szCs w:val="20"/>
          <w:color w:val="auto"/>
        </w:rPr>
      </w:pPr>
    </w:p>
    <w:p>
      <w:pPr>
        <w:ind w:firstLine="317"/>
        <w:spacing w:after="0" w:line="230" w:lineRule="auto"/>
        <w:rPr>
          <w:sz w:val="20"/>
          <w:szCs w:val="20"/>
          <w:color w:val="auto"/>
        </w:rPr>
      </w:pPr>
      <w:r>
        <w:rPr>
          <w:rFonts w:ascii="Calibri" w:cs="Calibri" w:eastAsia="Calibri" w:hAnsi="Calibri"/>
          <w:sz w:val="18"/>
          <w:szCs w:val="18"/>
          <w:color w:val="auto"/>
        </w:rPr>
        <w:t>We must maintain appropriate capacity and product yields at our own manufacturing facilites to meet antcipated customer demand. From tme to tme, this requires us to invest in expansion or improvements of those facilites, which ofen involves substantal cost and other risks. Such expanded manufacturing capacity may stll be insufcient, or may not come online soon enough, to meet customer demand and we may have to put customers on product allocaton, forgo sales or lose customers as a result. Conversely, if we overestmate customer demand, we would experience excess capacity and fxed costs at these facilites will not be fully absorbed, all of which could adversely afect our results of operatons. Similarly, reduced product yields, due to design or manufacturing issues or otherwise, may involve signifcant tme and cost to remedy and cause delays in our ability to supply product to our customers, all of which could cause us to forgo sales, incur liabilites or lose customers, and harm our results of operatons.</w:t>
      </w:r>
    </w:p>
    <w:p>
      <w:pPr>
        <w:spacing w:after="0" w:line="110" w:lineRule="exact"/>
        <w:rPr>
          <w:sz w:val="20"/>
          <w:szCs w:val="20"/>
          <w:color w:val="auto"/>
        </w:rPr>
      </w:pPr>
    </w:p>
    <w:p>
      <w:pPr>
        <w:ind w:right="200" w:firstLine="79"/>
        <w:spacing w:after="0" w:line="230" w:lineRule="auto"/>
        <w:rPr>
          <w:sz w:val="20"/>
          <w:szCs w:val="20"/>
          <w:color w:val="auto"/>
        </w:rPr>
      </w:pPr>
      <w:r>
        <w:rPr>
          <w:rFonts w:ascii="Calibri" w:cs="Calibri" w:eastAsia="Calibri" w:hAnsi="Calibri"/>
          <w:sz w:val="18"/>
          <w:szCs w:val="18"/>
          <w:b w:val="1"/>
          <w:bCs w:val="1"/>
          <w:i w:val="1"/>
          <w:iCs w:val="1"/>
          <w:color w:val="auto"/>
        </w:rPr>
        <w:t>We may be involved in legal proceedings, including IP, securites litgaton, and employee-related claims, which could, among other things, divert eforts of management and result in signifcant expense and loss of our IP rights.</w:t>
      </w:r>
    </w:p>
    <w:p>
      <w:pPr>
        <w:spacing w:after="0" w:line="107" w:lineRule="exact"/>
        <w:rPr>
          <w:sz w:val="20"/>
          <w:szCs w:val="20"/>
          <w:color w:val="auto"/>
        </w:rPr>
      </w:pPr>
    </w:p>
    <w:p>
      <w:pPr>
        <w:ind w:right="180" w:firstLine="317"/>
        <w:spacing w:after="0" w:line="230" w:lineRule="auto"/>
        <w:rPr>
          <w:sz w:val="20"/>
          <w:szCs w:val="20"/>
          <w:color w:val="auto"/>
        </w:rPr>
      </w:pPr>
      <w:r>
        <w:rPr>
          <w:rFonts w:ascii="Calibri" w:cs="Calibri" w:eastAsia="Calibri" w:hAnsi="Calibri"/>
          <w:sz w:val="18"/>
          <w:szCs w:val="18"/>
          <w:color w:val="auto"/>
        </w:rPr>
        <w:t>We are ofen involved in legal proceedings, including cases involving our IP rights and those of others, commercial maters, acquisiton-related suits, securites class acton suits, employee-related claims and other actons. Litgaton or setlement of such actons, regardless of their merit, can be costly, lengthy, complex and tme consuming, divertng the atenton and energies of our management and technical personnel.</w:t>
      </w:r>
    </w:p>
    <w:p>
      <w:pPr>
        <w:spacing w:after="0" w:line="108" w:lineRule="exact"/>
        <w:rPr>
          <w:sz w:val="20"/>
          <w:szCs w:val="20"/>
          <w:color w:val="auto"/>
        </w:rPr>
      </w:pPr>
    </w:p>
    <w:p>
      <w:pPr>
        <w:jc w:val="both"/>
        <w:ind w:right="200" w:firstLine="317"/>
        <w:spacing w:after="0" w:line="230" w:lineRule="auto"/>
        <w:rPr>
          <w:sz w:val="20"/>
          <w:szCs w:val="20"/>
          <w:color w:val="auto"/>
        </w:rPr>
      </w:pPr>
      <w:r>
        <w:rPr>
          <w:rFonts w:ascii="Calibri" w:cs="Calibri" w:eastAsia="Calibri" w:hAnsi="Calibri"/>
          <w:sz w:val="18"/>
          <w:szCs w:val="18"/>
          <w:color w:val="auto"/>
        </w:rPr>
        <w:t>The industries in which we operate are characterized by companies holding large numbers of patents, copyrights, trademarks and trade secrets and by the vigorous pursuit, protecton and enforcement of IP rights, including actons by patent-holding companies that do not make or sell products. From tme to tme, third partes assert against us and our customers and distributors their IP rights to technologies that are important to our business. For example, in September 2023 we setled a patent infringement claim fled by California Insttute of Technology against Broadcom and Apple.</w:t>
      </w:r>
    </w:p>
    <w:p>
      <w:pPr>
        <w:spacing w:after="0" w:line="108" w:lineRule="exact"/>
        <w:rPr>
          <w:sz w:val="20"/>
          <w:szCs w:val="20"/>
          <w:color w:val="auto"/>
        </w:rPr>
      </w:pPr>
    </w:p>
    <w:p>
      <w:pPr>
        <w:ind w:firstLine="317"/>
        <w:spacing w:after="0" w:line="230" w:lineRule="auto"/>
        <w:rPr>
          <w:sz w:val="20"/>
          <w:szCs w:val="20"/>
          <w:color w:val="auto"/>
        </w:rPr>
      </w:pPr>
      <w:r>
        <w:rPr>
          <w:rFonts w:ascii="Calibri" w:cs="Calibri" w:eastAsia="Calibri" w:hAnsi="Calibri"/>
          <w:sz w:val="18"/>
          <w:szCs w:val="18"/>
          <w:color w:val="auto"/>
        </w:rPr>
        <w:t>Many of our customer agreements, and in some cases our asset sale agreements, and/or the laws of certain jurisdictons may require us to indemnify our customers or purchasers for third-party IP infringement claims, including costs to defend those claims, and payment of damages in the case of adverse rulings. However, our CMs and suppliers may or may not be required to indemnify us should we or our customers be subject to such third-party claims. Claims of this sort could also harm our relatonships with our customers and might deter future customers from doing business with us. If any pending or future proceedings result in an adverse outcome, we could be required to:</w:t>
      </w:r>
    </w:p>
    <w:p>
      <w:pPr>
        <w:spacing w:after="0" w:line="99" w:lineRule="exact"/>
        <w:rPr>
          <w:sz w:val="20"/>
          <w:szCs w:val="20"/>
          <w:color w:val="auto"/>
        </w:rPr>
      </w:pPr>
    </w:p>
    <w:p>
      <w:pPr>
        <w:ind w:left="640" w:hanging="317"/>
        <w:spacing w:after="0"/>
        <w:tabs>
          <w:tab w:leader="none" w:pos="640" w:val="left"/>
        </w:tabs>
        <w:numPr>
          <w:ilvl w:val="0"/>
          <w:numId w:val="13"/>
        </w:numPr>
        <w:rPr>
          <w:rFonts w:ascii="Calibri" w:cs="Calibri" w:eastAsia="Calibri" w:hAnsi="Calibri"/>
          <w:sz w:val="18"/>
          <w:szCs w:val="18"/>
          <w:color w:val="auto"/>
        </w:rPr>
      </w:pPr>
      <w:r>
        <w:rPr>
          <w:rFonts w:ascii="Calibri" w:cs="Calibri" w:eastAsia="Calibri" w:hAnsi="Calibri"/>
          <w:sz w:val="18"/>
          <w:szCs w:val="18"/>
          <w:color w:val="auto"/>
        </w:rPr>
        <w:t>cease the manufacture, use or sale of the infringing products, processes or technology and/or make changes to our processes or products;</w:t>
      </w:r>
    </w:p>
    <w:p>
      <w:pPr>
        <w:spacing w:after="0" w:line="106" w:lineRule="exact"/>
        <w:rPr>
          <w:rFonts w:ascii="Calibri" w:cs="Calibri" w:eastAsia="Calibri" w:hAnsi="Calibri"/>
          <w:sz w:val="18"/>
          <w:szCs w:val="18"/>
          <w:color w:val="auto"/>
        </w:rPr>
      </w:pPr>
    </w:p>
    <w:p>
      <w:pPr>
        <w:ind w:left="640" w:hanging="317"/>
        <w:spacing w:after="0"/>
        <w:tabs>
          <w:tab w:leader="none" w:pos="640" w:val="left"/>
        </w:tabs>
        <w:numPr>
          <w:ilvl w:val="0"/>
          <w:numId w:val="13"/>
        </w:numPr>
        <w:rPr>
          <w:rFonts w:ascii="Calibri" w:cs="Calibri" w:eastAsia="Calibri" w:hAnsi="Calibri"/>
          <w:sz w:val="17"/>
          <w:szCs w:val="17"/>
          <w:color w:val="auto"/>
        </w:rPr>
      </w:pPr>
      <w:r>
        <w:rPr>
          <w:rFonts w:ascii="Calibri" w:cs="Calibri" w:eastAsia="Calibri" w:hAnsi="Calibri"/>
          <w:sz w:val="17"/>
          <w:szCs w:val="17"/>
          <w:color w:val="auto"/>
        </w:rPr>
        <w:t>pay substantal damages for past, present and future use of the infringing technology, including up to treble damages if willful infringement is found;</w:t>
      </w:r>
    </w:p>
    <w:p>
      <w:pPr>
        <w:spacing w:after="0" w:line="99" w:lineRule="exact"/>
        <w:rPr>
          <w:rFonts w:ascii="Calibri" w:cs="Calibri" w:eastAsia="Calibri" w:hAnsi="Calibri"/>
          <w:sz w:val="17"/>
          <w:szCs w:val="17"/>
          <w:color w:val="auto"/>
        </w:rPr>
      </w:pPr>
    </w:p>
    <w:p>
      <w:pPr>
        <w:ind w:left="640" w:hanging="317"/>
        <w:spacing w:after="0"/>
        <w:tabs>
          <w:tab w:leader="none" w:pos="640" w:val="left"/>
        </w:tabs>
        <w:numPr>
          <w:ilvl w:val="0"/>
          <w:numId w:val="13"/>
        </w:numPr>
        <w:rPr>
          <w:rFonts w:ascii="Calibri" w:cs="Calibri" w:eastAsia="Calibri" w:hAnsi="Calibri"/>
          <w:sz w:val="18"/>
          <w:szCs w:val="18"/>
          <w:color w:val="auto"/>
        </w:rPr>
      </w:pPr>
      <w:r>
        <w:rPr>
          <w:rFonts w:ascii="Calibri" w:cs="Calibri" w:eastAsia="Calibri" w:hAnsi="Calibri"/>
          <w:sz w:val="18"/>
          <w:szCs w:val="18"/>
          <w:color w:val="auto"/>
        </w:rPr>
        <w:t>expend signifcant resources to develop non-infringing technology;</w:t>
      </w:r>
    </w:p>
    <w:p>
      <w:pPr>
        <w:spacing w:after="0" w:line="97" w:lineRule="exact"/>
        <w:rPr>
          <w:rFonts w:ascii="Calibri" w:cs="Calibri" w:eastAsia="Calibri" w:hAnsi="Calibri"/>
          <w:sz w:val="18"/>
          <w:szCs w:val="18"/>
          <w:color w:val="auto"/>
        </w:rPr>
      </w:pPr>
    </w:p>
    <w:p>
      <w:pPr>
        <w:ind w:left="640" w:hanging="317"/>
        <w:spacing w:after="0"/>
        <w:tabs>
          <w:tab w:leader="none" w:pos="640" w:val="left"/>
        </w:tabs>
        <w:numPr>
          <w:ilvl w:val="0"/>
          <w:numId w:val="13"/>
        </w:numPr>
        <w:rPr>
          <w:rFonts w:ascii="Calibri" w:cs="Calibri" w:eastAsia="Calibri" w:hAnsi="Calibri"/>
          <w:sz w:val="18"/>
          <w:szCs w:val="18"/>
          <w:color w:val="auto"/>
        </w:rPr>
      </w:pPr>
      <w:r>
        <w:rPr>
          <w:rFonts w:ascii="Calibri" w:cs="Calibri" w:eastAsia="Calibri" w:hAnsi="Calibri"/>
          <w:sz w:val="18"/>
          <w:szCs w:val="18"/>
          <w:color w:val="auto"/>
        </w:rPr>
        <w:t>license technology from the third-party claiming infringement, which license may not be available on commercially reasonable terms, or at all;</w:t>
      </w:r>
    </w:p>
    <w:p>
      <w:pPr>
        <w:spacing w:after="0" w:line="106" w:lineRule="exact"/>
        <w:rPr>
          <w:rFonts w:ascii="Calibri" w:cs="Calibri" w:eastAsia="Calibri" w:hAnsi="Calibri"/>
          <w:sz w:val="18"/>
          <w:szCs w:val="18"/>
          <w:color w:val="auto"/>
        </w:rPr>
      </w:pPr>
    </w:p>
    <w:p>
      <w:pPr>
        <w:ind w:left="640" w:hanging="317"/>
        <w:spacing w:after="0"/>
        <w:tabs>
          <w:tab w:leader="none" w:pos="640" w:val="left"/>
        </w:tabs>
        <w:numPr>
          <w:ilvl w:val="0"/>
          <w:numId w:val="13"/>
        </w:numPr>
        <w:rPr>
          <w:rFonts w:ascii="Calibri" w:cs="Calibri" w:eastAsia="Calibri" w:hAnsi="Calibri"/>
          <w:sz w:val="17"/>
          <w:szCs w:val="17"/>
          <w:color w:val="auto"/>
        </w:rPr>
      </w:pPr>
      <w:r>
        <w:rPr>
          <w:rFonts w:ascii="Calibri" w:cs="Calibri" w:eastAsia="Calibri" w:hAnsi="Calibri"/>
          <w:sz w:val="17"/>
          <w:szCs w:val="17"/>
          <w:color w:val="auto"/>
        </w:rPr>
        <w:t>enter into cross-licenses with our compettors, which could weaken our overall IP portolio and our ability to compete in partcular product categories;</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9" w:right="339" w:bottom="1440" w:gutter="0" w:footer="0" w:header="0"/>
        </w:sectPr>
      </w:pPr>
    </w:p>
    <w:bookmarkStart w:id="24" w:name="page25"/>
    <w:bookmarkEnd w:id="24"/>
    <w:p>
      <w:pPr>
        <w:spacing w:after="0"/>
        <w:rPr>
          <w:sz w:val="20"/>
          <w:szCs w:val="20"/>
          <w:color w:val="auto"/>
        </w:rPr>
      </w:pPr>
      <w:r>
        <w:rPr>
          <w:rFonts w:ascii="Calibri" w:cs="Calibri" w:eastAsia="Calibri" w:hAnsi="Calibri"/>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640" w:hanging="317"/>
        <w:spacing w:after="0"/>
        <w:tabs>
          <w:tab w:leader="none" w:pos="640" w:val="left"/>
        </w:tabs>
        <w:numPr>
          <w:ilvl w:val="0"/>
          <w:numId w:val="14"/>
        </w:numPr>
        <w:rPr>
          <w:rFonts w:ascii="Calibri" w:cs="Calibri" w:eastAsia="Calibri" w:hAnsi="Calibri"/>
          <w:sz w:val="18"/>
          <w:szCs w:val="18"/>
          <w:color w:val="auto"/>
        </w:rPr>
      </w:pPr>
      <w:r>
        <w:rPr>
          <w:rFonts w:ascii="Calibri" w:cs="Calibri" w:eastAsia="Calibri" w:hAnsi="Calibri"/>
          <w:sz w:val="18"/>
          <w:szCs w:val="18"/>
          <w:color w:val="auto"/>
        </w:rPr>
        <w:t>pay substantal damages to our direct or end customers to discontnue use or replace infringing technology with non-infringing technology; or</w:t>
      </w:r>
    </w:p>
    <w:p>
      <w:pPr>
        <w:spacing w:after="0" w:line="97" w:lineRule="exact"/>
        <w:rPr>
          <w:rFonts w:ascii="Calibri" w:cs="Calibri" w:eastAsia="Calibri" w:hAnsi="Calibri"/>
          <w:sz w:val="18"/>
          <w:szCs w:val="18"/>
          <w:color w:val="auto"/>
        </w:rPr>
      </w:pPr>
    </w:p>
    <w:p>
      <w:pPr>
        <w:ind w:left="640" w:hanging="317"/>
        <w:spacing w:after="0"/>
        <w:tabs>
          <w:tab w:leader="none" w:pos="640" w:val="left"/>
        </w:tabs>
        <w:numPr>
          <w:ilvl w:val="0"/>
          <w:numId w:val="14"/>
        </w:numPr>
        <w:rPr>
          <w:rFonts w:ascii="Calibri" w:cs="Calibri" w:eastAsia="Calibri" w:hAnsi="Calibri"/>
          <w:sz w:val="18"/>
          <w:szCs w:val="18"/>
          <w:color w:val="auto"/>
        </w:rPr>
      </w:pPr>
      <w:r>
        <w:rPr>
          <w:rFonts w:ascii="Calibri" w:cs="Calibri" w:eastAsia="Calibri" w:hAnsi="Calibri"/>
          <w:sz w:val="18"/>
          <w:szCs w:val="18"/>
          <w:color w:val="auto"/>
        </w:rPr>
        <w:t>relinquish IP rights associated with one or more of our patent claims.</w:t>
      </w:r>
    </w:p>
    <w:p>
      <w:pPr>
        <w:spacing w:after="0" w:line="97" w:lineRule="exact"/>
        <w:rPr>
          <w:sz w:val="20"/>
          <w:szCs w:val="20"/>
          <w:color w:val="auto"/>
        </w:rPr>
      </w:pPr>
    </w:p>
    <w:p>
      <w:pPr>
        <w:ind w:left="320"/>
        <w:spacing w:after="0"/>
        <w:rPr>
          <w:sz w:val="20"/>
          <w:szCs w:val="20"/>
          <w:color w:val="auto"/>
        </w:rPr>
      </w:pPr>
      <w:r>
        <w:rPr>
          <w:rFonts w:ascii="Calibri" w:cs="Calibri" w:eastAsia="Calibri" w:hAnsi="Calibri"/>
          <w:sz w:val="18"/>
          <w:szCs w:val="18"/>
          <w:color w:val="auto"/>
        </w:rPr>
        <w:t>Any of the foregoing results could have a material adverse efect on our business, fnancial conditon and results of operatons.</w:t>
      </w:r>
    </w:p>
    <w:p>
      <w:pPr>
        <w:spacing w:after="0" w:line="107" w:lineRule="exact"/>
        <w:rPr>
          <w:sz w:val="20"/>
          <w:szCs w:val="20"/>
          <w:color w:val="auto"/>
        </w:rPr>
      </w:pPr>
    </w:p>
    <w:p>
      <w:pPr>
        <w:ind w:firstLine="317"/>
        <w:spacing w:after="0" w:line="230" w:lineRule="auto"/>
        <w:rPr>
          <w:sz w:val="20"/>
          <w:szCs w:val="20"/>
          <w:color w:val="auto"/>
        </w:rPr>
      </w:pPr>
      <w:r>
        <w:rPr>
          <w:rFonts w:ascii="Calibri" w:cs="Calibri" w:eastAsia="Calibri" w:hAnsi="Calibri"/>
          <w:sz w:val="18"/>
          <w:szCs w:val="18"/>
          <w:color w:val="auto"/>
        </w:rPr>
        <w:t>In additon, we may be obligated to indemnify our current or former directors or employees, or former directors or employees of companies that we have acquired, in connecton with such litgaton. These liabilites could be substantal and may include, among other things, the cost of defending lawsuits against these individuals, as well as stockholder derivatve suits; civil or criminal fnes and penaltes; legal and other expenses; and expenses associated with the remedial measure, if any, which may be imposed.</w:t>
      </w:r>
    </w:p>
    <w:p>
      <w:pPr>
        <w:spacing w:after="0" w:line="99" w:lineRule="exact"/>
        <w:rPr>
          <w:sz w:val="20"/>
          <w:szCs w:val="20"/>
          <w:color w:val="auto"/>
        </w:rPr>
      </w:pPr>
    </w:p>
    <w:p>
      <w:pPr>
        <w:ind w:left="80"/>
        <w:spacing w:after="0"/>
        <w:rPr>
          <w:sz w:val="20"/>
          <w:szCs w:val="20"/>
          <w:color w:val="auto"/>
        </w:rPr>
      </w:pPr>
      <w:r>
        <w:rPr>
          <w:rFonts w:ascii="Calibri" w:cs="Calibri" w:eastAsia="Calibri" w:hAnsi="Calibri"/>
          <w:sz w:val="18"/>
          <w:szCs w:val="18"/>
          <w:b w:val="1"/>
          <w:bCs w:val="1"/>
          <w:i w:val="1"/>
          <w:iCs w:val="1"/>
          <w:color w:val="auto"/>
        </w:rPr>
        <w:t>If demand for our data center virtualizaton products is less than antcipated, our business could be adversely afected.</w:t>
      </w:r>
    </w:p>
    <w:p>
      <w:pPr>
        <w:spacing w:after="0" w:line="107" w:lineRule="exact"/>
        <w:rPr>
          <w:sz w:val="20"/>
          <w:szCs w:val="20"/>
          <w:color w:val="auto"/>
        </w:rPr>
      </w:pPr>
    </w:p>
    <w:p>
      <w:pPr>
        <w:ind w:right="200" w:firstLine="317"/>
        <w:spacing w:after="0" w:line="245" w:lineRule="auto"/>
        <w:rPr>
          <w:sz w:val="20"/>
          <w:szCs w:val="20"/>
          <w:color w:val="auto"/>
        </w:rPr>
      </w:pPr>
      <w:r>
        <w:rPr>
          <w:rFonts w:ascii="Calibri" w:cs="Calibri" w:eastAsia="Calibri" w:hAnsi="Calibri"/>
          <w:sz w:val="17"/>
          <w:szCs w:val="17"/>
          <w:color w:val="auto"/>
        </w:rPr>
        <w:t>We expect to generate a signifcant porton of our sofware revenue from our data center virtualizaton products. However, if businesses build new or shif existng compute workloads of-premises to public cloud providers, this could limit the market for on-premises deployments of our data center virtualizaton products. Although we have developed, and will contnue to develop, products to extend our product oferings to the public cloud, if demand for our server virtualizaton products is signifcantly less than antcipated, our business, fnancial conditon, results of operatons and cash fows may be adversely afected.</w:t>
      </w:r>
    </w:p>
    <w:p>
      <w:pPr>
        <w:spacing w:after="0" w:line="94" w:lineRule="exact"/>
        <w:rPr>
          <w:sz w:val="20"/>
          <w:szCs w:val="20"/>
          <w:color w:val="auto"/>
        </w:rPr>
      </w:pPr>
    </w:p>
    <w:p>
      <w:pPr>
        <w:ind w:left="80"/>
        <w:spacing w:after="0"/>
        <w:rPr>
          <w:sz w:val="20"/>
          <w:szCs w:val="20"/>
          <w:color w:val="auto"/>
        </w:rPr>
      </w:pPr>
      <w:r>
        <w:rPr>
          <w:rFonts w:ascii="Calibri" w:cs="Calibri" w:eastAsia="Calibri" w:hAnsi="Calibri"/>
          <w:sz w:val="18"/>
          <w:szCs w:val="18"/>
          <w:b w:val="1"/>
          <w:bCs w:val="1"/>
          <w:i w:val="1"/>
          <w:iCs w:val="1"/>
          <w:color w:val="auto"/>
        </w:rPr>
        <w:t>The growth of our sofware business depends on customer acceptance of our newer products and services.</w:t>
      </w:r>
    </w:p>
    <w:p>
      <w:pPr>
        <w:spacing w:after="0" w:line="107" w:lineRule="exact"/>
        <w:rPr>
          <w:sz w:val="20"/>
          <w:szCs w:val="20"/>
          <w:color w:val="auto"/>
        </w:rPr>
      </w:pPr>
    </w:p>
    <w:p>
      <w:pPr>
        <w:ind w:firstLine="317"/>
        <w:spacing w:after="0" w:line="230" w:lineRule="auto"/>
        <w:rPr>
          <w:sz w:val="20"/>
          <w:szCs w:val="20"/>
          <w:color w:val="auto"/>
        </w:rPr>
      </w:pPr>
      <w:r>
        <w:rPr>
          <w:rFonts w:ascii="Calibri" w:cs="Calibri" w:eastAsia="Calibri" w:hAnsi="Calibri"/>
          <w:sz w:val="18"/>
          <w:szCs w:val="18"/>
          <w:color w:val="auto"/>
        </w:rPr>
        <w:t>Many of our sofware products and services are based on data center virtualizaton, applicaton modernizaton and related hybrid-cloud technologies used to manage distributed computng architectures, which form the foundaton for hybrid-cloud computng. We expect to increase product development and marketng and sales eforts toward products and services that enable businesses to modernize applicatons and efciently implement their hybrid-cloud services. These cloud and SaaS initatves present new and difcult technological, operatonal and compliance challenges. We expect signifcant investments will be required to develop or acquire solutons to address those challenges. Current and future customers may not perceive benefts and cost savings associated with adoptng our hybrid-cloud and applicaton platorm solutons or we may fail to realize returns on our investments in new initatves, which could harm our results of operatons.</w:t>
      </w:r>
    </w:p>
    <w:p>
      <w:pPr>
        <w:spacing w:after="0" w:line="110" w:lineRule="exact"/>
        <w:rPr>
          <w:sz w:val="20"/>
          <w:szCs w:val="20"/>
          <w:color w:val="auto"/>
        </w:rPr>
      </w:pPr>
    </w:p>
    <w:p>
      <w:pPr>
        <w:ind w:right="80" w:firstLine="79"/>
        <w:spacing w:after="0" w:line="230" w:lineRule="auto"/>
        <w:rPr>
          <w:sz w:val="20"/>
          <w:szCs w:val="20"/>
          <w:color w:val="auto"/>
        </w:rPr>
      </w:pPr>
      <w:r>
        <w:rPr>
          <w:rFonts w:ascii="Calibri" w:cs="Calibri" w:eastAsia="Calibri" w:hAnsi="Calibri"/>
          <w:sz w:val="18"/>
          <w:szCs w:val="18"/>
          <w:b w:val="1"/>
          <w:bCs w:val="1"/>
          <w:i w:val="1"/>
          <w:iCs w:val="1"/>
          <w:color w:val="auto"/>
        </w:rPr>
        <w:t>If our sofware products do not remain compatble with ever-changing operatng environments, platorms, or third-party products, demand for our products and services could decrease, which could materially adversely afect our business.</w:t>
      </w:r>
    </w:p>
    <w:p>
      <w:pPr>
        <w:spacing w:after="0" w:line="107" w:lineRule="exact"/>
        <w:rPr>
          <w:sz w:val="20"/>
          <w:szCs w:val="20"/>
          <w:color w:val="auto"/>
        </w:rPr>
      </w:pPr>
    </w:p>
    <w:p>
      <w:pPr>
        <w:ind w:right="180" w:firstLine="317"/>
        <w:spacing w:after="0" w:line="230" w:lineRule="auto"/>
        <w:rPr>
          <w:sz w:val="20"/>
          <w:szCs w:val="20"/>
          <w:color w:val="auto"/>
        </w:rPr>
      </w:pPr>
      <w:r>
        <w:rPr>
          <w:rFonts w:ascii="Calibri" w:cs="Calibri" w:eastAsia="Calibri" w:hAnsi="Calibri"/>
          <w:sz w:val="18"/>
          <w:szCs w:val="18"/>
          <w:color w:val="auto"/>
        </w:rPr>
        <w:t>We may be required to make substantal modifcaton of our products to maintain compatbility with operatng systems, systems sofware and computer hardware used by our customers or to provide our customers with desired features or capabilites. W</w:t>
      </w:r>
      <w:r>
        <w:rPr>
          <w:rFonts w:ascii="Calibri" w:cs="Calibri" w:eastAsia="Calibri" w:hAnsi="Calibri"/>
          <w:sz w:val="18"/>
          <w:szCs w:val="18"/>
          <w:color w:val="212529"/>
        </w:rPr>
        <w:t>e must also contnually address the challenges of dynamic</w:t>
      </w:r>
      <w:r>
        <w:rPr>
          <w:rFonts w:ascii="Calibri" w:cs="Calibri" w:eastAsia="Calibri" w:hAnsi="Calibri"/>
          <w:sz w:val="18"/>
          <w:szCs w:val="18"/>
          <w:color w:val="auto"/>
        </w:rPr>
        <w:t xml:space="preserve"> </w:t>
      </w:r>
      <w:r>
        <w:rPr>
          <w:rFonts w:ascii="Calibri" w:cs="Calibri" w:eastAsia="Calibri" w:hAnsi="Calibri"/>
          <w:sz w:val="18"/>
          <w:szCs w:val="18"/>
          <w:color w:val="212529"/>
        </w:rPr>
        <w:t xml:space="preserve">and acceleratng market trends and compettve developments, such as the emergence of advanced persistent threats in the security space to compete efectvely. </w:t>
      </w:r>
      <w:r>
        <w:rPr>
          <w:rFonts w:ascii="Calibri" w:cs="Calibri" w:eastAsia="Calibri" w:hAnsi="Calibri"/>
          <w:sz w:val="18"/>
          <w:szCs w:val="18"/>
          <w:color w:val="000000"/>
        </w:rPr>
        <w:t>There can be no assurance that we will be able to adapt our products in response to these developments.</w:t>
      </w:r>
    </w:p>
    <w:p>
      <w:pPr>
        <w:spacing w:after="0" w:line="108" w:lineRule="exact"/>
        <w:rPr>
          <w:sz w:val="20"/>
          <w:szCs w:val="20"/>
          <w:color w:val="auto"/>
        </w:rPr>
      </w:pPr>
    </w:p>
    <w:p>
      <w:pPr>
        <w:ind w:right="80" w:firstLine="317"/>
        <w:spacing w:after="0" w:line="230" w:lineRule="auto"/>
        <w:rPr>
          <w:sz w:val="20"/>
          <w:szCs w:val="20"/>
          <w:color w:val="auto"/>
        </w:rPr>
      </w:pPr>
      <w:r>
        <w:rPr>
          <w:rFonts w:ascii="Calibri" w:cs="Calibri" w:eastAsia="Calibri" w:hAnsi="Calibri"/>
          <w:sz w:val="18"/>
          <w:szCs w:val="18"/>
          <w:color w:val="auto"/>
        </w:rPr>
        <w:t>Further, our sofware solutons interact with a variety of sofware and hardware developed by third partes, as well as cloud providers. If we lose access to third-party code and specifcatons for the development of code or cloud providers fail to support our products or otherwise limit the functonality, compatbility or certfcaton of our products, this could negatvely impact our ability to develop compatble sofware. In additon, if sofware providers and hardware manufacturers, including some of our largest vendors, adopt new policies restrictng the use or availability of their code or technical documentaton for their operatng systems, applicatons, or hardware, or otherwise impose unfavorable terms and conditons for such access, this could result in higher research and development costs for the enhancement and modifcaton of our existng products or development of new products. Any additonal restrictons could materially adversely afect our business, fnancial conditon and operatng results and cash fow.</w:t>
      </w:r>
    </w:p>
    <w:p>
      <w:pPr>
        <w:spacing w:after="0" w:line="101" w:lineRule="exact"/>
        <w:rPr>
          <w:sz w:val="20"/>
          <w:szCs w:val="20"/>
          <w:color w:val="auto"/>
        </w:rPr>
      </w:pPr>
    </w:p>
    <w:p>
      <w:pPr>
        <w:ind w:left="80"/>
        <w:spacing w:after="0"/>
        <w:rPr>
          <w:sz w:val="20"/>
          <w:szCs w:val="20"/>
          <w:color w:val="auto"/>
        </w:rPr>
      </w:pPr>
      <w:r>
        <w:rPr>
          <w:rFonts w:ascii="Calibri" w:cs="Calibri" w:eastAsia="Calibri" w:hAnsi="Calibri"/>
          <w:sz w:val="18"/>
          <w:szCs w:val="18"/>
          <w:b w:val="1"/>
          <w:bCs w:val="1"/>
          <w:i w:val="1"/>
          <w:iCs w:val="1"/>
          <w:color w:val="auto"/>
        </w:rPr>
        <w:t>Failure to enter into sofware license agreements on a satsfactory basis could materially adversely afect our business.</w:t>
      </w:r>
    </w:p>
    <w:p>
      <w:pPr>
        <w:spacing w:after="0" w:line="107" w:lineRule="exact"/>
        <w:rPr>
          <w:sz w:val="20"/>
          <w:szCs w:val="20"/>
          <w:color w:val="auto"/>
        </w:rPr>
      </w:pPr>
    </w:p>
    <w:p>
      <w:pPr>
        <w:ind w:firstLine="317"/>
        <w:spacing w:after="0" w:line="230" w:lineRule="auto"/>
        <w:rPr>
          <w:sz w:val="20"/>
          <w:szCs w:val="20"/>
          <w:color w:val="auto"/>
        </w:rPr>
      </w:pPr>
      <w:r>
        <w:rPr>
          <w:rFonts w:ascii="Calibri" w:cs="Calibri" w:eastAsia="Calibri" w:hAnsi="Calibri"/>
          <w:sz w:val="18"/>
          <w:szCs w:val="18"/>
          <w:color w:val="auto"/>
        </w:rPr>
        <w:t>Many of our existng customers have mult-year enterprise sofware license agreements, some of which involve substantal aggregate fee amounts. These customers ofen do not have a contractual obligaton to purchase additonal solutons. Customer renewal rates may decline or fuctuate as a result of a number of factors, including the level of customer satsfacton with our solutons or customer support, customer budgets and the pricing of our solutons as compared with the solutons ofered by our compettors, any of which may cause our revenue to grow more slowly than expected, if at all. The failure to renew customer agreements of similar scope, on terms that are commercially atractve to us, could materially adversely afect our business, fnancial conditon and operatng results and cash fow.</w:t>
      </w: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9" w:right="339" w:bottom="1440" w:gutter="0" w:footer="0" w:header="0"/>
        </w:sectPr>
      </w:pPr>
    </w:p>
    <w:bookmarkStart w:id="25" w:name="page26"/>
    <w:bookmarkEnd w:id="25"/>
    <w:p>
      <w:pPr>
        <w:spacing w:after="0"/>
        <w:rPr>
          <w:sz w:val="20"/>
          <w:szCs w:val="20"/>
          <w:color w:val="auto"/>
        </w:rPr>
      </w:pPr>
      <w:r>
        <w:rPr>
          <w:rFonts w:ascii="Calibri" w:cs="Calibri" w:eastAsia="Calibri" w:hAnsi="Calibri"/>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right="900" w:firstLine="79"/>
        <w:spacing w:after="0" w:line="230" w:lineRule="auto"/>
        <w:rPr>
          <w:sz w:val="20"/>
          <w:szCs w:val="20"/>
          <w:color w:val="auto"/>
        </w:rPr>
      </w:pPr>
      <w:r>
        <w:rPr>
          <w:rFonts w:ascii="Calibri" w:cs="Calibri" w:eastAsia="Calibri" w:hAnsi="Calibri"/>
          <w:sz w:val="18"/>
          <w:szCs w:val="18"/>
          <w:b w:val="1"/>
          <w:bCs w:val="1"/>
          <w:i w:val="1"/>
          <w:iCs w:val="1"/>
          <w:color w:val="auto"/>
        </w:rPr>
        <w:t>Certain sofware that we use in our products is licensed from third partes and may not be available to us in the future, which may delay product development and producton or cause us to incur additonal expense.</w:t>
      </w:r>
    </w:p>
    <w:p>
      <w:pPr>
        <w:spacing w:after="0" w:line="107" w:lineRule="exact"/>
        <w:rPr>
          <w:sz w:val="20"/>
          <w:szCs w:val="20"/>
          <w:color w:val="auto"/>
        </w:rPr>
      </w:pPr>
    </w:p>
    <w:p>
      <w:pPr>
        <w:ind w:right="20" w:firstLine="317"/>
        <w:spacing w:after="0" w:line="230" w:lineRule="auto"/>
        <w:rPr>
          <w:sz w:val="20"/>
          <w:szCs w:val="20"/>
          <w:color w:val="auto"/>
        </w:rPr>
      </w:pPr>
      <w:r>
        <w:rPr>
          <w:rFonts w:ascii="Calibri" w:cs="Calibri" w:eastAsia="Calibri" w:hAnsi="Calibri"/>
          <w:sz w:val="18"/>
          <w:szCs w:val="18"/>
          <w:color w:val="auto"/>
        </w:rPr>
        <w:t>Some of our solutons contain sofware licensed from third partes, some of which may not be available to us in the future on terms that are acceptable to us or allow our products to remain compettve. The loss of these licenses or the inability to maintain any of them on commercially acceptable terms could delay development of future products or the enhancement of existng products.</w:t>
      </w:r>
    </w:p>
    <w:p>
      <w:pPr>
        <w:spacing w:after="0" w:line="108" w:lineRule="exact"/>
        <w:rPr>
          <w:sz w:val="20"/>
          <w:szCs w:val="20"/>
          <w:color w:val="auto"/>
        </w:rPr>
      </w:pPr>
    </w:p>
    <w:p>
      <w:pPr>
        <w:ind w:right="300" w:firstLine="79"/>
        <w:spacing w:after="0" w:line="230" w:lineRule="auto"/>
        <w:rPr>
          <w:sz w:val="20"/>
          <w:szCs w:val="20"/>
          <w:color w:val="auto"/>
        </w:rPr>
      </w:pPr>
      <w:r>
        <w:rPr>
          <w:rFonts w:ascii="Calibri" w:cs="Calibri" w:eastAsia="Calibri" w:hAnsi="Calibri"/>
          <w:sz w:val="18"/>
          <w:szCs w:val="18"/>
          <w:b w:val="1"/>
          <w:bCs w:val="1"/>
          <w:i w:val="1"/>
          <w:iCs w:val="1"/>
          <w:color w:val="auto"/>
        </w:rPr>
        <w:t>Our use of open source sofware in certain products and services could materially adversely afect our business, fnancial conditon, operatng results and cash fow.</w:t>
      </w:r>
    </w:p>
    <w:p>
      <w:pPr>
        <w:spacing w:after="0" w:line="107" w:lineRule="exact"/>
        <w:rPr>
          <w:sz w:val="20"/>
          <w:szCs w:val="20"/>
          <w:color w:val="auto"/>
        </w:rPr>
      </w:pPr>
    </w:p>
    <w:p>
      <w:pPr>
        <w:ind w:right="60" w:firstLine="317"/>
        <w:spacing w:after="0" w:line="230" w:lineRule="auto"/>
        <w:rPr>
          <w:sz w:val="20"/>
          <w:szCs w:val="20"/>
          <w:color w:val="auto"/>
        </w:rPr>
      </w:pPr>
      <w:r>
        <w:rPr>
          <w:rFonts w:ascii="Calibri" w:cs="Calibri" w:eastAsia="Calibri" w:hAnsi="Calibri"/>
          <w:sz w:val="18"/>
          <w:szCs w:val="18"/>
          <w:color w:val="auto"/>
        </w:rPr>
        <w:t>Many of our products and services incorporate open source sofware, the use of which may subject us to certain conditons, including the obligaton to ofer such products for no cost or to make the proprietary source code of those products publicly available. Open source licenses are generally “as-is” and do not provide warrantes, support or assurance of ttle or controls on origin of the sofware, which exposes us to potental liability if the sofware fails to work or infringes the intellectual property of a third-party.</w:t>
      </w:r>
    </w:p>
    <w:p>
      <w:pPr>
        <w:spacing w:after="0" w:line="108" w:lineRule="exact"/>
        <w:rPr>
          <w:sz w:val="20"/>
          <w:szCs w:val="20"/>
          <w:color w:val="auto"/>
        </w:rPr>
      </w:pPr>
    </w:p>
    <w:p>
      <w:pPr>
        <w:ind w:right="60" w:firstLine="317"/>
        <w:spacing w:after="0" w:line="230" w:lineRule="auto"/>
        <w:rPr>
          <w:sz w:val="20"/>
          <w:szCs w:val="20"/>
          <w:color w:val="auto"/>
        </w:rPr>
      </w:pPr>
      <w:r>
        <w:rPr>
          <w:rFonts w:ascii="Calibri" w:cs="Calibri" w:eastAsia="Calibri" w:hAnsi="Calibri"/>
          <w:sz w:val="18"/>
          <w:szCs w:val="18"/>
          <w:color w:val="auto"/>
        </w:rPr>
        <w:t>Although we monitor our use of open source sofware to avoid subjectng our products to unintended conditons and exposing us to unacceptable fnancial risk, such use, under certain circumstances, could materially adversely afect our business, fnancial conditon and operatng results and cash fow, including if we are required to take remedial acton that may divert resources away from our development eforts. In additon, we may receive inquiries or claims from authors, distributors or recipients of open source sofware included in our products regarding our compliance with the conditons of such open source licenses and we may be required to take steps to avoid or remedy an alleged infringement or noncompliance, including modifying our product code, stopping the distributon of some of our products, paying damages or releasing the source code of our propriety sofware. Further, although we believe that we have complied with our obligatons under the licenses for such open source sofware, there is litle legal precedent governing the interpretaton of some terms in some of these licenses, which increases the risk that a court could interpret the licenses diferently than we do.</w:t>
      </w:r>
    </w:p>
    <w:p>
      <w:pPr>
        <w:spacing w:after="0" w:line="101" w:lineRule="exact"/>
        <w:rPr>
          <w:sz w:val="20"/>
          <w:szCs w:val="20"/>
          <w:color w:val="auto"/>
        </w:rPr>
      </w:pPr>
    </w:p>
    <w:p>
      <w:pPr>
        <w:ind w:left="80"/>
        <w:spacing w:after="0"/>
        <w:rPr>
          <w:sz w:val="20"/>
          <w:szCs w:val="20"/>
          <w:color w:val="auto"/>
        </w:rPr>
      </w:pPr>
      <w:r>
        <w:rPr>
          <w:rFonts w:ascii="Calibri" w:cs="Calibri" w:eastAsia="Calibri" w:hAnsi="Calibri"/>
          <w:sz w:val="18"/>
          <w:szCs w:val="18"/>
          <w:b w:val="1"/>
          <w:bCs w:val="1"/>
          <w:i w:val="1"/>
          <w:iCs w:val="1"/>
          <w:color w:val="auto"/>
        </w:rPr>
        <w:t>Failure of our sofware products to manage and secure IT infrastructures and environments could have a material adverse efect on our business.</w:t>
      </w:r>
    </w:p>
    <w:p>
      <w:pPr>
        <w:spacing w:after="0" w:line="107" w:lineRule="exact"/>
        <w:rPr>
          <w:sz w:val="20"/>
          <w:szCs w:val="20"/>
          <w:color w:val="auto"/>
        </w:rPr>
      </w:pPr>
    </w:p>
    <w:p>
      <w:pPr>
        <w:ind w:right="40" w:firstLine="317"/>
        <w:spacing w:after="0" w:line="230" w:lineRule="auto"/>
        <w:rPr>
          <w:sz w:val="20"/>
          <w:szCs w:val="20"/>
          <w:color w:val="auto"/>
        </w:rPr>
      </w:pPr>
      <w:r>
        <w:rPr>
          <w:rFonts w:ascii="Calibri" w:cs="Calibri" w:eastAsia="Calibri" w:hAnsi="Calibri"/>
          <w:sz w:val="18"/>
          <w:szCs w:val="18"/>
          <w:color w:val="auto"/>
        </w:rPr>
        <w:t>Certain aspects of our sofware products are intended to manage and secure IT infrastructures and environments, and as a result, we expect these products to be ongoing targets of cyber-atacks. Open source code or other third-party sofware used in these products could also be targeted and may make our products vulnerable to additonal security risks not posed by purely proprietary products. Our products are complex and, when deployed, may contain errors, defects or security vulnerabilites, some of which may not be discovered before the product has been released, installed and used by customers. The complexity and breadth of our technical and producton environments, which involve globally dispersed development and engineering teams, increases the risk that errors, defects or vulnerabilites will be introduced and may delay our ability to detect, mitgate or remediate such incidents.</w:t>
      </w:r>
    </w:p>
    <w:p>
      <w:pPr>
        <w:spacing w:after="0" w:line="110" w:lineRule="exact"/>
        <w:rPr>
          <w:sz w:val="20"/>
          <w:szCs w:val="20"/>
          <w:color w:val="auto"/>
        </w:rPr>
      </w:pPr>
    </w:p>
    <w:p>
      <w:pPr>
        <w:ind w:firstLine="317"/>
        <w:spacing w:after="0" w:line="230" w:lineRule="auto"/>
        <w:rPr>
          <w:sz w:val="20"/>
          <w:szCs w:val="20"/>
          <w:color w:val="auto"/>
        </w:rPr>
      </w:pPr>
      <w:r>
        <w:rPr>
          <w:rFonts w:ascii="Calibri" w:cs="Calibri" w:eastAsia="Calibri" w:hAnsi="Calibri"/>
          <w:sz w:val="18"/>
          <w:szCs w:val="18"/>
          <w:color w:val="auto"/>
        </w:rPr>
        <w:t>In the past, elements of our proprietary source code have been exposed in an unauthorized manner. It is possible that such exposure of source code could reveal unknown security vulnerabilites in our products that could be exploited by malicious actors. Our products are also subject to known and unknown security vulnerabilites resultng from integraton with third-party products or services.</w:t>
      </w:r>
    </w:p>
    <w:p>
      <w:pPr>
        <w:spacing w:after="0" w:line="108" w:lineRule="exact"/>
        <w:rPr>
          <w:sz w:val="20"/>
          <w:szCs w:val="20"/>
          <w:color w:val="auto"/>
        </w:rPr>
      </w:pPr>
    </w:p>
    <w:p>
      <w:pPr>
        <w:ind w:right="220" w:firstLine="317"/>
        <w:spacing w:after="0" w:line="230" w:lineRule="auto"/>
        <w:rPr>
          <w:sz w:val="20"/>
          <w:szCs w:val="20"/>
          <w:color w:val="auto"/>
        </w:rPr>
      </w:pPr>
      <w:r>
        <w:rPr>
          <w:rFonts w:ascii="Calibri" w:cs="Calibri" w:eastAsia="Calibri" w:hAnsi="Calibri"/>
          <w:sz w:val="18"/>
          <w:szCs w:val="18"/>
          <w:color w:val="auto"/>
        </w:rPr>
        <w:t>Although we contnually seek to improve our countermeasures to prevent such incidents, we may be unable to antcipate every scenario and it is possible that certain cyber threats or vulnerabilites will be undetected or unmitgated in tme to prevent an atack or an accidental incident on us and our customers. Additonally, eforts by malicious cyber actors or others could cause interruptons, delays or cessaton of our product licensing, or modifcaton of our sofware, which could cause us to lose existng or potental customers.</w:t>
      </w:r>
    </w:p>
    <w:p>
      <w:pPr>
        <w:spacing w:after="0" w:line="108" w:lineRule="exact"/>
        <w:rPr>
          <w:sz w:val="20"/>
          <w:szCs w:val="20"/>
          <w:color w:val="auto"/>
        </w:rPr>
      </w:pPr>
    </w:p>
    <w:p>
      <w:pPr>
        <w:ind w:right="60" w:firstLine="317"/>
        <w:spacing w:after="0" w:line="230" w:lineRule="auto"/>
        <w:rPr>
          <w:sz w:val="20"/>
          <w:szCs w:val="20"/>
          <w:color w:val="auto"/>
        </w:rPr>
      </w:pPr>
      <w:r>
        <w:rPr>
          <w:rFonts w:ascii="Calibri" w:cs="Calibri" w:eastAsia="Calibri" w:hAnsi="Calibri"/>
          <w:sz w:val="18"/>
          <w:szCs w:val="18"/>
          <w:color w:val="auto"/>
        </w:rPr>
        <w:t>A successful cyber-atack involving our products could cause customers and potental customers to believe our services are inefectve or unreliable and result in, among other things, the loss of customers, unfavorable publicity, damage to our reputaton, difculty in marketng our products, allegatons by our customers that we have not performed our contractual obligatons and give rise to signifcant costs, including costs related to developing solutons or indemnifcaton obligatons under our agreements. Any such event could adversely impact our revenue and results of operatons. See also “</w:t>
      </w:r>
      <w:r>
        <w:rPr>
          <w:rFonts w:ascii="Calibri" w:cs="Calibri" w:eastAsia="Calibri" w:hAnsi="Calibri"/>
          <w:sz w:val="18"/>
          <w:szCs w:val="18"/>
          <w:i w:val="1"/>
          <w:iCs w:val="1"/>
          <w:color w:val="auto"/>
        </w:rPr>
        <w:t>An impairment of the</w:t>
      </w:r>
      <w:r>
        <w:rPr>
          <w:rFonts w:ascii="Calibri" w:cs="Calibri" w:eastAsia="Calibri" w:hAnsi="Calibri"/>
          <w:sz w:val="18"/>
          <w:szCs w:val="18"/>
          <w:color w:val="auto"/>
        </w:rPr>
        <w:t xml:space="preserve"> </w:t>
      </w:r>
      <w:r>
        <w:rPr>
          <w:rFonts w:ascii="Calibri" w:cs="Calibri" w:eastAsia="Calibri" w:hAnsi="Calibri"/>
          <w:sz w:val="18"/>
          <w:szCs w:val="18"/>
          <w:i w:val="1"/>
          <w:iCs w:val="1"/>
          <w:color w:val="auto"/>
        </w:rPr>
        <w:t>confdentality, integrity, or availability of our IT systems, or those of one or more of our corporate infrastructure vendors, could have a material adverse efect on our business</w:t>
      </w:r>
      <w:r>
        <w:rPr>
          <w:rFonts w:ascii="Calibri" w:cs="Calibri" w:eastAsia="Calibri" w:hAnsi="Calibri"/>
          <w:sz w:val="18"/>
          <w:szCs w:val="18"/>
          <w:color w:val="auto"/>
        </w:rPr>
        <w:t>”.</w:t>
      </w:r>
    </w:p>
    <w:p>
      <w:pPr>
        <w:spacing w:after="0" w:line="110" w:lineRule="exact"/>
        <w:rPr>
          <w:sz w:val="20"/>
          <w:szCs w:val="20"/>
          <w:color w:val="auto"/>
        </w:rPr>
      </w:pPr>
    </w:p>
    <w:p>
      <w:pPr>
        <w:ind w:left="80"/>
        <w:spacing w:after="0"/>
        <w:rPr>
          <w:sz w:val="20"/>
          <w:szCs w:val="20"/>
          <w:color w:val="auto"/>
        </w:rPr>
      </w:pPr>
      <w:r>
        <w:rPr>
          <w:rFonts w:ascii="Calibri" w:cs="Calibri" w:eastAsia="Calibri" w:hAnsi="Calibri"/>
          <w:sz w:val="17"/>
          <w:szCs w:val="17"/>
          <w:b w:val="1"/>
          <w:bCs w:val="1"/>
          <w:i w:val="1"/>
          <w:iCs w:val="1"/>
          <w:color w:val="auto"/>
        </w:rPr>
        <w:t>Our sales to government customers subject us to uncertaintes and governmental regulatons, which could have a material adverse efect on our business.</w:t>
      </w:r>
    </w:p>
    <w:p>
      <w:pPr>
        <w:spacing w:after="0" w:line="109" w:lineRule="exact"/>
        <w:rPr>
          <w:sz w:val="20"/>
          <w:szCs w:val="20"/>
          <w:color w:val="auto"/>
        </w:rPr>
      </w:pPr>
    </w:p>
    <w:p>
      <w:pPr>
        <w:ind w:right="440" w:firstLine="317"/>
        <w:spacing w:after="0" w:line="230" w:lineRule="auto"/>
        <w:rPr>
          <w:sz w:val="20"/>
          <w:szCs w:val="20"/>
          <w:color w:val="auto"/>
        </w:rPr>
      </w:pPr>
      <w:r>
        <w:rPr>
          <w:rFonts w:ascii="Calibri" w:cs="Calibri" w:eastAsia="Calibri" w:hAnsi="Calibri"/>
          <w:sz w:val="18"/>
          <w:szCs w:val="18"/>
          <w:color w:val="auto"/>
        </w:rPr>
        <w:t>Our contracts signed with the U.S. federal, state and local government and non-U.S. government agencies are generally subject to annual fscal funding approval and may be renegotated or terminated at the discreton of the government.</w:t>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9" w:right="339" w:bottom="1440" w:gutter="0" w:footer="0" w:header="0"/>
        </w:sectPr>
      </w:pPr>
    </w:p>
    <w:bookmarkStart w:id="26" w:name="page27"/>
    <w:bookmarkEnd w:id="26"/>
    <w:p>
      <w:pPr>
        <w:spacing w:after="0"/>
        <w:rPr>
          <w:sz w:val="20"/>
          <w:szCs w:val="20"/>
          <w:color w:val="auto"/>
        </w:rPr>
      </w:pPr>
      <w:r>
        <w:rPr>
          <w:rFonts w:ascii="Calibri" w:cs="Calibri" w:eastAsia="Calibri" w:hAnsi="Calibri"/>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line="230" w:lineRule="auto"/>
        <w:rPr>
          <w:sz w:val="20"/>
          <w:szCs w:val="20"/>
          <w:color w:val="auto"/>
        </w:rPr>
      </w:pPr>
      <w:r>
        <w:rPr>
          <w:rFonts w:ascii="Calibri" w:cs="Calibri" w:eastAsia="Calibri" w:hAnsi="Calibri"/>
          <w:sz w:val="18"/>
          <w:szCs w:val="18"/>
          <w:color w:val="auto"/>
        </w:rPr>
        <w:t>Terminaton, renegotaton or the lack of funding approval for a contract could adversely afect our sales, revenue and reputaton. Additonally, our government contracts and our arrangements with channel partners who may sell directly to government customers are generally subject to certain requirements, some of which are generally not present in commercial contracts and/or may be complex, as well as to audits and investgatons. Failure to meet contractual requirements could result in various civil and criminal actons and penaltes, and administratve sanctons, including terminaton of contracts, refund of a porton of fees received, forfeiture of profts, suspension of payments, fnes and suspensions or debarment from doing business with the government, which could materially adversely afect our business, fnancial conditon, operatng results and cash fow.</w:t>
      </w:r>
    </w:p>
    <w:p>
      <w:pPr>
        <w:spacing w:after="0" w:line="100" w:lineRule="exact"/>
        <w:rPr>
          <w:sz w:val="20"/>
          <w:szCs w:val="20"/>
          <w:color w:val="auto"/>
        </w:rPr>
      </w:pPr>
    </w:p>
    <w:p>
      <w:pPr>
        <w:ind w:left="80"/>
        <w:spacing w:after="0"/>
        <w:rPr>
          <w:sz w:val="20"/>
          <w:szCs w:val="20"/>
          <w:color w:val="auto"/>
        </w:rPr>
      </w:pPr>
      <w:r>
        <w:rPr>
          <w:rFonts w:ascii="Calibri" w:cs="Calibri" w:eastAsia="Calibri" w:hAnsi="Calibri"/>
          <w:sz w:val="18"/>
          <w:szCs w:val="18"/>
          <w:b w:val="1"/>
          <w:bCs w:val="1"/>
          <w:i w:val="1"/>
          <w:iCs w:val="1"/>
          <w:color w:val="auto"/>
        </w:rPr>
        <w:t>Failure to efectvely manage our products and services lifecycles could harm our business.</w:t>
      </w:r>
    </w:p>
    <w:p>
      <w:pPr>
        <w:spacing w:after="0" w:line="107" w:lineRule="exact"/>
        <w:rPr>
          <w:sz w:val="20"/>
          <w:szCs w:val="20"/>
          <w:color w:val="auto"/>
        </w:rPr>
      </w:pPr>
    </w:p>
    <w:p>
      <w:pPr>
        <w:ind w:right="280" w:firstLine="317"/>
        <w:spacing w:after="0" w:line="230" w:lineRule="auto"/>
        <w:rPr>
          <w:sz w:val="20"/>
          <w:szCs w:val="20"/>
          <w:color w:val="auto"/>
        </w:rPr>
      </w:pPr>
      <w:r>
        <w:rPr>
          <w:rFonts w:ascii="Calibri" w:cs="Calibri" w:eastAsia="Calibri" w:hAnsi="Calibri"/>
          <w:sz w:val="18"/>
          <w:szCs w:val="18"/>
          <w:color w:val="auto"/>
        </w:rPr>
        <w:t>As part of the natural lifecycle of our products and services, customers are informed when products or services will be reaching their end of life or end of availability and will no longer be supported or receive updates and security patches. If these products or services remain subject to a service contract, the customer may transiton to alternatve products or services. Failure to efectvely manage our products and services lifecycles could lead to customer dissatsfacton and contractual liabilites, which could adversely afect our business and operatng results.</w:t>
      </w:r>
    </w:p>
    <w:p>
      <w:pPr>
        <w:spacing w:after="0" w:line="99" w:lineRule="exact"/>
        <w:rPr>
          <w:sz w:val="20"/>
          <w:szCs w:val="20"/>
          <w:color w:val="auto"/>
        </w:rPr>
      </w:pPr>
    </w:p>
    <w:p>
      <w:pPr>
        <w:ind w:left="80"/>
        <w:spacing w:after="0"/>
        <w:rPr>
          <w:sz w:val="20"/>
          <w:szCs w:val="20"/>
          <w:color w:val="auto"/>
        </w:rPr>
      </w:pPr>
      <w:r>
        <w:rPr>
          <w:rFonts w:ascii="Calibri" w:cs="Calibri" w:eastAsia="Calibri" w:hAnsi="Calibri"/>
          <w:sz w:val="18"/>
          <w:szCs w:val="18"/>
          <w:b w:val="1"/>
          <w:bCs w:val="1"/>
          <w:i w:val="1"/>
          <w:iCs w:val="1"/>
          <w:color w:val="auto"/>
        </w:rPr>
        <w:t>Our operatng results are subject to substantal quarterly and annual fuctuatons.</w:t>
      </w:r>
    </w:p>
    <w:p>
      <w:pPr>
        <w:spacing w:after="0" w:line="107" w:lineRule="exact"/>
        <w:rPr>
          <w:sz w:val="20"/>
          <w:szCs w:val="20"/>
          <w:color w:val="auto"/>
        </w:rPr>
      </w:pPr>
    </w:p>
    <w:p>
      <w:pPr>
        <w:jc w:val="both"/>
        <w:ind w:right="160" w:firstLine="317"/>
        <w:spacing w:after="0" w:line="230" w:lineRule="auto"/>
        <w:rPr>
          <w:sz w:val="20"/>
          <w:szCs w:val="20"/>
          <w:color w:val="auto"/>
        </w:rPr>
      </w:pPr>
      <w:r>
        <w:rPr>
          <w:rFonts w:ascii="Calibri" w:cs="Calibri" w:eastAsia="Calibri" w:hAnsi="Calibri"/>
          <w:sz w:val="18"/>
          <w:szCs w:val="18"/>
          <w:color w:val="auto"/>
        </w:rPr>
        <w:t>Our operatng results have fuctuated in the past and are likely to fuctuate in the future. These fuctuatons may occur on a quarterly and annual basis and are due to a number of factors, many of which are beyond our control. In additon to many of the risks described elsewhere in this “Risk Factors” secton, these factors include, among others:</w:t>
      </w:r>
    </w:p>
    <w:p>
      <w:pPr>
        <w:spacing w:after="0" w:line="108" w:lineRule="exact"/>
        <w:rPr>
          <w:sz w:val="20"/>
          <w:szCs w:val="20"/>
          <w:color w:val="auto"/>
        </w:rPr>
      </w:pPr>
    </w:p>
    <w:p>
      <w:pPr>
        <w:ind w:left="640" w:right="560" w:hanging="317"/>
        <w:spacing w:after="0" w:line="230" w:lineRule="auto"/>
        <w:tabs>
          <w:tab w:leader="none" w:pos="633" w:val="left"/>
        </w:tabs>
        <w:numPr>
          <w:ilvl w:val="0"/>
          <w:numId w:val="15"/>
        </w:numPr>
        <w:rPr>
          <w:rFonts w:ascii="Calibri" w:cs="Calibri" w:eastAsia="Calibri" w:hAnsi="Calibri"/>
          <w:sz w:val="18"/>
          <w:szCs w:val="18"/>
          <w:color w:val="auto"/>
        </w:rPr>
      </w:pPr>
      <w:r>
        <w:rPr>
          <w:rFonts w:ascii="Calibri" w:cs="Calibri" w:eastAsia="Calibri" w:hAnsi="Calibri"/>
          <w:sz w:val="18"/>
          <w:szCs w:val="18"/>
          <w:color w:val="auto"/>
        </w:rPr>
        <w:t>the tming of launches by our customers of new product in which our products are included and changes in end-user demand for our customers’ products;</w:t>
      </w:r>
    </w:p>
    <w:p>
      <w:pPr>
        <w:spacing w:after="0" w:line="107" w:lineRule="exact"/>
        <w:rPr>
          <w:rFonts w:ascii="Calibri" w:cs="Calibri" w:eastAsia="Calibri" w:hAnsi="Calibri"/>
          <w:sz w:val="18"/>
          <w:szCs w:val="18"/>
          <w:color w:val="auto"/>
        </w:rPr>
      </w:pPr>
    </w:p>
    <w:p>
      <w:pPr>
        <w:ind w:left="640" w:right="240" w:hanging="317"/>
        <w:spacing w:after="0" w:line="230" w:lineRule="auto"/>
        <w:tabs>
          <w:tab w:leader="none" w:pos="633" w:val="left"/>
        </w:tabs>
        <w:numPr>
          <w:ilvl w:val="0"/>
          <w:numId w:val="15"/>
        </w:numPr>
        <w:rPr>
          <w:rFonts w:ascii="Calibri" w:cs="Calibri" w:eastAsia="Calibri" w:hAnsi="Calibri"/>
          <w:sz w:val="18"/>
          <w:szCs w:val="18"/>
          <w:color w:val="auto"/>
        </w:rPr>
      </w:pPr>
      <w:r>
        <w:rPr>
          <w:rFonts w:ascii="Calibri" w:cs="Calibri" w:eastAsia="Calibri" w:hAnsi="Calibri"/>
          <w:sz w:val="18"/>
          <w:szCs w:val="18"/>
          <w:color w:val="auto"/>
        </w:rPr>
        <w:t>fuctuatons in the levels of component or product inventories held by our customers, which may lead to increased requests to delay shipment of our products;</w:t>
      </w:r>
    </w:p>
    <w:p>
      <w:pPr>
        <w:spacing w:after="0" w:line="107" w:lineRule="exact"/>
        <w:rPr>
          <w:rFonts w:ascii="Calibri" w:cs="Calibri" w:eastAsia="Calibri" w:hAnsi="Calibri"/>
          <w:sz w:val="18"/>
          <w:szCs w:val="18"/>
          <w:color w:val="auto"/>
        </w:rPr>
      </w:pPr>
    </w:p>
    <w:p>
      <w:pPr>
        <w:ind w:left="640" w:right="460" w:hanging="317"/>
        <w:spacing w:after="0" w:line="230" w:lineRule="auto"/>
        <w:tabs>
          <w:tab w:leader="none" w:pos="633" w:val="left"/>
        </w:tabs>
        <w:numPr>
          <w:ilvl w:val="0"/>
          <w:numId w:val="15"/>
        </w:numPr>
        <w:rPr>
          <w:rFonts w:ascii="Calibri" w:cs="Calibri" w:eastAsia="Calibri" w:hAnsi="Calibri"/>
          <w:sz w:val="18"/>
          <w:szCs w:val="18"/>
          <w:color w:val="auto"/>
        </w:rPr>
      </w:pPr>
      <w:r>
        <w:rPr>
          <w:rFonts w:ascii="Calibri" w:cs="Calibri" w:eastAsia="Calibri" w:hAnsi="Calibri"/>
          <w:sz w:val="18"/>
          <w:szCs w:val="18"/>
          <w:color w:val="auto"/>
        </w:rPr>
        <w:t>the shif to cloud-based IT solutons and services, such as hyperscale computng, which may adversely afect the tming and volume of sales of our products for use in traditonal enterprise data centers;</w:t>
      </w:r>
    </w:p>
    <w:p>
      <w:pPr>
        <w:spacing w:after="0" w:line="107" w:lineRule="exact"/>
        <w:rPr>
          <w:rFonts w:ascii="Calibri" w:cs="Calibri" w:eastAsia="Calibri" w:hAnsi="Calibri"/>
          <w:sz w:val="18"/>
          <w:szCs w:val="18"/>
          <w:color w:val="auto"/>
        </w:rPr>
      </w:pPr>
    </w:p>
    <w:p>
      <w:pPr>
        <w:ind w:left="640" w:right="700" w:hanging="317"/>
        <w:spacing w:after="0" w:line="230" w:lineRule="auto"/>
        <w:tabs>
          <w:tab w:leader="none" w:pos="633" w:val="left"/>
        </w:tabs>
        <w:numPr>
          <w:ilvl w:val="0"/>
          <w:numId w:val="15"/>
        </w:numPr>
        <w:rPr>
          <w:rFonts w:ascii="Calibri" w:cs="Calibri" w:eastAsia="Calibri" w:hAnsi="Calibri"/>
          <w:sz w:val="18"/>
          <w:szCs w:val="18"/>
          <w:color w:val="auto"/>
        </w:rPr>
      </w:pPr>
      <w:r>
        <w:rPr>
          <w:rFonts w:ascii="Calibri" w:cs="Calibri" w:eastAsia="Calibri" w:hAnsi="Calibri"/>
          <w:sz w:val="18"/>
          <w:szCs w:val="18"/>
          <w:color w:val="auto"/>
        </w:rPr>
        <w:t>the tming of new sofware contracts and renewals, as well as the tming of any terminatons of sofware contracts that require us to refund to customers any pre-paid amounts under the contract;</w:t>
      </w:r>
    </w:p>
    <w:p>
      <w:pPr>
        <w:spacing w:after="0" w:line="97" w:lineRule="exact"/>
        <w:rPr>
          <w:rFonts w:ascii="Calibri" w:cs="Calibri" w:eastAsia="Calibri" w:hAnsi="Calibri"/>
          <w:sz w:val="18"/>
          <w:szCs w:val="18"/>
          <w:color w:val="auto"/>
        </w:rPr>
      </w:pPr>
    </w:p>
    <w:p>
      <w:pPr>
        <w:ind w:left="640" w:hanging="317"/>
        <w:spacing w:after="0"/>
        <w:tabs>
          <w:tab w:leader="none" w:pos="640" w:val="left"/>
        </w:tabs>
        <w:numPr>
          <w:ilvl w:val="0"/>
          <w:numId w:val="15"/>
        </w:numPr>
        <w:rPr>
          <w:rFonts w:ascii="Calibri" w:cs="Calibri" w:eastAsia="Calibri" w:hAnsi="Calibri"/>
          <w:sz w:val="18"/>
          <w:szCs w:val="18"/>
          <w:color w:val="auto"/>
        </w:rPr>
      </w:pPr>
      <w:r>
        <w:rPr>
          <w:rFonts w:ascii="Calibri" w:cs="Calibri" w:eastAsia="Calibri" w:hAnsi="Calibri"/>
          <w:sz w:val="18"/>
          <w:szCs w:val="18"/>
          <w:color w:val="auto"/>
        </w:rPr>
        <w:t>our ability to tmely develop, introduce and market new products and technologies;</w:t>
      </w:r>
    </w:p>
    <w:p>
      <w:pPr>
        <w:spacing w:after="0" w:line="97" w:lineRule="exact"/>
        <w:rPr>
          <w:rFonts w:ascii="Calibri" w:cs="Calibri" w:eastAsia="Calibri" w:hAnsi="Calibri"/>
          <w:sz w:val="18"/>
          <w:szCs w:val="18"/>
          <w:color w:val="auto"/>
        </w:rPr>
      </w:pPr>
    </w:p>
    <w:p>
      <w:pPr>
        <w:ind w:left="640" w:hanging="317"/>
        <w:spacing w:after="0"/>
        <w:tabs>
          <w:tab w:leader="none" w:pos="640" w:val="left"/>
        </w:tabs>
        <w:numPr>
          <w:ilvl w:val="0"/>
          <w:numId w:val="15"/>
        </w:numPr>
        <w:rPr>
          <w:rFonts w:ascii="Calibri" w:cs="Calibri" w:eastAsia="Calibri" w:hAnsi="Calibri"/>
          <w:sz w:val="18"/>
          <w:szCs w:val="18"/>
          <w:color w:val="auto"/>
        </w:rPr>
      </w:pPr>
      <w:r>
        <w:rPr>
          <w:rFonts w:ascii="Calibri" w:cs="Calibri" w:eastAsia="Calibri" w:hAnsi="Calibri"/>
          <w:sz w:val="18"/>
          <w:szCs w:val="18"/>
          <w:color w:val="auto"/>
        </w:rPr>
        <w:t>the tming and extent of our sofware license and subscripton revenue, and other non-product revenue;</w:t>
      </w:r>
    </w:p>
    <w:p>
      <w:pPr>
        <w:spacing w:after="0" w:line="97" w:lineRule="exact"/>
        <w:rPr>
          <w:rFonts w:ascii="Calibri" w:cs="Calibri" w:eastAsia="Calibri" w:hAnsi="Calibri"/>
          <w:sz w:val="18"/>
          <w:szCs w:val="18"/>
          <w:color w:val="auto"/>
        </w:rPr>
      </w:pPr>
    </w:p>
    <w:p>
      <w:pPr>
        <w:ind w:left="640" w:hanging="317"/>
        <w:spacing w:after="0"/>
        <w:tabs>
          <w:tab w:leader="none" w:pos="640" w:val="left"/>
        </w:tabs>
        <w:numPr>
          <w:ilvl w:val="0"/>
          <w:numId w:val="15"/>
        </w:numPr>
        <w:rPr>
          <w:rFonts w:ascii="Calibri" w:cs="Calibri" w:eastAsia="Calibri" w:hAnsi="Calibri"/>
          <w:sz w:val="18"/>
          <w:szCs w:val="18"/>
          <w:color w:val="auto"/>
        </w:rPr>
      </w:pPr>
      <w:r>
        <w:rPr>
          <w:rFonts w:ascii="Calibri" w:cs="Calibri" w:eastAsia="Calibri" w:hAnsi="Calibri"/>
          <w:sz w:val="18"/>
          <w:szCs w:val="18"/>
          <w:color w:val="auto"/>
        </w:rPr>
        <w:t>new product announcements and introductons by us or our compettors;</w:t>
      </w:r>
    </w:p>
    <w:p>
      <w:pPr>
        <w:spacing w:after="0" w:line="97" w:lineRule="exact"/>
        <w:rPr>
          <w:rFonts w:ascii="Calibri" w:cs="Calibri" w:eastAsia="Calibri" w:hAnsi="Calibri"/>
          <w:sz w:val="18"/>
          <w:szCs w:val="18"/>
          <w:color w:val="auto"/>
        </w:rPr>
      </w:pPr>
    </w:p>
    <w:p>
      <w:pPr>
        <w:ind w:left="640" w:hanging="317"/>
        <w:spacing w:after="0"/>
        <w:tabs>
          <w:tab w:leader="none" w:pos="640" w:val="left"/>
        </w:tabs>
        <w:numPr>
          <w:ilvl w:val="0"/>
          <w:numId w:val="15"/>
        </w:numPr>
        <w:rPr>
          <w:rFonts w:ascii="Calibri" w:cs="Calibri" w:eastAsia="Calibri" w:hAnsi="Calibri"/>
          <w:sz w:val="18"/>
          <w:szCs w:val="18"/>
          <w:color w:val="auto"/>
        </w:rPr>
      </w:pPr>
      <w:r>
        <w:rPr>
          <w:rFonts w:ascii="Calibri" w:cs="Calibri" w:eastAsia="Calibri" w:hAnsi="Calibri"/>
          <w:sz w:val="18"/>
          <w:szCs w:val="18"/>
          <w:color w:val="auto"/>
        </w:rPr>
        <w:t>seasonality or other fuctuatons in demand in our markets;</w:t>
      </w:r>
    </w:p>
    <w:p>
      <w:pPr>
        <w:spacing w:after="0" w:line="106" w:lineRule="exact"/>
        <w:rPr>
          <w:rFonts w:ascii="Calibri" w:cs="Calibri" w:eastAsia="Calibri" w:hAnsi="Calibri"/>
          <w:sz w:val="18"/>
          <w:szCs w:val="18"/>
          <w:color w:val="auto"/>
        </w:rPr>
      </w:pPr>
    </w:p>
    <w:p>
      <w:pPr>
        <w:ind w:left="640" w:right="300" w:hanging="317"/>
        <w:spacing w:after="0" w:line="230" w:lineRule="auto"/>
        <w:tabs>
          <w:tab w:leader="none" w:pos="633" w:val="left"/>
        </w:tabs>
        <w:numPr>
          <w:ilvl w:val="0"/>
          <w:numId w:val="15"/>
        </w:numPr>
        <w:rPr>
          <w:rFonts w:ascii="Calibri" w:cs="Calibri" w:eastAsia="Calibri" w:hAnsi="Calibri"/>
          <w:sz w:val="18"/>
          <w:szCs w:val="18"/>
          <w:color w:val="auto"/>
        </w:rPr>
      </w:pPr>
      <w:r>
        <w:rPr>
          <w:rFonts w:ascii="Calibri" w:cs="Calibri" w:eastAsia="Calibri" w:hAnsi="Calibri"/>
          <w:sz w:val="18"/>
          <w:szCs w:val="18"/>
          <w:color w:val="auto"/>
        </w:rPr>
        <w:t>tming and amount of research and development and related new product expenditures, and the tming of receipt of any research and development grant monies; and</w:t>
      </w:r>
    </w:p>
    <w:p>
      <w:pPr>
        <w:spacing w:after="0" w:line="97" w:lineRule="exact"/>
        <w:rPr>
          <w:rFonts w:ascii="Calibri" w:cs="Calibri" w:eastAsia="Calibri" w:hAnsi="Calibri"/>
          <w:sz w:val="18"/>
          <w:szCs w:val="18"/>
          <w:color w:val="auto"/>
        </w:rPr>
      </w:pPr>
    </w:p>
    <w:p>
      <w:pPr>
        <w:ind w:left="640" w:hanging="317"/>
        <w:spacing w:after="0"/>
        <w:tabs>
          <w:tab w:leader="none" w:pos="640" w:val="left"/>
        </w:tabs>
        <w:numPr>
          <w:ilvl w:val="0"/>
          <w:numId w:val="15"/>
        </w:numPr>
        <w:rPr>
          <w:rFonts w:ascii="Calibri" w:cs="Calibri" w:eastAsia="Calibri" w:hAnsi="Calibri"/>
          <w:sz w:val="18"/>
          <w:szCs w:val="18"/>
          <w:color w:val="auto"/>
        </w:rPr>
      </w:pPr>
      <w:r>
        <w:rPr>
          <w:rFonts w:ascii="Calibri" w:cs="Calibri" w:eastAsia="Calibri" w:hAnsi="Calibri"/>
          <w:sz w:val="18"/>
          <w:szCs w:val="18"/>
          <w:color w:val="auto"/>
        </w:rPr>
        <w:t>tming of any regulatory changes, partcularly with respect to trade sanctons and customs dutes and tarifs, and tax reform.</w:t>
      </w:r>
    </w:p>
    <w:p>
      <w:pPr>
        <w:spacing w:after="0" w:line="107" w:lineRule="exact"/>
        <w:rPr>
          <w:sz w:val="20"/>
          <w:szCs w:val="20"/>
          <w:color w:val="auto"/>
        </w:rPr>
      </w:pPr>
    </w:p>
    <w:p>
      <w:pPr>
        <w:ind w:right="20" w:firstLine="317"/>
        <w:spacing w:after="0" w:line="230" w:lineRule="auto"/>
        <w:rPr>
          <w:sz w:val="20"/>
          <w:szCs w:val="20"/>
          <w:color w:val="auto"/>
        </w:rPr>
      </w:pPr>
      <w:r>
        <w:rPr>
          <w:rFonts w:ascii="Calibri" w:cs="Calibri" w:eastAsia="Calibri" w:hAnsi="Calibri"/>
          <w:sz w:val="18"/>
          <w:szCs w:val="18"/>
          <w:color w:val="auto"/>
        </w:rPr>
        <w:t>The foregoing factors are ofen difcult to predict, and these, as well as other factors, could materially adversely afect our quarterly or annual operatng results. In additon, a signifcant amount of our operatng expenses are relatvely fxed in nature. Any failure to adjust spending quickly enough to compensate for a revenue shortall could magnify the adverse impact of such revenue shortall on our results of operatons. As a result, we believe that quarter-to-quarter comparisons of our revenue and operatng results may not be meaningful or reliable indicators of our future performance. If our operatng results in one or more future quarters fail to meet the expectatons of securites analysts or investors, a signifcant decline in the trading price of our common stock may occur, which may happen immediately or over tme.</w:t>
      </w:r>
    </w:p>
    <w:p>
      <w:pPr>
        <w:spacing w:after="0" w:line="100" w:lineRule="exact"/>
        <w:rPr>
          <w:sz w:val="20"/>
          <w:szCs w:val="20"/>
          <w:color w:val="auto"/>
        </w:rPr>
      </w:pPr>
    </w:p>
    <w:p>
      <w:pPr>
        <w:ind w:left="80"/>
        <w:spacing w:after="0"/>
        <w:rPr>
          <w:sz w:val="20"/>
          <w:szCs w:val="20"/>
          <w:color w:val="auto"/>
        </w:rPr>
      </w:pPr>
      <w:r>
        <w:rPr>
          <w:rFonts w:ascii="Calibri" w:cs="Calibri" w:eastAsia="Calibri" w:hAnsi="Calibri"/>
          <w:sz w:val="18"/>
          <w:szCs w:val="18"/>
          <w:b w:val="1"/>
          <w:bCs w:val="1"/>
          <w:i w:val="1"/>
          <w:iCs w:val="1"/>
          <w:color w:val="auto"/>
        </w:rPr>
        <w:t>Competton in our industries could prevent us from growing our revenue.</w:t>
      </w:r>
    </w:p>
    <w:p>
      <w:pPr>
        <w:spacing w:after="0" w:line="107" w:lineRule="exact"/>
        <w:rPr>
          <w:sz w:val="20"/>
          <w:szCs w:val="20"/>
          <w:color w:val="auto"/>
        </w:rPr>
      </w:pPr>
    </w:p>
    <w:p>
      <w:pPr>
        <w:ind w:right="180" w:firstLine="317"/>
        <w:spacing w:after="0" w:line="230" w:lineRule="auto"/>
        <w:rPr>
          <w:sz w:val="20"/>
          <w:szCs w:val="20"/>
          <w:color w:val="auto"/>
        </w:rPr>
      </w:pPr>
      <w:r>
        <w:rPr>
          <w:rFonts w:ascii="Calibri" w:cs="Calibri" w:eastAsia="Calibri" w:hAnsi="Calibri"/>
          <w:sz w:val="18"/>
          <w:szCs w:val="18"/>
          <w:color w:val="auto"/>
        </w:rPr>
        <w:t>The industries in which we operate are highly compettve and characterized by rapid technological changes, evolving industry standards, changes in customer requirements, ofen aggressive pricing practces and, in some cases, new delivery methods. We expect competton in these industries to contnue to increase as existng compettors improve or expand their product oferings or as new compettors enter our markets.</w:t>
      </w:r>
    </w:p>
    <w:p>
      <w:pPr>
        <w:spacing w:after="0" w:line="108" w:lineRule="exact"/>
        <w:rPr>
          <w:sz w:val="20"/>
          <w:szCs w:val="20"/>
          <w:color w:val="auto"/>
        </w:rPr>
      </w:pPr>
    </w:p>
    <w:p>
      <w:pPr>
        <w:ind w:firstLine="317"/>
        <w:spacing w:after="0" w:line="230" w:lineRule="auto"/>
        <w:rPr>
          <w:sz w:val="20"/>
          <w:szCs w:val="20"/>
          <w:color w:val="auto"/>
        </w:rPr>
      </w:pPr>
      <w:r>
        <w:rPr>
          <w:rFonts w:ascii="Calibri" w:cs="Calibri" w:eastAsia="Calibri" w:hAnsi="Calibri"/>
          <w:sz w:val="18"/>
          <w:szCs w:val="18"/>
          <w:color w:val="auto"/>
        </w:rPr>
        <w:t>Some of our compettors have longer operatng histories, greater name recogniton, a larger installed customer base, larger technical stafs, more established relatonships with vendors or suppliers, or greater manufacturing, distributon, fnancial, research and development, technical and marketng resources than us. We also face competton from public cloud</w:t>
      </w: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09" w:right="359" w:bottom="1440" w:gutter="0" w:footer="0" w:header="0"/>
        </w:sectPr>
      </w:pPr>
    </w:p>
    <w:bookmarkStart w:id="27" w:name="page28"/>
    <w:bookmarkEnd w:id="27"/>
    <w:p>
      <w:pPr>
        <w:spacing w:after="0"/>
        <w:rPr>
          <w:sz w:val="20"/>
          <w:szCs w:val="20"/>
          <w:color w:val="auto"/>
        </w:rPr>
      </w:pPr>
      <w:r>
        <w:rPr>
          <w:rFonts w:ascii="Calibri" w:cs="Calibri" w:eastAsia="Calibri" w:hAnsi="Calibri"/>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right="60"/>
        <w:spacing w:after="0" w:line="230" w:lineRule="auto"/>
        <w:rPr>
          <w:sz w:val="20"/>
          <w:szCs w:val="20"/>
          <w:color w:val="auto"/>
        </w:rPr>
      </w:pPr>
      <w:r>
        <w:rPr>
          <w:rFonts w:ascii="Calibri" w:cs="Calibri" w:eastAsia="Calibri" w:hAnsi="Calibri"/>
          <w:sz w:val="18"/>
          <w:szCs w:val="18"/>
          <w:color w:val="auto"/>
        </w:rPr>
        <w:t>providers, numerous smaller companies that specialize in specifc aspects of the highly fragmented sofware industry, open source authors who provide sofware and IP for free, compettors who ofer their products through try-and-buy or freemium models, and customers who develop competng products.</w:t>
      </w:r>
    </w:p>
    <w:p>
      <w:pPr>
        <w:spacing w:after="0" w:line="107" w:lineRule="exact"/>
        <w:rPr>
          <w:sz w:val="20"/>
          <w:szCs w:val="20"/>
          <w:color w:val="auto"/>
        </w:rPr>
      </w:pPr>
    </w:p>
    <w:p>
      <w:pPr>
        <w:ind w:right="300" w:firstLine="317"/>
        <w:spacing w:after="0" w:line="245" w:lineRule="auto"/>
        <w:rPr>
          <w:sz w:val="20"/>
          <w:szCs w:val="20"/>
          <w:color w:val="auto"/>
        </w:rPr>
      </w:pPr>
      <w:r>
        <w:rPr>
          <w:rFonts w:ascii="Calibri" w:cs="Calibri" w:eastAsia="Calibri" w:hAnsi="Calibri"/>
          <w:sz w:val="17"/>
          <w:szCs w:val="17"/>
          <w:color w:val="auto"/>
        </w:rPr>
        <w:t>In additon, the trend toward consolidaton is changing the compettve landscape. We expect this trend to contnue, which may result in combined compettors having greater resources than us. Some of our compettors may also receive fnancial and other support from their home country government or may have a greater presence in key markets, a larger customer base, a more comprehensive IP portolio or beter patent protecton than us.</w:t>
      </w:r>
    </w:p>
    <w:p>
      <w:pPr>
        <w:spacing w:after="0" w:line="104" w:lineRule="exact"/>
        <w:rPr>
          <w:sz w:val="20"/>
          <w:szCs w:val="20"/>
          <w:color w:val="auto"/>
        </w:rPr>
      </w:pPr>
    </w:p>
    <w:p>
      <w:pPr>
        <w:ind w:right="20" w:firstLine="317"/>
        <w:spacing w:after="0" w:line="230" w:lineRule="auto"/>
        <w:rPr>
          <w:sz w:val="20"/>
          <w:szCs w:val="20"/>
          <w:color w:val="auto"/>
        </w:rPr>
      </w:pPr>
      <w:r>
        <w:rPr>
          <w:rFonts w:ascii="Calibri" w:cs="Calibri" w:eastAsia="Calibri" w:hAnsi="Calibri"/>
          <w:sz w:val="18"/>
          <w:szCs w:val="18"/>
          <w:color w:val="auto"/>
        </w:rPr>
        <w:t>The actons of our compettors, in the areas of pricing and product bundling in partcular, could have a substantal adverse impact on us. Further, compettors may leverage their superior market positon, as well as IP or other proprietary informaton, including interface, interoperability or technical informaton, in new and emerging technologies and platorms that may inhibit our ability to compete efectvely. If we are unable to compete successfully, we may lose market share for our products or incur signifcant reducton in our gross margins, either of which could have a material adverse efect on our business and results of operatons.</w:t>
      </w:r>
    </w:p>
    <w:p>
      <w:pPr>
        <w:spacing w:after="0" w:line="109" w:lineRule="exact"/>
        <w:rPr>
          <w:sz w:val="20"/>
          <w:szCs w:val="20"/>
          <w:color w:val="auto"/>
        </w:rPr>
      </w:pPr>
    </w:p>
    <w:p>
      <w:pPr>
        <w:ind w:right="160" w:firstLine="79"/>
        <w:spacing w:after="0" w:line="230" w:lineRule="auto"/>
        <w:rPr>
          <w:sz w:val="20"/>
          <w:szCs w:val="20"/>
          <w:color w:val="auto"/>
        </w:rPr>
      </w:pPr>
      <w:r>
        <w:rPr>
          <w:rFonts w:ascii="Calibri" w:cs="Calibri" w:eastAsia="Calibri" w:hAnsi="Calibri"/>
          <w:sz w:val="18"/>
          <w:szCs w:val="18"/>
          <w:b w:val="1"/>
          <w:bCs w:val="1"/>
          <w:i w:val="1"/>
          <w:iCs w:val="1"/>
          <w:color w:val="auto"/>
        </w:rPr>
        <w:t>Our gross margin is dependent on a number of factors, including our product mix, price erosion, acquisitons we may make, level of capacity utlizaton and commodity prices.</w:t>
      </w:r>
    </w:p>
    <w:p>
      <w:pPr>
        <w:spacing w:after="0" w:line="107" w:lineRule="exact"/>
        <w:rPr>
          <w:sz w:val="20"/>
          <w:szCs w:val="20"/>
          <w:color w:val="auto"/>
        </w:rPr>
      </w:pPr>
    </w:p>
    <w:p>
      <w:pPr>
        <w:ind w:right="40" w:firstLine="317"/>
        <w:spacing w:after="0" w:line="230" w:lineRule="auto"/>
        <w:rPr>
          <w:sz w:val="20"/>
          <w:szCs w:val="20"/>
          <w:color w:val="auto"/>
        </w:rPr>
      </w:pPr>
      <w:r>
        <w:rPr>
          <w:rFonts w:ascii="Calibri" w:cs="Calibri" w:eastAsia="Calibri" w:hAnsi="Calibri"/>
          <w:sz w:val="18"/>
          <w:szCs w:val="18"/>
          <w:color w:val="auto"/>
        </w:rPr>
        <w:t>Our gross margin is highly dependent on product mix, which is susceptble to seasonal and other fuctuatons in our markets. A shif in sales mix away from our higher margin products, as well as the tming and amount of our sofware licensing and non-product revenue, could adversely afect our future gross margin percentages. In additon, increased competton and the existence of product alternatves, more complex engineering requirements, lower demand, industry oversupply or reductons in our technological lead compared to our compettors, and other factors have in the past and may in the future lead to further price erosion, lower revenue and lower margin. Conversely, periods of robust demand that create a supply imbalance can lead to higher gross margins that may not be sustainable over the longer term.</w:t>
      </w:r>
    </w:p>
    <w:p>
      <w:pPr>
        <w:spacing w:after="0" w:line="110" w:lineRule="exact"/>
        <w:rPr>
          <w:sz w:val="20"/>
          <w:szCs w:val="20"/>
          <w:color w:val="auto"/>
        </w:rPr>
      </w:pPr>
    </w:p>
    <w:p>
      <w:pPr>
        <w:ind w:right="220" w:firstLine="317"/>
        <w:spacing w:after="0" w:line="230" w:lineRule="auto"/>
        <w:rPr>
          <w:sz w:val="20"/>
          <w:szCs w:val="20"/>
          <w:color w:val="auto"/>
        </w:rPr>
      </w:pPr>
      <w:r>
        <w:rPr>
          <w:rFonts w:ascii="Calibri" w:cs="Calibri" w:eastAsia="Calibri" w:hAnsi="Calibri"/>
          <w:sz w:val="18"/>
          <w:szCs w:val="18"/>
          <w:color w:val="auto"/>
        </w:rPr>
        <w:t>In additon, semiconductor manufacturing requires signifcant capital investment, leading to high fxed costs, including depreciaton expense. If we are unable to utlize our owned manufacturing facilites at a high level, the fxed costs associated with these facilites will not be fully absorbed, resultng in higher average unit costs and a lower gross margin. Furthermore, we do not hedge our exposure to commodity prices, some of which are very volatle, and sudden or prolonged increases in commodity prices may adversely afect our gross margin.</w:t>
      </w:r>
    </w:p>
    <w:p>
      <w:pPr>
        <w:spacing w:after="0" w:line="108" w:lineRule="exact"/>
        <w:rPr>
          <w:sz w:val="20"/>
          <w:szCs w:val="20"/>
          <w:color w:val="auto"/>
        </w:rPr>
      </w:pPr>
    </w:p>
    <w:p>
      <w:pPr>
        <w:ind w:right="120" w:firstLine="317"/>
        <w:spacing w:after="0" w:line="230" w:lineRule="auto"/>
        <w:rPr>
          <w:sz w:val="20"/>
          <w:szCs w:val="20"/>
          <w:color w:val="auto"/>
        </w:rPr>
      </w:pPr>
      <w:r>
        <w:rPr>
          <w:rFonts w:ascii="Calibri" w:cs="Calibri" w:eastAsia="Calibri" w:hAnsi="Calibri"/>
          <w:sz w:val="18"/>
          <w:szCs w:val="18"/>
          <w:color w:val="auto"/>
        </w:rPr>
        <w:t>Our gross margin may also be adversely afected if businesses or companies that we acquire have diferent gross margin profles and by expenses related to such acquisitons.</w:t>
      </w:r>
    </w:p>
    <w:p>
      <w:pPr>
        <w:spacing w:after="0" w:line="97" w:lineRule="exact"/>
        <w:rPr>
          <w:sz w:val="20"/>
          <w:szCs w:val="20"/>
          <w:color w:val="auto"/>
        </w:rPr>
      </w:pPr>
    </w:p>
    <w:p>
      <w:pPr>
        <w:ind w:left="80"/>
        <w:spacing w:after="0"/>
        <w:rPr>
          <w:sz w:val="20"/>
          <w:szCs w:val="20"/>
          <w:color w:val="auto"/>
        </w:rPr>
      </w:pPr>
      <w:r>
        <w:rPr>
          <w:rFonts w:ascii="Calibri" w:cs="Calibri" w:eastAsia="Calibri" w:hAnsi="Calibri"/>
          <w:sz w:val="18"/>
          <w:szCs w:val="18"/>
          <w:b w:val="1"/>
          <w:bCs w:val="1"/>
          <w:i w:val="1"/>
          <w:iCs w:val="1"/>
          <w:color w:val="auto"/>
        </w:rPr>
        <w:t>We utlize a signifcant amount of IP in our business. If we are unable or fail to protect our IP, our business could be adversely afected.</w:t>
      </w:r>
    </w:p>
    <w:p>
      <w:pPr>
        <w:spacing w:after="0" w:line="107" w:lineRule="exact"/>
        <w:rPr>
          <w:sz w:val="20"/>
          <w:szCs w:val="20"/>
          <w:color w:val="auto"/>
        </w:rPr>
      </w:pPr>
    </w:p>
    <w:p>
      <w:pPr>
        <w:jc w:val="both"/>
        <w:ind w:right="60" w:firstLine="317"/>
        <w:spacing w:after="0" w:line="245" w:lineRule="auto"/>
        <w:rPr>
          <w:sz w:val="20"/>
          <w:szCs w:val="20"/>
          <w:color w:val="auto"/>
        </w:rPr>
      </w:pPr>
      <w:r>
        <w:rPr>
          <w:rFonts w:ascii="Calibri" w:cs="Calibri" w:eastAsia="Calibri" w:hAnsi="Calibri"/>
          <w:sz w:val="17"/>
          <w:szCs w:val="17"/>
          <w:color w:val="auto"/>
        </w:rPr>
        <w:t>Our success depends in part upon protectng our IP. To accomplish this, we rely on a combinaton of IP rights, including patents, copyrights, trademarks and trade secrets, as well as customary contractual protectons with our customers, suppliers, employees and consultants. We spend signifcant resources to monitor and protect our IP rights, including the unauthorized use of our products, usage rates of the sofware seat licenses and subscriptons that we sell, and even with signifcant expenditures, we may not be able to protect the IP rights that are valuable to our business. We are unable to predict or assure that:</w:t>
      </w:r>
    </w:p>
    <w:p>
      <w:pPr>
        <w:spacing w:after="0" w:line="103" w:lineRule="exact"/>
        <w:rPr>
          <w:sz w:val="20"/>
          <w:szCs w:val="20"/>
          <w:color w:val="auto"/>
        </w:rPr>
      </w:pPr>
    </w:p>
    <w:p>
      <w:pPr>
        <w:ind w:left="640" w:hanging="317"/>
        <w:spacing w:after="0"/>
        <w:tabs>
          <w:tab w:leader="none" w:pos="640" w:val="left"/>
        </w:tabs>
        <w:numPr>
          <w:ilvl w:val="0"/>
          <w:numId w:val="16"/>
        </w:numPr>
        <w:rPr>
          <w:rFonts w:ascii="Calibri" w:cs="Calibri" w:eastAsia="Calibri" w:hAnsi="Calibri"/>
          <w:sz w:val="17"/>
          <w:szCs w:val="17"/>
          <w:color w:val="auto"/>
        </w:rPr>
      </w:pPr>
      <w:r>
        <w:rPr>
          <w:rFonts w:ascii="Calibri" w:cs="Calibri" w:eastAsia="Calibri" w:hAnsi="Calibri"/>
          <w:sz w:val="17"/>
          <w:szCs w:val="17"/>
          <w:color w:val="auto"/>
        </w:rPr>
        <w:t>our IP rights will not lapse or be invalidated, circumvented, challenged, or, in the case of third-party IP rights licensed to us, be licensed to others;</w:t>
      </w:r>
    </w:p>
    <w:p>
      <w:pPr>
        <w:spacing w:after="0" w:line="99" w:lineRule="exact"/>
        <w:rPr>
          <w:rFonts w:ascii="Calibri" w:cs="Calibri" w:eastAsia="Calibri" w:hAnsi="Calibri"/>
          <w:sz w:val="17"/>
          <w:szCs w:val="17"/>
          <w:color w:val="auto"/>
        </w:rPr>
      </w:pPr>
    </w:p>
    <w:p>
      <w:pPr>
        <w:ind w:left="640" w:hanging="317"/>
        <w:spacing w:after="0"/>
        <w:tabs>
          <w:tab w:leader="none" w:pos="640" w:val="left"/>
        </w:tabs>
        <w:numPr>
          <w:ilvl w:val="0"/>
          <w:numId w:val="16"/>
        </w:numPr>
        <w:rPr>
          <w:rFonts w:ascii="Calibri" w:cs="Calibri" w:eastAsia="Calibri" w:hAnsi="Calibri"/>
          <w:sz w:val="18"/>
          <w:szCs w:val="18"/>
          <w:color w:val="auto"/>
        </w:rPr>
      </w:pPr>
      <w:r>
        <w:rPr>
          <w:rFonts w:ascii="Calibri" w:cs="Calibri" w:eastAsia="Calibri" w:hAnsi="Calibri"/>
          <w:sz w:val="18"/>
          <w:szCs w:val="18"/>
          <w:color w:val="auto"/>
        </w:rPr>
        <w:t>our IP rights will provide compettve advantages to us;</w:t>
      </w:r>
    </w:p>
    <w:p>
      <w:pPr>
        <w:spacing w:after="0" w:line="106" w:lineRule="exact"/>
        <w:rPr>
          <w:rFonts w:ascii="Calibri" w:cs="Calibri" w:eastAsia="Calibri" w:hAnsi="Calibri"/>
          <w:sz w:val="18"/>
          <w:szCs w:val="18"/>
          <w:color w:val="auto"/>
        </w:rPr>
      </w:pPr>
    </w:p>
    <w:p>
      <w:pPr>
        <w:ind w:left="640" w:right="240" w:hanging="317"/>
        <w:spacing w:after="0" w:line="230" w:lineRule="auto"/>
        <w:tabs>
          <w:tab w:leader="none" w:pos="633" w:val="left"/>
        </w:tabs>
        <w:numPr>
          <w:ilvl w:val="0"/>
          <w:numId w:val="16"/>
        </w:numPr>
        <w:rPr>
          <w:rFonts w:ascii="Calibri" w:cs="Calibri" w:eastAsia="Calibri" w:hAnsi="Calibri"/>
          <w:sz w:val="18"/>
          <w:szCs w:val="18"/>
          <w:color w:val="auto"/>
        </w:rPr>
      </w:pPr>
      <w:r>
        <w:rPr>
          <w:rFonts w:ascii="Calibri" w:cs="Calibri" w:eastAsia="Calibri" w:hAnsi="Calibri"/>
          <w:sz w:val="18"/>
          <w:szCs w:val="18"/>
          <w:color w:val="auto"/>
        </w:rPr>
        <w:t>rights previously granted by third partes to IP licensed or assigned to us, including portolio cross-licenses, will not hamper our ability to assert our IP rights or hinder the setlement of currently pending or future disputes;</w:t>
      </w:r>
    </w:p>
    <w:p>
      <w:pPr>
        <w:spacing w:after="0" w:line="97" w:lineRule="exact"/>
        <w:rPr>
          <w:rFonts w:ascii="Calibri" w:cs="Calibri" w:eastAsia="Calibri" w:hAnsi="Calibri"/>
          <w:sz w:val="18"/>
          <w:szCs w:val="18"/>
          <w:color w:val="auto"/>
        </w:rPr>
      </w:pPr>
    </w:p>
    <w:p>
      <w:pPr>
        <w:ind w:left="640" w:hanging="317"/>
        <w:spacing w:after="0"/>
        <w:tabs>
          <w:tab w:leader="none" w:pos="640" w:val="left"/>
        </w:tabs>
        <w:numPr>
          <w:ilvl w:val="0"/>
          <w:numId w:val="16"/>
        </w:numPr>
        <w:rPr>
          <w:rFonts w:ascii="Calibri" w:cs="Calibri" w:eastAsia="Calibri" w:hAnsi="Calibri"/>
          <w:sz w:val="18"/>
          <w:szCs w:val="18"/>
          <w:color w:val="auto"/>
        </w:rPr>
      </w:pPr>
      <w:r>
        <w:rPr>
          <w:rFonts w:ascii="Calibri" w:cs="Calibri" w:eastAsia="Calibri" w:hAnsi="Calibri"/>
          <w:sz w:val="18"/>
          <w:szCs w:val="18"/>
          <w:color w:val="auto"/>
        </w:rPr>
        <w:t>any of our pending or future patent, trademark or copyright applicatons will be issued or have the coverage originally sought;</w:t>
      </w:r>
    </w:p>
    <w:p>
      <w:pPr>
        <w:spacing w:after="0" w:line="97" w:lineRule="exact"/>
        <w:rPr>
          <w:rFonts w:ascii="Calibri" w:cs="Calibri" w:eastAsia="Calibri" w:hAnsi="Calibri"/>
          <w:sz w:val="18"/>
          <w:szCs w:val="18"/>
          <w:color w:val="auto"/>
        </w:rPr>
      </w:pPr>
    </w:p>
    <w:p>
      <w:pPr>
        <w:ind w:left="640" w:hanging="317"/>
        <w:spacing w:after="0"/>
        <w:tabs>
          <w:tab w:leader="none" w:pos="640" w:val="left"/>
        </w:tabs>
        <w:numPr>
          <w:ilvl w:val="0"/>
          <w:numId w:val="16"/>
        </w:numPr>
        <w:rPr>
          <w:rFonts w:ascii="Calibri" w:cs="Calibri" w:eastAsia="Calibri" w:hAnsi="Calibri"/>
          <w:sz w:val="18"/>
          <w:szCs w:val="18"/>
          <w:color w:val="auto"/>
        </w:rPr>
      </w:pPr>
      <w:r>
        <w:rPr>
          <w:rFonts w:ascii="Calibri" w:cs="Calibri" w:eastAsia="Calibri" w:hAnsi="Calibri"/>
          <w:sz w:val="18"/>
          <w:szCs w:val="18"/>
          <w:color w:val="auto"/>
        </w:rPr>
        <w:t>our IP rights will be enforced in certain jurisdictons where competton is intense or where legal protecton may be weak; or</w:t>
      </w:r>
    </w:p>
    <w:p>
      <w:pPr>
        <w:spacing w:after="0" w:line="97" w:lineRule="exact"/>
        <w:rPr>
          <w:rFonts w:ascii="Calibri" w:cs="Calibri" w:eastAsia="Calibri" w:hAnsi="Calibri"/>
          <w:sz w:val="18"/>
          <w:szCs w:val="18"/>
          <w:color w:val="auto"/>
        </w:rPr>
      </w:pPr>
    </w:p>
    <w:p>
      <w:pPr>
        <w:ind w:left="640" w:hanging="317"/>
        <w:spacing w:after="0"/>
        <w:tabs>
          <w:tab w:leader="none" w:pos="640" w:val="left"/>
        </w:tabs>
        <w:numPr>
          <w:ilvl w:val="0"/>
          <w:numId w:val="16"/>
        </w:numPr>
        <w:rPr>
          <w:rFonts w:ascii="Calibri" w:cs="Calibri" w:eastAsia="Calibri" w:hAnsi="Calibri"/>
          <w:sz w:val="18"/>
          <w:szCs w:val="18"/>
          <w:color w:val="auto"/>
        </w:rPr>
      </w:pPr>
      <w:r>
        <w:rPr>
          <w:rFonts w:ascii="Calibri" w:cs="Calibri" w:eastAsia="Calibri" w:hAnsi="Calibri"/>
          <w:sz w:val="18"/>
          <w:szCs w:val="18"/>
          <w:color w:val="auto"/>
        </w:rPr>
        <w:t>we have sufcient IP rights to protect our products or our business.</w:t>
      </w:r>
    </w:p>
    <w:p>
      <w:pPr>
        <w:spacing w:after="0" w:line="107" w:lineRule="exact"/>
        <w:rPr>
          <w:sz w:val="20"/>
          <w:szCs w:val="20"/>
          <w:color w:val="auto"/>
        </w:rPr>
      </w:pPr>
    </w:p>
    <w:p>
      <w:pPr>
        <w:ind w:firstLine="317"/>
        <w:spacing w:after="0" w:line="230" w:lineRule="auto"/>
        <w:rPr>
          <w:sz w:val="20"/>
          <w:szCs w:val="20"/>
          <w:color w:val="auto"/>
        </w:rPr>
      </w:pPr>
      <w:r>
        <w:rPr>
          <w:rFonts w:ascii="Calibri" w:cs="Calibri" w:eastAsia="Calibri" w:hAnsi="Calibri"/>
          <w:sz w:val="18"/>
          <w:szCs w:val="18"/>
          <w:color w:val="auto"/>
        </w:rPr>
        <w:t>Efectve IP protecton may be unavailable or more limited in other jurisdictons, relatve to those protectons available in the U.S., and may not be applied for or may be abandoned in one or more relevant jurisdictons. In additon, when patents expire, we lose the protecton and compettve advantages they provided to us.</w:t>
      </w: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9" w:right="339" w:bottom="1440" w:gutter="0" w:footer="0" w:header="0"/>
        </w:sectPr>
      </w:pPr>
    </w:p>
    <w:bookmarkStart w:id="28" w:name="page29"/>
    <w:bookmarkEnd w:id="28"/>
    <w:p>
      <w:pPr>
        <w:spacing w:after="0"/>
        <w:rPr>
          <w:sz w:val="20"/>
          <w:szCs w:val="20"/>
          <w:color w:val="auto"/>
        </w:rPr>
      </w:pPr>
      <w:r>
        <w:rPr>
          <w:rFonts w:ascii="Calibri" w:cs="Calibri" w:eastAsia="Calibri" w:hAnsi="Calibri"/>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right="40" w:firstLine="317"/>
        <w:spacing w:after="0" w:line="244" w:lineRule="auto"/>
        <w:rPr>
          <w:sz w:val="20"/>
          <w:szCs w:val="20"/>
          <w:color w:val="auto"/>
        </w:rPr>
      </w:pPr>
      <w:r>
        <w:rPr>
          <w:rFonts w:ascii="Calibri" w:cs="Calibri" w:eastAsia="Calibri" w:hAnsi="Calibri"/>
          <w:sz w:val="17"/>
          <w:szCs w:val="17"/>
          <w:color w:val="auto"/>
        </w:rPr>
        <w:t>We also generate revenue from licensing royalty payments and from technology claim setlements relatng to certain of our IP. Licensing of our IP rights, partcularly exclusive licenses, may limit our ability to assert those IP rights against third partes, including the licensee of those rights. In additon, we may acquire companies with IP that is subject to licensing obligatons to other third partes. These licensing obligatons may extend to our own IP following any such acquisiton and may limit our ability to assert our IP rights. From tme to tme, we pursue litgaton to assert our IP rights, including, in some cases, against our customers and suppliers. Claims of this sort could also harm our relatonships with our customers and might deter future customers from doing business with us. Conversely, third partes have and may in the future pursue IP litgaton against us, including as a result of our IP licensing business. An adverse decision in such types of legal acton could limit our ability to assert our IP rights and limit the value of our technology, including the loss of opportunites to sell or license our technology to others or to collect royalty payments, which could otherwise negatvely impact our business, fnancial conditon and results of operatons.</w:t>
      </w:r>
    </w:p>
    <w:p>
      <w:pPr>
        <w:spacing w:after="0" w:line="108" w:lineRule="exact"/>
        <w:rPr>
          <w:sz w:val="20"/>
          <w:szCs w:val="20"/>
          <w:color w:val="auto"/>
        </w:rPr>
      </w:pPr>
    </w:p>
    <w:p>
      <w:pPr>
        <w:ind w:right="460" w:firstLine="317"/>
        <w:spacing w:after="0" w:line="230" w:lineRule="auto"/>
        <w:rPr>
          <w:sz w:val="20"/>
          <w:szCs w:val="20"/>
          <w:color w:val="auto"/>
        </w:rPr>
      </w:pPr>
      <w:r>
        <w:rPr>
          <w:rFonts w:ascii="Calibri" w:cs="Calibri" w:eastAsia="Calibri" w:hAnsi="Calibri"/>
          <w:sz w:val="18"/>
          <w:szCs w:val="18"/>
          <w:color w:val="auto"/>
        </w:rPr>
        <w:t>From tme to tme, we may need to obtain additonal IP licenses or renew existng license agreements. We are unable to predict whether these license agreements can be obtained or renewed on acceptable terms or at all.</w:t>
      </w:r>
    </w:p>
    <w:p>
      <w:pPr>
        <w:spacing w:after="0" w:line="97" w:lineRule="exact"/>
        <w:rPr>
          <w:sz w:val="20"/>
          <w:szCs w:val="20"/>
          <w:color w:val="auto"/>
        </w:rPr>
      </w:pPr>
    </w:p>
    <w:p>
      <w:pPr>
        <w:ind w:left="160"/>
        <w:spacing w:after="0"/>
        <w:rPr>
          <w:sz w:val="20"/>
          <w:szCs w:val="20"/>
          <w:color w:val="auto"/>
        </w:rPr>
      </w:pPr>
      <w:r>
        <w:rPr>
          <w:rFonts w:ascii="Calibri" w:cs="Calibri" w:eastAsia="Calibri" w:hAnsi="Calibri"/>
          <w:sz w:val="18"/>
          <w:szCs w:val="18"/>
          <w:b w:val="1"/>
          <w:bCs w:val="1"/>
          <w:i w:val="1"/>
          <w:iCs w:val="1"/>
          <w:color w:val="auto"/>
        </w:rPr>
        <w:t>We are subject to warranty claims, product recalls and product liability.</w:t>
      </w:r>
    </w:p>
    <w:p>
      <w:pPr>
        <w:spacing w:after="0" w:line="107" w:lineRule="exact"/>
        <w:rPr>
          <w:sz w:val="20"/>
          <w:szCs w:val="20"/>
          <w:color w:val="auto"/>
        </w:rPr>
      </w:pPr>
    </w:p>
    <w:p>
      <w:pPr>
        <w:ind w:right="180" w:firstLine="317"/>
        <w:spacing w:after="0" w:line="230" w:lineRule="auto"/>
        <w:rPr>
          <w:sz w:val="20"/>
          <w:szCs w:val="20"/>
          <w:color w:val="auto"/>
        </w:rPr>
      </w:pPr>
      <w:r>
        <w:rPr>
          <w:rFonts w:ascii="Calibri" w:cs="Calibri" w:eastAsia="Calibri" w:hAnsi="Calibri"/>
          <w:sz w:val="18"/>
          <w:szCs w:val="18"/>
          <w:color w:val="auto"/>
        </w:rPr>
        <w:t>From tme to tme, we may be subject to warranty or product liability claims that may lead to signifcant expense. Our customer contracts typically contain warranty and indemnifcaton provisions, and in certain cases may also contain liquidated damages provisions, relatng to product quality issues. The potental liabilites associated with such provisions are signifcant, and in some cases, including in agreements with some of our largest customers, are potentally unlimited. Any such liabilites may greatly exceed any revenue we receive from the relevant products. Costs, payments or damages incurred or paid by us in connecton with warranty and product liability claims and product recalls could materially adversely afect our fnancial conditon and results of operatons. We may also be exposed to such claims as a result of any acquisiton we may undertake in the future.</w:t>
      </w:r>
    </w:p>
    <w:p>
      <w:pPr>
        <w:spacing w:after="0" w:line="110" w:lineRule="exact"/>
        <w:rPr>
          <w:sz w:val="20"/>
          <w:szCs w:val="20"/>
          <w:color w:val="auto"/>
        </w:rPr>
      </w:pPr>
    </w:p>
    <w:p>
      <w:pPr>
        <w:ind w:right="80" w:firstLine="317"/>
        <w:spacing w:after="0" w:line="230" w:lineRule="auto"/>
        <w:rPr>
          <w:sz w:val="20"/>
          <w:szCs w:val="20"/>
          <w:color w:val="auto"/>
        </w:rPr>
      </w:pPr>
      <w:r>
        <w:rPr>
          <w:rFonts w:ascii="Calibri" w:cs="Calibri" w:eastAsia="Calibri" w:hAnsi="Calibri"/>
          <w:sz w:val="18"/>
          <w:szCs w:val="18"/>
          <w:color w:val="auto"/>
        </w:rPr>
        <w:t>Product liability insurance is subject to signifcant deductbles and there is no guarantee that such insurance will be available or adequate to protect against all such claims, or we may elect to self-insure with respect to certain maters. For example, it is possible for one of our customers to recall a product containing one of our semiconductor devices. In such an event, we may incur signifcant costs and expenses, including among others, replacement costs, contract damage claims from our customers and reputatonal harm. Although we maintain reserves for reasonably estmable liabilites and purchase product liability insurance, our reserves may be inadequate to cover the uninsured porton of such claims. Conversely, in some cases, amounts we reserve may ultmately exceed our actual liability for partcular claims and may need to be reversed.</w:t>
      </w:r>
    </w:p>
    <w:p>
      <w:pPr>
        <w:spacing w:after="0" w:line="110" w:lineRule="exact"/>
        <w:rPr>
          <w:sz w:val="20"/>
          <w:szCs w:val="20"/>
          <w:color w:val="auto"/>
        </w:rPr>
      </w:pPr>
    </w:p>
    <w:p>
      <w:pPr>
        <w:jc w:val="both"/>
        <w:ind w:right="720" w:firstLine="79"/>
        <w:spacing w:after="0" w:line="247" w:lineRule="auto"/>
        <w:rPr>
          <w:sz w:val="20"/>
          <w:szCs w:val="20"/>
          <w:color w:val="auto"/>
        </w:rPr>
      </w:pPr>
      <w:r>
        <w:rPr>
          <w:rFonts w:ascii="Calibri" w:cs="Calibri" w:eastAsia="Calibri" w:hAnsi="Calibri"/>
          <w:sz w:val="17"/>
          <w:szCs w:val="17"/>
          <w:b w:val="1"/>
          <w:bCs w:val="1"/>
          <w:i w:val="1"/>
          <w:iCs w:val="1"/>
          <w:color w:val="auto"/>
        </w:rPr>
        <w:t>The complexity of our products could result in unforeseen delays or expense or undetected defects or bugs, which could adversely afect the market acceptance of new products, damage our reputaton with current or prospectve customers, and materially and adversely afect our operatng costs.</w:t>
      </w:r>
    </w:p>
    <w:p>
      <w:pPr>
        <w:spacing w:after="0" w:line="101" w:lineRule="exact"/>
        <w:rPr>
          <w:sz w:val="20"/>
          <w:szCs w:val="20"/>
          <w:color w:val="auto"/>
        </w:rPr>
      </w:pPr>
    </w:p>
    <w:p>
      <w:pPr>
        <w:ind w:firstLine="317"/>
        <w:spacing w:after="0" w:line="244" w:lineRule="auto"/>
        <w:rPr>
          <w:sz w:val="20"/>
          <w:szCs w:val="20"/>
          <w:color w:val="auto"/>
        </w:rPr>
      </w:pPr>
      <w:r>
        <w:rPr>
          <w:rFonts w:ascii="Calibri" w:cs="Calibri" w:eastAsia="Calibri" w:hAnsi="Calibri"/>
          <w:sz w:val="17"/>
          <w:szCs w:val="17"/>
          <w:color w:val="auto"/>
        </w:rPr>
        <w:t>Highly complex products, such as those we ofer, may contain defects and bugs when they are frst introduced or as new versions, sofware documentaton or enhancements are released, or their release may be delayed due to unforeseen difcultes during product development. If any of our products or third-party components used in our products, contain defects or bugs, or have reliability, quality or compatbility problems, we may not be able to successfully design workarounds. Furthermore, if any of these problems are not discovered untl afer we have commenced commercial producton or deployment of a new product, we may be required to incur additonal development costs and product recall, repair or replacement costs. Signifcant technical challenges also arise with our sofware products because our customers license and deploy our products across a variety of computer platorms and integrate them with a number of third-party sofware applicatons and databases. As a result, if there is system-wide failure or an actual or perceived breach of informaton integrity, security or availability occurs in one of our end-user customer’s system, it can be difcult to determine which product is at fault and we could ultmately be harmed by the failure of another supplier’s product. Consequently, our reputaton may be damaged and customers may be reluctant to buy our products, which could materially and adversely afect our ability to retain existng customers and atract new customers. To resolve these problems, we may have to invest signifcant capital and other resources and we would likely lose, or experience a delay in, market acceptance of the afected product or products. These problems may also result in claims against us by our customers or others. For example, if a delay in the manufacture and delivery of our products causes the delay of a customer’s end-product delivery, we may be required, under the terms of our agreement with that customer, to compensate the customer for the adverse efects of such delays. As a result, our fnancial results could be materially adversely afected.</w:t>
      </w:r>
    </w:p>
    <w:p>
      <w:pPr>
        <w:spacing w:after="0" w:line="110" w:lineRule="exact"/>
        <w:rPr>
          <w:sz w:val="20"/>
          <w:szCs w:val="20"/>
          <w:color w:val="auto"/>
        </w:rPr>
      </w:pPr>
    </w:p>
    <w:p>
      <w:pPr>
        <w:ind w:right="560" w:firstLine="79"/>
        <w:spacing w:after="0" w:line="230" w:lineRule="auto"/>
        <w:rPr>
          <w:sz w:val="20"/>
          <w:szCs w:val="20"/>
          <w:color w:val="auto"/>
        </w:rPr>
      </w:pPr>
      <w:r>
        <w:rPr>
          <w:rFonts w:ascii="Calibri" w:cs="Calibri" w:eastAsia="Calibri" w:hAnsi="Calibri"/>
          <w:sz w:val="18"/>
          <w:szCs w:val="18"/>
          <w:b w:val="1"/>
          <w:bCs w:val="1"/>
          <w:i w:val="1"/>
          <w:iCs w:val="1"/>
          <w:color w:val="auto"/>
        </w:rPr>
        <w:t>We make substantal investments in research and development and unsuccessful investments could materially adversely afect our business, fnancial conditon and results of operatons.</w:t>
      </w:r>
    </w:p>
    <w:p>
      <w:pPr>
        <w:spacing w:after="0" w:line="107" w:lineRule="exact"/>
        <w:rPr>
          <w:sz w:val="20"/>
          <w:szCs w:val="20"/>
          <w:color w:val="auto"/>
        </w:rPr>
      </w:pPr>
    </w:p>
    <w:p>
      <w:pPr>
        <w:ind w:right="940" w:firstLine="317"/>
        <w:spacing w:after="0" w:line="230" w:lineRule="auto"/>
        <w:rPr>
          <w:sz w:val="20"/>
          <w:szCs w:val="20"/>
          <w:color w:val="auto"/>
        </w:rPr>
      </w:pPr>
      <w:r>
        <w:rPr>
          <w:rFonts w:ascii="Calibri" w:cs="Calibri" w:eastAsia="Calibri" w:hAnsi="Calibri"/>
          <w:sz w:val="18"/>
          <w:szCs w:val="18"/>
          <w:color w:val="auto"/>
        </w:rPr>
        <w:t>The industries in which we compete are characterized by rapid technological change, changes in customer requirements, frequent new product introductons and enhancements, short product cycles and evolving industry standards, and new</w:t>
      </w:r>
    </w:p>
    <w:p>
      <w:pPr>
        <w:spacing w:after="0" w:line="200" w:lineRule="exact"/>
        <w:rPr>
          <w:sz w:val="20"/>
          <w:szCs w:val="20"/>
          <w:color w:val="auto"/>
        </w:rPr>
      </w:pPr>
    </w:p>
    <w:p>
      <w:pPr>
        <w:spacing w:after="0" w:line="373" w:lineRule="exact"/>
        <w:rPr>
          <w:sz w:val="20"/>
          <w:szCs w:val="20"/>
          <w:color w:val="auto"/>
        </w:rPr>
      </w:pPr>
    </w:p>
    <w:p>
      <w:pPr>
        <w:jc w:val="center"/>
        <w:ind w:right="-39"/>
        <w:spacing w:after="0"/>
        <w:rPr>
          <w:sz w:val="20"/>
          <w:szCs w:val="20"/>
          <w:color w:val="auto"/>
        </w:rPr>
      </w:pPr>
      <w:r>
        <w:rPr>
          <w:rFonts w:ascii="Calibri" w:cs="Calibri" w:eastAsia="Calibri" w:hAnsi="Calibri"/>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09" w:right="359" w:bottom="1440" w:gutter="0" w:footer="0" w:header="0"/>
        </w:sectPr>
      </w:pPr>
    </w:p>
    <w:bookmarkStart w:id="29" w:name="page30"/>
    <w:bookmarkEnd w:id="29"/>
    <w:p>
      <w:pPr>
        <w:spacing w:after="0"/>
        <w:rPr>
          <w:sz w:val="20"/>
          <w:szCs w:val="20"/>
          <w:color w:val="auto"/>
        </w:rPr>
      </w:pPr>
      <w:r>
        <w:rPr>
          <w:rFonts w:ascii="Calibri" w:cs="Calibri" w:eastAsia="Calibri" w:hAnsi="Calibri"/>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right="100"/>
        <w:spacing w:after="0" w:line="230" w:lineRule="auto"/>
        <w:rPr>
          <w:sz w:val="20"/>
          <w:szCs w:val="20"/>
          <w:color w:val="auto"/>
        </w:rPr>
      </w:pPr>
      <w:r>
        <w:rPr>
          <w:rFonts w:ascii="Calibri" w:cs="Calibri" w:eastAsia="Calibri" w:hAnsi="Calibri"/>
          <w:sz w:val="18"/>
          <w:szCs w:val="18"/>
          <w:color w:val="auto"/>
        </w:rPr>
        <w:t>delivery methods. In additon, semiconductor products transiton over tme to increasingly smaller line width geometries and failure to successfully transiton to smaller geometry process technologies could impair our compettve positon. In order to remain compettve, we have made, and expect to contnue to make, signifcant investments in research and development. If we fail to tmely develop new and enhanced products and technologies, if we focus on technologies that do not become widely adopted, or if new compettve technologies that we do not support become widely accepted, demand for our products may be reduced. Increased investments in research and development or unsuccessful research and development eforts could cause our cost structure to fall out of alignment with demand for our products, which would have a negatve impact on our fnancial results.</w:t>
      </w:r>
    </w:p>
    <w:p>
      <w:pPr>
        <w:spacing w:after="0" w:line="110" w:lineRule="exact"/>
        <w:rPr>
          <w:sz w:val="20"/>
          <w:szCs w:val="20"/>
          <w:color w:val="auto"/>
        </w:rPr>
      </w:pPr>
    </w:p>
    <w:p>
      <w:pPr>
        <w:ind w:right="60" w:firstLine="79"/>
        <w:spacing w:after="0" w:line="230" w:lineRule="auto"/>
        <w:rPr>
          <w:sz w:val="20"/>
          <w:szCs w:val="20"/>
          <w:color w:val="auto"/>
        </w:rPr>
      </w:pPr>
      <w:r>
        <w:rPr>
          <w:rFonts w:ascii="Calibri" w:cs="Calibri" w:eastAsia="Calibri" w:hAnsi="Calibri"/>
          <w:sz w:val="18"/>
          <w:szCs w:val="18"/>
          <w:b w:val="1"/>
          <w:bCs w:val="1"/>
          <w:i w:val="1"/>
          <w:iCs w:val="1"/>
          <w:color w:val="auto"/>
        </w:rPr>
        <w:t>We collect, use, store, or otherwise process personal informaton, which subjects us to privacy and data security laws and contractual commitments, and our actual or perceived failure to comply with such laws and commitments could harm our business.</w:t>
      </w:r>
    </w:p>
    <w:p>
      <w:pPr>
        <w:spacing w:after="0" w:line="107" w:lineRule="exact"/>
        <w:rPr>
          <w:sz w:val="20"/>
          <w:szCs w:val="20"/>
          <w:color w:val="auto"/>
        </w:rPr>
      </w:pPr>
    </w:p>
    <w:p>
      <w:pPr>
        <w:ind w:right="60" w:firstLine="317"/>
        <w:spacing w:after="0" w:line="244" w:lineRule="auto"/>
        <w:rPr>
          <w:sz w:val="20"/>
          <w:szCs w:val="20"/>
          <w:color w:val="auto"/>
        </w:rPr>
      </w:pPr>
      <w:r>
        <w:rPr>
          <w:rFonts w:ascii="Calibri" w:cs="Calibri" w:eastAsia="Calibri" w:hAnsi="Calibri"/>
          <w:sz w:val="17"/>
          <w:szCs w:val="17"/>
          <w:color w:val="auto"/>
        </w:rPr>
        <w:t>We collect, use and store (collectvely, “process”) a high volume, variety and velocity of certain personal informaton in connecton with the operaton of our business. This creates various levels of privacy risks across diferent parts of our business, depending on the type of personal informaton, the jurisdicton in queston and the purpose of their processing. The personal informaton we process is subject to an increasing number of federal, state, local, and foreign laws and regulatons regarding privacy and data security, as well as contractual commitments. Privacy legislaton and other data protecton regulatons, enforcement and policy actvity in this area are expanding rapidly in many jurisdictons and creatng a complex regulatory compliance environment. Sectoral legislaton, certfcaton requirements and technical standards applying to certain categories of our customers, such as those is the fnancial services or public sector, have exacerbated this trend. The cost of complying with and implementng these privacy-related and data governance measures could be signifcant as they may create additonal burdensome security, business process, business record or data localizaton requirements. Concerns about government interference, sovereignty, expanding privacy, cyber security and data governance legislaton could adversely afect our customers and our products and services, partcularly in cloud computng, artfcial intelligence and our own data management practces. The thef, loss or misuse of personal data collected, used, stored or transferred by us to run our business could result in signifcantly increased business and security costs or costs related to defending legal claims. Any inadvertent failure or perceived failure by us to comply with privacy, data governance or cyber security obligatons may result in governmental enforcement actons, litgaton, substantal fnes and damages, and could cause our customers to lose trust in us, which could have an adverse efect on our reputaton and business.</w:t>
      </w:r>
    </w:p>
    <w:p>
      <w:pPr>
        <w:spacing w:after="0" w:line="109" w:lineRule="exact"/>
        <w:rPr>
          <w:sz w:val="20"/>
          <w:szCs w:val="20"/>
          <w:color w:val="auto"/>
        </w:rPr>
      </w:pPr>
    </w:p>
    <w:p>
      <w:pPr>
        <w:ind w:right="160" w:firstLine="79"/>
        <w:spacing w:after="0" w:line="230" w:lineRule="auto"/>
        <w:rPr>
          <w:sz w:val="20"/>
          <w:szCs w:val="20"/>
          <w:color w:val="auto"/>
        </w:rPr>
      </w:pPr>
      <w:r>
        <w:rPr>
          <w:rFonts w:ascii="Calibri" w:cs="Calibri" w:eastAsia="Calibri" w:hAnsi="Calibri"/>
          <w:sz w:val="18"/>
          <w:szCs w:val="18"/>
          <w:b w:val="1"/>
          <w:bCs w:val="1"/>
          <w:i w:val="1"/>
          <w:iCs w:val="1"/>
          <w:color w:val="auto"/>
        </w:rPr>
        <w:t>We are subject to environmental, health and safety laws, which could increase our costs, restrict our operatons and require expenditures that could have a material adverse efect on our results of operatons and fnancial conditon.</w:t>
      </w:r>
    </w:p>
    <w:p>
      <w:pPr>
        <w:spacing w:after="0" w:line="107" w:lineRule="exact"/>
        <w:rPr>
          <w:sz w:val="20"/>
          <w:szCs w:val="20"/>
          <w:color w:val="auto"/>
        </w:rPr>
      </w:pPr>
    </w:p>
    <w:p>
      <w:pPr>
        <w:ind w:right="20" w:firstLine="317"/>
        <w:spacing w:after="0" w:line="244" w:lineRule="auto"/>
        <w:rPr>
          <w:sz w:val="20"/>
          <w:szCs w:val="20"/>
          <w:color w:val="auto"/>
        </w:rPr>
      </w:pPr>
      <w:r>
        <w:rPr>
          <w:rFonts w:ascii="Calibri" w:cs="Calibri" w:eastAsia="Calibri" w:hAnsi="Calibri"/>
          <w:sz w:val="17"/>
          <w:szCs w:val="17"/>
          <w:color w:val="auto"/>
        </w:rPr>
        <w:t>We are subject to a variety of domestc and internatonal laws and regulatons relatng to the use, disposal, clean-up of and human exposure to hazardous materials. Compliance with environmental, health and safety requirements could, among other things, require us to modify our manufacturing processes, restrict our ability to expand our facilites, or require us to acquire polluton control equipment, all of which can be very costly. Any failure by us to comply with such requirements could result in the limitaton or suspension of the manufacture of our products and could result in litgaton against us and the payment of signifcant fnes and damages by us in the event of a signifcant adverse judgment. In additon, complying with any cleanup or remediaton obligatons for which we are or become responsible could be costly and have a material adverse efect on our business, fnancial conditon and results of operatons.</w:t>
      </w:r>
    </w:p>
    <w:p>
      <w:pPr>
        <w:spacing w:after="0" w:line="107" w:lineRule="exact"/>
        <w:rPr>
          <w:sz w:val="20"/>
          <w:szCs w:val="20"/>
          <w:color w:val="auto"/>
        </w:rPr>
      </w:pPr>
    </w:p>
    <w:p>
      <w:pPr>
        <w:jc w:val="both"/>
        <w:ind w:right="60" w:firstLine="317"/>
        <w:spacing w:after="0" w:line="230" w:lineRule="auto"/>
        <w:rPr>
          <w:sz w:val="20"/>
          <w:szCs w:val="20"/>
          <w:color w:val="auto"/>
        </w:rPr>
      </w:pPr>
      <w:r>
        <w:rPr>
          <w:rFonts w:ascii="Calibri" w:cs="Calibri" w:eastAsia="Calibri" w:hAnsi="Calibri"/>
          <w:sz w:val="18"/>
          <w:szCs w:val="18"/>
          <w:color w:val="auto"/>
        </w:rPr>
        <w:t>Changing requirements relatng to the materials compositon of our semiconductor products, including the restrictons on lead and certain other substances in electronic products sold in various countries, including the U.S., China and Japan, and in the European Union, increase the complexity and costs of our product design and procurement operatons and may require us to re-engineer our products. Such re-engineering may result in excess inventory or other additonal costs and could have a material adverse efect on our results of operatons. We may also experience claims from employees from tme to tme with regard to exposure to hazardous materials or other workplace related environmental claims.</w:t>
      </w:r>
    </w:p>
    <w:p>
      <w:pPr>
        <w:spacing w:after="0" w:line="99" w:lineRule="exact"/>
        <w:rPr>
          <w:sz w:val="20"/>
          <w:szCs w:val="20"/>
          <w:color w:val="auto"/>
        </w:rPr>
      </w:pPr>
    </w:p>
    <w:p>
      <w:pPr>
        <w:ind w:left="80"/>
        <w:spacing w:after="0"/>
        <w:rPr>
          <w:sz w:val="20"/>
          <w:szCs w:val="20"/>
          <w:color w:val="auto"/>
        </w:rPr>
      </w:pPr>
      <w:r>
        <w:rPr>
          <w:rFonts w:ascii="Calibri" w:cs="Calibri" w:eastAsia="Calibri" w:hAnsi="Calibri"/>
          <w:sz w:val="18"/>
          <w:szCs w:val="18"/>
          <w:b w:val="1"/>
          <w:bCs w:val="1"/>
          <w:i w:val="1"/>
          <w:iCs w:val="1"/>
          <w:color w:val="auto"/>
        </w:rPr>
        <w:t>Environmental, social and governance (“ESG”) maters may adversely afect our relatonships with customers and investors.</w:t>
      </w:r>
    </w:p>
    <w:p>
      <w:pPr>
        <w:spacing w:after="0" w:line="107" w:lineRule="exact"/>
        <w:rPr>
          <w:sz w:val="20"/>
          <w:szCs w:val="20"/>
          <w:color w:val="auto"/>
        </w:rPr>
      </w:pPr>
    </w:p>
    <w:p>
      <w:pPr>
        <w:ind w:firstLine="317"/>
        <w:spacing w:after="0" w:line="244" w:lineRule="auto"/>
        <w:rPr>
          <w:sz w:val="20"/>
          <w:szCs w:val="20"/>
          <w:color w:val="auto"/>
        </w:rPr>
      </w:pPr>
      <w:r>
        <w:rPr>
          <w:rFonts w:ascii="Calibri" w:cs="Calibri" w:eastAsia="Calibri" w:hAnsi="Calibri"/>
          <w:sz w:val="17"/>
          <w:szCs w:val="17"/>
          <w:color w:val="auto"/>
        </w:rPr>
        <w:t>There is an increasing focus from lawmakers, regulators, investors, customers, employees and other stakeholders concerning ESG maters, including environment, climate, diversity and inclusion, human rights and governance transparency. A number of our customers have adopted, or may adopt, procurement policies that include ESG provisions or requirements that their suppliers should comply with, or they may seek to include such provisions or requirements in their procurement terms and conditons. An increasing number of investors are also requiring companies to disclose ESG-related policies, practces and metrics. In additon, various jurisdictons are developing climate-related laws or regulatons that could cause us to incur additonal direct costs for compliance, as well as indirect costs resultng from our customers, suppliers, or additonal compliance costs that are passed on to us. These legal and regulatory requirements, as well as investor expectatons on ESG practces and disclosures, are subject to change, can be unpredictable, and may be difcult and expensive for us to comply</w:t>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9" w:right="339" w:bottom="1440" w:gutter="0" w:footer="0" w:header="0"/>
        </w:sectPr>
      </w:pPr>
    </w:p>
    <w:bookmarkStart w:id="30" w:name="page31"/>
    <w:bookmarkEnd w:id="30"/>
    <w:p>
      <w:pPr>
        <w:spacing w:after="0"/>
        <w:rPr>
          <w:sz w:val="20"/>
          <w:szCs w:val="20"/>
          <w:color w:val="auto"/>
        </w:rPr>
      </w:pPr>
      <w:r>
        <w:rPr>
          <w:rFonts w:ascii="Calibri" w:cs="Calibri" w:eastAsia="Calibri" w:hAnsi="Calibri"/>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right="100"/>
        <w:spacing w:after="0" w:line="230" w:lineRule="auto"/>
        <w:rPr>
          <w:sz w:val="20"/>
          <w:szCs w:val="20"/>
          <w:color w:val="auto"/>
        </w:rPr>
      </w:pPr>
      <w:r>
        <w:rPr>
          <w:rFonts w:ascii="Calibri" w:cs="Calibri" w:eastAsia="Calibri" w:hAnsi="Calibri"/>
          <w:sz w:val="18"/>
          <w:szCs w:val="18"/>
          <w:color w:val="auto"/>
        </w:rPr>
        <w:t>with, given the complexity of our supply chain and our outsourced manufacturing. Further, there is an increasing number of state-level ant-ESG initatves in the United States that may confict with other regulatory requirements or our various stakeholders’ expectatons. If we fail to comply with or meet the evolving legal and regulatory requirements or expectatons of our various stakeholders, we may be subject to enforcement actons, required to pay fnes, customers may stop purchasing products from us or investors may sell their shares, which could harm our reputaton, revenue and results of operatons. Our actual or perceived failure to achieve our ESG-related initatves could negatvely impact our reputaton or harm our business.</w:t>
      </w:r>
    </w:p>
    <w:p>
      <w:pPr>
        <w:spacing w:after="0" w:line="109" w:lineRule="exact"/>
        <w:rPr>
          <w:sz w:val="20"/>
          <w:szCs w:val="20"/>
          <w:color w:val="auto"/>
        </w:rPr>
      </w:pPr>
    </w:p>
    <w:p>
      <w:pPr>
        <w:ind w:right="240" w:firstLine="317"/>
        <w:spacing w:after="0" w:line="230" w:lineRule="auto"/>
        <w:rPr>
          <w:sz w:val="20"/>
          <w:szCs w:val="20"/>
          <w:color w:val="auto"/>
        </w:rPr>
      </w:pPr>
      <w:r>
        <w:rPr>
          <w:rFonts w:ascii="Calibri" w:cs="Calibri" w:eastAsia="Calibri" w:hAnsi="Calibri"/>
          <w:sz w:val="18"/>
          <w:szCs w:val="18"/>
          <w:color w:val="auto"/>
        </w:rPr>
        <w:t>In additon, as part of their ESG programs, an increasing number of OEMs are seeking to source products that do not contain minerals sourced from areas where proceeds from the sale of such minerals are likely to be used to fund armed conficts, such as in the Democratc Republic of Congo. This could adversely afect the sourcing, availability and pricing of minerals used in the manufacture of semiconductor devices, including our products. As a result, we may face difcultes in satsfying these customers’ demands, which may harm our sales and operatng results.</w:t>
      </w:r>
    </w:p>
    <w:p>
      <w:pPr>
        <w:spacing w:after="0" w:line="108" w:lineRule="exact"/>
        <w:rPr>
          <w:sz w:val="20"/>
          <w:szCs w:val="20"/>
          <w:color w:val="auto"/>
        </w:rPr>
      </w:pPr>
    </w:p>
    <w:p>
      <w:pPr>
        <w:ind w:firstLine="79"/>
        <w:spacing w:after="0" w:line="230" w:lineRule="auto"/>
        <w:rPr>
          <w:sz w:val="20"/>
          <w:szCs w:val="20"/>
          <w:color w:val="auto"/>
        </w:rPr>
      </w:pPr>
      <w:r>
        <w:rPr>
          <w:rFonts w:ascii="Calibri" w:cs="Calibri" w:eastAsia="Calibri" w:hAnsi="Calibri"/>
          <w:sz w:val="18"/>
          <w:szCs w:val="18"/>
          <w:b w:val="1"/>
          <w:bCs w:val="1"/>
          <w:i w:val="1"/>
          <w:iCs w:val="1"/>
          <w:color w:val="auto"/>
        </w:rPr>
        <w:t>The average selling prices of semiconductor products in our markets have ofen decreased rapidly and may do so in the future, which could harm our revenue and gross proft.</w:t>
      </w:r>
    </w:p>
    <w:p>
      <w:pPr>
        <w:spacing w:after="0" w:line="107" w:lineRule="exact"/>
        <w:rPr>
          <w:sz w:val="20"/>
          <w:szCs w:val="20"/>
          <w:color w:val="auto"/>
        </w:rPr>
      </w:pPr>
    </w:p>
    <w:p>
      <w:pPr>
        <w:ind w:right="20" w:firstLine="317"/>
        <w:spacing w:after="0" w:line="244" w:lineRule="auto"/>
        <w:rPr>
          <w:sz w:val="20"/>
          <w:szCs w:val="20"/>
          <w:color w:val="auto"/>
        </w:rPr>
      </w:pPr>
      <w:r>
        <w:rPr>
          <w:rFonts w:ascii="Calibri" w:cs="Calibri" w:eastAsia="Calibri" w:hAnsi="Calibri"/>
          <w:sz w:val="17"/>
          <w:szCs w:val="17"/>
          <w:color w:val="auto"/>
        </w:rPr>
        <w:t>The semiconductor products we develop and sell are used for high volume applicatons. As a result, the prices of those products have ofen decreased rapidly. Gross proft on our products may be negatvely afected by, among other things, pricing pressures from our customers. In the past, we have reduced the average selling prices of our products in antcipaton of future compettve pricing pressures, new product introductons by us or our compettors and other factors. In additon, some of our customer agreements provide for volume-based pricing and product pricing roadmaps, which can also reduce the average selling prices of our products over tme. Our margins and fnancial results will sufer if we are unable to ofset any reductons in our average selling prices by increasing our sales volumes, reducing manufacturing costs, or developing new and higher value-added products on a tmely basis.</w:t>
      </w:r>
    </w:p>
    <w:p>
      <w:pPr>
        <w:spacing w:after="0" w:line="98" w:lineRule="exact"/>
        <w:rPr>
          <w:sz w:val="20"/>
          <w:szCs w:val="20"/>
          <w:color w:val="auto"/>
        </w:rPr>
      </w:pPr>
    </w:p>
    <w:p>
      <w:pPr>
        <w:ind w:left="160"/>
        <w:spacing w:after="0"/>
        <w:rPr>
          <w:sz w:val="20"/>
          <w:szCs w:val="20"/>
          <w:color w:val="auto"/>
        </w:rPr>
      </w:pPr>
      <w:r>
        <w:rPr>
          <w:rFonts w:ascii="Calibri" w:cs="Calibri" w:eastAsia="Calibri" w:hAnsi="Calibri"/>
          <w:sz w:val="18"/>
          <w:szCs w:val="18"/>
          <w:b w:val="1"/>
          <w:bCs w:val="1"/>
          <w:i w:val="1"/>
          <w:iCs w:val="1"/>
          <w:color w:val="auto"/>
        </w:rPr>
        <w:t>Fluctuatons in foreign exchange rates could result in losses.</w:t>
      </w:r>
    </w:p>
    <w:p>
      <w:pPr>
        <w:spacing w:after="0" w:line="107" w:lineRule="exact"/>
        <w:rPr>
          <w:sz w:val="20"/>
          <w:szCs w:val="20"/>
          <w:color w:val="auto"/>
        </w:rPr>
      </w:pPr>
    </w:p>
    <w:p>
      <w:pPr>
        <w:ind w:right="120" w:firstLine="317"/>
        <w:spacing w:after="0" w:line="230" w:lineRule="auto"/>
        <w:rPr>
          <w:sz w:val="20"/>
          <w:szCs w:val="20"/>
          <w:color w:val="auto"/>
        </w:rPr>
      </w:pPr>
      <w:r>
        <w:rPr>
          <w:rFonts w:ascii="Calibri" w:cs="Calibri" w:eastAsia="Calibri" w:hAnsi="Calibri"/>
          <w:sz w:val="18"/>
          <w:szCs w:val="18"/>
          <w:color w:val="auto"/>
        </w:rPr>
        <w:t>We operate global businesses and our consolidated fnancial results are reported in U.S. dollars. However, some of the revenue and expenses of our foreign subsidiaries are denominated in local currencies. Fluctuatons in foreign exchange rates against the U.S. dollar could result in substantal changes in reported revenues and operatng results due to the foreign exchange impact of remeasuring these transactons into U.S. dollars.</w:t>
      </w:r>
    </w:p>
    <w:p>
      <w:pPr>
        <w:spacing w:after="0" w:line="108" w:lineRule="exact"/>
        <w:rPr>
          <w:sz w:val="20"/>
          <w:szCs w:val="20"/>
          <w:color w:val="auto"/>
        </w:rPr>
      </w:pPr>
    </w:p>
    <w:p>
      <w:pPr>
        <w:ind w:right="240" w:firstLine="317"/>
        <w:spacing w:after="0" w:line="230" w:lineRule="auto"/>
        <w:rPr>
          <w:sz w:val="20"/>
          <w:szCs w:val="20"/>
          <w:color w:val="auto"/>
        </w:rPr>
      </w:pPr>
      <w:r>
        <w:rPr>
          <w:rFonts w:ascii="Calibri" w:cs="Calibri" w:eastAsia="Calibri" w:hAnsi="Calibri"/>
          <w:sz w:val="18"/>
          <w:szCs w:val="18"/>
          <w:color w:val="auto"/>
        </w:rPr>
        <w:t>In the normal course of business, we employ various hedging strategies to partally mitgate these risks, including the use of derivatve instruments. These strategies may not be efectve in protectng us against the efects of fuctuatons in foreign exchange rates. As a result, fuctuatons in foreign exchange rates could result in fnancial losses.</w:t>
      </w:r>
    </w:p>
    <w:p>
      <w:pPr>
        <w:spacing w:after="0" w:line="98"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Risks Related to Our Taxes</w:t>
      </w:r>
    </w:p>
    <w:p>
      <w:pPr>
        <w:spacing w:after="0" w:line="97" w:lineRule="exact"/>
        <w:rPr>
          <w:sz w:val="20"/>
          <w:szCs w:val="20"/>
          <w:color w:val="auto"/>
        </w:rPr>
      </w:pPr>
    </w:p>
    <w:p>
      <w:pPr>
        <w:ind w:left="80"/>
        <w:spacing w:after="0"/>
        <w:rPr>
          <w:sz w:val="20"/>
          <w:szCs w:val="20"/>
          <w:color w:val="auto"/>
        </w:rPr>
      </w:pPr>
      <w:r>
        <w:rPr>
          <w:rFonts w:ascii="Calibri" w:cs="Calibri" w:eastAsia="Calibri" w:hAnsi="Calibri"/>
          <w:sz w:val="18"/>
          <w:szCs w:val="18"/>
          <w:b w:val="1"/>
          <w:bCs w:val="1"/>
          <w:i w:val="1"/>
          <w:iCs w:val="1"/>
          <w:color w:val="auto"/>
        </w:rPr>
        <w:t>Changes in tax legislaton or policies could materially impact our fnancial positon and results of operatons.</w:t>
      </w:r>
    </w:p>
    <w:p>
      <w:pPr>
        <w:spacing w:after="0" w:line="107" w:lineRule="exact"/>
        <w:rPr>
          <w:sz w:val="20"/>
          <w:szCs w:val="20"/>
          <w:color w:val="auto"/>
        </w:rPr>
      </w:pPr>
    </w:p>
    <w:p>
      <w:pPr>
        <w:ind w:right="360" w:firstLine="317"/>
        <w:spacing w:after="0" w:line="230" w:lineRule="auto"/>
        <w:rPr>
          <w:sz w:val="20"/>
          <w:szCs w:val="20"/>
          <w:color w:val="auto"/>
        </w:rPr>
      </w:pPr>
      <w:r>
        <w:rPr>
          <w:rFonts w:ascii="Calibri" w:cs="Calibri" w:eastAsia="Calibri" w:hAnsi="Calibri"/>
          <w:sz w:val="18"/>
          <w:szCs w:val="18"/>
          <w:color w:val="auto"/>
        </w:rPr>
        <w:t>Corporate tax reform, ant-base-erosion rules and tax transparency contnue to be high priorites in many jurisdictons. As a result, policies regarding corporate income and other taxes in numerous jurisdictons are under heightened scrutny and tax reform legislaton has been, and will likely contnue to be, proposed or enacted in a number of jurisdictons in which we operate.</w:t>
      </w:r>
    </w:p>
    <w:p>
      <w:pPr>
        <w:spacing w:after="0" w:line="108" w:lineRule="exact"/>
        <w:rPr>
          <w:sz w:val="20"/>
          <w:szCs w:val="20"/>
          <w:color w:val="auto"/>
        </w:rPr>
      </w:pPr>
    </w:p>
    <w:p>
      <w:pPr>
        <w:ind w:right="20" w:firstLine="317"/>
        <w:spacing w:after="0" w:line="244" w:lineRule="auto"/>
        <w:rPr>
          <w:sz w:val="20"/>
          <w:szCs w:val="20"/>
          <w:color w:val="auto"/>
        </w:rPr>
      </w:pPr>
      <w:r>
        <w:rPr>
          <w:rFonts w:ascii="Calibri" w:cs="Calibri" w:eastAsia="Calibri" w:hAnsi="Calibri"/>
          <w:sz w:val="17"/>
          <w:szCs w:val="17"/>
          <w:color w:val="auto"/>
        </w:rPr>
        <w:t>Afer the enactment of the U.S. Tax Cuts and Jobs Act (the “2017 Tax Reform Act”), most of our income is taxable in the U.S. with a signifcant porton taxable under the Global Intangible Low-Taxed Income (“GILTI”) regime. Beginning in fscal year 2027, the deducton allowable under the GILTI regime will decrease from 50% to 37.5%, which will increase the efectve tax rate imposed on our income. The 2017 Tax Reform Act also limits our ability to deduct research and development expenses beginning in fscal year 2023. These expenses are now capitalized and amortzed over 5 years (15 years for foreign expenses), which have and may contnue to materially increase our cash tax costs. The U.S. also enacted the Infaton Reducton Act of 2022 (“IRA”) in August 2022, which created a new book minimum tax of at least 15% of consolidated GAAP pre-tax income for corporatons with average book income in excess of $1 billion. This book minimum tax will frst apply to our fscal year 2024 and any increase in our efectve tax rate or cash tax will depend on a number of factors, including any ofsets for foreign tax credits or general business credits, or changes in book income following business combinatons. The IRA also created an excise tax of 1% of the value of our stock repurchased afer December 31, 2022. While the impact of this excise tax has not been material, it could increase materially depending on various factors, including the amount and frequency of our stock repurchases, applicability to business combinaton transactons, and any permited reductons or exceptons to the amount subject to the tax. If (i) the U.S. tax rate increases, (ii) the deducton allowable under the GILTI regime is further reduced or eliminated, or (iii) additonal limitatons are put on our ability to deduct interest expense, our provision for income taxes, net income, and cash fows would be adversely impacted.</w:t>
      </w:r>
    </w:p>
    <w:p>
      <w:pPr>
        <w:spacing w:after="0" w:line="109" w:lineRule="exact"/>
        <w:rPr>
          <w:sz w:val="20"/>
          <w:szCs w:val="20"/>
          <w:color w:val="auto"/>
        </w:rPr>
      </w:pPr>
    </w:p>
    <w:p>
      <w:pPr>
        <w:ind w:right="340" w:firstLine="317"/>
        <w:spacing w:after="0" w:line="230" w:lineRule="auto"/>
        <w:rPr>
          <w:sz w:val="20"/>
          <w:szCs w:val="20"/>
          <w:color w:val="auto"/>
        </w:rPr>
      </w:pPr>
      <w:r>
        <w:rPr>
          <w:rFonts w:ascii="Calibri" w:cs="Calibri" w:eastAsia="Calibri" w:hAnsi="Calibri"/>
          <w:sz w:val="18"/>
          <w:szCs w:val="18"/>
          <w:color w:val="auto"/>
        </w:rPr>
        <w:t>In additon, many countries are implementng legislaton and other guidance to align their internatonal tax rules with the Organisaton for Economic Co-operaton and Development’s (“OECD”) Base Erosion and Proft Shifing recommendatons and</w:t>
      </w: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9" w:right="339" w:bottom="1440" w:gutter="0" w:footer="0" w:header="0"/>
        </w:sectPr>
      </w:pPr>
    </w:p>
    <w:bookmarkStart w:id="31" w:name="page32"/>
    <w:bookmarkEnd w:id="31"/>
    <w:p>
      <w:pPr>
        <w:spacing w:after="0"/>
        <w:rPr>
          <w:sz w:val="20"/>
          <w:szCs w:val="20"/>
          <w:color w:val="auto"/>
        </w:rPr>
      </w:pPr>
      <w:r>
        <w:rPr>
          <w:rFonts w:ascii="Calibri" w:cs="Calibri" w:eastAsia="Calibri" w:hAnsi="Calibri"/>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right="60"/>
        <w:spacing w:after="0" w:line="244" w:lineRule="auto"/>
        <w:rPr>
          <w:sz w:val="20"/>
          <w:szCs w:val="20"/>
          <w:color w:val="auto"/>
        </w:rPr>
      </w:pPr>
      <w:r>
        <w:rPr>
          <w:rFonts w:ascii="Calibri" w:cs="Calibri" w:eastAsia="Calibri" w:hAnsi="Calibri"/>
          <w:sz w:val="17"/>
          <w:szCs w:val="17"/>
          <w:color w:val="auto"/>
        </w:rPr>
        <w:t>acton plan that aim to standardize and modernize global corporate tax policy, including changes to cross-border tax, transfer pricing documentaton rules, and nexus-based tax incentve practces. The OECD is also contnuing discussions surrounding fundamental changes in allocaton of profts among tax jurisdictons in which companies do business, as well as the implementaton of a global minimum tax (namely the “Pillar One” and “Pillar Two” proposals). Many countries have enacted or begun the process of enactng laws based on Pillar Two proposals, which may adversely impact our provision for income taxes, net income and cash fows. As a result of this heightened scrutny, prior decisions by tax authorites regarding treatments and positons of corporate income taxes could be subject to enforcement actvites, and legislatve investgaton and inquiry, which could also result in changes in tax policies or prior tax rulings.</w:t>
      </w:r>
    </w:p>
    <w:p>
      <w:pPr>
        <w:spacing w:after="0" w:line="107" w:lineRule="exact"/>
        <w:rPr>
          <w:sz w:val="20"/>
          <w:szCs w:val="20"/>
          <w:color w:val="auto"/>
        </w:rPr>
      </w:pPr>
    </w:p>
    <w:p>
      <w:pPr>
        <w:ind w:right="420" w:firstLine="317"/>
        <w:spacing w:after="0" w:line="247" w:lineRule="auto"/>
        <w:rPr>
          <w:sz w:val="20"/>
          <w:szCs w:val="20"/>
          <w:color w:val="auto"/>
        </w:rPr>
      </w:pPr>
      <w:r>
        <w:rPr>
          <w:rFonts w:ascii="Calibri" w:cs="Calibri" w:eastAsia="Calibri" w:hAnsi="Calibri"/>
          <w:sz w:val="17"/>
          <w:szCs w:val="17"/>
          <w:color w:val="auto"/>
        </w:rPr>
        <w:t>Any substantal changes in domestc or internatonal corporate tax policies, regulatons or guidance, enforcement actvites or legislatve initatves may materially adversely afect our business, the amount of taxes we are required to pay and our fnancial conditon and results of operatons generally.</w:t>
      </w:r>
    </w:p>
    <w:p>
      <w:pPr>
        <w:spacing w:after="0" w:line="101" w:lineRule="exact"/>
        <w:rPr>
          <w:sz w:val="20"/>
          <w:szCs w:val="20"/>
          <w:color w:val="auto"/>
        </w:rPr>
      </w:pPr>
    </w:p>
    <w:p>
      <w:pPr>
        <w:ind w:right="120" w:firstLine="79"/>
        <w:spacing w:after="0" w:line="247" w:lineRule="auto"/>
        <w:rPr>
          <w:sz w:val="20"/>
          <w:szCs w:val="20"/>
          <w:color w:val="auto"/>
        </w:rPr>
      </w:pPr>
      <w:r>
        <w:rPr>
          <w:rFonts w:ascii="Calibri" w:cs="Calibri" w:eastAsia="Calibri" w:hAnsi="Calibri"/>
          <w:sz w:val="17"/>
          <w:szCs w:val="17"/>
          <w:b w:val="1"/>
          <w:bCs w:val="1"/>
          <w:i w:val="1"/>
          <w:iCs w:val="1"/>
          <w:color w:val="auto"/>
        </w:rPr>
        <w:t>If the tax incentves or tax holiday arrangements we have negotated change or cease to be in efect or applicable for any reason, or if our assumptons and interpretatons regarding tax laws and incentves or holiday arrangements prove to be incorrect, our corporate income taxes could signifcantly increase.</w:t>
      </w:r>
    </w:p>
    <w:p>
      <w:pPr>
        <w:spacing w:after="0" w:line="101" w:lineRule="exact"/>
        <w:rPr>
          <w:sz w:val="20"/>
          <w:szCs w:val="20"/>
          <w:color w:val="auto"/>
        </w:rPr>
      </w:pPr>
    </w:p>
    <w:p>
      <w:pPr>
        <w:ind w:right="40" w:firstLine="317"/>
        <w:spacing w:after="0" w:line="230" w:lineRule="auto"/>
        <w:rPr>
          <w:sz w:val="20"/>
          <w:szCs w:val="20"/>
          <w:color w:val="auto"/>
        </w:rPr>
      </w:pPr>
      <w:r>
        <w:rPr>
          <w:rFonts w:ascii="Calibri" w:cs="Calibri" w:eastAsia="Calibri" w:hAnsi="Calibri"/>
          <w:sz w:val="18"/>
          <w:szCs w:val="18"/>
          <w:color w:val="auto"/>
        </w:rPr>
        <w:t>Our operatons are currently structured to beneft from the various tax incentves extended to us in various jurisdictons to encourage investment or employment. For example, absent our principal tax incentves from the Singapore Economic Development Board, which is scheduled to expire in 2025, the corporate income tax rate that would apply to our Singapore taxable income would be 17%. We also have a tax holiday on our qualifying income in Malaysia, which is scheduled to expire in fscal year 2028. Each tax incentve and tax holiday is subject to our compliance with various operatng and other conditons and may, in some instances, be amended or terminated prior to their scheduled terminaton date by the relevant governmental authority. If we cannot, or elect not to, comply with the operatng conditons included in any partcular tax incentve or tax holiday, we could, in some instances, be required to refund previously realized material tax benefts, or if such tax incentve or tax holiday is terminated prior to its expiraton absent a new incentve applying, we will lose the related tax benefts earlier than scheduled. In additon, we may be required, or elect, to modify our operatonal structure and tax strategy in order to keep an incentve, which could result in a decrease in the benefts of the incentve. Our tax incentves could also be adversely impacted if the global minimum tax provisions (Pillar Two) are adopted in a country in which we have an existng tax incentve. Our tax incentves and tax holiday, before taking into consideraton U.S. foreign tax credits, decreased the provision for income taxes by approximately $2,104 million in the aggregate and increased diluted net income per share by $4.93 for fscal year 2023.</w:t>
      </w:r>
    </w:p>
    <w:p>
      <w:pPr>
        <w:spacing w:after="0" w:line="114" w:lineRule="exact"/>
        <w:rPr>
          <w:sz w:val="20"/>
          <w:szCs w:val="20"/>
          <w:color w:val="auto"/>
        </w:rPr>
      </w:pPr>
    </w:p>
    <w:p>
      <w:pPr>
        <w:ind w:firstLine="317"/>
        <w:spacing w:after="0" w:line="230" w:lineRule="auto"/>
        <w:rPr>
          <w:sz w:val="20"/>
          <w:szCs w:val="20"/>
          <w:color w:val="auto"/>
        </w:rPr>
      </w:pPr>
      <w:r>
        <w:rPr>
          <w:rFonts w:ascii="Calibri" w:cs="Calibri" w:eastAsia="Calibri" w:hAnsi="Calibri"/>
          <w:sz w:val="18"/>
          <w:szCs w:val="18"/>
          <w:color w:val="auto"/>
        </w:rPr>
        <w:t>Our interpretatons and conclusions regarding the tax incentves are not binding on any taxing authority, and if our assumptons about tax and other laws are incorrect or if these tax incentves are substantally modifed or rescinded, we could sufer material adverse tax and other fnancial consequences, which would increase our expenses, reduce our proftability and adversely afect our cash fows.</w:t>
      </w:r>
    </w:p>
    <w:p>
      <w:pPr>
        <w:spacing w:after="0" w:line="98" w:lineRule="exact"/>
        <w:rPr>
          <w:sz w:val="20"/>
          <w:szCs w:val="20"/>
          <w:color w:val="auto"/>
        </w:rPr>
      </w:pPr>
    </w:p>
    <w:p>
      <w:pPr>
        <w:ind w:left="80"/>
        <w:spacing w:after="0"/>
        <w:rPr>
          <w:sz w:val="20"/>
          <w:szCs w:val="20"/>
          <w:color w:val="auto"/>
        </w:rPr>
      </w:pPr>
      <w:r>
        <w:rPr>
          <w:rFonts w:ascii="Calibri" w:cs="Calibri" w:eastAsia="Calibri" w:hAnsi="Calibri"/>
          <w:sz w:val="18"/>
          <w:szCs w:val="18"/>
          <w:b w:val="1"/>
          <w:bCs w:val="1"/>
          <w:i w:val="1"/>
          <w:iCs w:val="1"/>
          <w:color w:val="auto"/>
        </w:rPr>
        <w:t>Our income taxes and overall cash tax costs are afected by a number of factors that could materially, adversely afect fnancial results.</w:t>
      </w:r>
    </w:p>
    <w:p>
      <w:pPr>
        <w:spacing w:after="0" w:line="107" w:lineRule="exact"/>
        <w:rPr>
          <w:sz w:val="20"/>
          <w:szCs w:val="20"/>
          <w:color w:val="auto"/>
        </w:rPr>
      </w:pPr>
    </w:p>
    <w:p>
      <w:pPr>
        <w:jc w:val="both"/>
        <w:ind w:right="20" w:firstLine="317"/>
        <w:spacing w:after="0" w:line="245" w:lineRule="auto"/>
        <w:rPr>
          <w:sz w:val="20"/>
          <w:szCs w:val="20"/>
          <w:color w:val="auto"/>
        </w:rPr>
      </w:pPr>
      <w:r>
        <w:rPr>
          <w:rFonts w:ascii="Calibri" w:cs="Calibri" w:eastAsia="Calibri" w:hAnsi="Calibri"/>
          <w:sz w:val="17"/>
          <w:szCs w:val="17"/>
          <w:color w:val="auto"/>
        </w:rPr>
        <w:t>Signifcant judgment is required in determining our worldwide income taxes. In the ordinary course of our business, there are many transactons where the ultmate tax determinaton is uncertain. Additonally, our calculatons of income taxes payable currently and on a deferred basis are based on our interpretatons of applicable tax laws in the jurisdictons in which we are required to fle tax returns. Although we believe our tax estmates are reasonable, there is no assurance that the fnal determinaton of our income tax liability will not be materially diferent than what is refected in our income tax provisions and accruals.</w:t>
      </w:r>
    </w:p>
    <w:p>
      <w:pPr>
        <w:spacing w:after="0" w:line="94" w:lineRule="exact"/>
        <w:rPr>
          <w:sz w:val="20"/>
          <w:szCs w:val="20"/>
          <w:color w:val="auto"/>
        </w:rPr>
      </w:pPr>
    </w:p>
    <w:p>
      <w:pPr>
        <w:ind w:left="320"/>
        <w:spacing w:after="0"/>
        <w:rPr>
          <w:sz w:val="20"/>
          <w:szCs w:val="20"/>
          <w:color w:val="auto"/>
        </w:rPr>
      </w:pPr>
      <w:r>
        <w:rPr>
          <w:rFonts w:ascii="Calibri" w:cs="Calibri" w:eastAsia="Calibri" w:hAnsi="Calibri"/>
          <w:sz w:val="18"/>
          <w:szCs w:val="18"/>
          <w:color w:val="auto"/>
        </w:rPr>
        <w:t>Our income taxes are subject to volatlity and could be adversely afected by numerous factors including:</w:t>
      </w:r>
    </w:p>
    <w:p>
      <w:pPr>
        <w:spacing w:after="0" w:line="107" w:lineRule="exact"/>
        <w:rPr>
          <w:sz w:val="20"/>
          <w:szCs w:val="20"/>
          <w:color w:val="auto"/>
        </w:rPr>
      </w:pPr>
    </w:p>
    <w:p>
      <w:pPr>
        <w:ind w:left="640" w:right="120" w:hanging="317"/>
        <w:spacing w:after="0" w:line="230" w:lineRule="auto"/>
        <w:tabs>
          <w:tab w:leader="none" w:pos="633" w:val="left"/>
        </w:tabs>
        <w:numPr>
          <w:ilvl w:val="0"/>
          <w:numId w:val="17"/>
        </w:numPr>
        <w:rPr>
          <w:rFonts w:ascii="Calibri" w:cs="Calibri" w:eastAsia="Calibri" w:hAnsi="Calibri"/>
          <w:sz w:val="18"/>
          <w:szCs w:val="18"/>
          <w:color w:val="auto"/>
        </w:rPr>
      </w:pPr>
      <w:r>
        <w:rPr>
          <w:rFonts w:ascii="Calibri" w:cs="Calibri" w:eastAsia="Calibri" w:hAnsi="Calibri"/>
          <w:sz w:val="18"/>
          <w:szCs w:val="18"/>
          <w:color w:val="auto"/>
        </w:rPr>
        <w:t>reorganizaton or restructuring of our businesses, tangible and intangible assets, outstanding indebtedness and corporate structure, including business combinatons;</w:t>
      </w:r>
    </w:p>
    <w:p>
      <w:pPr>
        <w:spacing w:after="0" w:line="97" w:lineRule="exact"/>
        <w:rPr>
          <w:rFonts w:ascii="Calibri" w:cs="Calibri" w:eastAsia="Calibri" w:hAnsi="Calibri"/>
          <w:sz w:val="18"/>
          <w:szCs w:val="18"/>
          <w:color w:val="auto"/>
        </w:rPr>
      </w:pPr>
    </w:p>
    <w:p>
      <w:pPr>
        <w:ind w:left="640" w:hanging="317"/>
        <w:spacing w:after="0"/>
        <w:tabs>
          <w:tab w:leader="none" w:pos="640" w:val="left"/>
        </w:tabs>
        <w:numPr>
          <w:ilvl w:val="0"/>
          <w:numId w:val="17"/>
        </w:numPr>
        <w:rPr>
          <w:rFonts w:ascii="Calibri" w:cs="Calibri" w:eastAsia="Calibri" w:hAnsi="Calibri"/>
          <w:sz w:val="18"/>
          <w:szCs w:val="18"/>
          <w:color w:val="auto"/>
        </w:rPr>
      </w:pPr>
      <w:r>
        <w:rPr>
          <w:rFonts w:ascii="Calibri" w:cs="Calibri" w:eastAsia="Calibri" w:hAnsi="Calibri"/>
          <w:sz w:val="18"/>
          <w:szCs w:val="18"/>
          <w:color w:val="auto"/>
        </w:rPr>
        <w:t>jurisdictonal mix of our income and assets;</w:t>
      </w:r>
    </w:p>
    <w:p>
      <w:pPr>
        <w:spacing w:after="0" w:line="97" w:lineRule="exact"/>
        <w:rPr>
          <w:rFonts w:ascii="Calibri" w:cs="Calibri" w:eastAsia="Calibri" w:hAnsi="Calibri"/>
          <w:sz w:val="18"/>
          <w:szCs w:val="18"/>
          <w:color w:val="auto"/>
        </w:rPr>
      </w:pPr>
    </w:p>
    <w:p>
      <w:pPr>
        <w:ind w:left="640" w:hanging="317"/>
        <w:spacing w:after="0"/>
        <w:tabs>
          <w:tab w:leader="none" w:pos="640" w:val="left"/>
        </w:tabs>
        <w:numPr>
          <w:ilvl w:val="0"/>
          <w:numId w:val="17"/>
        </w:numPr>
        <w:rPr>
          <w:rFonts w:ascii="Calibri" w:cs="Calibri" w:eastAsia="Calibri" w:hAnsi="Calibri"/>
          <w:sz w:val="18"/>
          <w:szCs w:val="18"/>
          <w:color w:val="auto"/>
        </w:rPr>
      </w:pPr>
      <w:r>
        <w:rPr>
          <w:rFonts w:ascii="Calibri" w:cs="Calibri" w:eastAsia="Calibri" w:hAnsi="Calibri"/>
          <w:sz w:val="18"/>
          <w:szCs w:val="18"/>
          <w:color w:val="auto"/>
        </w:rPr>
        <w:t>changes in the allocaton of income and expenses, including adjustments related to changes in our corporate structure, acquisitons or tax law;</w:t>
      </w:r>
    </w:p>
    <w:p>
      <w:pPr>
        <w:spacing w:after="0" w:line="106" w:lineRule="exact"/>
        <w:rPr>
          <w:rFonts w:ascii="Calibri" w:cs="Calibri" w:eastAsia="Calibri" w:hAnsi="Calibri"/>
          <w:sz w:val="18"/>
          <w:szCs w:val="18"/>
          <w:color w:val="auto"/>
        </w:rPr>
      </w:pPr>
    </w:p>
    <w:p>
      <w:pPr>
        <w:ind w:left="640" w:right="120" w:hanging="317"/>
        <w:spacing w:after="0" w:line="230" w:lineRule="auto"/>
        <w:tabs>
          <w:tab w:leader="none" w:pos="633" w:val="left"/>
        </w:tabs>
        <w:numPr>
          <w:ilvl w:val="0"/>
          <w:numId w:val="17"/>
        </w:numPr>
        <w:rPr>
          <w:rFonts w:ascii="Calibri" w:cs="Calibri" w:eastAsia="Calibri" w:hAnsi="Calibri"/>
          <w:sz w:val="18"/>
          <w:szCs w:val="18"/>
          <w:color w:val="auto"/>
        </w:rPr>
      </w:pPr>
      <w:r>
        <w:rPr>
          <w:rFonts w:ascii="Calibri" w:cs="Calibri" w:eastAsia="Calibri" w:hAnsi="Calibri"/>
          <w:sz w:val="18"/>
          <w:szCs w:val="18"/>
          <w:color w:val="auto"/>
        </w:rPr>
        <w:t>changes in U.S and foreign tax laws and regulatons, changes to the taxaton of earnings of foreign subsidiaries, taxaton of U.S. income generated from foreign sources, the deductbility of expenses atributable to income and foreign tax credit rules;</w:t>
      </w:r>
    </w:p>
    <w:p>
      <w:pPr>
        <w:spacing w:after="0" w:line="97" w:lineRule="exact"/>
        <w:rPr>
          <w:rFonts w:ascii="Calibri" w:cs="Calibri" w:eastAsia="Calibri" w:hAnsi="Calibri"/>
          <w:sz w:val="18"/>
          <w:szCs w:val="18"/>
          <w:color w:val="auto"/>
        </w:rPr>
      </w:pPr>
    </w:p>
    <w:p>
      <w:pPr>
        <w:ind w:left="640" w:hanging="317"/>
        <w:spacing w:after="0"/>
        <w:tabs>
          <w:tab w:leader="none" w:pos="640" w:val="left"/>
        </w:tabs>
        <w:numPr>
          <w:ilvl w:val="0"/>
          <w:numId w:val="17"/>
        </w:numPr>
        <w:rPr>
          <w:rFonts w:ascii="Calibri" w:cs="Calibri" w:eastAsia="Calibri" w:hAnsi="Calibri"/>
          <w:sz w:val="18"/>
          <w:szCs w:val="18"/>
          <w:color w:val="auto"/>
        </w:rPr>
      </w:pPr>
      <w:r>
        <w:rPr>
          <w:rFonts w:ascii="Calibri" w:cs="Calibri" w:eastAsia="Calibri" w:hAnsi="Calibri"/>
          <w:sz w:val="18"/>
          <w:szCs w:val="18"/>
          <w:color w:val="auto"/>
        </w:rPr>
        <w:t>tax efects of increases in non-deductble employee compensaton; and</w:t>
      </w:r>
    </w:p>
    <w:p>
      <w:pPr>
        <w:spacing w:after="0" w:line="97" w:lineRule="exact"/>
        <w:rPr>
          <w:rFonts w:ascii="Calibri" w:cs="Calibri" w:eastAsia="Calibri" w:hAnsi="Calibri"/>
          <w:sz w:val="18"/>
          <w:szCs w:val="18"/>
          <w:color w:val="auto"/>
        </w:rPr>
      </w:pPr>
    </w:p>
    <w:p>
      <w:pPr>
        <w:ind w:left="640" w:hanging="317"/>
        <w:spacing w:after="0"/>
        <w:tabs>
          <w:tab w:leader="none" w:pos="640" w:val="left"/>
        </w:tabs>
        <w:numPr>
          <w:ilvl w:val="0"/>
          <w:numId w:val="17"/>
        </w:numPr>
        <w:rPr>
          <w:rFonts w:ascii="Calibri" w:cs="Calibri" w:eastAsia="Calibri" w:hAnsi="Calibri"/>
          <w:sz w:val="18"/>
          <w:szCs w:val="18"/>
          <w:color w:val="auto"/>
        </w:rPr>
      </w:pPr>
      <w:r>
        <w:rPr>
          <w:rFonts w:ascii="Calibri" w:cs="Calibri" w:eastAsia="Calibri" w:hAnsi="Calibri"/>
          <w:sz w:val="18"/>
          <w:szCs w:val="18"/>
          <w:color w:val="auto"/>
        </w:rPr>
        <w:t>changes in tax accountng rules or principles and in the valuaton of deferred tax assets and liabilites.</w:t>
      </w:r>
    </w:p>
    <w:p>
      <w:pPr>
        <w:spacing w:after="0" w:line="200" w:lineRule="exact"/>
        <w:rPr>
          <w:sz w:val="20"/>
          <w:szCs w:val="20"/>
          <w:color w:val="auto"/>
        </w:rPr>
      </w:pPr>
    </w:p>
    <w:p>
      <w:pPr>
        <w:spacing w:after="0" w:line="373" w:lineRule="exact"/>
        <w:rPr>
          <w:sz w:val="20"/>
          <w:szCs w:val="20"/>
          <w:color w:val="auto"/>
        </w:rPr>
      </w:pPr>
    </w:p>
    <w:p>
      <w:pPr>
        <w:jc w:val="center"/>
        <w:ind w:right="-39"/>
        <w:spacing w:after="0"/>
        <w:rPr>
          <w:sz w:val="20"/>
          <w:szCs w:val="20"/>
          <w:color w:val="auto"/>
        </w:rPr>
      </w:pPr>
      <w:r>
        <w:rPr>
          <w:rFonts w:ascii="Calibri" w:cs="Calibri" w:eastAsia="Calibri" w:hAnsi="Calibri"/>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09" w:right="359" w:bottom="1440" w:gutter="0" w:footer="0" w:header="0"/>
        </w:sectPr>
      </w:pPr>
    </w:p>
    <w:bookmarkStart w:id="32" w:name="page33"/>
    <w:bookmarkEnd w:id="32"/>
    <w:p>
      <w:pPr>
        <w:spacing w:after="0"/>
        <w:rPr>
          <w:sz w:val="20"/>
          <w:szCs w:val="20"/>
          <w:color w:val="auto"/>
        </w:rPr>
      </w:pPr>
      <w:r>
        <w:rPr>
          <w:rFonts w:ascii="Calibri" w:cs="Calibri" w:eastAsia="Calibri" w:hAnsi="Calibri"/>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firstLine="317"/>
        <w:spacing w:after="0" w:line="230" w:lineRule="auto"/>
        <w:rPr>
          <w:sz w:val="20"/>
          <w:szCs w:val="20"/>
          <w:color w:val="auto"/>
        </w:rPr>
      </w:pPr>
      <w:r>
        <w:rPr>
          <w:rFonts w:ascii="Calibri" w:cs="Calibri" w:eastAsia="Calibri" w:hAnsi="Calibri"/>
          <w:sz w:val="18"/>
          <w:szCs w:val="18"/>
          <w:color w:val="auto"/>
        </w:rPr>
        <w:t>We have adopted transfer pricing policies that call for the provision of services, the sale of products, the arrangement of fnancing and the grant of licenses from one afliate to another at prices that we believe are negotated on an arm’s length basis. Our taxable income is dependent upon acceptance by local authorites that our operatonal practces and intercompany transfer pricing are on an arm’s length basis. Due to inconsistencies in applicaton of the arm’s length standard among taxing authorites, as well as lack of comprehensive treaty-based protecton, transfer pricing challenges by tax authorites could, if successful, result in adjustments for prior or future years. The efects of any such changes could subject us to higher taxes and our earnings, results of operatons and cash fow would be adversely afected.</w:t>
      </w:r>
    </w:p>
    <w:p>
      <w:pPr>
        <w:spacing w:after="0" w:line="110" w:lineRule="exact"/>
        <w:rPr>
          <w:sz w:val="20"/>
          <w:szCs w:val="20"/>
          <w:color w:val="auto"/>
        </w:rPr>
      </w:pPr>
    </w:p>
    <w:p>
      <w:pPr>
        <w:ind w:right="60" w:firstLine="317"/>
        <w:spacing w:after="0" w:line="230" w:lineRule="auto"/>
        <w:rPr>
          <w:sz w:val="20"/>
          <w:szCs w:val="20"/>
          <w:color w:val="auto"/>
        </w:rPr>
      </w:pPr>
      <w:r>
        <w:rPr>
          <w:rFonts w:ascii="Calibri" w:cs="Calibri" w:eastAsia="Calibri" w:hAnsi="Calibri"/>
          <w:sz w:val="18"/>
          <w:szCs w:val="18"/>
          <w:color w:val="auto"/>
        </w:rPr>
        <w:t>Further, we are subject to, and are under, tax audit in various jurisdictons, and such jurisdictons may assess additonal income tax against us. Although we believe our tax positons are reasonable, the fnal determinaton of tax audits could be materially diferent from our income tax provisions and accruals. The ultmate result of an audit could have a material adverse efect on our results of operatons and cash fows in the period or periods for which that determinaton is made.</w:t>
      </w:r>
    </w:p>
    <w:p>
      <w:pPr>
        <w:spacing w:after="0" w:line="108" w:lineRule="exact"/>
        <w:rPr>
          <w:sz w:val="20"/>
          <w:szCs w:val="20"/>
          <w:color w:val="auto"/>
        </w:rPr>
      </w:pPr>
    </w:p>
    <w:p>
      <w:pPr>
        <w:ind w:right="80" w:firstLine="317"/>
        <w:spacing w:after="0" w:line="230" w:lineRule="auto"/>
        <w:rPr>
          <w:sz w:val="20"/>
          <w:szCs w:val="20"/>
          <w:color w:val="auto"/>
        </w:rPr>
      </w:pPr>
      <w:r>
        <w:rPr>
          <w:rFonts w:ascii="Calibri" w:cs="Calibri" w:eastAsia="Calibri" w:hAnsi="Calibri"/>
          <w:sz w:val="18"/>
          <w:szCs w:val="18"/>
          <w:color w:val="auto"/>
        </w:rPr>
        <w:t>As a result of the VMware Merger, we are subject to tax audits in various jurisdictons for the Dell consolidated group, of which VMware was a member beginning in Dell’s fscal year 2017 untl November 2021. While VMware is no longer a member of the Dell consolidated group, it is stll subject to audit for the periods in which it was member of the Dell consolidated group. While we believe VMware’s positons are reasonable, the fnal determinaton of tax audits could be materially diferent from our income tax provisions and accruals. Further, pursuant to a tax agreement VMware and Dell, in the event VMware becomes subject to audits as a member of Dell’s consolidated group, Dell has authority to control the audit and represent Dell and our interests, could limit our ability to afect the outcome of such audits.</w:t>
      </w:r>
    </w:p>
    <w:p>
      <w:pPr>
        <w:spacing w:after="0" w:line="110" w:lineRule="exact"/>
        <w:rPr>
          <w:sz w:val="20"/>
          <w:szCs w:val="20"/>
          <w:color w:val="auto"/>
        </w:rPr>
      </w:pPr>
    </w:p>
    <w:p>
      <w:pPr>
        <w:ind w:right="100" w:firstLine="79"/>
        <w:spacing w:after="0" w:line="230" w:lineRule="auto"/>
        <w:rPr>
          <w:sz w:val="20"/>
          <w:szCs w:val="20"/>
          <w:color w:val="auto"/>
        </w:rPr>
      </w:pPr>
      <w:r>
        <w:rPr>
          <w:rFonts w:ascii="Calibri" w:cs="Calibri" w:eastAsia="Calibri" w:hAnsi="Calibri"/>
          <w:sz w:val="18"/>
          <w:szCs w:val="18"/>
          <w:b w:val="1"/>
          <w:bCs w:val="1"/>
          <w:i w:val="1"/>
          <w:iCs w:val="1"/>
          <w:color w:val="auto"/>
        </w:rPr>
        <w:t>We have potental tax liabilites as a result of VMware’s former controlling ownership by Dell, which could have an adverse efect on our fnancial conditon and operatng results.</w:t>
      </w:r>
    </w:p>
    <w:p>
      <w:pPr>
        <w:spacing w:after="0" w:line="107" w:lineRule="exact"/>
        <w:rPr>
          <w:sz w:val="20"/>
          <w:szCs w:val="20"/>
          <w:color w:val="auto"/>
        </w:rPr>
      </w:pPr>
    </w:p>
    <w:p>
      <w:pPr>
        <w:ind w:right="20" w:firstLine="317"/>
        <w:spacing w:after="0" w:line="230" w:lineRule="auto"/>
        <w:rPr>
          <w:sz w:val="20"/>
          <w:szCs w:val="20"/>
          <w:color w:val="auto"/>
        </w:rPr>
      </w:pPr>
      <w:r>
        <w:rPr>
          <w:rFonts w:ascii="Calibri" w:cs="Calibri" w:eastAsia="Calibri" w:hAnsi="Calibri"/>
          <w:sz w:val="18"/>
          <w:szCs w:val="18"/>
          <w:color w:val="auto"/>
        </w:rPr>
        <w:t>If the VMware spin-of from Dell in November 2021 is determined to not be tax-free for any reason, we could be liable for all or a porton of the tax liability, which could have a material adverse efect on our fnancial conditon and operatng results. Further, if the VMware Merger results in the spin-of failing to qualify as a tax-free transacton under Secton 355 of the Internal Revenue Code, Dell, its afliates and, potentally, its stockholders would incur signifcant tax liabilites and we may be required to indemnify Dell and its afliates for any such tax liabilites, which could be material.</w:t>
      </w:r>
    </w:p>
    <w:p>
      <w:pPr>
        <w:spacing w:after="0" w:line="99"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Risks Related to Our Indebtedness</w:t>
      </w:r>
    </w:p>
    <w:p>
      <w:pPr>
        <w:spacing w:after="0" w:line="97" w:lineRule="exact"/>
        <w:rPr>
          <w:sz w:val="20"/>
          <w:szCs w:val="20"/>
          <w:color w:val="auto"/>
        </w:rPr>
      </w:pPr>
    </w:p>
    <w:p>
      <w:pPr>
        <w:ind w:left="80"/>
        <w:spacing w:after="0"/>
        <w:rPr>
          <w:sz w:val="20"/>
          <w:szCs w:val="20"/>
          <w:color w:val="auto"/>
        </w:rPr>
      </w:pPr>
      <w:r>
        <w:rPr>
          <w:rFonts w:ascii="Calibri" w:cs="Calibri" w:eastAsia="Calibri" w:hAnsi="Calibri"/>
          <w:sz w:val="18"/>
          <w:szCs w:val="18"/>
          <w:b w:val="1"/>
          <w:bCs w:val="1"/>
          <w:i w:val="1"/>
          <w:iCs w:val="1"/>
          <w:color w:val="auto"/>
        </w:rPr>
        <w:t>Our substantal indebtedness could adversely afect our fnancial health and our ability to execute our business strategy.</w:t>
      </w:r>
    </w:p>
    <w:p>
      <w:pPr>
        <w:spacing w:after="0" w:line="107" w:lineRule="exact"/>
        <w:rPr>
          <w:sz w:val="20"/>
          <w:szCs w:val="20"/>
          <w:color w:val="auto"/>
        </w:rPr>
      </w:pPr>
    </w:p>
    <w:p>
      <w:pPr>
        <w:ind w:right="220" w:firstLine="317"/>
        <w:spacing w:after="0" w:line="230" w:lineRule="auto"/>
        <w:rPr>
          <w:sz w:val="20"/>
          <w:szCs w:val="20"/>
          <w:color w:val="auto"/>
        </w:rPr>
      </w:pPr>
      <w:r>
        <w:rPr>
          <w:rFonts w:ascii="Calibri" w:cs="Calibri" w:eastAsia="Calibri" w:hAnsi="Calibri"/>
          <w:sz w:val="18"/>
          <w:szCs w:val="18"/>
          <w:color w:val="auto"/>
        </w:rPr>
        <w:t>As of October 29, 2023, the aggregate indebtedness under our senior notes was $40,815 million. Subsequent to the end of fscal year 2023, we borrowed $30,390 million in term loans to fnance the VMware Merger (the “2023 Term Loans”), and we assumed $8,250 million of VMware’s outstanding senior unsecured notes.</w:t>
      </w:r>
    </w:p>
    <w:p>
      <w:pPr>
        <w:spacing w:after="0" w:line="98" w:lineRule="exact"/>
        <w:rPr>
          <w:sz w:val="20"/>
          <w:szCs w:val="20"/>
          <w:color w:val="auto"/>
        </w:rPr>
      </w:pPr>
    </w:p>
    <w:p>
      <w:pPr>
        <w:ind w:left="320"/>
        <w:spacing w:after="0"/>
        <w:rPr>
          <w:sz w:val="20"/>
          <w:szCs w:val="20"/>
          <w:color w:val="auto"/>
        </w:rPr>
      </w:pPr>
      <w:r>
        <w:rPr>
          <w:rFonts w:ascii="Calibri" w:cs="Calibri" w:eastAsia="Calibri" w:hAnsi="Calibri"/>
          <w:sz w:val="18"/>
          <w:szCs w:val="18"/>
          <w:color w:val="auto"/>
        </w:rPr>
        <w:t>Our substantal indebtedness could have important consequences including:</w:t>
      </w:r>
    </w:p>
    <w:p>
      <w:pPr>
        <w:spacing w:after="0" w:line="84" w:lineRule="exact"/>
        <w:rPr>
          <w:sz w:val="20"/>
          <w:szCs w:val="20"/>
          <w:color w:val="auto"/>
        </w:rPr>
      </w:pPr>
    </w:p>
    <w:p>
      <w:pPr>
        <w:ind w:left="640" w:hanging="317"/>
        <w:spacing w:after="0"/>
        <w:tabs>
          <w:tab w:leader="none" w:pos="640" w:val="left"/>
        </w:tabs>
        <w:numPr>
          <w:ilvl w:val="0"/>
          <w:numId w:val="18"/>
        </w:numPr>
        <w:rPr>
          <w:rFonts w:ascii="Calibri" w:cs="Calibri" w:eastAsia="Calibri" w:hAnsi="Calibri"/>
          <w:sz w:val="18"/>
          <w:szCs w:val="18"/>
          <w:color w:val="auto"/>
        </w:rPr>
      </w:pPr>
      <w:r>
        <w:rPr>
          <w:rFonts w:ascii="Calibri" w:cs="Calibri" w:eastAsia="Calibri" w:hAnsi="Calibri"/>
          <w:sz w:val="18"/>
          <w:szCs w:val="18"/>
          <w:color w:val="auto"/>
        </w:rPr>
        <w:t>increasing our vulnerability to adverse general economic and industry conditons;</w:t>
      </w:r>
    </w:p>
    <w:p>
      <w:pPr>
        <w:spacing w:after="0" w:line="57" w:lineRule="exact"/>
        <w:rPr>
          <w:rFonts w:ascii="Calibri" w:cs="Calibri" w:eastAsia="Calibri" w:hAnsi="Calibri"/>
          <w:sz w:val="18"/>
          <w:szCs w:val="18"/>
          <w:color w:val="auto"/>
        </w:rPr>
      </w:pPr>
    </w:p>
    <w:p>
      <w:pPr>
        <w:ind w:left="640" w:hanging="317"/>
        <w:spacing w:after="0"/>
        <w:tabs>
          <w:tab w:leader="none" w:pos="640" w:val="left"/>
        </w:tabs>
        <w:numPr>
          <w:ilvl w:val="0"/>
          <w:numId w:val="18"/>
        </w:numPr>
        <w:rPr>
          <w:rFonts w:ascii="Calibri" w:cs="Calibri" w:eastAsia="Calibri" w:hAnsi="Calibri"/>
          <w:sz w:val="18"/>
          <w:szCs w:val="18"/>
          <w:color w:val="auto"/>
        </w:rPr>
      </w:pPr>
      <w:r>
        <w:rPr>
          <w:rFonts w:ascii="Calibri" w:cs="Calibri" w:eastAsia="Calibri" w:hAnsi="Calibri"/>
          <w:sz w:val="18"/>
          <w:szCs w:val="18"/>
          <w:color w:val="auto"/>
        </w:rPr>
        <w:t>exposing us to interest rate risk as our 2023 Term Loans bear foatng interest rates, which we do not typically hedge against;</w:t>
      </w:r>
    </w:p>
    <w:p>
      <w:pPr>
        <w:spacing w:after="0" w:line="57" w:lineRule="exact"/>
        <w:rPr>
          <w:rFonts w:ascii="Calibri" w:cs="Calibri" w:eastAsia="Calibri" w:hAnsi="Calibri"/>
          <w:sz w:val="18"/>
          <w:szCs w:val="18"/>
          <w:color w:val="auto"/>
        </w:rPr>
      </w:pPr>
    </w:p>
    <w:p>
      <w:pPr>
        <w:ind w:left="640" w:hanging="317"/>
        <w:spacing w:after="0"/>
        <w:tabs>
          <w:tab w:leader="none" w:pos="640" w:val="left"/>
        </w:tabs>
        <w:numPr>
          <w:ilvl w:val="0"/>
          <w:numId w:val="18"/>
        </w:numPr>
        <w:rPr>
          <w:rFonts w:ascii="Calibri" w:cs="Calibri" w:eastAsia="Calibri" w:hAnsi="Calibri"/>
          <w:sz w:val="18"/>
          <w:szCs w:val="18"/>
          <w:color w:val="auto"/>
        </w:rPr>
      </w:pPr>
      <w:r>
        <w:rPr>
          <w:rFonts w:ascii="Calibri" w:cs="Calibri" w:eastAsia="Calibri" w:hAnsi="Calibri"/>
          <w:sz w:val="18"/>
          <w:szCs w:val="18"/>
          <w:color w:val="auto"/>
        </w:rPr>
        <w:t>limitng our fexibility in planning for, or reactng to, changes in the economy and the semiconductor industry;</w:t>
      </w:r>
    </w:p>
    <w:p>
      <w:pPr>
        <w:spacing w:after="0" w:line="70" w:lineRule="exact"/>
        <w:rPr>
          <w:rFonts w:ascii="Calibri" w:cs="Calibri" w:eastAsia="Calibri" w:hAnsi="Calibri"/>
          <w:sz w:val="18"/>
          <w:szCs w:val="18"/>
          <w:color w:val="auto"/>
        </w:rPr>
      </w:pPr>
    </w:p>
    <w:p>
      <w:pPr>
        <w:ind w:left="640" w:hanging="317"/>
        <w:spacing w:after="0"/>
        <w:tabs>
          <w:tab w:leader="none" w:pos="640" w:val="left"/>
        </w:tabs>
        <w:numPr>
          <w:ilvl w:val="0"/>
          <w:numId w:val="18"/>
        </w:numPr>
        <w:rPr>
          <w:rFonts w:ascii="Calibri" w:cs="Calibri" w:eastAsia="Calibri" w:hAnsi="Calibri"/>
          <w:sz w:val="18"/>
          <w:szCs w:val="18"/>
          <w:color w:val="auto"/>
        </w:rPr>
      </w:pPr>
      <w:r>
        <w:rPr>
          <w:rFonts w:ascii="Calibri" w:cs="Calibri" w:eastAsia="Calibri" w:hAnsi="Calibri"/>
          <w:sz w:val="18"/>
          <w:szCs w:val="18"/>
          <w:color w:val="auto"/>
        </w:rPr>
        <w:t>placing us at a compettve disadvantage compared to our compettors with less indebtedness;</w:t>
      </w:r>
    </w:p>
    <w:p>
      <w:pPr>
        <w:spacing w:after="0" w:line="67" w:lineRule="exact"/>
        <w:rPr>
          <w:rFonts w:ascii="Calibri" w:cs="Calibri" w:eastAsia="Calibri" w:hAnsi="Calibri"/>
          <w:sz w:val="18"/>
          <w:szCs w:val="18"/>
          <w:color w:val="auto"/>
        </w:rPr>
      </w:pPr>
    </w:p>
    <w:p>
      <w:pPr>
        <w:ind w:left="640" w:right="60" w:hanging="317"/>
        <w:spacing w:after="0" w:line="230" w:lineRule="auto"/>
        <w:tabs>
          <w:tab w:leader="none" w:pos="633" w:val="left"/>
        </w:tabs>
        <w:numPr>
          <w:ilvl w:val="0"/>
          <w:numId w:val="18"/>
        </w:numPr>
        <w:rPr>
          <w:rFonts w:ascii="Calibri" w:cs="Calibri" w:eastAsia="Calibri" w:hAnsi="Calibri"/>
          <w:sz w:val="18"/>
          <w:szCs w:val="18"/>
          <w:color w:val="auto"/>
        </w:rPr>
      </w:pPr>
      <w:r>
        <w:rPr>
          <w:rFonts w:ascii="Calibri" w:cs="Calibri" w:eastAsia="Calibri" w:hAnsi="Calibri"/>
          <w:sz w:val="18"/>
          <w:szCs w:val="18"/>
          <w:color w:val="auto"/>
        </w:rPr>
        <w:t>making it more difcult to borrow additonal funds in the future to fund growth, acquisitons, working capital, capital expenditures and other purposes; and</w:t>
      </w:r>
    </w:p>
    <w:p>
      <w:pPr>
        <w:spacing w:after="0" w:line="67" w:lineRule="exact"/>
        <w:rPr>
          <w:rFonts w:ascii="Calibri" w:cs="Calibri" w:eastAsia="Calibri" w:hAnsi="Calibri"/>
          <w:sz w:val="18"/>
          <w:szCs w:val="18"/>
          <w:color w:val="auto"/>
        </w:rPr>
      </w:pPr>
    </w:p>
    <w:p>
      <w:pPr>
        <w:ind w:left="640" w:right="420" w:hanging="317"/>
        <w:spacing w:after="0" w:line="230" w:lineRule="auto"/>
        <w:tabs>
          <w:tab w:leader="none" w:pos="633" w:val="left"/>
        </w:tabs>
        <w:numPr>
          <w:ilvl w:val="0"/>
          <w:numId w:val="18"/>
        </w:numPr>
        <w:rPr>
          <w:rFonts w:ascii="Calibri" w:cs="Calibri" w:eastAsia="Calibri" w:hAnsi="Calibri"/>
          <w:sz w:val="18"/>
          <w:szCs w:val="18"/>
          <w:color w:val="auto"/>
        </w:rPr>
      </w:pPr>
      <w:r>
        <w:rPr>
          <w:rFonts w:ascii="Calibri" w:cs="Calibri" w:eastAsia="Calibri" w:hAnsi="Calibri"/>
          <w:sz w:val="18"/>
          <w:szCs w:val="18"/>
          <w:color w:val="auto"/>
        </w:rPr>
        <w:t>potentally requiring us to dedicate a substantal porton of our cash fow from operatons to payments on our indebtedness, thereby reducing the availability of our cash fow to fund our other business needs.</w:t>
      </w:r>
    </w:p>
    <w:p>
      <w:pPr>
        <w:spacing w:after="0" w:line="107" w:lineRule="exact"/>
        <w:rPr>
          <w:sz w:val="20"/>
          <w:szCs w:val="20"/>
          <w:color w:val="auto"/>
        </w:rPr>
      </w:pPr>
    </w:p>
    <w:p>
      <w:pPr>
        <w:ind w:right="80" w:firstLine="317"/>
        <w:spacing w:after="0" w:line="230" w:lineRule="auto"/>
        <w:rPr>
          <w:sz w:val="20"/>
          <w:szCs w:val="20"/>
          <w:color w:val="auto"/>
        </w:rPr>
      </w:pPr>
      <w:r>
        <w:rPr>
          <w:rFonts w:ascii="Calibri" w:cs="Calibri" w:eastAsia="Calibri" w:hAnsi="Calibri"/>
          <w:sz w:val="18"/>
          <w:szCs w:val="18"/>
          <w:color w:val="auto"/>
        </w:rPr>
        <w:t>We receive debt ratngs from the major credit ratng agencies in the U.S. Factors that may impact our credit ratngs include debt levels, planned asset purchases or sales and near-term and long-term producton growth opportunites. Liquidity, asset quality, cost structure, reserve mix and commodity pricing levels could also be considered by the ratng agencies. While we are focused on maintaining investment grade ratngs from these agencies, we may be unable to do so. Any downgrade in our credit ratng or the ratngs of our indebtedness, or adverse conditons in the debt capital markets, could:</w:t>
      </w:r>
    </w:p>
    <w:p>
      <w:pPr>
        <w:spacing w:after="0" w:line="85" w:lineRule="exact"/>
        <w:rPr>
          <w:sz w:val="20"/>
          <w:szCs w:val="20"/>
          <w:color w:val="auto"/>
        </w:rPr>
      </w:pPr>
    </w:p>
    <w:p>
      <w:pPr>
        <w:ind w:left="640" w:hanging="317"/>
        <w:spacing w:after="0"/>
        <w:tabs>
          <w:tab w:leader="none" w:pos="640" w:val="left"/>
        </w:tabs>
        <w:numPr>
          <w:ilvl w:val="0"/>
          <w:numId w:val="19"/>
        </w:numPr>
        <w:rPr>
          <w:rFonts w:ascii="Calibri" w:cs="Calibri" w:eastAsia="Calibri" w:hAnsi="Calibri"/>
          <w:sz w:val="18"/>
          <w:szCs w:val="18"/>
          <w:color w:val="auto"/>
        </w:rPr>
      </w:pPr>
      <w:r>
        <w:rPr>
          <w:rFonts w:ascii="Calibri" w:cs="Calibri" w:eastAsia="Calibri" w:hAnsi="Calibri"/>
          <w:sz w:val="18"/>
          <w:szCs w:val="18"/>
          <w:color w:val="auto"/>
        </w:rPr>
        <w:t>adversely afect the trading price of, or market for, our debt securites;</w:t>
      </w:r>
    </w:p>
    <w:p>
      <w:pPr>
        <w:spacing w:after="0" w:line="57" w:lineRule="exact"/>
        <w:rPr>
          <w:rFonts w:ascii="Calibri" w:cs="Calibri" w:eastAsia="Calibri" w:hAnsi="Calibri"/>
          <w:sz w:val="18"/>
          <w:szCs w:val="18"/>
          <w:color w:val="auto"/>
        </w:rPr>
      </w:pPr>
    </w:p>
    <w:p>
      <w:pPr>
        <w:ind w:left="640" w:hanging="317"/>
        <w:spacing w:after="0"/>
        <w:tabs>
          <w:tab w:leader="none" w:pos="640" w:val="left"/>
        </w:tabs>
        <w:numPr>
          <w:ilvl w:val="0"/>
          <w:numId w:val="19"/>
        </w:numPr>
        <w:rPr>
          <w:rFonts w:ascii="Calibri" w:cs="Calibri" w:eastAsia="Calibri" w:hAnsi="Calibri"/>
          <w:sz w:val="18"/>
          <w:szCs w:val="18"/>
          <w:color w:val="auto"/>
        </w:rPr>
      </w:pPr>
      <w:r>
        <w:rPr>
          <w:rFonts w:ascii="Calibri" w:cs="Calibri" w:eastAsia="Calibri" w:hAnsi="Calibri"/>
          <w:sz w:val="18"/>
          <w:szCs w:val="18"/>
          <w:color w:val="auto"/>
        </w:rPr>
        <w:t>increase interest expense under our term facilites;</w:t>
      </w:r>
    </w:p>
    <w:p>
      <w:pPr>
        <w:spacing w:after="0" w:line="70" w:lineRule="exact"/>
        <w:rPr>
          <w:rFonts w:ascii="Calibri" w:cs="Calibri" w:eastAsia="Calibri" w:hAnsi="Calibri"/>
          <w:sz w:val="18"/>
          <w:szCs w:val="18"/>
          <w:color w:val="auto"/>
        </w:rPr>
      </w:pPr>
    </w:p>
    <w:p>
      <w:pPr>
        <w:ind w:left="640" w:hanging="317"/>
        <w:spacing w:after="0"/>
        <w:tabs>
          <w:tab w:leader="none" w:pos="640" w:val="left"/>
        </w:tabs>
        <w:numPr>
          <w:ilvl w:val="0"/>
          <w:numId w:val="19"/>
        </w:numPr>
        <w:rPr>
          <w:rFonts w:ascii="Calibri" w:cs="Calibri" w:eastAsia="Calibri" w:hAnsi="Calibri"/>
          <w:sz w:val="18"/>
          <w:szCs w:val="18"/>
          <w:color w:val="auto"/>
        </w:rPr>
      </w:pPr>
      <w:r>
        <w:rPr>
          <w:rFonts w:ascii="Calibri" w:cs="Calibri" w:eastAsia="Calibri" w:hAnsi="Calibri"/>
          <w:sz w:val="18"/>
          <w:szCs w:val="18"/>
          <w:color w:val="auto"/>
        </w:rPr>
        <w:t>increase the cost of, and adversely afect our ability to refnance, our existng debt; and</w:t>
      </w:r>
    </w:p>
    <w:p>
      <w:pPr>
        <w:spacing w:after="0" w:line="57" w:lineRule="exact"/>
        <w:rPr>
          <w:rFonts w:ascii="Calibri" w:cs="Calibri" w:eastAsia="Calibri" w:hAnsi="Calibri"/>
          <w:sz w:val="18"/>
          <w:szCs w:val="18"/>
          <w:color w:val="auto"/>
        </w:rPr>
      </w:pPr>
    </w:p>
    <w:p>
      <w:pPr>
        <w:ind w:left="640" w:hanging="317"/>
        <w:spacing w:after="0"/>
        <w:tabs>
          <w:tab w:leader="none" w:pos="640" w:val="left"/>
        </w:tabs>
        <w:numPr>
          <w:ilvl w:val="0"/>
          <w:numId w:val="19"/>
        </w:numPr>
        <w:rPr>
          <w:rFonts w:ascii="Calibri" w:cs="Calibri" w:eastAsia="Calibri" w:hAnsi="Calibri"/>
          <w:sz w:val="18"/>
          <w:szCs w:val="18"/>
          <w:color w:val="auto"/>
        </w:rPr>
      </w:pPr>
      <w:r>
        <w:rPr>
          <w:rFonts w:ascii="Calibri" w:cs="Calibri" w:eastAsia="Calibri" w:hAnsi="Calibri"/>
          <w:sz w:val="18"/>
          <w:szCs w:val="18"/>
          <w:color w:val="auto"/>
        </w:rPr>
        <w:t>adversely afect our ability to raise additonal debt.</w:t>
      </w:r>
    </w:p>
    <w:p>
      <w:pPr>
        <w:spacing w:after="0" w:line="200" w:lineRule="exact"/>
        <w:rPr>
          <w:sz w:val="20"/>
          <w:szCs w:val="20"/>
          <w:color w:val="auto"/>
        </w:rPr>
      </w:pPr>
    </w:p>
    <w:p>
      <w:pPr>
        <w:spacing w:after="0" w:line="373" w:lineRule="exact"/>
        <w:rPr>
          <w:sz w:val="20"/>
          <w:szCs w:val="20"/>
          <w:color w:val="auto"/>
        </w:rPr>
      </w:pPr>
    </w:p>
    <w:p>
      <w:pPr>
        <w:jc w:val="center"/>
        <w:ind w:right="-39"/>
        <w:spacing w:after="0"/>
        <w:rPr>
          <w:sz w:val="20"/>
          <w:szCs w:val="20"/>
          <w:color w:val="auto"/>
        </w:rPr>
      </w:pPr>
      <w:r>
        <w:rPr>
          <w:rFonts w:ascii="Calibri" w:cs="Calibri" w:eastAsia="Calibri" w:hAnsi="Calibri"/>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00"/>
          </w:cols>
          <w:pgMar w:left="320" w:top="109" w:right="379" w:bottom="1440" w:gutter="0" w:footer="0" w:header="0"/>
        </w:sectPr>
      </w:pPr>
    </w:p>
    <w:bookmarkStart w:id="33" w:name="page34"/>
    <w:bookmarkEnd w:id="33"/>
    <w:p>
      <w:pPr>
        <w:spacing w:after="0"/>
        <w:rPr>
          <w:sz w:val="20"/>
          <w:szCs w:val="20"/>
          <w:color w:val="auto"/>
        </w:rPr>
      </w:pPr>
      <w:r>
        <w:rPr>
          <w:rFonts w:ascii="Calibri" w:cs="Calibri" w:eastAsia="Calibri" w:hAnsi="Calibri"/>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80"/>
        <w:spacing w:after="0"/>
        <w:rPr>
          <w:sz w:val="20"/>
          <w:szCs w:val="20"/>
          <w:color w:val="auto"/>
        </w:rPr>
      </w:pPr>
      <w:r>
        <w:rPr>
          <w:rFonts w:ascii="Calibri" w:cs="Calibri" w:eastAsia="Calibri" w:hAnsi="Calibri"/>
          <w:sz w:val="18"/>
          <w:szCs w:val="18"/>
          <w:b w:val="1"/>
          <w:bCs w:val="1"/>
          <w:i w:val="1"/>
          <w:iCs w:val="1"/>
          <w:color w:val="auto"/>
        </w:rPr>
        <w:t>The instruments governing our indebtedness impose certain restrictons on our business.</w:t>
      </w:r>
    </w:p>
    <w:p>
      <w:pPr>
        <w:spacing w:after="0" w:line="107" w:lineRule="exact"/>
        <w:rPr>
          <w:sz w:val="20"/>
          <w:szCs w:val="20"/>
          <w:color w:val="auto"/>
        </w:rPr>
      </w:pPr>
    </w:p>
    <w:p>
      <w:pPr>
        <w:ind w:right="40" w:firstLine="317"/>
        <w:spacing w:after="0" w:line="230" w:lineRule="auto"/>
        <w:rPr>
          <w:sz w:val="20"/>
          <w:szCs w:val="20"/>
          <w:color w:val="auto"/>
        </w:rPr>
      </w:pPr>
      <w:r>
        <w:rPr>
          <w:rFonts w:ascii="Calibri" w:cs="Calibri" w:eastAsia="Calibri" w:hAnsi="Calibri"/>
          <w:sz w:val="18"/>
          <w:szCs w:val="18"/>
          <w:color w:val="auto"/>
        </w:rPr>
        <w:t>The instruments governing our indebtedness contain certain covenants imposing restrictons on our business. These restrictons may afect our ability to operate our business, to plan for, or react to, changes in the market conditons or our capital needs and may limit our ability to take advantage of potental business opportunites as they arise. The restrictons placed on us include maintenance of an interest coverage rato and limitatons on our ability to incur certain secured debt, enter into certain sale and lease-back transactons and consolidate, merge, sell or otherwise dispose of all or substantally all of our assets. In additon, the instruments contain customary events of default upon the occurrence of which, afer any applicable grace period, the indebtedness could be declared immediately due and payable. In such event, we may not have sufcient available cash to repay such debt at the tme it becomes due, or be able to refnance such debt on acceptable terms or at all. Any of the foregoing could materially adversely afect our business, fnancial conditon and results of operatons.</w:t>
      </w:r>
    </w:p>
    <w:p>
      <w:pPr>
        <w:spacing w:after="0" w:line="101" w:lineRule="exact"/>
        <w:rPr>
          <w:sz w:val="20"/>
          <w:szCs w:val="20"/>
          <w:color w:val="auto"/>
        </w:rPr>
      </w:pPr>
    </w:p>
    <w:p>
      <w:pPr>
        <w:ind w:left="80"/>
        <w:spacing w:after="0"/>
        <w:rPr>
          <w:sz w:val="20"/>
          <w:szCs w:val="20"/>
          <w:color w:val="auto"/>
        </w:rPr>
      </w:pPr>
      <w:r>
        <w:rPr>
          <w:rFonts w:ascii="Calibri" w:cs="Calibri" w:eastAsia="Calibri" w:hAnsi="Calibri"/>
          <w:sz w:val="18"/>
          <w:szCs w:val="18"/>
          <w:b w:val="1"/>
          <w:bCs w:val="1"/>
          <w:i w:val="1"/>
          <w:iCs w:val="1"/>
          <w:color w:val="auto"/>
        </w:rPr>
        <w:t>Servicing our debt requires a signifcant amount of cash, and we may not have sufcient cash fow from our business to pay our substantal debt.</w:t>
      </w:r>
    </w:p>
    <w:p>
      <w:pPr>
        <w:spacing w:after="0" w:line="107" w:lineRule="exact"/>
        <w:rPr>
          <w:sz w:val="20"/>
          <w:szCs w:val="20"/>
          <w:color w:val="auto"/>
        </w:rPr>
      </w:pPr>
    </w:p>
    <w:p>
      <w:pPr>
        <w:ind w:firstLine="317"/>
        <w:spacing w:after="0" w:line="230" w:lineRule="auto"/>
        <w:rPr>
          <w:sz w:val="20"/>
          <w:szCs w:val="20"/>
          <w:color w:val="auto"/>
        </w:rPr>
      </w:pPr>
      <w:r>
        <w:rPr>
          <w:rFonts w:ascii="Calibri" w:cs="Calibri" w:eastAsia="Calibri" w:hAnsi="Calibri"/>
          <w:sz w:val="18"/>
          <w:szCs w:val="18"/>
          <w:color w:val="auto"/>
        </w:rPr>
        <w:t>Our ability to make scheduled payments of the principal of, to pay interest on, and to refnance our debt, depends on our future performance, which is subject to economic, fnancial, compettve and other factors. Our business may not contnue to generate cash fow from operatons in the future sufcient to satsfy our obligatons under our current indebtedness and any future indebtedness we may incur and to make necessary capital expenditures. If we are unable to generate such cash fow, we may be required to adopt one or more alternatves, such as reducing or delaying investments or capital expenditures, selling assets, refnancing or obtaining additonal equity capital on terms that may be onerous or highly dilutve. Our ability to refnance our outstanding indebtedness or future indebtedness will depend on the capital markets and our fnancial conditon at such tme. We may not be able to engage in any of these actvites or engage in these actvites on desirable terms when needed, which could result in a default on our indebtedness.</w:t>
      </w:r>
    </w:p>
    <w:p>
      <w:pPr>
        <w:spacing w:after="0" w:line="101"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Risks Related to Owning Our Common Stock</w:t>
      </w:r>
    </w:p>
    <w:p>
      <w:pPr>
        <w:spacing w:after="0" w:line="107" w:lineRule="exact"/>
        <w:rPr>
          <w:sz w:val="20"/>
          <w:szCs w:val="20"/>
          <w:color w:val="auto"/>
        </w:rPr>
      </w:pPr>
    </w:p>
    <w:p>
      <w:pPr>
        <w:jc w:val="both"/>
        <w:ind w:right="100" w:firstLine="79"/>
        <w:spacing w:after="0" w:line="247" w:lineRule="auto"/>
        <w:rPr>
          <w:sz w:val="20"/>
          <w:szCs w:val="20"/>
          <w:color w:val="auto"/>
        </w:rPr>
      </w:pPr>
      <w:r>
        <w:rPr>
          <w:rFonts w:ascii="Calibri" w:cs="Calibri" w:eastAsia="Calibri" w:hAnsi="Calibri"/>
          <w:sz w:val="17"/>
          <w:szCs w:val="17"/>
          <w:b w:val="1"/>
          <w:bCs w:val="1"/>
          <w:i w:val="1"/>
          <w:iCs w:val="1"/>
          <w:color w:val="auto"/>
        </w:rPr>
        <w:t>At tmes, our stock price has been volatle and it may fuctuate substantally in the future, which could result in substantal losses for our investors as well as class acton litgaton against us and our management which could cause us to incur substantal costs and divert our management’s atenton and resources.</w:t>
      </w:r>
    </w:p>
    <w:p>
      <w:pPr>
        <w:spacing w:after="0" w:line="101" w:lineRule="exact"/>
        <w:rPr>
          <w:sz w:val="20"/>
          <w:szCs w:val="20"/>
          <w:color w:val="auto"/>
        </w:rPr>
      </w:pPr>
    </w:p>
    <w:p>
      <w:pPr>
        <w:ind w:right="180" w:firstLine="317"/>
        <w:spacing w:after="0" w:line="230" w:lineRule="auto"/>
        <w:rPr>
          <w:sz w:val="20"/>
          <w:szCs w:val="20"/>
          <w:color w:val="auto"/>
        </w:rPr>
      </w:pPr>
      <w:r>
        <w:rPr>
          <w:rFonts w:ascii="Calibri" w:cs="Calibri" w:eastAsia="Calibri" w:hAnsi="Calibri"/>
          <w:sz w:val="18"/>
          <w:szCs w:val="18"/>
          <w:color w:val="auto"/>
        </w:rPr>
        <w:t>The trading price of our common stock has, at tmes, fuctuated signifcantly and could be subject to wide fuctuatons in response to any of the risk factors listed in this “Risk Factors” secton, and others, including:</w:t>
      </w:r>
    </w:p>
    <w:p>
      <w:pPr>
        <w:spacing w:after="0" w:line="97" w:lineRule="exact"/>
        <w:rPr>
          <w:sz w:val="20"/>
          <w:szCs w:val="20"/>
          <w:color w:val="auto"/>
        </w:rPr>
      </w:pPr>
    </w:p>
    <w:p>
      <w:pPr>
        <w:ind w:left="640" w:hanging="317"/>
        <w:spacing w:after="0"/>
        <w:tabs>
          <w:tab w:leader="none" w:pos="640" w:val="left"/>
        </w:tabs>
        <w:numPr>
          <w:ilvl w:val="0"/>
          <w:numId w:val="20"/>
        </w:numPr>
        <w:rPr>
          <w:rFonts w:ascii="Calibri" w:cs="Calibri" w:eastAsia="Calibri" w:hAnsi="Calibri"/>
          <w:sz w:val="18"/>
          <w:szCs w:val="18"/>
          <w:color w:val="auto"/>
        </w:rPr>
      </w:pPr>
      <w:r>
        <w:rPr>
          <w:rFonts w:ascii="Calibri" w:cs="Calibri" w:eastAsia="Calibri" w:hAnsi="Calibri"/>
          <w:sz w:val="18"/>
          <w:szCs w:val="18"/>
          <w:color w:val="auto"/>
        </w:rPr>
        <w:t>issuance of new or updated research or other reports by securites analysts;</w:t>
      </w:r>
    </w:p>
    <w:p>
      <w:pPr>
        <w:spacing w:after="0" w:line="106" w:lineRule="exact"/>
        <w:rPr>
          <w:rFonts w:ascii="Calibri" w:cs="Calibri" w:eastAsia="Calibri" w:hAnsi="Calibri"/>
          <w:sz w:val="18"/>
          <w:szCs w:val="18"/>
          <w:color w:val="auto"/>
        </w:rPr>
      </w:pPr>
    </w:p>
    <w:p>
      <w:pPr>
        <w:ind w:left="640" w:hanging="317"/>
        <w:spacing w:after="0"/>
        <w:tabs>
          <w:tab w:leader="none" w:pos="640" w:val="left"/>
        </w:tabs>
        <w:numPr>
          <w:ilvl w:val="0"/>
          <w:numId w:val="20"/>
        </w:numPr>
        <w:rPr>
          <w:rFonts w:ascii="Calibri" w:cs="Calibri" w:eastAsia="Calibri" w:hAnsi="Calibri"/>
          <w:sz w:val="17"/>
          <w:szCs w:val="17"/>
          <w:color w:val="auto"/>
        </w:rPr>
      </w:pPr>
      <w:r>
        <w:rPr>
          <w:rFonts w:ascii="Calibri" w:cs="Calibri" w:eastAsia="Calibri" w:hAnsi="Calibri"/>
          <w:sz w:val="17"/>
          <w:szCs w:val="17"/>
          <w:color w:val="auto"/>
        </w:rPr>
        <w:t>fuctuatons in the valuaton and results of operatons of our signifcant customers as well as companies perceived by investors to be comparable to us;</w:t>
      </w:r>
    </w:p>
    <w:p>
      <w:pPr>
        <w:spacing w:after="0" w:line="99" w:lineRule="exact"/>
        <w:rPr>
          <w:rFonts w:ascii="Calibri" w:cs="Calibri" w:eastAsia="Calibri" w:hAnsi="Calibri"/>
          <w:sz w:val="17"/>
          <w:szCs w:val="17"/>
          <w:color w:val="auto"/>
        </w:rPr>
      </w:pPr>
    </w:p>
    <w:p>
      <w:pPr>
        <w:ind w:left="640" w:hanging="317"/>
        <w:spacing w:after="0"/>
        <w:tabs>
          <w:tab w:leader="none" w:pos="640" w:val="left"/>
        </w:tabs>
        <w:numPr>
          <w:ilvl w:val="0"/>
          <w:numId w:val="20"/>
        </w:numPr>
        <w:rPr>
          <w:rFonts w:ascii="Calibri" w:cs="Calibri" w:eastAsia="Calibri" w:hAnsi="Calibri"/>
          <w:sz w:val="18"/>
          <w:szCs w:val="18"/>
          <w:color w:val="auto"/>
        </w:rPr>
      </w:pPr>
      <w:r>
        <w:rPr>
          <w:rFonts w:ascii="Calibri" w:cs="Calibri" w:eastAsia="Calibri" w:hAnsi="Calibri"/>
          <w:sz w:val="18"/>
          <w:szCs w:val="18"/>
          <w:color w:val="auto"/>
        </w:rPr>
        <w:t>announcements of proposed acquisitons by us or our compettors;</w:t>
      </w:r>
    </w:p>
    <w:p>
      <w:pPr>
        <w:spacing w:after="0" w:line="97" w:lineRule="exact"/>
        <w:rPr>
          <w:rFonts w:ascii="Calibri" w:cs="Calibri" w:eastAsia="Calibri" w:hAnsi="Calibri"/>
          <w:sz w:val="18"/>
          <w:szCs w:val="18"/>
          <w:color w:val="auto"/>
        </w:rPr>
      </w:pPr>
    </w:p>
    <w:p>
      <w:pPr>
        <w:ind w:left="640" w:hanging="317"/>
        <w:spacing w:after="0"/>
        <w:tabs>
          <w:tab w:leader="none" w:pos="640" w:val="left"/>
        </w:tabs>
        <w:numPr>
          <w:ilvl w:val="0"/>
          <w:numId w:val="20"/>
        </w:numPr>
        <w:rPr>
          <w:rFonts w:ascii="Calibri" w:cs="Calibri" w:eastAsia="Calibri" w:hAnsi="Calibri"/>
          <w:sz w:val="18"/>
          <w:szCs w:val="18"/>
          <w:color w:val="auto"/>
        </w:rPr>
      </w:pPr>
      <w:r>
        <w:rPr>
          <w:rFonts w:ascii="Calibri" w:cs="Calibri" w:eastAsia="Calibri" w:hAnsi="Calibri"/>
          <w:sz w:val="18"/>
          <w:szCs w:val="18"/>
          <w:color w:val="auto"/>
        </w:rPr>
        <w:t>announcements of, or expectatons of, additonal debt or equity fnancing transactons;</w:t>
      </w:r>
    </w:p>
    <w:p>
      <w:pPr>
        <w:spacing w:after="0" w:line="97" w:lineRule="exact"/>
        <w:rPr>
          <w:rFonts w:ascii="Calibri" w:cs="Calibri" w:eastAsia="Calibri" w:hAnsi="Calibri"/>
          <w:sz w:val="18"/>
          <w:szCs w:val="18"/>
          <w:color w:val="auto"/>
        </w:rPr>
      </w:pPr>
    </w:p>
    <w:p>
      <w:pPr>
        <w:ind w:left="640" w:hanging="317"/>
        <w:spacing w:after="0"/>
        <w:tabs>
          <w:tab w:leader="none" w:pos="640" w:val="left"/>
        </w:tabs>
        <w:numPr>
          <w:ilvl w:val="0"/>
          <w:numId w:val="20"/>
        </w:numPr>
        <w:rPr>
          <w:rFonts w:ascii="Calibri" w:cs="Calibri" w:eastAsia="Calibri" w:hAnsi="Calibri"/>
          <w:sz w:val="18"/>
          <w:szCs w:val="18"/>
          <w:color w:val="auto"/>
        </w:rPr>
      </w:pPr>
      <w:r>
        <w:rPr>
          <w:rFonts w:ascii="Calibri" w:cs="Calibri" w:eastAsia="Calibri" w:hAnsi="Calibri"/>
          <w:sz w:val="18"/>
          <w:szCs w:val="18"/>
          <w:color w:val="auto"/>
        </w:rPr>
        <w:t>stock price and volume fuctuatons atributable to inconsistent trading volume levels of our common stock;</w:t>
      </w:r>
    </w:p>
    <w:p>
      <w:pPr>
        <w:spacing w:after="0" w:line="97" w:lineRule="exact"/>
        <w:rPr>
          <w:rFonts w:ascii="Calibri" w:cs="Calibri" w:eastAsia="Calibri" w:hAnsi="Calibri"/>
          <w:sz w:val="18"/>
          <w:szCs w:val="18"/>
          <w:color w:val="auto"/>
        </w:rPr>
      </w:pPr>
    </w:p>
    <w:p>
      <w:pPr>
        <w:ind w:left="640" w:hanging="317"/>
        <w:spacing w:after="0"/>
        <w:tabs>
          <w:tab w:leader="none" w:pos="640" w:val="left"/>
        </w:tabs>
        <w:numPr>
          <w:ilvl w:val="0"/>
          <w:numId w:val="20"/>
        </w:numPr>
        <w:rPr>
          <w:rFonts w:ascii="Calibri" w:cs="Calibri" w:eastAsia="Calibri" w:hAnsi="Calibri"/>
          <w:sz w:val="18"/>
          <w:szCs w:val="18"/>
          <w:color w:val="auto"/>
        </w:rPr>
      </w:pPr>
      <w:r>
        <w:rPr>
          <w:rFonts w:ascii="Calibri" w:cs="Calibri" w:eastAsia="Calibri" w:hAnsi="Calibri"/>
          <w:sz w:val="18"/>
          <w:szCs w:val="18"/>
          <w:color w:val="auto"/>
        </w:rPr>
        <w:t>hedging or arbitrage trading actvity involving our common stock; and</w:t>
      </w:r>
    </w:p>
    <w:p>
      <w:pPr>
        <w:spacing w:after="0" w:line="97" w:lineRule="exact"/>
        <w:rPr>
          <w:rFonts w:ascii="Calibri" w:cs="Calibri" w:eastAsia="Calibri" w:hAnsi="Calibri"/>
          <w:sz w:val="18"/>
          <w:szCs w:val="18"/>
          <w:color w:val="auto"/>
        </w:rPr>
      </w:pPr>
    </w:p>
    <w:p>
      <w:pPr>
        <w:ind w:left="640" w:hanging="317"/>
        <w:spacing w:after="0"/>
        <w:tabs>
          <w:tab w:leader="none" w:pos="640" w:val="left"/>
        </w:tabs>
        <w:numPr>
          <w:ilvl w:val="0"/>
          <w:numId w:val="20"/>
        </w:numPr>
        <w:rPr>
          <w:rFonts w:ascii="Calibri" w:cs="Calibri" w:eastAsia="Calibri" w:hAnsi="Calibri"/>
          <w:sz w:val="18"/>
          <w:szCs w:val="18"/>
          <w:color w:val="auto"/>
        </w:rPr>
      </w:pPr>
      <w:r>
        <w:rPr>
          <w:rFonts w:ascii="Calibri" w:cs="Calibri" w:eastAsia="Calibri" w:hAnsi="Calibri"/>
          <w:sz w:val="18"/>
          <w:szCs w:val="18"/>
          <w:color w:val="auto"/>
        </w:rPr>
        <w:t>unsubstantated news reports or other inaccurate publicity regarding us or our business.</w:t>
      </w:r>
    </w:p>
    <w:p>
      <w:pPr>
        <w:spacing w:after="0" w:line="107" w:lineRule="exact"/>
        <w:rPr>
          <w:sz w:val="20"/>
          <w:szCs w:val="20"/>
          <w:color w:val="auto"/>
        </w:rPr>
      </w:pPr>
    </w:p>
    <w:p>
      <w:pPr>
        <w:ind w:right="80" w:firstLine="317"/>
        <w:spacing w:after="0" w:line="230" w:lineRule="auto"/>
        <w:rPr>
          <w:sz w:val="20"/>
          <w:szCs w:val="20"/>
          <w:color w:val="auto"/>
        </w:rPr>
      </w:pPr>
      <w:r>
        <w:rPr>
          <w:rFonts w:ascii="Calibri" w:cs="Calibri" w:eastAsia="Calibri" w:hAnsi="Calibri"/>
          <w:sz w:val="18"/>
          <w:szCs w:val="18"/>
          <w:color w:val="auto"/>
        </w:rPr>
        <w:t>These fuctuatons are ofen unrelated or disproportonate to our operatng performance. Broad market and industry fuctuatons, as well as general economic, politcal and market conditons such as recessions, interest rate changes or currency fuctuatons, may negatvely impact the market price of our common stock. You may not realize any return on your investment in us and may lose some or all of your investment. In the past, companies that have experienced volatlity in the market price of their stock have been subject to securites class acton litgaton. We may be the target of this type of litgaton in the future. In additon, we have been, and in the future we may be, subject to lawsuits stemming from our acquisitons, including the VMware Merger. Securites litgaton against us, including the lawsuits related to such acquisitons, could result in substantal costs and divert our management’s atenton from other business concerns, which could seriously harm our business.</w:t>
      </w:r>
    </w:p>
    <w:p>
      <w:pPr>
        <w:spacing w:after="0" w:line="101" w:lineRule="exact"/>
        <w:rPr>
          <w:sz w:val="20"/>
          <w:szCs w:val="20"/>
          <w:color w:val="auto"/>
        </w:rPr>
      </w:pPr>
    </w:p>
    <w:p>
      <w:pPr>
        <w:ind w:left="80"/>
        <w:spacing w:after="0"/>
        <w:rPr>
          <w:sz w:val="20"/>
          <w:szCs w:val="20"/>
          <w:color w:val="auto"/>
        </w:rPr>
      </w:pPr>
      <w:r>
        <w:rPr>
          <w:rFonts w:ascii="Calibri" w:cs="Calibri" w:eastAsia="Calibri" w:hAnsi="Calibri"/>
          <w:sz w:val="18"/>
          <w:szCs w:val="18"/>
          <w:b w:val="1"/>
          <w:bCs w:val="1"/>
          <w:i w:val="1"/>
          <w:iCs w:val="1"/>
          <w:color w:val="auto"/>
        </w:rPr>
        <w:t>The amount and frequency of our stock repurchases may fuctuate.</w:t>
      </w:r>
    </w:p>
    <w:p>
      <w:pPr>
        <w:spacing w:after="0" w:line="107" w:lineRule="exact"/>
        <w:rPr>
          <w:sz w:val="20"/>
          <w:szCs w:val="20"/>
          <w:color w:val="auto"/>
        </w:rPr>
      </w:pPr>
    </w:p>
    <w:p>
      <w:pPr>
        <w:ind w:right="80" w:firstLine="317"/>
        <w:spacing w:after="0" w:line="230" w:lineRule="auto"/>
        <w:rPr>
          <w:sz w:val="20"/>
          <w:szCs w:val="20"/>
          <w:color w:val="auto"/>
        </w:rPr>
      </w:pPr>
      <w:r>
        <w:rPr>
          <w:rFonts w:ascii="Calibri" w:cs="Calibri" w:eastAsia="Calibri" w:hAnsi="Calibri"/>
          <w:sz w:val="18"/>
          <w:szCs w:val="18"/>
          <w:color w:val="auto"/>
        </w:rPr>
        <w:t>The amount, tming and executon of our stock repurchase program may fuctuate based on our priorites for the use of cash for other purposes. These purposes include operatonal spending, capital spending, acquisitons, repayment of debt and returning cash to our stockholders as dividend payments. Changes in cash fows, tax laws and our stock price could also impact our stock repurchase program. We are not obligated to repurchase any specifc amount of shares of common stock, and the stock repurchase program may be suspended or terminated at any tme.</w:t>
      </w: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9" w:right="339" w:bottom="1440" w:gutter="0" w:footer="0" w:header="0"/>
        </w:sectPr>
      </w:pPr>
    </w:p>
    <w:bookmarkStart w:id="34" w:name="page35"/>
    <w:bookmarkEnd w:id="34"/>
    <w:p>
      <w:pPr>
        <w:spacing w:after="0"/>
        <w:rPr>
          <w:sz w:val="20"/>
          <w:szCs w:val="20"/>
          <w:color w:val="auto"/>
        </w:rPr>
      </w:pPr>
      <w:r>
        <w:rPr>
          <w:rFonts w:ascii="Calibri" w:cs="Calibri" w:eastAsia="Calibri" w:hAnsi="Calibri"/>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right="340" w:firstLine="79"/>
        <w:spacing w:after="0" w:line="230" w:lineRule="auto"/>
        <w:rPr>
          <w:sz w:val="20"/>
          <w:szCs w:val="20"/>
          <w:color w:val="auto"/>
        </w:rPr>
      </w:pPr>
      <w:r>
        <w:rPr>
          <w:rFonts w:ascii="Calibri" w:cs="Calibri" w:eastAsia="Calibri" w:hAnsi="Calibri"/>
          <w:sz w:val="18"/>
          <w:szCs w:val="18"/>
          <w:b w:val="1"/>
          <w:bCs w:val="1"/>
          <w:i w:val="1"/>
          <w:iCs w:val="1"/>
          <w:color w:val="auto"/>
        </w:rPr>
        <w:t>A substantal amount of our stock is held by a small number of large investors and signifcant sales of our common stock by one or more of these holders could cause our stock price to fall.</w:t>
      </w:r>
    </w:p>
    <w:p>
      <w:pPr>
        <w:spacing w:after="0" w:line="107" w:lineRule="exact"/>
        <w:rPr>
          <w:sz w:val="20"/>
          <w:szCs w:val="20"/>
          <w:color w:val="auto"/>
        </w:rPr>
      </w:pPr>
    </w:p>
    <w:p>
      <w:pPr>
        <w:ind w:firstLine="317"/>
        <w:spacing w:after="0" w:line="230" w:lineRule="auto"/>
        <w:rPr>
          <w:sz w:val="20"/>
          <w:szCs w:val="20"/>
          <w:color w:val="auto"/>
        </w:rPr>
      </w:pPr>
      <w:r>
        <w:rPr>
          <w:rFonts w:ascii="Calibri" w:cs="Calibri" w:eastAsia="Calibri" w:hAnsi="Calibri"/>
          <w:sz w:val="18"/>
          <w:szCs w:val="18"/>
          <w:color w:val="auto"/>
        </w:rPr>
        <w:t>As of September 29, 2023, we believe 10 of our 20 largest holders of common stock were actve insttutonal investors who held 23% of our outstanding shares of common stock in the aggregate. These investors may sell their shares at any tme for a variety of reasons and such sales could depress the market price of our common stock. In additon, any such sales of our common stock by these enttes could also impair our ability to raise capital through the sale of additonal equity securites.</w:t>
      </w:r>
    </w:p>
    <w:p>
      <w:pPr>
        <w:spacing w:after="0" w:line="99" w:lineRule="exact"/>
        <w:rPr>
          <w:sz w:val="20"/>
          <w:szCs w:val="20"/>
          <w:color w:val="auto"/>
        </w:rPr>
      </w:pPr>
    </w:p>
    <w:p>
      <w:pPr>
        <w:ind w:left="80"/>
        <w:spacing w:after="0"/>
        <w:rPr>
          <w:sz w:val="20"/>
          <w:szCs w:val="20"/>
          <w:color w:val="auto"/>
        </w:rPr>
      </w:pPr>
      <w:r>
        <w:rPr>
          <w:rFonts w:ascii="Calibri" w:cs="Calibri" w:eastAsia="Calibri" w:hAnsi="Calibri"/>
          <w:sz w:val="18"/>
          <w:szCs w:val="18"/>
          <w:b w:val="1"/>
          <w:bCs w:val="1"/>
          <w:i w:val="1"/>
          <w:iCs w:val="1"/>
          <w:color w:val="auto"/>
        </w:rPr>
        <w:t>There can be no assurance that we will contnue to declare cash dividends.</w:t>
      </w:r>
    </w:p>
    <w:p>
      <w:pPr>
        <w:spacing w:after="0" w:line="107" w:lineRule="exact"/>
        <w:rPr>
          <w:sz w:val="20"/>
          <w:szCs w:val="20"/>
          <w:color w:val="auto"/>
        </w:rPr>
      </w:pPr>
    </w:p>
    <w:p>
      <w:pPr>
        <w:ind w:right="160" w:firstLine="317"/>
        <w:spacing w:after="0" w:line="245" w:lineRule="auto"/>
        <w:rPr>
          <w:sz w:val="20"/>
          <w:szCs w:val="20"/>
          <w:color w:val="auto"/>
        </w:rPr>
      </w:pPr>
      <w:r>
        <w:rPr>
          <w:rFonts w:ascii="Calibri" w:cs="Calibri" w:eastAsia="Calibri" w:hAnsi="Calibri"/>
          <w:sz w:val="17"/>
          <w:szCs w:val="17"/>
          <w:color w:val="auto"/>
        </w:rPr>
        <w:t>Our Board of Directors has adopted a dividend policy pursuant to which we currently pay a cash dividend on our common stock on a quarterly basis. The declaraton and payment of any dividend is subject to the approval of our Board of Directors and our dividend may be discontnued or reduced at any tme. Because we are a holding company, our ability to pay cash dividends is also limited by restrictons or limitatons on our ability to obtain sufcient funds through dividends from subsidiaries. There can be no assurance that we will declare cash dividends in the future in any partcular amounts, or at all.</w:t>
      </w:r>
    </w:p>
    <w:p>
      <w:pPr>
        <w:spacing w:after="0" w:line="94" w:lineRule="exact"/>
        <w:rPr>
          <w:sz w:val="20"/>
          <w:szCs w:val="20"/>
          <w:color w:val="auto"/>
        </w:rPr>
      </w:pPr>
    </w:p>
    <w:p>
      <w:pPr>
        <w:spacing w:after="0"/>
        <w:tabs>
          <w:tab w:leader="none" w:pos="1060" w:val="left"/>
        </w:tabs>
        <w:rPr>
          <w:sz w:val="20"/>
          <w:szCs w:val="20"/>
          <w:color w:val="auto"/>
        </w:rPr>
      </w:pPr>
      <w:r>
        <w:rPr>
          <w:rFonts w:ascii="Calibri" w:cs="Calibri" w:eastAsia="Calibri" w:hAnsi="Calibri"/>
          <w:sz w:val="18"/>
          <w:szCs w:val="18"/>
          <w:b w:val="1"/>
          <w:bCs w:val="1"/>
          <w:color w:val="auto"/>
        </w:rPr>
        <w:t>ITEM 1B.</w:t>
      </w:r>
      <w:r>
        <w:rPr>
          <w:sz w:val="20"/>
          <w:szCs w:val="20"/>
          <w:color w:val="auto"/>
        </w:rPr>
        <w:tab/>
      </w:r>
      <w:r>
        <w:rPr>
          <w:rFonts w:ascii="Calibri" w:cs="Calibri" w:eastAsia="Calibri" w:hAnsi="Calibri"/>
          <w:sz w:val="15"/>
          <w:szCs w:val="15"/>
          <w:b w:val="1"/>
          <w:bCs w:val="1"/>
          <w:color w:val="auto"/>
        </w:rPr>
        <w:t>UNRESOLVED STAFF COMMENTS</w:t>
      </w:r>
    </w:p>
    <w:p>
      <w:pPr>
        <w:spacing w:after="0" w:line="97" w:lineRule="exact"/>
        <w:rPr>
          <w:sz w:val="20"/>
          <w:szCs w:val="20"/>
          <w:color w:val="auto"/>
        </w:rPr>
      </w:pPr>
    </w:p>
    <w:p>
      <w:pPr>
        <w:ind w:left="440"/>
        <w:spacing w:after="0"/>
        <w:rPr>
          <w:sz w:val="20"/>
          <w:szCs w:val="20"/>
          <w:color w:val="auto"/>
        </w:rPr>
      </w:pPr>
      <w:r>
        <w:rPr>
          <w:rFonts w:ascii="Calibri" w:cs="Calibri" w:eastAsia="Calibri" w:hAnsi="Calibri"/>
          <w:sz w:val="18"/>
          <w:szCs w:val="18"/>
          <w:color w:val="auto"/>
        </w:rPr>
        <w:t>None.</w:t>
      </w:r>
    </w:p>
    <w:p>
      <w:pPr>
        <w:spacing w:after="0" w:line="97" w:lineRule="exact"/>
        <w:rPr>
          <w:sz w:val="20"/>
          <w:szCs w:val="20"/>
          <w:color w:val="auto"/>
        </w:rPr>
      </w:pPr>
    </w:p>
    <w:p>
      <w:pPr>
        <w:spacing w:after="0"/>
        <w:tabs>
          <w:tab w:leader="none" w:pos="1080" w:val="left"/>
        </w:tabs>
        <w:rPr>
          <w:sz w:val="20"/>
          <w:szCs w:val="20"/>
          <w:color w:val="auto"/>
        </w:rPr>
      </w:pPr>
      <w:r>
        <w:rPr>
          <w:rFonts w:ascii="Calibri" w:cs="Calibri" w:eastAsia="Calibri" w:hAnsi="Calibri"/>
          <w:sz w:val="18"/>
          <w:szCs w:val="18"/>
          <w:b w:val="1"/>
          <w:bCs w:val="1"/>
          <w:color w:val="auto"/>
        </w:rPr>
        <w:t>ITEM 1C.</w:t>
      </w:r>
      <w:r>
        <w:rPr>
          <w:sz w:val="20"/>
          <w:szCs w:val="20"/>
          <w:color w:val="auto"/>
        </w:rPr>
        <w:tab/>
      </w:r>
      <w:r>
        <w:rPr>
          <w:rFonts w:ascii="Calibri" w:cs="Calibri" w:eastAsia="Calibri" w:hAnsi="Calibri"/>
          <w:sz w:val="17"/>
          <w:szCs w:val="17"/>
          <w:b w:val="1"/>
          <w:bCs w:val="1"/>
          <w:color w:val="auto"/>
        </w:rPr>
        <w:t>CYBERSECURITY</w:t>
      </w:r>
    </w:p>
    <w:p>
      <w:pPr>
        <w:spacing w:after="0" w:line="97" w:lineRule="exact"/>
        <w:rPr>
          <w:sz w:val="20"/>
          <w:szCs w:val="20"/>
          <w:color w:val="auto"/>
        </w:rPr>
      </w:pPr>
    </w:p>
    <w:p>
      <w:pPr>
        <w:jc w:val="center"/>
        <w:ind w:right="9280"/>
        <w:spacing w:after="0"/>
        <w:rPr>
          <w:sz w:val="20"/>
          <w:szCs w:val="20"/>
          <w:color w:val="auto"/>
        </w:rPr>
      </w:pPr>
      <w:r>
        <w:rPr>
          <w:rFonts w:ascii="Calibri" w:cs="Calibri" w:eastAsia="Calibri" w:hAnsi="Calibri"/>
          <w:sz w:val="18"/>
          <w:szCs w:val="18"/>
          <w:color w:val="auto"/>
        </w:rPr>
        <w:t>Not applicable.</w:t>
      </w:r>
    </w:p>
    <w:p>
      <w:pPr>
        <w:spacing w:after="0" w:line="97" w:lineRule="exact"/>
        <w:rPr>
          <w:sz w:val="20"/>
          <w:szCs w:val="20"/>
          <w:color w:val="auto"/>
        </w:rPr>
      </w:pPr>
    </w:p>
    <w:p>
      <w:pPr>
        <w:spacing w:after="0"/>
        <w:tabs>
          <w:tab w:leader="none" w:pos="1080" w:val="left"/>
        </w:tabs>
        <w:rPr>
          <w:sz w:val="20"/>
          <w:szCs w:val="20"/>
          <w:color w:val="auto"/>
        </w:rPr>
      </w:pPr>
      <w:r>
        <w:rPr>
          <w:rFonts w:ascii="Calibri" w:cs="Calibri" w:eastAsia="Calibri" w:hAnsi="Calibri"/>
          <w:sz w:val="18"/>
          <w:szCs w:val="18"/>
          <w:b w:val="1"/>
          <w:bCs w:val="1"/>
          <w:color w:val="auto"/>
        </w:rPr>
        <w:t>ITEM 2.</w:t>
      </w:r>
      <w:r>
        <w:rPr>
          <w:sz w:val="20"/>
          <w:szCs w:val="20"/>
          <w:color w:val="auto"/>
        </w:rPr>
        <w:tab/>
      </w:r>
      <w:r>
        <w:rPr>
          <w:rFonts w:ascii="Calibri" w:cs="Calibri" w:eastAsia="Calibri" w:hAnsi="Calibri"/>
          <w:sz w:val="15"/>
          <w:szCs w:val="15"/>
          <w:b w:val="1"/>
          <w:bCs w:val="1"/>
          <w:color w:val="auto"/>
        </w:rPr>
        <w:t>PROPERTIES</w:t>
      </w:r>
    </w:p>
    <w:p>
      <w:pPr>
        <w:spacing w:after="0" w:line="107" w:lineRule="exact"/>
        <w:rPr>
          <w:sz w:val="20"/>
          <w:szCs w:val="20"/>
          <w:color w:val="auto"/>
        </w:rPr>
      </w:pPr>
    </w:p>
    <w:p>
      <w:pPr>
        <w:ind w:right="140" w:firstLine="396"/>
        <w:spacing w:after="0" w:line="230" w:lineRule="auto"/>
        <w:rPr>
          <w:sz w:val="20"/>
          <w:szCs w:val="20"/>
          <w:color w:val="auto"/>
        </w:rPr>
      </w:pPr>
      <w:r>
        <w:rPr>
          <w:rFonts w:ascii="Calibri" w:cs="Calibri" w:eastAsia="Calibri" w:hAnsi="Calibri"/>
          <w:sz w:val="18"/>
          <w:szCs w:val="18"/>
          <w:color w:val="auto"/>
        </w:rPr>
        <w:t>We are headquartered in Palo Alto, California and our primary warehouse is located in Malaysia. We conduct our administraton, manufacturing, research and development, sales and marketng in both owned and leased facilites. We believe that our owned and leased facilites are adequate for our present operatons. We do not identfy or allocate assets by operatng segment.</w:t>
      </w:r>
    </w:p>
    <w:p>
      <w:pPr>
        <w:spacing w:after="0" w:line="98" w:lineRule="exact"/>
        <w:rPr>
          <w:sz w:val="20"/>
          <w:szCs w:val="20"/>
          <w:color w:val="auto"/>
        </w:rPr>
      </w:pPr>
    </w:p>
    <w:p>
      <w:pPr>
        <w:ind w:left="400"/>
        <w:spacing w:after="0"/>
        <w:rPr>
          <w:sz w:val="20"/>
          <w:szCs w:val="20"/>
          <w:color w:val="auto"/>
        </w:rPr>
      </w:pPr>
      <w:r>
        <w:rPr>
          <w:rFonts w:ascii="Calibri" w:cs="Calibri" w:eastAsia="Calibri" w:hAnsi="Calibri"/>
          <w:sz w:val="18"/>
          <w:szCs w:val="18"/>
          <w:color w:val="auto"/>
        </w:rPr>
        <w:t>As of October 29, 2023, our owned and leased facilites in excess of 100,000 square feet consisted of:</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380" w:type="dxa"/>
            <w:vAlign w:val="bottom"/>
            <w:gridSpan w:val="2"/>
          </w:tcPr>
          <w:p>
            <w:pPr>
              <w:spacing w:after="0"/>
              <w:rPr>
                <w:sz w:val="20"/>
                <w:szCs w:val="20"/>
                <w:color w:val="auto"/>
              </w:rPr>
            </w:pPr>
            <w:r>
              <w:rPr>
                <w:rFonts w:ascii="Calibri" w:cs="Calibri" w:eastAsia="Calibri" w:hAnsi="Calibri"/>
                <w:sz w:val="14"/>
                <w:szCs w:val="14"/>
                <w:b w:val="1"/>
                <w:bCs w:val="1"/>
                <w:color w:val="auto"/>
              </w:rPr>
              <w:t>(In square feet)</w:t>
            </w:r>
          </w:p>
        </w:tc>
        <w:tc>
          <w:tcPr>
            <w:tcW w:w="1640" w:type="dxa"/>
            <w:vAlign w:val="bottom"/>
            <w:gridSpan w:val="2"/>
          </w:tcPr>
          <w:p>
            <w:pPr>
              <w:ind w:left="380"/>
              <w:spacing w:after="0"/>
              <w:rPr>
                <w:sz w:val="20"/>
                <w:szCs w:val="20"/>
                <w:color w:val="auto"/>
              </w:rPr>
            </w:pPr>
            <w:r>
              <w:rPr>
                <w:rFonts w:ascii="Calibri" w:cs="Calibri" w:eastAsia="Calibri" w:hAnsi="Calibri"/>
                <w:sz w:val="14"/>
                <w:szCs w:val="14"/>
                <w:b w:val="1"/>
                <w:bCs w:val="1"/>
                <w:color w:val="auto"/>
              </w:rPr>
              <w:t>United States</w:t>
            </w:r>
          </w:p>
        </w:tc>
        <w:tc>
          <w:tcPr>
            <w:tcW w:w="1640" w:type="dxa"/>
            <w:vAlign w:val="bottom"/>
            <w:gridSpan w:val="2"/>
          </w:tcPr>
          <w:p>
            <w:pPr>
              <w:ind w:left="300"/>
              <w:spacing w:after="0"/>
              <w:rPr>
                <w:sz w:val="20"/>
                <w:szCs w:val="20"/>
                <w:color w:val="auto"/>
              </w:rPr>
            </w:pPr>
            <w:r>
              <w:rPr>
                <w:rFonts w:ascii="Calibri" w:cs="Calibri" w:eastAsia="Calibri" w:hAnsi="Calibri"/>
                <w:sz w:val="14"/>
                <w:szCs w:val="14"/>
                <w:b w:val="1"/>
                <w:bCs w:val="1"/>
                <w:color w:val="auto"/>
              </w:rPr>
              <w:t>Other Countries</w:t>
            </w:r>
          </w:p>
        </w:tc>
        <w:tc>
          <w:tcPr>
            <w:tcW w:w="1520" w:type="dxa"/>
            <w:vAlign w:val="bottom"/>
          </w:tcPr>
          <w:p>
            <w:pPr>
              <w:jc w:val="right"/>
              <w:ind w:right="536"/>
              <w:spacing w:after="0"/>
              <w:rPr>
                <w:sz w:val="20"/>
                <w:szCs w:val="20"/>
                <w:color w:val="auto"/>
              </w:rPr>
            </w:pPr>
            <w:r>
              <w:rPr>
                <w:rFonts w:ascii="Calibri" w:cs="Calibri" w:eastAsia="Calibri" w:hAnsi="Calibri"/>
                <w:sz w:val="14"/>
                <w:szCs w:val="14"/>
                <w:b w:val="1"/>
                <w:bCs w:val="1"/>
                <w:color w:val="auto"/>
              </w:rPr>
              <w:t>Total</w:t>
            </w:r>
          </w:p>
        </w:tc>
        <w:tc>
          <w:tcPr>
            <w:tcW w:w="0" w:type="dxa"/>
            <w:vAlign w:val="bottom"/>
          </w:tcPr>
          <w:p>
            <w:pPr>
              <w:spacing w:after="0"/>
              <w:rPr>
                <w:sz w:val="1"/>
                <w:szCs w:val="1"/>
                <w:color w:val="auto"/>
              </w:rPr>
            </w:pPr>
          </w:p>
        </w:tc>
      </w:tr>
      <w:tr>
        <w:trPr>
          <w:trHeight w:val="45"/>
        </w:trPr>
        <w:tc>
          <w:tcPr>
            <w:tcW w:w="20" w:type="dxa"/>
            <w:vAlign w:val="bottom"/>
            <w:tcBorders>
              <w:bottom w:val="single" w:sz="8" w:color="CCEEFF"/>
            </w:tcBorders>
          </w:tcPr>
          <w:p>
            <w:pPr>
              <w:spacing w:after="0"/>
              <w:rPr>
                <w:sz w:val="3"/>
                <w:szCs w:val="3"/>
                <w:color w:val="auto"/>
              </w:rPr>
            </w:pPr>
          </w:p>
        </w:tc>
        <w:tc>
          <w:tcPr>
            <w:tcW w:w="1280" w:type="dxa"/>
            <w:vAlign w:val="bottom"/>
            <w:tcBorders>
              <w:bottom w:val="single" w:sz="8" w:color="CCEEFF"/>
            </w:tcBorders>
          </w:tcPr>
          <w:p>
            <w:pPr>
              <w:spacing w:after="0"/>
              <w:rPr>
                <w:sz w:val="3"/>
                <w:szCs w:val="3"/>
                <w:color w:val="auto"/>
              </w:rPr>
            </w:pPr>
          </w:p>
        </w:tc>
        <w:tc>
          <w:tcPr>
            <w:tcW w:w="5100" w:type="dxa"/>
            <w:vAlign w:val="bottom"/>
            <w:tcBorders>
              <w:bottom w:val="single" w:sz="8" w:color="CCEEFF"/>
            </w:tcBorders>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8"/>
        </w:trPr>
        <w:tc>
          <w:tcPr>
            <w:tcW w:w="20" w:type="dxa"/>
            <w:vAlign w:val="bottom"/>
            <w:shd w:val="clear" w:color="auto" w:fill="CCEEFF"/>
          </w:tcPr>
          <w:p>
            <w:pPr>
              <w:spacing w:after="0"/>
              <w:rPr>
                <w:sz w:val="18"/>
                <w:szCs w:val="18"/>
                <w:color w:val="auto"/>
              </w:rPr>
            </w:pPr>
          </w:p>
        </w:tc>
        <w:tc>
          <w:tcPr>
            <w:tcW w:w="6380" w:type="dxa"/>
            <w:vAlign w:val="bottom"/>
            <w:gridSpan w:val="2"/>
            <w:shd w:val="clear" w:color="auto" w:fill="CCEEFF"/>
          </w:tcPr>
          <w:p>
            <w:pPr>
              <w:spacing w:after="0" w:line="218" w:lineRule="exact"/>
              <w:rPr>
                <w:sz w:val="20"/>
                <w:szCs w:val="20"/>
                <w:color w:val="auto"/>
              </w:rPr>
            </w:pPr>
            <w:r>
              <w:rPr>
                <w:rFonts w:ascii="Calibri" w:cs="Calibri" w:eastAsia="Calibri" w:hAnsi="Calibri"/>
                <w:sz w:val="18"/>
                <w:szCs w:val="18"/>
                <w:color w:val="auto"/>
              </w:rPr>
              <w:t xml:space="preserve">Owned facilites </w:t>
            </w:r>
            <w:r>
              <w:rPr>
                <w:rFonts w:ascii="Calibri" w:cs="Calibri" w:eastAsia="Calibri" w:hAnsi="Calibri"/>
                <w:sz w:val="22"/>
                <w:szCs w:val="22"/>
                <w:color w:val="auto"/>
                <w:vertAlign w:val="superscript"/>
              </w:rPr>
              <w:t>(a)</w:t>
            </w:r>
          </w:p>
        </w:tc>
        <w:tc>
          <w:tcPr>
            <w:tcW w:w="1520" w:type="dxa"/>
            <w:vAlign w:val="bottom"/>
            <w:shd w:val="clear" w:color="auto" w:fill="CCEEFF"/>
          </w:tcPr>
          <w:p>
            <w:pPr>
              <w:jc w:val="right"/>
              <w:spacing w:after="0" w:line="210" w:lineRule="exact"/>
              <w:rPr>
                <w:sz w:val="20"/>
                <w:szCs w:val="20"/>
                <w:color w:val="auto"/>
              </w:rPr>
            </w:pPr>
            <w:r>
              <w:rPr>
                <w:rFonts w:ascii="Calibri" w:cs="Calibri" w:eastAsia="Calibri" w:hAnsi="Calibri"/>
                <w:sz w:val="18"/>
                <w:szCs w:val="18"/>
                <w:color w:val="auto"/>
              </w:rPr>
              <w:t>2,586,368</w:t>
            </w:r>
          </w:p>
        </w:tc>
        <w:tc>
          <w:tcPr>
            <w:tcW w:w="12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line="210" w:lineRule="exact"/>
              <w:rPr>
                <w:sz w:val="20"/>
                <w:szCs w:val="20"/>
                <w:color w:val="auto"/>
              </w:rPr>
            </w:pPr>
            <w:r>
              <w:rPr>
                <w:rFonts w:ascii="Calibri" w:cs="Calibri" w:eastAsia="Calibri" w:hAnsi="Calibri"/>
                <w:sz w:val="18"/>
                <w:szCs w:val="18"/>
                <w:color w:val="auto"/>
              </w:rPr>
              <w:t>928,888</w:t>
            </w:r>
          </w:p>
        </w:tc>
        <w:tc>
          <w:tcPr>
            <w:tcW w:w="12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line="210" w:lineRule="exact"/>
              <w:rPr>
                <w:sz w:val="20"/>
                <w:szCs w:val="20"/>
                <w:color w:val="auto"/>
              </w:rPr>
            </w:pPr>
            <w:r>
              <w:rPr>
                <w:rFonts w:ascii="Calibri" w:cs="Calibri" w:eastAsia="Calibri" w:hAnsi="Calibri"/>
                <w:sz w:val="18"/>
                <w:szCs w:val="18"/>
                <w:color w:val="auto"/>
              </w:rPr>
              <w:t>3,515,256</w:t>
            </w:r>
          </w:p>
        </w:tc>
        <w:tc>
          <w:tcPr>
            <w:tcW w:w="0" w:type="dxa"/>
            <w:vAlign w:val="bottom"/>
          </w:tcPr>
          <w:p>
            <w:pPr>
              <w:spacing w:after="0"/>
              <w:rPr>
                <w:sz w:val="1"/>
                <w:szCs w:val="1"/>
                <w:color w:val="auto"/>
              </w:rPr>
            </w:pPr>
          </w:p>
        </w:tc>
      </w:tr>
      <w:tr>
        <w:trPr>
          <w:trHeight w:val="224"/>
        </w:trPr>
        <w:tc>
          <w:tcPr>
            <w:tcW w:w="20" w:type="dxa"/>
            <w:vAlign w:val="bottom"/>
            <w:tcBorders>
              <w:bottom w:val="single" w:sz="8" w:color="CCEEFF"/>
            </w:tcBorders>
          </w:tcPr>
          <w:p>
            <w:pPr>
              <w:spacing w:after="0"/>
              <w:rPr>
                <w:sz w:val="19"/>
                <w:szCs w:val="19"/>
                <w:color w:val="auto"/>
              </w:rPr>
            </w:pPr>
          </w:p>
        </w:tc>
        <w:tc>
          <w:tcPr>
            <w:tcW w:w="6380" w:type="dxa"/>
            <w:vAlign w:val="bottom"/>
            <w:tcBorders>
              <w:bottom w:val="single" w:sz="8" w:color="CCEEFF"/>
            </w:tcBorders>
            <w:gridSpan w:val="2"/>
          </w:tcPr>
          <w:p>
            <w:pPr>
              <w:spacing w:after="0" w:line="224" w:lineRule="exact"/>
              <w:rPr>
                <w:sz w:val="20"/>
                <w:szCs w:val="20"/>
                <w:color w:val="auto"/>
              </w:rPr>
            </w:pPr>
            <w:r>
              <w:rPr>
                <w:rFonts w:ascii="Calibri" w:cs="Calibri" w:eastAsia="Calibri" w:hAnsi="Calibri"/>
                <w:sz w:val="18"/>
                <w:szCs w:val="18"/>
                <w:color w:val="auto"/>
              </w:rPr>
              <w:t xml:space="preserve">Leased facilites </w:t>
            </w:r>
            <w:r>
              <w:rPr>
                <w:rFonts w:ascii="Calibri" w:cs="Calibri" w:eastAsia="Calibri" w:hAnsi="Calibri"/>
                <w:sz w:val="22"/>
                <w:szCs w:val="22"/>
                <w:color w:val="auto"/>
                <w:vertAlign w:val="superscript"/>
              </w:rPr>
              <w:t>(b)</w:t>
            </w:r>
          </w:p>
        </w:tc>
        <w:tc>
          <w:tcPr>
            <w:tcW w:w="1520" w:type="dxa"/>
            <w:vAlign w:val="bottom"/>
            <w:tcBorders>
              <w:bottom w:val="single" w:sz="8" w:color="auto"/>
            </w:tcBorders>
          </w:tcPr>
          <w:p>
            <w:pPr>
              <w:jc w:val="right"/>
              <w:spacing w:after="0" w:line="210" w:lineRule="exact"/>
              <w:rPr>
                <w:sz w:val="20"/>
                <w:szCs w:val="20"/>
                <w:color w:val="auto"/>
              </w:rPr>
            </w:pPr>
            <w:r>
              <w:rPr>
                <w:rFonts w:ascii="Calibri" w:cs="Calibri" w:eastAsia="Calibri" w:hAnsi="Calibri"/>
                <w:sz w:val="18"/>
                <w:szCs w:val="18"/>
                <w:color w:val="auto"/>
              </w:rPr>
              <w:t>796,508</w:t>
            </w:r>
          </w:p>
        </w:tc>
        <w:tc>
          <w:tcPr>
            <w:tcW w:w="120" w:type="dxa"/>
            <w:vAlign w:val="bottom"/>
            <w:tcBorders>
              <w:bottom w:val="single" w:sz="8" w:color="CCEEFF"/>
            </w:tcBorders>
          </w:tcPr>
          <w:p>
            <w:pPr>
              <w:spacing w:after="0"/>
              <w:rPr>
                <w:sz w:val="19"/>
                <w:szCs w:val="19"/>
                <w:color w:val="auto"/>
              </w:rPr>
            </w:pPr>
          </w:p>
        </w:tc>
        <w:tc>
          <w:tcPr>
            <w:tcW w:w="1520" w:type="dxa"/>
            <w:vAlign w:val="bottom"/>
            <w:tcBorders>
              <w:bottom w:val="single" w:sz="8" w:color="auto"/>
            </w:tcBorders>
          </w:tcPr>
          <w:p>
            <w:pPr>
              <w:jc w:val="right"/>
              <w:spacing w:after="0" w:line="210" w:lineRule="exact"/>
              <w:rPr>
                <w:sz w:val="20"/>
                <w:szCs w:val="20"/>
                <w:color w:val="auto"/>
              </w:rPr>
            </w:pPr>
            <w:r>
              <w:rPr>
                <w:rFonts w:ascii="Calibri" w:cs="Calibri" w:eastAsia="Calibri" w:hAnsi="Calibri"/>
                <w:sz w:val="18"/>
                <w:szCs w:val="18"/>
                <w:color w:val="auto"/>
              </w:rPr>
              <w:t>1,309,667</w:t>
            </w:r>
          </w:p>
        </w:tc>
        <w:tc>
          <w:tcPr>
            <w:tcW w:w="120" w:type="dxa"/>
            <w:vAlign w:val="bottom"/>
            <w:tcBorders>
              <w:bottom w:val="single" w:sz="8" w:color="CCEEFF"/>
            </w:tcBorders>
          </w:tcPr>
          <w:p>
            <w:pPr>
              <w:spacing w:after="0"/>
              <w:rPr>
                <w:sz w:val="19"/>
                <w:szCs w:val="19"/>
                <w:color w:val="auto"/>
              </w:rPr>
            </w:pPr>
          </w:p>
        </w:tc>
        <w:tc>
          <w:tcPr>
            <w:tcW w:w="1520" w:type="dxa"/>
            <w:vAlign w:val="bottom"/>
            <w:tcBorders>
              <w:bottom w:val="single" w:sz="8" w:color="auto"/>
            </w:tcBorders>
          </w:tcPr>
          <w:p>
            <w:pPr>
              <w:jc w:val="right"/>
              <w:spacing w:after="0" w:line="210" w:lineRule="exact"/>
              <w:rPr>
                <w:sz w:val="20"/>
                <w:szCs w:val="20"/>
                <w:color w:val="auto"/>
              </w:rPr>
            </w:pPr>
            <w:r>
              <w:rPr>
                <w:rFonts w:ascii="Calibri" w:cs="Calibri" w:eastAsia="Calibri" w:hAnsi="Calibri"/>
                <w:sz w:val="18"/>
                <w:szCs w:val="18"/>
                <w:color w:val="auto"/>
              </w:rPr>
              <w:t>2,106,175</w:t>
            </w:r>
          </w:p>
        </w:tc>
        <w:tc>
          <w:tcPr>
            <w:tcW w:w="0" w:type="dxa"/>
            <w:vAlign w:val="bottom"/>
          </w:tcPr>
          <w:p>
            <w:pPr>
              <w:spacing w:after="0"/>
              <w:rPr>
                <w:sz w:val="1"/>
                <w:szCs w:val="1"/>
                <w:color w:val="auto"/>
              </w:rPr>
            </w:pPr>
          </w:p>
        </w:tc>
      </w:tr>
      <w:tr>
        <w:trPr>
          <w:trHeight w:val="243"/>
        </w:trPr>
        <w:tc>
          <w:tcPr>
            <w:tcW w:w="20" w:type="dxa"/>
            <w:vAlign w:val="bottom"/>
            <w:tcBorders>
              <w:bottom w:val="single" w:sz="8" w:color="CCEEFF"/>
            </w:tcBorders>
            <w:shd w:val="clear" w:color="auto" w:fill="CCEEFF"/>
          </w:tcPr>
          <w:p>
            <w:pPr>
              <w:spacing w:after="0"/>
              <w:rPr>
                <w:sz w:val="20"/>
                <w:szCs w:val="20"/>
                <w:color w:val="auto"/>
              </w:rPr>
            </w:pPr>
          </w:p>
        </w:tc>
        <w:tc>
          <w:tcPr>
            <w:tcW w:w="6380" w:type="dxa"/>
            <w:vAlign w:val="bottom"/>
            <w:tcBorders>
              <w:bottom w:val="single" w:sz="8" w:color="CCEEFF"/>
            </w:tcBorders>
            <w:gridSpan w:val="2"/>
            <w:shd w:val="clear" w:color="auto" w:fill="CCEEFF"/>
          </w:tcPr>
          <w:p>
            <w:pPr>
              <w:ind w:left="120"/>
              <w:spacing w:after="0" w:line="217" w:lineRule="exact"/>
              <w:rPr>
                <w:sz w:val="20"/>
                <w:szCs w:val="20"/>
                <w:color w:val="auto"/>
              </w:rPr>
            </w:pPr>
            <w:r>
              <w:rPr>
                <w:rFonts w:ascii="Calibri" w:cs="Calibri" w:eastAsia="Calibri" w:hAnsi="Calibri"/>
                <w:sz w:val="18"/>
                <w:szCs w:val="18"/>
                <w:color w:val="auto"/>
              </w:rPr>
              <w:t>Total facilites</w:t>
            </w:r>
          </w:p>
        </w:tc>
        <w:tc>
          <w:tcPr>
            <w:tcW w:w="1520" w:type="dxa"/>
            <w:vAlign w:val="bottom"/>
            <w:tcBorders>
              <w:bottom w:val="single" w:sz="8" w:color="auto"/>
            </w:tcBorders>
            <w:shd w:val="clear" w:color="auto" w:fill="CCEEFF"/>
          </w:tcPr>
          <w:p>
            <w:pPr>
              <w:jc w:val="right"/>
              <w:spacing w:after="0" w:line="210" w:lineRule="exact"/>
              <w:rPr>
                <w:sz w:val="20"/>
                <w:szCs w:val="20"/>
                <w:color w:val="auto"/>
              </w:rPr>
            </w:pPr>
            <w:r>
              <w:rPr>
                <w:rFonts w:ascii="Calibri" w:cs="Calibri" w:eastAsia="Calibri" w:hAnsi="Calibri"/>
                <w:sz w:val="18"/>
                <w:szCs w:val="18"/>
                <w:color w:val="auto"/>
              </w:rPr>
              <w:t>3,382,876</w:t>
            </w:r>
          </w:p>
        </w:tc>
        <w:tc>
          <w:tcPr>
            <w:tcW w:w="12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auto"/>
            </w:tcBorders>
            <w:shd w:val="clear" w:color="auto" w:fill="CCEEFF"/>
          </w:tcPr>
          <w:p>
            <w:pPr>
              <w:jc w:val="right"/>
              <w:spacing w:after="0" w:line="210" w:lineRule="exact"/>
              <w:rPr>
                <w:sz w:val="20"/>
                <w:szCs w:val="20"/>
                <w:color w:val="auto"/>
              </w:rPr>
            </w:pPr>
            <w:r>
              <w:rPr>
                <w:rFonts w:ascii="Calibri" w:cs="Calibri" w:eastAsia="Calibri" w:hAnsi="Calibri"/>
                <w:sz w:val="18"/>
                <w:szCs w:val="18"/>
                <w:color w:val="auto"/>
              </w:rPr>
              <w:t>2,238,555</w:t>
            </w:r>
          </w:p>
        </w:tc>
        <w:tc>
          <w:tcPr>
            <w:tcW w:w="12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auto"/>
            </w:tcBorders>
            <w:shd w:val="clear" w:color="auto" w:fill="CCEEFF"/>
          </w:tcPr>
          <w:p>
            <w:pPr>
              <w:jc w:val="right"/>
              <w:spacing w:after="0" w:line="210" w:lineRule="exact"/>
              <w:rPr>
                <w:sz w:val="20"/>
                <w:szCs w:val="20"/>
                <w:color w:val="auto"/>
              </w:rPr>
            </w:pPr>
            <w:r>
              <w:rPr>
                <w:rFonts w:ascii="Calibri" w:cs="Calibri" w:eastAsia="Calibri" w:hAnsi="Calibri"/>
                <w:sz w:val="18"/>
                <w:szCs w:val="18"/>
                <w:color w:val="auto"/>
              </w:rPr>
              <w:t>5,621,431</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6380" w:type="dxa"/>
            <w:vAlign w:val="bottom"/>
            <w:tcBorders>
              <w:top w:val="single" w:sz="8" w:color="CCEEFF"/>
              <w:bottom w:val="single" w:sz="8" w:color="CCEEFF"/>
            </w:tcBorders>
            <w:gridSpan w:val="2"/>
            <w:vMerge w:val="restart"/>
          </w:tcPr>
          <w:p>
            <w:pPr>
              <w:spacing w:after="0" w:line="158" w:lineRule="exact"/>
              <w:rPr>
                <w:sz w:val="20"/>
                <w:szCs w:val="20"/>
                <w:color w:val="auto"/>
              </w:rPr>
            </w:pPr>
            <w:r>
              <w:rPr>
                <w:rFonts w:ascii="Calibri" w:cs="Calibri" w:eastAsia="Calibri" w:hAnsi="Calibri"/>
                <w:sz w:val="17"/>
                <w:szCs w:val="17"/>
                <w:color w:val="auto"/>
              </w:rPr>
              <w:t>_______________</w:t>
            </w: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8"/>
        </w:trPr>
        <w:tc>
          <w:tcPr>
            <w:tcW w:w="20" w:type="dxa"/>
            <w:vAlign w:val="bottom"/>
            <w:vMerge w:val="continue"/>
          </w:tcPr>
          <w:p>
            <w:pPr>
              <w:spacing w:after="0"/>
              <w:rPr>
                <w:sz w:val="10"/>
                <w:szCs w:val="10"/>
                <w:color w:val="auto"/>
              </w:rPr>
            </w:pPr>
          </w:p>
        </w:tc>
        <w:tc>
          <w:tcPr>
            <w:tcW w:w="6380" w:type="dxa"/>
            <w:vAlign w:val="bottom"/>
            <w:gridSpan w:val="2"/>
            <w:vMerge w:val="continue"/>
          </w:tcPr>
          <w:p>
            <w:pPr>
              <w:spacing w:after="0"/>
              <w:rPr>
                <w:sz w:val="10"/>
                <w:szCs w:val="10"/>
                <w:color w:val="auto"/>
              </w:rPr>
            </w:pPr>
          </w:p>
        </w:tc>
        <w:tc>
          <w:tcPr>
            <w:tcW w:w="1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 w:lineRule="exact"/>
        <w:rPr>
          <w:sz w:val="20"/>
          <w:szCs w:val="20"/>
          <w:color w:val="auto"/>
        </w:rPr>
      </w:pPr>
    </w:p>
    <w:p>
      <w:pPr>
        <w:ind w:left="20" w:right="120" w:firstLine="3"/>
        <w:spacing w:after="0" w:line="208" w:lineRule="auto"/>
        <w:tabs>
          <w:tab w:leader="none" w:pos="245" w:val="left"/>
        </w:tabs>
        <w:numPr>
          <w:ilvl w:val="0"/>
          <w:numId w:val="21"/>
        </w:numPr>
        <w:rPr>
          <w:rFonts w:ascii="Calibri" w:cs="Calibri" w:eastAsia="Calibri" w:hAnsi="Calibri"/>
          <w:sz w:val="18"/>
          <w:szCs w:val="18"/>
          <w:color w:val="auto"/>
        </w:rPr>
      </w:pPr>
      <w:r>
        <w:rPr>
          <w:rFonts w:ascii="Calibri" w:cs="Calibri" w:eastAsia="Calibri" w:hAnsi="Calibri"/>
          <w:sz w:val="18"/>
          <w:szCs w:val="18"/>
          <w:color w:val="auto"/>
        </w:rPr>
        <w:t>Includes 318,000 square feet and 153,000 square feet of property owned in Malaysia subject to a 60-year land lease with the state authority expiring in May 2051 and March 2077, respectvely, subject to renewal at our opton.</w:t>
      </w:r>
    </w:p>
    <w:p>
      <w:pPr>
        <w:spacing w:after="0" w:line="18" w:lineRule="exact"/>
        <w:rPr>
          <w:rFonts w:ascii="Calibri" w:cs="Calibri" w:eastAsia="Calibri" w:hAnsi="Calibri"/>
          <w:sz w:val="18"/>
          <w:szCs w:val="18"/>
          <w:color w:val="auto"/>
        </w:rPr>
      </w:pPr>
    </w:p>
    <w:p>
      <w:pPr>
        <w:ind w:left="260" w:hanging="237"/>
        <w:spacing w:after="0"/>
        <w:tabs>
          <w:tab w:leader="none" w:pos="260" w:val="left"/>
        </w:tabs>
        <w:numPr>
          <w:ilvl w:val="0"/>
          <w:numId w:val="21"/>
        </w:numPr>
        <w:rPr>
          <w:rFonts w:ascii="Calibri" w:cs="Calibri" w:eastAsia="Calibri" w:hAnsi="Calibri"/>
          <w:sz w:val="18"/>
          <w:szCs w:val="18"/>
          <w:color w:val="auto"/>
        </w:rPr>
      </w:pPr>
      <w:r>
        <w:rPr>
          <w:rFonts w:ascii="Calibri" w:cs="Calibri" w:eastAsia="Calibri" w:hAnsi="Calibri"/>
          <w:sz w:val="18"/>
          <w:szCs w:val="18"/>
          <w:color w:val="auto"/>
        </w:rPr>
        <w:t>Building leases expire on varying dates through February 2046 and generally include renewals at our opton.</w:t>
      </w:r>
    </w:p>
    <w:p>
      <w:pPr>
        <w:spacing w:after="0" w:line="190" w:lineRule="exact"/>
        <w:rPr>
          <w:sz w:val="20"/>
          <w:szCs w:val="20"/>
          <w:color w:val="auto"/>
        </w:rPr>
      </w:pPr>
    </w:p>
    <w:p>
      <w:pPr>
        <w:spacing w:after="0"/>
        <w:tabs>
          <w:tab w:leader="none" w:pos="720" w:val="left"/>
        </w:tabs>
        <w:rPr>
          <w:sz w:val="20"/>
          <w:szCs w:val="20"/>
          <w:color w:val="auto"/>
        </w:rPr>
      </w:pPr>
      <w:r>
        <w:rPr>
          <w:rFonts w:ascii="Calibri" w:cs="Calibri" w:eastAsia="Calibri" w:hAnsi="Calibri"/>
          <w:sz w:val="18"/>
          <w:szCs w:val="18"/>
          <w:b w:val="1"/>
          <w:bCs w:val="1"/>
          <w:color w:val="auto"/>
        </w:rPr>
        <w:t>ITEM 3.</w:t>
      </w:r>
      <w:r>
        <w:rPr>
          <w:sz w:val="20"/>
          <w:szCs w:val="20"/>
          <w:color w:val="auto"/>
        </w:rPr>
        <w:tab/>
      </w:r>
      <w:r>
        <w:rPr>
          <w:rFonts w:ascii="Calibri" w:cs="Calibri" w:eastAsia="Calibri" w:hAnsi="Calibri"/>
          <w:sz w:val="17"/>
          <w:szCs w:val="17"/>
          <w:b w:val="1"/>
          <w:bCs w:val="1"/>
          <w:color w:val="auto"/>
        </w:rPr>
        <w:t>LEGAL PROCEEDINGS</w:t>
      </w:r>
    </w:p>
    <w:p>
      <w:pPr>
        <w:spacing w:after="0" w:line="107" w:lineRule="exact"/>
        <w:rPr>
          <w:sz w:val="20"/>
          <w:szCs w:val="20"/>
          <w:color w:val="auto"/>
        </w:rPr>
      </w:pPr>
    </w:p>
    <w:p>
      <w:pPr>
        <w:ind w:right="40" w:firstLine="396"/>
        <w:spacing w:after="0" w:line="230" w:lineRule="auto"/>
        <w:rPr>
          <w:sz w:val="20"/>
          <w:szCs w:val="20"/>
          <w:color w:val="auto"/>
        </w:rPr>
      </w:pPr>
      <w:r>
        <w:rPr>
          <w:rFonts w:ascii="Calibri" w:cs="Calibri" w:eastAsia="Calibri" w:hAnsi="Calibri"/>
          <w:sz w:val="18"/>
          <w:szCs w:val="18"/>
          <w:color w:val="auto"/>
        </w:rPr>
        <w:t>The informaton set forth under Note 13. “Commitments and Contngencies” included in Part II, Item 8. of this Annual Report on Form 10-K, is incorporated herein by reference. For an additonal discussion of certain risks associated with legal proceedings, see “Risk Factors” above.</w:t>
      </w:r>
    </w:p>
    <w:p>
      <w:pPr>
        <w:spacing w:after="0" w:line="97" w:lineRule="exact"/>
        <w:rPr>
          <w:sz w:val="20"/>
          <w:szCs w:val="20"/>
          <w:color w:val="auto"/>
        </w:rPr>
      </w:pPr>
    </w:p>
    <w:p>
      <w:pPr>
        <w:spacing w:after="0"/>
        <w:tabs>
          <w:tab w:leader="none" w:pos="720" w:val="left"/>
        </w:tabs>
        <w:rPr>
          <w:sz w:val="20"/>
          <w:szCs w:val="20"/>
          <w:color w:val="auto"/>
        </w:rPr>
      </w:pPr>
      <w:r>
        <w:rPr>
          <w:rFonts w:ascii="Calibri" w:cs="Calibri" w:eastAsia="Calibri" w:hAnsi="Calibri"/>
          <w:sz w:val="18"/>
          <w:szCs w:val="18"/>
          <w:b w:val="1"/>
          <w:bCs w:val="1"/>
          <w:color w:val="auto"/>
        </w:rPr>
        <w:t>ITEM 4.</w:t>
      </w:r>
      <w:r>
        <w:rPr>
          <w:sz w:val="20"/>
          <w:szCs w:val="20"/>
          <w:color w:val="auto"/>
        </w:rPr>
        <w:tab/>
      </w:r>
      <w:r>
        <w:rPr>
          <w:rFonts w:ascii="Calibri" w:cs="Calibri" w:eastAsia="Calibri" w:hAnsi="Calibri"/>
          <w:sz w:val="17"/>
          <w:szCs w:val="17"/>
          <w:b w:val="1"/>
          <w:bCs w:val="1"/>
          <w:color w:val="auto"/>
        </w:rPr>
        <w:t>MINE SAFETY DISCLOSURES</w:t>
      </w:r>
    </w:p>
    <w:p>
      <w:pPr>
        <w:spacing w:after="0" w:line="97" w:lineRule="exact"/>
        <w:rPr>
          <w:sz w:val="20"/>
          <w:szCs w:val="20"/>
          <w:color w:val="auto"/>
        </w:rPr>
      </w:pPr>
    </w:p>
    <w:p>
      <w:pPr>
        <w:ind w:left="400"/>
        <w:spacing w:after="0"/>
        <w:rPr>
          <w:sz w:val="20"/>
          <w:szCs w:val="20"/>
          <w:color w:val="auto"/>
        </w:rPr>
      </w:pPr>
      <w:r>
        <w:rPr>
          <w:rFonts w:ascii="Calibri" w:cs="Calibri" w:eastAsia="Calibri" w:hAnsi="Calibri"/>
          <w:sz w:val="18"/>
          <w:szCs w:val="18"/>
          <w:color w:val="auto"/>
        </w:rPr>
        <w:t>None.</w:t>
      </w:r>
    </w:p>
    <w:p>
      <w:pPr>
        <w:spacing w:after="0" w:line="200" w:lineRule="exact"/>
        <w:rPr>
          <w:sz w:val="20"/>
          <w:szCs w:val="20"/>
          <w:color w:val="auto"/>
        </w:rPr>
      </w:pPr>
    </w:p>
    <w:p>
      <w:pPr>
        <w:spacing w:after="0" w:line="373" w:lineRule="exact"/>
        <w:rPr>
          <w:sz w:val="20"/>
          <w:szCs w:val="20"/>
          <w:color w:val="auto"/>
        </w:rPr>
      </w:pPr>
    </w:p>
    <w:p>
      <w:pPr>
        <w:jc w:val="center"/>
        <w:ind w:right="-39"/>
        <w:spacing w:after="0"/>
        <w:rPr>
          <w:sz w:val="20"/>
          <w:szCs w:val="20"/>
          <w:color w:val="auto"/>
        </w:rPr>
      </w:pPr>
      <w:r>
        <w:rPr>
          <w:rFonts w:ascii="Calibri" w:cs="Calibri" w:eastAsia="Calibri" w:hAnsi="Calibri"/>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09" w:right="359" w:bottom="1440" w:gutter="0" w:footer="0" w:header="0"/>
        </w:sectPr>
      </w:pPr>
    </w:p>
    <w:bookmarkStart w:id="35" w:name="page36"/>
    <w:bookmarkEnd w:id="35"/>
    <w:p>
      <w:pPr>
        <w:spacing w:after="0"/>
        <w:rPr>
          <w:sz w:val="20"/>
          <w:szCs w:val="20"/>
          <w:color w:val="auto"/>
        </w:rPr>
      </w:pPr>
      <w:r>
        <w:rPr>
          <w:rFonts w:ascii="Calibri" w:cs="Calibri" w:eastAsia="Calibri" w:hAnsi="Calibri"/>
          <w:sz w:val="18"/>
          <w:szCs w:val="18"/>
          <w:u w:val="single" w:color="auto"/>
          <w:color w:val="0000FF"/>
        </w:rPr>
        <w:t>Table of Contents</w:t>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Calibri" w:cs="Calibri" w:eastAsia="Calibri" w:hAnsi="Calibri"/>
          <w:sz w:val="18"/>
          <w:szCs w:val="18"/>
          <w:b w:val="1"/>
          <w:bCs w:val="1"/>
          <w:color w:val="auto"/>
        </w:rPr>
        <w:t>PART II</w:t>
      </w:r>
    </w:p>
    <w:p>
      <w:pPr>
        <w:spacing w:after="0" w:line="97" w:lineRule="exact"/>
        <w:rPr>
          <w:sz w:val="20"/>
          <w:szCs w:val="20"/>
          <w:color w:val="auto"/>
        </w:rPr>
      </w:pPr>
    </w:p>
    <w:p>
      <w:pPr>
        <w:spacing w:after="0"/>
        <w:tabs>
          <w:tab w:leader="none" w:pos="1080" w:val="left"/>
        </w:tabs>
        <w:rPr>
          <w:sz w:val="20"/>
          <w:szCs w:val="20"/>
          <w:color w:val="auto"/>
        </w:rPr>
      </w:pPr>
      <w:r>
        <w:rPr>
          <w:rFonts w:ascii="Calibri" w:cs="Calibri" w:eastAsia="Calibri" w:hAnsi="Calibri"/>
          <w:sz w:val="18"/>
          <w:szCs w:val="18"/>
          <w:b w:val="1"/>
          <w:bCs w:val="1"/>
          <w:color w:val="auto"/>
        </w:rPr>
        <w:t>ITEM 5.</w:t>
      </w:r>
      <w:r>
        <w:rPr>
          <w:sz w:val="20"/>
          <w:szCs w:val="20"/>
          <w:color w:val="auto"/>
        </w:rPr>
        <w:tab/>
      </w:r>
      <w:r>
        <w:rPr>
          <w:rFonts w:ascii="Calibri" w:cs="Calibri" w:eastAsia="Calibri" w:hAnsi="Calibri"/>
          <w:sz w:val="17"/>
          <w:szCs w:val="17"/>
          <w:b w:val="1"/>
          <w:bCs w:val="1"/>
          <w:color w:val="auto"/>
        </w:rPr>
        <w:t>MARKET FOR REGISTRANT’S COMMON EQUITY, RELATED STOCKHOLDER MATTERS AND ISSUER PURCHASES OF EQUITY SECURITIES</w:t>
      </w:r>
    </w:p>
    <w:p>
      <w:pPr>
        <w:spacing w:after="0" w:line="97"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Market Informaton</w:t>
      </w:r>
    </w:p>
    <w:p>
      <w:pPr>
        <w:spacing w:after="0" w:line="97" w:lineRule="exact"/>
        <w:rPr>
          <w:sz w:val="20"/>
          <w:szCs w:val="20"/>
          <w:color w:val="auto"/>
        </w:rPr>
      </w:pPr>
    </w:p>
    <w:p>
      <w:pPr>
        <w:ind w:left="400"/>
        <w:spacing w:after="0"/>
        <w:rPr>
          <w:sz w:val="20"/>
          <w:szCs w:val="20"/>
          <w:color w:val="auto"/>
        </w:rPr>
      </w:pPr>
      <w:r>
        <w:rPr>
          <w:rFonts w:ascii="Calibri" w:cs="Calibri" w:eastAsia="Calibri" w:hAnsi="Calibri"/>
          <w:sz w:val="18"/>
          <w:szCs w:val="18"/>
          <w:color w:val="auto"/>
        </w:rPr>
        <w:t>Broadcom common stock is listed on The Nasdaq Global Select Market under the symbol “AVGO”.</w:t>
      </w:r>
    </w:p>
    <w:p>
      <w:pPr>
        <w:spacing w:after="0" w:line="97"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Holders</w:t>
      </w:r>
    </w:p>
    <w:p>
      <w:pPr>
        <w:spacing w:after="0" w:line="107" w:lineRule="exact"/>
        <w:rPr>
          <w:sz w:val="20"/>
          <w:szCs w:val="20"/>
          <w:color w:val="auto"/>
        </w:rPr>
      </w:pPr>
    </w:p>
    <w:p>
      <w:pPr>
        <w:ind w:right="240" w:firstLine="396"/>
        <w:spacing w:after="0" w:line="230" w:lineRule="auto"/>
        <w:rPr>
          <w:sz w:val="20"/>
          <w:szCs w:val="20"/>
          <w:color w:val="auto"/>
        </w:rPr>
      </w:pPr>
      <w:r>
        <w:rPr>
          <w:rFonts w:ascii="Calibri" w:cs="Calibri" w:eastAsia="Calibri" w:hAnsi="Calibri"/>
          <w:sz w:val="18"/>
          <w:szCs w:val="18"/>
          <w:color w:val="auto"/>
        </w:rPr>
        <w:t>As of November 24, 2023, there were 1,389 holders of record of our common stock. A substantally greater number of stockholders are “street name” or benefcial holders, whose shares are held of record by banks, brokers and other fnancial insttutons.</w:t>
      </w:r>
    </w:p>
    <w:p>
      <w:pPr>
        <w:spacing w:after="0" w:line="97"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Issuer Purchases of Equity Securites</w:t>
      </w:r>
    </w:p>
    <w:p>
      <w:pPr>
        <w:spacing w:after="0" w:line="107" w:lineRule="exact"/>
        <w:rPr>
          <w:sz w:val="20"/>
          <w:szCs w:val="20"/>
          <w:color w:val="auto"/>
        </w:rPr>
      </w:pPr>
    </w:p>
    <w:p>
      <w:pPr>
        <w:ind w:right="40" w:firstLine="396"/>
        <w:spacing w:after="0" w:line="230" w:lineRule="auto"/>
        <w:rPr>
          <w:sz w:val="20"/>
          <w:szCs w:val="20"/>
          <w:color w:val="auto"/>
        </w:rPr>
      </w:pPr>
      <w:r>
        <w:rPr>
          <w:rFonts w:ascii="Calibri" w:cs="Calibri" w:eastAsia="Calibri" w:hAnsi="Calibri"/>
          <w:sz w:val="18"/>
          <w:szCs w:val="18"/>
          <w:color w:val="auto"/>
        </w:rPr>
        <w:t>In December 2021, our Board of Directors authorized a stock repurchase program to repurchase up to $10 billion of our common stock from tme to tme through December 31, 2022, which was subsequently extended to December 31, 2023. In May 2022, our Board of Directors authorized another stock repurchase program to repurchase up to an additonal $10 billion of our common stock from tme to tme through December 31, 2023 (“May 2022 Authorizaton”). We repurchased and retred approximately 9 million and 12 million shares of our common stock for $5,824 million and $7,000 million under these stock repurchase programs during fscal years 2023 and 2022, respectvely.</w:t>
      </w:r>
    </w:p>
    <w:p>
      <w:pPr>
        <w:spacing w:after="0" w:line="109" w:lineRule="exact"/>
        <w:rPr>
          <w:sz w:val="20"/>
          <w:szCs w:val="20"/>
          <w:color w:val="auto"/>
        </w:rPr>
      </w:pPr>
    </w:p>
    <w:p>
      <w:pPr>
        <w:ind w:right="40" w:firstLine="396"/>
        <w:spacing w:after="0" w:line="230" w:lineRule="auto"/>
        <w:rPr>
          <w:sz w:val="20"/>
          <w:szCs w:val="20"/>
          <w:color w:val="auto"/>
        </w:rPr>
      </w:pPr>
      <w:r>
        <w:rPr>
          <w:rFonts w:ascii="Calibri" w:cs="Calibri" w:eastAsia="Calibri" w:hAnsi="Calibri"/>
          <w:sz w:val="18"/>
          <w:szCs w:val="18"/>
          <w:color w:val="auto"/>
        </w:rPr>
        <w:t>Repurchases under our stock repurchase programs may be efected through a variety of methods, including open market or privately negotated purchases. The tming and amount of shares repurchased will depend on the stock price, business and market conditons, corporate and regulatory requirements, alternatve investment opportunites, acquisiton opportunites, and other factors. We are not obligated to repurchase any specifc amount of shares of common stock, and the stock repurchase programs may be suspended or terminated at any tme.</w:t>
      </w:r>
    </w:p>
    <w:p>
      <w:pPr>
        <w:spacing w:after="0" w:line="108" w:lineRule="exact"/>
        <w:rPr>
          <w:sz w:val="20"/>
          <w:szCs w:val="20"/>
          <w:color w:val="auto"/>
        </w:rPr>
      </w:pPr>
    </w:p>
    <w:p>
      <w:pPr>
        <w:ind w:left="400"/>
        <w:spacing w:after="0"/>
        <w:rPr>
          <w:sz w:val="20"/>
          <w:szCs w:val="20"/>
          <w:color w:val="auto"/>
        </w:rPr>
      </w:pPr>
      <w:r>
        <w:rPr>
          <w:rFonts w:ascii="Calibri" w:cs="Calibri" w:eastAsia="Calibri" w:hAnsi="Calibri"/>
          <w:sz w:val="17"/>
          <w:szCs w:val="17"/>
          <w:color w:val="auto"/>
        </w:rPr>
        <w:t>The following table presents details of our various repurchases during the fscal quarter ended October 29, 2023, pursuant to the May 2022 Authorizaton.</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40" w:type="dxa"/>
            <w:vAlign w:val="bottom"/>
            <w:gridSpan w:val="2"/>
          </w:tcPr>
          <w:p>
            <w:pPr>
              <w:jc w:val="center"/>
              <w:ind w:right="300"/>
              <w:spacing w:after="0"/>
              <w:rPr>
                <w:sz w:val="20"/>
                <w:szCs w:val="20"/>
                <w:color w:val="auto"/>
              </w:rPr>
            </w:pPr>
            <w:r>
              <w:rPr>
                <w:rFonts w:ascii="Calibri" w:cs="Calibri" w:eastAsia="Calibri" w:hAnsi="Calibri"/>
                <w:sz w:val="14"/>
                <w:szCs w:val="14"/>
                <w:b w:val="1"/>
                <w:bCs w:val="1"/>
                <w:color w:val="auto"/>
                <w:w w:val="98"/>
              </w:rPr>
              <w:t>Total Number of Shares</w:t>
            </w:r>
          </w:p>
        </w:tc>
        <w:tc>
          <w:tcPr>
            <w:tcW w:w="1640" w:type="dxa"/>
            <w:vAlign w:val="bottom"/>
            <w:gridSpan w:val="2"/>
          </w:tcPr>
          <w:p>
            <w:pPr>
              <w:jc w:val="right"/>
              <w:spacing w:after="0"/>
              <w:rPr>
                <w:sz w:val="20"/>
                <w:szCs w:val="20"/>
                <w:color w:val="auto"/>
              </w:rPr>
            </w:pPr>
            <w:r>
              <w:rPr>
                <w:rFonts w:ascii="Calibri" w:cs="Calibri" w:eastAsia="Calibri" w:hAnsi="Calibri"/>
                <w:sz w:val="14"/>
                <w:szCs w:val="14"/>
                <w:b w:val="1"/>
                <w:bCs w:val="1"/>
                <w:color w:val="auto"/>
              </w:rPr>
              <w:t>Approximate Dollar Value</w:t>
            </w:r>
          </w:p>
        </w:tc>
      </w:tr>
      <w:tr>
        <w:trPr>
          <w:trHeight w:val="134"/>
        </w:trPr>
        <w:tc>
          <w:tcPr>
            <w:tcW w:w="3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940" w:type="dxa"/>
            <w:vAlign w:val="bottom"/>
            <w:gridSpan w:val="2"/>
          </w:tcPr>
          <w:p>
            <w:pPr>
              <w:ind w:left="140"/>
              <w:spacing w:after="0" w:line="134" w:lineRule="exact"/>
              <w:rPr>
                <w:sz w:val="20"/>
                <w:szCs w:val="20"/>
                <w:color w:val="auto"/>
              </w:rPr>
            </w:pPr>
            <w:r>
              <w:rPr>
                <w:rFonts w:ascii="Calibri" w:cs="Calibri" w:eastAsia="Calibri" w:hAnsi="Calibri"/>
                <w:sz w:val="14"/>
                <w:szCs w:val="14"/>
                <w:b w:val="1"/>
                <w:bCs w:val="1"/>
                <w:color w:val="auto"/>
              </w:rPr>
              <w:t>Total Number of Shares</w:t>
            </w:r>
          </w:p>
        </w:tc>
        <w:tc>
          <w:tcPr>
            <w:tcW w:w="12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940" w:type="dxa"/>
            <w:vAlign w:val="bottom"/>
            <w:gridSpan w:val="2"/>
          </w:tcPr>
          <w:p>
            <w:pPr>
              <w:jc w:val="center"/>
              <w:ind w:right="300"/>
              <w:spacing w:after="0" w:line="134" w:lineRule="exact"/>
              <w:rPr>
                <w:sz w:val="20"/>
                <w:szCs w:val="20"/>
                <w:color w:val="auto"/>
              </w:rPr>
            </w:pPr>
            <w:r>
              <w:rPr>
                <w:rFonts w:ascii="Calibri" w:cs="Calibri" w:eastAsia="Calibri" w:hAnsi="Calibri"/>
                <w:sz w:val="14"/>
                <w:szCs w:val="14"/>
                <w:b w:val="1"/>
                <w:bCs w:val="1"/>
                <w:color w:val="auto"/>
              </w:rPr>
              <w:t>Purchased as Part of</w:t>
            </w:r>
          </w:p>
        </w:tc>
        <w:tc>
          <w:tcPr>
            <w:tcW w:w="1640" w:type="dxa"/>
            <w:vAlign w:val="bottom"/>
            <w:gridSpan w:val="2"/>
          </w:tcPr>
          <w:p>
            <w:pPr>
              <w:jc w:val="right"/>
              <w:spacing w:after="0" w:line="134" w:lineRule="exact"/>
              <w:rPr>
                <w:sz w:val="20"/>
                <w:szCs w:val="20"/>
                <w:color w:val="auto"/>
              </w:rPr>
            </w:pPr>
            <w:r>
              <w:rPr>
                <w:rFonts w:ascii="Calibri" w:cs="Calibri" w:eastAsia="Calibri" w:hAnsi="Calibri"/>
                <w:sz w:val="14"/>
                <w:szCs w:val="14"/>
                <w:b w:val="1"/>
                <w:bCs w:val="1"/>
                <w:color w:val="auto"/>
              </w:rPr>
              <w:t>of Shares That May Yet Be</w:t>
            </w:r>
          </w:p>
        </w:tc>
      </w:tr>
      <w:tr>
        <w:trPr>
          <w:trHeight w:val="211"/>
        </w:trPr>
        <w:tc>
          <w:tcPr>
            <w:tcW w:w="3880" w:type="dxa"/>
            <w:vAlign w:val="bottom"/>
            <w:tcBorders>
              <w:bottom w:val="single" w:sz="8" w:color="auto"/>
            </w:tcBorders>
          </w:tcPr>
          <w:p>
            <w:pPr>
              <w:ind w:left="20"/>
              <w:spacing w:after="0" w:line="168" w:lineRule="exact"/>
              <w:rPr>
                <w:sz w:val="20"/>
                <w:szCs w:val="20"/>
                <w:color w:val="auto"/>
              </w:rPr>
            </w:pPr>
            <w:r>
              <w:rPr>
                <w:rFonts w:ascii="Calibri" w:cs="Calibri" w:eastAsia="Calibri" w:hAnsi="Calibri"/>
                <w:sz w:val="14"/>
                <w:szCs w:val="14"/>
                <w:b w:val="1"/>
                <w:bCs w:val="1"/>
                <w:color w:val="auto"/>
              </w:rPr>
              <w:t>Period</w:t>
            </w:r>
          </w:p>
        </w:tc>
        <w:tc>
          <w:tcPr>
            <w:tcW w:w="100" w:type="dxa"/>
            <w:vAlign w:val="bottom"/>
          </w:tcPr>
          <w:p>
            <w:pPr>
              <w:spacing w:after="0"/>
              <w:rPr>
                <w:sz w:val="18"/>
                <w:szCs w:val="18"/>
                <w:color w:val="auto"/>
              </w:rPr>
            </w:pPr>
          </w:p>
        </w:tc>
        <w:tc>
          <w:tcPr>
            <w:tcW w:w="1640" w:type="dxa"/>
            <w:vAlign w:val="bottom"/>
            <w:tcBorders>
              <w:bottom w:val="single" w:sz="8" w:color="auto"/>
            </w:tcBorders>
          </w:tcPr>
          <w:p>
            <w:pPr>
              <w:jc w:val="right"/>
              <w:ind w:right="384"/>
              <w:spacing w:after="0" w:line="211" w:lineRule="exact"/>
              <w:rPr>
                <w:sz w:val="20"/>
                <w:szCs w:val="20"/>
                <w:color w:val="auto"/>
              </w:rPr>
            </w:pPr>
            <w:r>
              <w:rPr>
                <w:rFonts w:ascii="Calibri" w:cs="Calibri" w:eastAsia="Calibri" w:hAnsi="Calibri"/>
                <w:sz w:val="14"/>
                <w:szCs w:val="14"/>
                <w:b w:val="1"/>
                <w:bCs w:val="1"/>
                <w:color w:val="auto"/>
              </w:rPr>
              <w:t xml:space="preserve">Purchased </w:t>
            </w:r>
            <w:r>
              <w:rPr>
                <w:rFonts w:ascii="Calibri" w:cs="Calibri" w:eastAsia="Calibri" w:hAnsi="Calibri"/>
                <w:sz w:val="18"/>
                <w:szCs w:val="18"/>
                <w:b w:val="1"/>
                <w:bCs w:val="1"/>
                <w:color w:val="auto"/>
                <w:vertAlign w:val="superscript"/>
              </w:rPr>
              <w:t>(a)</w:t>
            </w:r>
          </w:p>
        </w:tc>
        <w:tc>
          <w:tcPr>
            <w:tcW w:w="3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38"/>
              <w:spacing w:after="0" w:line="168" w:lineRule="exact"/>
              <w:rPr>
                <w:sz w:val="20"/>
                <w:szCs w:val="20"/>
                <w:color w:val="auto"/>
              </w:rPr>
            </w:pPr>
            <w:r>
              <w:rPr>
                <w:rFonts w:ascii="Calibri" w:cs="Calibri" w:eastAsia="Calibri" w:hAnsi="Calibri"/>
                <w:sz w:val="14"/>
                <w:szCs w:val="14"/>
                <w:b w:val="1"/>
                <w:bCs w:val="1"/>
                <w:color w:val="auto"/>
                <w:w w:val="99"/>
              </w:rPr>
              <w:t>Average Price per Share</w:t>
            </w:r>
          </w:p>
        </w:tc>
        <w:tc>
          <w:tcPr>
            <w:tcW w:w="100" w:type="dxa"/>
            <w:vAlign w:val="bottom"/>
          </w:tcPr>
          <w:p>
            <w:pPr>
              <w:spacing w:after="0"/>
              <w:rPr>
                <w:sz w:val="18"/>
                <w:szCs w:val="18"/>
                <w:color w:val="auto"/>
              </w:rPr>
            </w:pPr>
          </w:p>
        </w:tc>
        <w:tc>
          <w:tcPr>
            <w:tcW w:w="1640" w:type="dxa"/>
            <w:vAlign w:val="bottom"/>
            <w:tcBorders>
              <w:bottom w:val="single" w:sz="8" w:color="auto"/>
            </w:tcBorders>
          </w:tcPr>
          <w:p>
            <w:pPr>
              <w:jc w:val="center"/>
              <w:spacing w:after="0" w:line="211" w:lineRule="exact"/>
              <w:rPr>
                <w:sz w:val="20"/>
                <w:szCs w:val="20"/>
                <w:color w:val="auto"/>
              </w:rPr>
            </w:pPr>
            <w:r>
              <w:rPr>
                <w:rFonts w:ascii="Calibri" w:cs="Calibri" w:eastAsia="Calibri" w:hAnsi="Calibri"/>
                <w:sz w:val="14"/>
                <w:szCs w:val="14"/>
                <w:b w:val="1"/>
                <w:bCs w:val="1"/>
                <w:color w:val="auto"/>
                <w:w w:val="98"/>
              </w:rPr>
              <w:t xml:space="preserve">Publicly Announced Plan </w:t>
            </w:r>
            <w:r>
              <w:rPr>
                <w:rFonts w:ascii="Calibri" w:cs="Calibri" w:eastAsia="Calibri" w:hAnsi="Calibri"/>
                <w:sz w:val="18"/>
                <w:szCs w:val="18"/>
                <w:b w:val="1"/>
                <w:bCs w:val="1"/>
                <w:color w:val="auto"/>
                <w:w w:val="98"/>
                <w:vertAlign w:val="superscript"/>
              </w:rPr>
              <w:t>(a)</w:t>
            </w:r>
          </w:p>
        </w:tc>
        <w:tc>
          <w:tcPr>
            <w:tcW w:w="300" w:type="dxa"/>
            <w:vAlign w:val="bottom"/>
          </w:tcPr>
          <w:p>
            <w:pPr>
              <w:spacing w:after="0"/>
              <w:rPr>
                <w:sz w:val="18"/>
                <w:szCs w:val="18"/>
                <w:color w:val="auto"/>
              </w:rPr>
            </w:pPr>
          </w:p>
        </w:tc>
        <w:tc>
          <w:tcPr>
            <w:tcW w:w="1640" w:type="dxa"/>
            <w:vAlign w:val="bottom"/>
            <w:tcBorders>
              <w:bottom w:val="single" w:sz="8" w:color="auto"/>
            </w:tcBorders>
            <w:gridSpan w:val="2"/>
          </w:tcPr>
          <w:p>
            <w:pPr>
              <w:jc w:val="right"/>
              <w:spacing w:after="0" w:line="168" w:lineRule="exact"/>
              <w:rPr>
                <w:sz w:val="20"/>
                <w:szCs w:val="20"/>
                <w:color w:val="auto"/>
              </w:rPr>
            </w:pPr>
            <w:r>
              <w:rPr>
                <w:rFonts w:ascii="Calibri" w:cs="Calibri" w:eastAsia="Calibri" w:hAnsi="Calibri"/>
                <w:sz w:val="14"/>
                <w:szCs w:val="14"/>
                <w:b w:val="1"/>
                <w:bCs w:val="1"/>
                <w:color w:val="auto"/>
              </w:rPr>
              <w:t>Purchased Under the Plan</w:t>
            </w:r>
          </w:p>
        </w:tc>
      </w:tr>
      <w:tr>
        <w:trPr>
          <w:trHeight w:val="186"/>
        </w:trPr>
        <w:tc>
          <w:tcPr>
            <w:tcW w:w="3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560" w:type="dxa"/>
            <w:vAlign w:val="bottom"/>
            <w:gridSpan w:val="4"/>
          </w:tcPr>
          <w:p>
            <w:pPr>
              <w:ind w:left="560"/>
              <w:spacing w:after="0"/>
              <w:rPr>
                <w:sz w:val="20"/>
                <w:szCs w:val="20"/>
                <w:color w:val="auto"/>
              </w:rPr>
            </w:pPr>
            <w:r>
              <w:rPr>
                <w:rFonts w:ascii="Calibri" w:cs="Calibri" w:eastAsia="Calibri" w:hAnsi="Calibri"/>
                <w:sz w:val="14"/>
                <w:szCs w:val="14"/>
                <w:b w:val="1"/>
                <w:bCs w:val="1"/>
                <w:color w:val="auto"/>
              </w:rPr>
              <w:t>(In millions, except per share data)</w:t>
            </w:r>
          </w:p>
        </w:tc>
        <w:tc>
          <w:tcPr>
            <w:tcW w:w="64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45"/>
        </w:trPr>
        <w:tc>
          <w:tcPr>
            <w:tcW w:w="3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4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0" w:type="dxa"/>
            <w:vAlign w:val="bottom"/>
          </w:tcPr>
          <w:p>
            <w:pPr>
              <w:spacing w:after="0"/>
              <w:rPr>
                <w:sz w:val="3"/>
                <w:szCs w:val="3"/>
                <w:color w:val="auto"/>
              </w:rPr>
            </w:pPr>
          </w:p>
        </w:tc>
      </w:tr>
      <w:tr>
        <w:trPr>
          <w:trHeight w:val="224"/>
        </w:trPr>
        <w:tc>
          <w:tcPr>
            <w:tcW w:w="3980" w:type="dxa"/>
            <w:vAlign w:val="bottom"/>
            <w:gridSpan w:val="2"/>
            <w:shd w:val="clear" w:color="auto" w:fill="CCEEFF"/>
          </w:tcPr>
          <w:p>
            <w:pPr>
              <w:ind w:left="20"/>
              <w:spacing w:after="0" w:line="210" w:lineRule="exact"/>
              <w:rPr>
                <w:sz w:val="20"/>
                <w:szCs w:val="20"/>
                <w:color w:val="auto"/>
              </w:rPr>
            </w:pPr>
            <w:r>
              <w:rPr>
                <w:rFonts w:ascii="Calibri" w:cs="Calibri" w:eastAsia="Calibri" w:hAnsi="Calibri"/>
                <w:sz w:val="18"/>
                <w:szCs w:val="18"/>
                <w:color w:val="auto"/>
              </w:rPr>
              <w:t>July 31, 2023 - August 27, 2023</w:t>
            </w:r>
          </w:p>
        </w:tc>
        <w:tc>
          <w:tcPr>
            <w:tcW w:w="1640" w:type="dxa"/>
            <w:vAlign w:val="bottom"/>
            <w:shd w:val="clear" w:color="auto" w:fill="CCEEFF"/>
          </w:tcPr>
          <w:p>
            <w:pPr>
              <w:jc w:val="right"/>
              <w:spacing w:after="0" w:line="210" w:lineRule="exact"/>
              <w:rPr>
                <w:sz w:val="20"/>
                <w:szCs w:val="20"/>
                <w:color w:val="auto"/>
              </w:rPr>
            </w:pPr>
            <w:r>
              <w:rPr>
                <w:rFonts w:ascii="Calibri" w:cs="Calibri" w:eastAsia="Calibri" w:hAnsi="Calibri"/>
                <w:sz w:val="18"/>
                <w:szCs w:val="18"/>
                <w:color w:val="auto"/>
              </w:rPr>
              <w:t>0.1</w:t>
            </w:r>
          </w:p>
        </w:tc>
        <w:tc>
          <w:tcPr>
            <w:tcW w:w="3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line="210" w:lineRule="exact"/>
              <w:rPr>
                <w:sz w:val="20"/>
                <w:szCs w:val="20"/>
                <w:color w:val="auto"/>
              </w:rPr>
            </w:pPr>
            <w:r>
              <w:rPr>
                <w:rFonts w:ascii="Calibri" w:cs="Calibri" w:eastAsia="Calibri" w:hAnsi="Calibri"/>
                <w:sz w:val="18"/>
                <w:szCs w:val="18"/>
                <w:color w:val="auto"/>
                <w:w w:val="87"/>
              </w:rPr>
              <w:t>$</w:t>
            </w:r>
          </w:p>
        </w:tc>
        <w:tc>
          <w:tcPr>
            <w:tcW w:w="1520" w:type="dxa"/>
            <w:vAlign w:val="bottom"/>
            <w:shd w:val="clear" w:color="auto" w:fill="CCEEFF"/>
          </w:tcPr>
          <w:p>
            <w:pPr>
              <w:jc w:val="right"/>
              <w:spacing w:after="0" w:line="210" w:lineRule="exact"/>
              <w:rPr>
                <w:sz w:val="20"/>
                <w:szCs w:val="20"/>
                <w:color w:val="auto"/>
              </w:rPr>
            </w:pPr>
            <w:r>
              <w:rPr>
                <w:rFonts w:ascii="Calibri" w:cs="Calibri" w:eastAsia="Calibri" w:hAnsi="Calibri"/>
                <w:sz w:val="18"/>
                <w:szCs w:val="18"/>
                <w:color w:val="auto"/>
              </w:rPr>
              <w:t>894.78</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line="210" w:lineRule="exact"/>
              <w:rPr>
                <w:sz w:val="20"/>
                <w:szCs w:val="20"/>
                <w:color w:val="auto"/>
              </w:rPr>
            </w:pPr>
            <w:r>
              <w:rPr>
                <w:rFonts w:ascii="Calibri" w:cs="Calibri" w:eastAsia="Calibri" w:hAnsi="Calibri"/>
                <w:sz w:val="18"/>
                <w:szCs w:val="18"/>
                <w:color w:val="auto"/>
              </w:rPr>
              <w:t>0.1</w:t>
            </w:r>
          </w:p>
        </w:tc>
        <w:tc>
          <w:tcPr>
            <w:tcW w:w="30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441"/>
              <w:spacing w:after="0" w:line="210" w:lineRule="exact"/>
              <w:rPr>
                <w:sz w:val="20"/>
                <w:szCs w:val="20"/>
                <w:color w:val="auto"/>
              </w:rPr>
            </w:pPr>
            <w:r>
              <w:rPr>
                <w:rFonts w:ascii="Calibri" w:cs="Calibri" w:eastAsia="Calibri" w:hAnsi="Calibri"/>
                <w:sz w:val="18"/>
                <w:szCs w:val="18"/>
                <w:color w:val="auto"/>
              </w:rPr>
              <w:t>$</w:t>
            </w:r>
          </w:p>
        </w:tc>
        <w:tc>
          <w:tcPr>
            <w:tcW w:w="1000" w:type="dxa"/>
            <w:vAlign w:val="bottom"/>
            <w:shd w:val="clear" w:color="auto" w:fill="CCEEFF"/>
          </w:tcPr>
          <w:p>
            <w:pPr>
              <w:jc w:val="right"/>
              <w:spacing w:after="0" w:line="210" w:lineRule="exact"/>
              <w:rPr>
                <w:sz w:val="20"/>
                <w:szCs w:val="20"/>
                <w:color w:val="auto"/>
              </w:rPr>
            </w:pPr>
            <w:r>
              <w:rPr>
                <w:rFonts w:ascii="Calibri" w:cs="Calibri" w:eastAsia="Calibri" w:hAnsi="Calibri"/>
                <w:sz w:val="18"/>
                <w:szCs w:val="18"/>
                <w:color w:val="auto"/>
              </w:rPr>
              <w:t>7,209</w:t>
            </w:r>
          </w:p>
        </w:tc>
      </w:tr>
      <w:tr>
        <w:trPr>
          <w:trHeight w:val="217"/>
        </w:trPr>
        <w:tc>
          <w:tcPr>
            <w:tcW w:w="3980" w:type="dxa"/>
            <w:vAlign w:val="bottom"/>
            <w:gridSpan w:val="2"/>
          </w:tcPr>
          <w:p>
            <w:pPr>
              <w:ind w:left="20"/>
              <w:spacing w:after="0" w:line="210" w:lineRule="exact"/>
              <w:rPr>
                <w:sz w:val="20"/>
                <w:szCs w:val="20"/>
                <w:color w:val="auto"/>
              </w:rPr>
            </w:pPr>
            <w:r>
              <w:rPr>
                <w:rFonts w:ascii="Calibri" w:cs="Calibri" w:eastAsia="Calibri" w:hAnsi="Calibri"/>
                <w:sz w:val="18"/>
                <w:szCs w:val="18"/>
                <w:color w:val="auto"/>
              </w:rPr>
              <w:t>August 28, 2023 - September 24, 2023</w:t>
            </w:r>
          </w:p>
        </w:tc>
        <w:tc>
          <w:tcPr>
            <w:tcW w:w="1940" w:type="dxa"/>
            <w:vAlign w:val="bottom"/>
            <w:gridSpan w:val="2"/>
          </w:tcPr>
          <w:p>
            <w:pPr>
              <w:jc w:val="right"/>
              <w:ind w:right="360"/>
              <w:spacing w:after="0" w:line="210" w:lineRule="exact"/>
              <w:rPr>
                <w:sz w:val="20"/>
                <w:szCs w:val="20"/>
                <w:color w:val="auto"/>
              </w:rPr>
            </w:pPr>
            <w:r>
              <w:rPr>
                <w:rFonts w:ascii="Calibri" w:cs="Calibri" w:eastAsia="Calibri" w:hAnsi="Calibri"/>
                <w:sz w:val="18"/>
                <w:szCs w:val="18"/>
                <w:color w:val="auto"/>
              </w:rPr>
              <w:t>—</w:t>
            </w:r>
          </w:p>
        </w:tc>
        <w:tc>
          <w:tcPr>
            <w:tcW w:w="120" w:type="dxa"/>
            <w:vAlign w:val="bottom"/>
          </w:tcPr>
          <w:p>
            <w:pPr>
              <w:jc w:val="right"/>
              <w:spacing w:after="0" w:line="210" w:lineRule="exact"/>
              <w:rPr>
                <w:sz w:val="20"/>
                <w:szCs w:val="20"/>
                <w:color w:val="auto"/>
              </w:rPr>
            </w:pPr>
            <w:r>
              <w:rPr>
                <w:rFonts w:ascii="Calibri" w:cs="Calibri" w:eastAsia="Calibri" w:hAnsi="Calibri"/>
                <w:sz w:val="18"/>
                <w:szCs w:val="18"/>
                <w:color w:val="auto"/>
                <w:w w:val="87"/>
              </w:rPr>
              <w:t>$</w:t>
            </w:r>
          </w:p>
        </w:tc>
        <w:tc>
          <w:tcPr>
            <w:tcW w:w="1620" w:type="dxa"/>
            <w:vAlign w:val="bottom"/>
            <w:gridSpan w:val="2"/>
          </w:tcPr>
          <w:p>
            <w:pPr>
              <w:jc w:val="right"/>
              <w:ind w:right="160"/>
              <w:spacing w:after="0" w:line="210" w:lineRule="exact"/>
              <w:rPr>
                <w:sz w:val="20"/>
                <w:szCs w:val="20"/>
                <w:color w:val="auto"/>
              </w:rPr>
            </w:pPr>
            <w:r>
              <w:rPr>
                <w:rFonts w:ascii="Calibri" w:cs="Calibri" w:eastAsia="Calibri" w:hAnsi="Calibri"/>
                <w:sz w:val="18"/>
                <w:szCs w:val="18"/>
                <w:color w:val="auto"/>
              </w:rPr>
              <w:t>—</w:t>
            </w:r>
          </w:p>
        </w:tc>
        <w:tc>
          <w:tcPr>
            <w:tcW w:w="1940" w:type="dxa"/>
            <w:vAlign w:val="bottom"/>
            <w:gridSpan w:val="2"/>
          </w:tcPr>
          <w:p>
            <w:pPr>
              <w:jc w:val="right"/>
              <w:ind w:right="360"/>
              <w:spacing w:after="0" w:line="210" w:lineRule="exact"/>
              <w:rPr>
                <w:sz w:val="20"/>
                <w:szCs w:val="20"/>
                <w:color w:val="auto"/>
              </w:rPr>
            </w:pPr>
            <w:r>
              <w:rPr>
                <w:rFonts w:ascii="Calibri" w:cs="Calibri" w:eastAsia="Calibri" w:hAnsi="Calibri"/>
                <w:sz w:val="18"/>
                <w:szCs w:val="18"/>
                <w:color w:val="auto"/>
              </w:rPr>
              <w:t>—</w:t>
            </w:r>
          </w:p>
        </w:tc>
        <w:tc>
          <w:tcPr>
            <w:tcW w:w="640" w:type="dxa"/>
            <w:vAlign w:val="bottom"/>
          </w:tcPr>
          <w:p>
            <w:pPr>
              <w:jc w:val="right"/>
              <w:ind w:right="441"/>
              <w:spacing w:after="0" w:line="210" w:lineRule="exact"/>
              <w:rPr>
                <w:sz w:val="20"/>
                <w:szCs w:val="20"/>
                <w:color w:val="auto"/>
              </w:rPr>
            </w:pPr>
            <w:r>
              <w:rPr>
                <w:rFonts w:ascii="Calibri" w:cs="Calibri" w:eastAsia="Calibri" w:hAnsi="Calibri"/>
                <w:sz w:val="18"/>
                <w:szCs w:val="18"/>
                <w:color w:val="auto"/>
              </w:rPr>
              <w:t>$</w:t>
            </w:r>
          </w:p>
        </w:tc>
        <w:tc>
          <w:tcPr>
            <w:tcW w:w="1000" w:type="dxa"/>
            <w:vAlign w:val="bottom"/>
          </w:tcPr>
          <w:p>
            <w:pPr>
              <w:jc w:val="right"/>
              <w:spacing w:after="0" w:line="210" w:lineRule="exact"/>
              <w:rPr>
                <w:sz w:val="20"/>
                <w:szCs w:val="20"/>
                <w:color w:val="auto"/>
              </w:rPr>
            </w:pPr>
            <w:r>
              <w:rPr>
                <w:rFonts w:ascii="Calibri" w:cs="Calibri" w:eastAsia="Calibri" w:hAnsi="Calibri"/>
                <w:sz w:val="18"/>
                <w:szCs w:val="18"/>
                <w:color w:val="auto"/>
              </w:rPr>
              <w:t>7,209</w:t>
            </w:r>
          </w:p>
        </w:tc>
      </w:tr>
      <w:tr>
        <w:trPr>
          <w:trHeight w:val="232"/>
        </w:trPr>
        <w:tc>
          <w:tcPr>
            <w:tcW w:w="3980" w:type="dxa"/>
            <w:vAlign w:val="bottom"/>
            <w:gridSpan w:val="2"/>
            <w:shd w:val="clear" w:color="auto" w:fill="CCEEFF"/>
          </w:tcPr>
          <w:p>
            <w:pPr>
              <w:ind w:left="20"/>
              <w:spacing w:after="0" w:line="217" w:lineRule="exact"/>
              <w:rPr>
                <w:sz w:val="20"/>
                <w:szCs w:val="20"/>
                <w:color w:val="auto"/>
              </w:rPr>
            </w:pPr>
            <w:r>
              <w:rPr>
                <w:rFonts w:ascii="Calibri" w:cs="Calibri" w:eastAsia="Calibri" w:hAnsi="Calibri"/>
                <w:sz w:val="18"/>
                <w:szCs w:val="18"/>
                <w:color w:val="auto"/>
              </w:rPr>
              <w:t>September 25, 2023 - October 29, 2023</w:t>
            </w:r>
          </w:p>
        </w:tc>
        <w:tc>
          <w:tcPr>
            <w:tcW w:w="1940" w:type="dxa"/>
            <w:vAlign w:val="bottom"/>
            <w:gridSpan w:val="2"/>
            <w:shd w:val="clear" w:color="auto" w:fill="CCEEFF"/>
          </w:tcPr>
          <w:p>
            <w:pPr>
              <w:ind w:left="1420"/>
              <w:spacing w:after="0" w:line="232" w:lineRule="exact"/>
              <w:rPr>
                <w:sz w:val="20"/>
                <w:szCs w:val="20"/>
                <w:color w:val="auto"/>
              </w:rPr>
            </w:pPr>
            <w:r>
              <w:rPr>
                <w:rFonts w:ascii="Calibri" w:cs="Calibri" w:eastAsia="Calibri" w:hAnsi="Calibri"/>
                <w:sz w:val="25"/>
                <w:szCs w:val="25"/>
                <w:color w:val="auto"/>
                <w:vertAlign w:val="subscript"/>
              </w:rPr>
              <w:t>—</w:t>
            </w:r>
            <w:r>
              <w:rPr>
                <w:rFonts w:ascii="Calibri" w:cs="Calibri" w:eastAsia="Calibri" w:hAnsi="Calibri"/>
                <w:sz w:val="10"/>
                <w:szCs w:val="10"/>
                <w:color w:val="auto"/>
              </w:rPr>
              <w:t xml:space="preserve"> (b)</w:t>
            </w:r>
          </w:p>
        </w:tc>
        <w:tc>
          <w:tcPr>
            <w:tcW w:w="120" w:type="dxa"/>
            <w:vAlign w:val="bottom"/>
            <w:shd w:val="clear" w:color="auto" w:fill="CCEEFF"/>
          </w:tcPr>
          <w:p>
            <w:pPr>
              <w:jc w:val="right"/>
              <w:spacing w:after="0" w:line="217" w:lineRule="exact"/>
              <w:rPr>
                <w:sz w:val="20"/>
                <w:szCs w:val="20"/>
                <w:color w:val="auto"/>
              </w:rPr>
            </w:pPr>
            <w:r>
              <w:rPr>
                <w:rFonts w:ascii="Calibri" w:cs="Calibri" w:eastAsia="Calibri" w:hAnsi="Calibri"/>
                <w:sz w:val="18"/>
                <w:szCs w:val="18"/>
                <w:color w:val="auto"/>
                <w:w w:val="87"/>
              </w:rPr>
              <w:t>$</w:t>
            </w:r>
          </w:p>
        </w:tc>
        <w:tc>
          <w:tcPr>
            <w:tcW w:w="1520" w:type="dxa"/>
            <w:vAlign w:val="bottom"/>
            <w:shd w:val="clear" w:color="auto" w:fill="CCEEFF"/>
          </w:tcPr>
          <w:p>
            <w:pPr>
              <w:jc w:val="right"/>
              <w:spacing w:after="0" w:line="217" w:lineRule="exact"/>
              <w:rPr>
                <w:sz w:val="20"/>
                <w:szCs w:val="20"/>
                <w:color w:val="auto"/>
              </w:rPr>
            </w:pPr>
            <w:r>
              <w:rPr>
                <w:rFonts w:ascii="Calibri" w:cs="Calibri" w:eastAsia="Calibri" w:hAnsi="Calibri"/>
                <w:sz w:val="18"/>
                <w:szCs w:val="18"/>
                <w:color w:val="auto"/>
              </w:rPr>
              <w:t>861.23</w:t>
            </w:r>
          </w:p>
        </w:tc>
        <w:tc>
          <w:tcPr>
            <w:tcW w:w="100" w:type="dxa"/>
            <w:vAlign w:val="bottom"/>
            <w:shd w:val="clear" w:color="auto" w:fill="CCEEFF"/>
          </w:tcPr>
          <w:p>
            <w:pPr>
              <w:spacing w:after="0"/>
              <w:rPr>
                <w:sz w:val="20"/>
                <w:szCs w:val="20"/>
                <w:color w:val="auto"/>
              </w:rPr>
            </w:pPr>
          </w:p>
        </w:tc>
        <w:tc>
          <w:tcPr>
            <w:tcW w:w="1940" w:type="dxa"/>
            <w:vAlign w:val="bottom"/>
            <w:gridSpan w:val="2"/>
            <w:shd w:val="clear" w:color="auto" w:fill="CCEEFF"/>
          </w:tcPr>
          <w:p>
            <w:pPr>
              <w:ind w:left="1420"/>
              <w:spacing w:after="0" w:line="232" w:lineRule="exact"/>
              <w:rPr>
                <w:sz w:val="20"/>
                <w:szCs w:val="20"/>
                <w:color w:val="auto"/>
              </w:rPr>
            </w:pPr>
            <w:r>
              <w:rPr>
                <w:rFonts w:ascii="Calibri" w:cs="Calibri" w:eastAsia="Calibri" w:hAnsi="Calibri"/>
                <w:sz w:val="25"/>
                <w:szCs w:val="25"/>
                <w:color w:val="auto"/>
                <w:vertAlign w:val="subscript"/>
              </w:rPr>
              <w:t>—</w:t>
            </w:r>
            <w:r>
              <w:rPr>
                <w:rFonts w:ascii="Calibri" w:cs="Calibri" w:eastAsia="Calibri" w:hAnsi="Calibri"/>
                <w:sz w:val="10"/>
                <w:szCs w:val="10"/>
                <w:color w:val="auto"/>
              </w:rPr>
              <w:t xml:space="preserve"> (b)</w:t>
            </w:r>
          </w:p>
        </w:tc>
        <w:tc>
          <w:tcPr>
            <w:tcW w:w="640" w:type="dxa"/>
            <w:vAlign w:val="bottom"/>
            <w:shd w:val="clear" w:color="auto" w:fill="CCEEFF"/>
          </w:tcPr>
          <w:p>
            <w:pPr>
              <w:jc w:val="right"/>
              <w:ind w:right="441"/>
              <w:spacing w:after="0" w:line="217" w:lineRule="exact"/>
              <w:rPr>
                <w:sz w:val="20"/>
                <w:szCs w:val="20"/>
                <w:color w:val="auto"/>
              </w:rPr>
            </w:pPr>
            <w:r>
              <w:rPr>
                <w:rFonts w:ascii="Calibri" w:cs="Calibri" w:eastAsia="Calibri" w:hAnsi="Calibri"/>
                <w:sz w:val="18"/>
                <w:szCs w:val="18"/>
                <w:color w:val="auto"/>
              </w:rPr>
              <w:t>$</w:t>
            </w:r>
          </w:p>
        </w:tc>
        <w:tc>
          <w:tcPr>
            <w:tcW w:w="1000" w:type="dxa"/>
            <w:vAlign w:val="bottom"/>
            <w:shd w:val="clear" w:color="auto" w:fill="CCEEFF"/>
          </w:tcPr>
          <w:p>
            <w:pPr>
              <w:jc w:val="right"/>
              <w:spacing w:after="0" w:line="217" w:lineRule="exact"/>
              <w:rPr>
                <w:sz w:val="20"/>
                <w:szCs w:val="20"/>
                <w:color w:val="auto"/>
              </w:rPr>
            </w:pPr>
            <w:r>
              <w:rPr>
                <w:rFonts w:ascii="Calibri" w:cs="Calibri" w:eastAsia="Calibri" w:hAnsi="Calibri"/>
                <w:sz w:val="18"/>
                <w:szCs w:val="18"/>
                <w:color w:val="auto"/>
              </w:rPr>
              <w:t>7,176</w:t>
            </w:r>
          </w:p>
        </w:tc>
      </w:tr>
      <w:tr>
        <w:trPr>
          <w:trHeight w:val="218"/>
        </w:trPr>
        <w:tc>
          <w:tcPr>
            <w:tcW w:w="3980" w:type="dxa"/>
            <w:vAlign w:val="bottom"/>
            <w:gridSpan w:val="2"/>
          </w:tcPr>
          <w:p>
            <w:pPr>
              <w:ind w:left="240"/>
              <w:spacing w:after="0" w:line="217" w:lineRule="exact"/>
              <w:rPr>
                <w:sz w:val="20"/>
                <w:szCs w:val="20"/>
                <w:color w:val="auto"/>
              </w:rPr>
            </w:pPr>
            <w:r>
              <w:rPr>
                <w:rFonts w:ascii="Calibri" w:cs="Calibri" w:eastAsia="Calibri" w:hAnsi="Calibri"/>
                <w:sz w:val="18"/>
                <w:szCs w:val="18"/>
                <w:color w:val="auto"/>
              </w:rPr>
              <w:t>Total</w:t>
            </w:r>
          </w:p>
        </w:tc>
        <w:tc>
          <w:tcPr>
            <w:tcW w:w="1640" w:type="dxa"/>
            <w:vAlign w:val="bottom"/>
            <w:tcBorders>
              <w:top w:val="single" w:sz="8" w:color="auto"/>
              <w:bottom w:val="single" w:sz="8" w:color="auto"/>
            </w:tcBorders>
          </w:tcPr>
          <w:p>
            <w:pPr>
              <w:jc w:val="right"/>
              <w:spacing w:after="0" w:line="210" w:lineRule="exact"/>
              <w:rPr>
                <w:sz w:val="20"/>
                <w:szCs w:val="20"/>
                <w:color w:val="auto"/>
              </w:rPr>
            </w:pPr>
            <w:r>
              <w:rPr>
                <w:rFonts w:ascii="Calibri" w:cs="Calibri" w:eastAsia="Calibri" w:hAnsi="Calibri"/>
                <w:sz w:val="18"/>
                <w:szCs w:val="18"/>
                <w:color w:val="auto"/>
              </w:rPr>
              <w:t>0.1</w:t>
            </w:r>
          </w:p>
        </w:tc>
        <w:tc>
          <w:tcPr>
            <w:tcW w:w="300" w:type="dxa"/>
            <w:vAlign w:val="bottom"/>
          </w:tcPr>
          <w:p>
            <w:pPr>
              <w:spacing w:after="0"/>
              <w:rPr>
                <w:sz w:val="18"/>
                <w:szCs w:val="18"/>
                <w:color w:val="auto"/>
              </w:rPr>
            </w:pPr>
          </w:p>
        </w:tc>
        <w:tc>
          <w:tcPr>
            <w:tcW w:w="120" w:type="dxa"/>
            <w:vAlign w:val="bottom"/>
          </w:tcPr>
          <w:p>
            <w:pPr>
              <w:jc w:val="right"/>
              <w:spacing w:after="0" w:line="217" w:lineRule="exact"/>
              <w:rPr>
                <w:sz w:val="20"/>
                <w:szCs w:val="20"/>
                <w:color w:val="auto"/>
              </w:rPr>
            </w:pPr>
            <w:r>
              <w:rPr>
                <w:rFonts w:ascii="Calibri" w:cs="Calibri" w:eastAsia="Calibri" w:hAnsi="Calibri"/>
                <w:sz w:val="18"/>
                <w:szCs w:val="18"/>
                <w:color w:val="auto"/>
                <w:w w:val="87"/>
              </w:rPr>
              <w:t>$</w:t>
            </w:r>
          </w:p>
        </w:tc>
        <w:tc>
          <w:tcPr>
            <w:tcW w:w="1520" w:type="dxa"/>
            <w:vAlign w:val="bottom"/>
          </w:tcPr>
          <w:p>
            <w:pPr>
              <w:jc w:val="right"/>
              <w:spacing w:after="0" w:line="217" w:lineRule="exact"/>
              <w:rPr>
                <w:sz w:val="20"/>
                <w:szCs w:val="20"/>
                <w:color w:val="auto"/>
              </w:rPr>
            </w:pPr>
            <w:r>
              <w:rPr>
                <w:rFonts w:ascii="Calibri" w:cs="Calibri" w:eastAsia="Calibri" w:hAnsi="Calibri"/>
                <w:sz w:val="18"/>
                <w:szCs w:val="18"/>
                <w:color w:val="auto"/>
              </w:rPr>
              <w:t>885.52</w:t>
            </w:r>
          </w:p>
        </w:tc>
        <w:tc>
          <w:tcPr>
            <w:tcW w:w="100" w:type="dxa"/>
            <w:vAlign w:val="bottom"/>
          </w:tcPr>
          <w:p>
            <w:pPr>
              <w:spacing w:after="0"/>
              <w:rPr>
                <w:sz w:val="18"/>
                <w:szCs w:val="18"/>
                <w:color w:val="auto"/>
              </w:rPr>
            </w:pPr>
          </w:p>
        </w:tc>
        <w:tc>
          <w:tcPr>
            <w:tcW w:w="1640" w:type="dxa"/>
            <w:vAlign w:val="bottom"/>
            <w:tcBorders>
              <w:top w:val="single" w:sz="8" w:color="auto"/>
              <w:bottom w:val="single" w:sz="8" w:color="auto"/>
            </w:tcBorders>
          </w:tcPr>
          <w:p>
            <w:pPr>
              <w:jc w:val="right"/>
              <w:spacing w:after="0" w:line="210" w:lineRule="exact"/>
              <w:rPr>
                <w:sz w:val="20"/>
                <w:szCs w:val="20"/>
                <w:color w:val="auto"/>
              </w:rPr>
            </w:pPr>
            <w:r>
              <w:rPr>
                <w:rFonts w:ascii="Calibri" w:cs="Calibri" w:eastAsia="Calibri" w:hAnsi="Calibri"/>
                <w:sz w:val="18"/>
                <w:szCs w:val="18"/>
                <w:color w:val="auto"/>
              </w:rPr>
              <w:t>0.1</w:t>
            </w: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0"/>
        </w:trPr>
        <w:tc>
          <w:tcPr>
            <w:tcW w:w="3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bl>
    <w:p>
      <w:pPr>
        <w:spacing w:after="0" w:line="62" w:lineRule="exact"/>
        <w:rPr>
          <w:sz w:val="20"/>
          <w:szCs w:val="20"/>
          <w:color w:val="auto"/>
        </w:rPr>
      </w:pPr>
    </w:p>
    <w:p>
      <w:pPr>
        <w:spacing w:after="0"/>
        <w:rPr>
          <w:sz w:val="20"/>
          <w:szCs w:val="20"/>
          <w:color w:val="auto"/>
        </w:rPr>
      </w:pPr>
      <w:r>
        <w:rPr>
          <w:rFonts w:ascii="Calibri" w:cs="Calibri" w:eastAsia="Calibri" w:hAnsi="Calibri"/>
          <w:sz w:val="18"/>
          <w:szCs w:val="18"/>
          <w:color w:val="auto"/>
        </w:rPr>
        <w:t>_________________________________</w:t>
      </w:r>
    </w:p>
    <w:p>
      <w:pPr>
        <w:spacing w:after="0" w:line="107" w:lineRule="exact"/>
        <w:rPr>
          <w:sz w:val="20"/>
          <w:szCs w:val="20"/>
          <w:color w:val="auto"/>
        </w:rPr>
      </w:pPr>
    </w:p>
    <w:p>
      <w:pPr>
        <w:ind w:right="320" w:firstLine="6"/>
        <w:spacing w:after="0" w:line="230" w:lineRule="auto"/>
        <w:tabs>
          <w:tab w:leader="none" w:pos="225" w:val="left"/>
        </w:tabs>
        <w:numPr>
          <w:ilvl w:val="0"/>
          <w:numId w:val="22"/>
        </w:numPr>
        <w:rPr>
          <w:rFonts w:ascii="Calibri" w:cs="Calibri" w:eastAsia="Calibri" w:hAnsi="Calibri"/>
          <w:sz w:val="18"/>
          <w:szCs w:val="18"/>
          <w:color w:val="auto"/>
        </w:rPr>
      </w:pPr>
      <w:r>
        <w:rPr>
          <w:rFonts w:ascii="Calibri" w:cs="Calibri" w:eastAsia="Calibri" w:hAnsi="Calibri"/>
          <w:sz w:val="18"/>
          <w:szCs w:val="18"/>
          <w:color w:val="auto"/>
        </w:rPr>
        <w:t>We also paid approximately $454 million in employee withholding taxes due upon the vestng of net setled equity awards. We withheld approximately 1 million shares of common stock from employees in connecton with such net share setlement at an average price of $852.93 per share. These shares may be deemed to be “issuer purchases” of shares and are not included in this table.</w:t>
      </w:r>
    </w:p>
    <w:p>
      <w:pPr>
        <w:spacing w:after="0" w:line="97" w:lineRule="exact"/>
        <w:rPr>
          <w:rFonts w:ascii="Calibri" w:cs="Calibri" w:eastAsia="Calibri" w:hAnsi="Calibri"/>
          <w:sz w:val="18"/>
          <w:szCs w:val="18"/>
          <w:color w:val="auto"/>
        </w:rPr>
      </w:pPr>
    </w:p>
    <w:p>
      <w:pPr>
        <w:ind w:left="240" w:hanging="234"/>
        <w:spacing w:after="0"/>
        <w:tabs>
          <w:tab w:leader="none" w:pos="240" w:val="left"/>
        </w:tabs>
        <w:numPr>
          <w:ilvl w:val="0"/>
          <w:numId w:val="22"/>
        </w:numPr>
        <w:rPr>
          <w:rFonts w:ascii="Calibri" w:cs="Calibri" w:eastAsia="Calibri" w:hAnsi="Calibri"/>
          <w:sz w:val="18"/>
          <w:szCs w:val="18"/>
          <w:color w:val="auto"/>
        </w:rPr>
      </w:pPr>
      <w:r>
        <w:rPr>
          <w:rFonts w:ascii="Calibri" w:cs="Calibri" w:eastAsia="Calibri" w:hAnsi="Calibri"/>
          <w:sz w:val="18"/>
          <w:szCs w:val="18"/>
          <w:color w:val="auto"/>
        </w:rPr>
        <w:t>Represents fewer than 0.1 million shares.</w:t>
      </w: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9" w:right="339" w:bottom="1440" w:gutter="0" w:footer="0" w:header="0"/>
        </w:sectPr>
      </w:pPr>
    </w:p>
    <w:bookmarkStart w:id="36" w:name="page37"/>
    <w:bookmarkEnd w:id="36"/>
    <w:p>
      <w:pPr>
        <w:spacing w:after="0"/>
        <w:rPr>
          <w:sz w:val="20"/>
          <w:szCs w:val="20"/>
          <w:color w:val="auto"/>
        </w:rPr>
      </w:pPr>
      <w:r>
        <w:rPr>
          <w:rFonts w:ascii="Calibri" w:cs="Calibri" w:eastAsia="Calibri" w:hAnsi="Calibri"/>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Stock Performance Graph</w:t>
      </w:r>
    </w:p>
    <w:p>
      <w:pPr>
        <w:spacing w:after="0" w:line="107" w:lineRule="exact"/>
        <w:rPr>
          <w:sz w:val="20"/>
          <w:szCs w:val="20"/>
          <w:color w:val="auto"/>
        </w:rPr>
      </w:pPr>
    </w:p>
    <w:p>
      <w:pPr>
        <w:jc w:val="both"/>
        <w:ind w:right="300" w:firstLine="396"/>
        <w:spacing w:after="0" w:line="230" w:lineRule="auto"/>
        <w:rPr>
          <w:sz w:val="20"/>
          <w:szCs w:val="20"/>
          <w:color w:val="auto"/>
        </w:rPr>
      </w:pPr>
      <w:r>
        <w:rPr>
          <w:rFonts w:ascii="Calibri" w:cs="Calibri" w:eastAsia="Calibri" w:hAnsi="Calibri"/>
          <w:sz w:val="18"/>
          <w:szCs w:val="18"/>
          <w:color w:val="auto"/>
        </w:rPr>
        <w:t>The following graph shows a comparison of cumulatve total return for our common stock, the Standard &amp; Poor’s 500 Stock Index (the “S&amp;P 500 Index”) and the NASDAQ 100 Index for the fve fscal years ended October 29, 2023. The total return graph and table assume that $100 was invested on November 2, 2018 (the last trading day of our fscal year 2018) in each of Broadcom Inc. common stock, the S&amp;P 500 Index and the NASDAQ 100 Index and assume that all dividends are reinvested. Indexes are calculated on a month-end basis.</w:t>
      </w:r>
    </w:p>
    <w:p>
      <w:pPr>
        <w:spacing w:after="0" w:line="108" w:lineRule="exact"/>
        <w:rPr>
          <w:sz w:val="20"/>
          <w:szCs w:val="20"/>
          <w:color w:val="auto"/>
        </w:rPr>
      </w:pPr>
    </w:p>
    <w:p>
      <w:pPr>
        <w:ind w:right="120" w:firstLine="436"/>
        <w:spacing w:after="0" w:line="230" w:lineRule="auto"/>
        <w:rPr>
          <w:sz w:val="20"/>
          <w:szCs w:val="20"/>
          <w:color w:val="auto"/>
        </w:rPr>
      </w:pPr>
      <w:r>
        <w:rPr>
          <w:rFonts w:ascii="Calibri" w:cs="Calibri" w:eastAsia="Calibri" w:hAnsi="Calibri"/>
          <w:sz w:val="18"/>
          <w:szCs w:val="18"/>
          <w:color w:val="auto"/>
        </w:rPr>
        <w:t>The comparisons in the graph below are based on historical data and are not indicatve of, or intended to forecast, the possible future performance of our common stock.</w:t>
      </w:r>
    </w:p>
    <w:p>
      <w:pPr>
        <w:spacing w:after="0" w:line="318" w:lineRule="exact"/>
        <w:rPr>
          <w:sz w:val="20"/>
          <w:szCs w:val="20"/>
          <w:color w:val="auto"/>
        </w:rPr>
      </w:pPr>
    </w:p>
    <w:p>
      <w:pPr>
        <w:jc w:val="center"/>
        <w:spacing w:after="0"/>
        <w:rPr>
          <w:sz w:val="20"/>
          <w:szCs w:val="20"/>
          <w:color w:val="auto"/>
        </w:rPr>
      </w:pPr>
      <w:r>
        <w:rPr>
          <w:rFonts w:ascii="Calibri" w:cs="Calibri" w:eastAsia="Calibri" w:hAnsi="Calibri"/>
          <w:sz w:val="25"/>
          <w:szCs w:val="25"/>
          <w:color w:val="auto"/>
        </w:rPr>
        <w:t>Comparison of Five Year Cumulatve Total Return</w:t>
      </w:r>
    </w:p>
    <w:p>
      <w:pPr>
        <w:spacing w:after="0" w:line="2"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Among Broadcom Inc., the S&amp;P 500 Index and the NASDAQ 100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708025</wp:posOffset>
            </wp:positionH>
            <wp:positionV relativeFrom="paragraph">
              <wp:posOffset>81280</wp:posOffset>
            </wp:positionV>
            <wp:extent cx="5726430" cy="279209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726430" cy="27920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vMerge w:val="restart"/>
          </w:tcPr>
          <w:p>
            <w:pPr>
              <w:spacing w:after="0"/>
              <w:rPr>
                <w:sz w:val="20"/>
                <w:szCs w:val="20"/>
                <w:color w:val="auto"/>
              </w:rPr>
            </w:pPr>
            <w:r>
              <w:rPr>
                <w:rFonts w:ascii="Calibri" w:cs="Calibri" w:eastAsia="Calibri" w:hAnsi="Calibri"/>
                <w:sz w:val="14"/>
                <w:szCs w:val="14"/>
                <w:b w:val="1"/>
                <w:bCs w:val="1"/>
                <w:color w:val="auto"/>
              </w:rPr>
              <w:t>November 4, 2018</w:t>
            </w:r>
          </w:p>
        </w:tc>
        <w:tc>
          <w:tcPr>
            <w:tcW w:w="100" w:type="dxa"/>
            <w:vAlign w:val="bottom"/>
          </w:tcPr>
          <w:p>
            <w:pPr>
              <w:spacing w:after="0"/>
              <w:rPr>
                <w:sz w:val="14"/>
                <w:szCs w:val="14"/>
                <w:color w:val="auto"/>
              </w:rPr>
            </w:pPr>
          </w:p>
        </w:tc>
        <w:tc>
          <w:tcPr>
            <w:tcW w:w="1300" w:type="dxa"/>
            <w:vAlign w:val="bottom"/>
            <w:gridSpan w:val="2"/>
            <w:vMerge w:val="restart"/>
          </w:tcPr>
          <w:p>
            <w:pPr>
              <w:spacing w:after="0"/>
              <w:rPr>
                <w:sz w:val="20"/>
                <w:szCs w:val="20"/>
                <w:color w:val="auto"/>
              </w:rPr>
            </w:pPr>
            <w:r>
              <w:rPr>
                <w:rFonts w:ascii="Calibri" w:cs="Calibri" w:eastAsia="Calibri" w:hAnsi="Calibri"/>
                <w:sz w:val="14"/>
                <w:szCs w:val="14"/>
                <w:b w:val="1"/>
                <w:bCs w:val="1"/>
                <w:color w:val="auto"/>
              </w:rPr>
              <w:t>November 3, 2019</w:t>
            </w:r>
          </w:p>
        </w:tc>
        <w:tc>
          <w:tcPr>
            <w:tcW w:w="100" w:type="dxa"/>
            <w:vAlign w:val="bottom"/>
          </w:tcPr>
          <w:p>
            <w:pPr>
              <w:spacing w:after="0"/>
              <w:rPr>
                <w:sz w:val="14"/>
                <w:szCs w:val="14"/>
                <w:color w:val="auto"/>
              </w:rPr>
            </w:pPr>
          </w:p>
        </w:tc>
        <w:tc>
          <w:tcPr>
            <w:tcW w:w="1300" w:type="dxa"/>
            <w:vAlign w:val="bottom"/>
            <w:gridSpan w:val="2"/>
            <w:vMerge w:val="restart"/>
          </w:tcPr>
          <w:p>
            <w:pPr>
              <w:spacing w:after="0"/>
              <w:rPr>
                <w:sz w:val="20"/>
                <w:szCs w:val="20"/>
                <w:color w:val="auto"/>
              </w:rPr>
            </w:pPr>
            <w:r>
              <w:rPr>
                <w:rFonts w:ascii="Calibri" w:cs="Calibri" w:eastAsia="Calibri" w:hAnsi="Calibri"/>
                <w:sz w:val="14"/>
                <w:szCs w:val="14"/>
                <w:b w:val="1"/>
                <w:bCs w:val="1"/>
                <w:color w:val="auto"/>
              </w:rPr>
              <w:t>November 1, 2020</w:t>
            </w:r>
          </w:p>
        </w:tc>
        <w:tc>
          <w:tcPr>
            <w:tcW w:w="220" w:type="dxa"/>
            <w:vAlign w:val="bottom"/>
          </w:tcPr>
          <w:p>
            <w:pPr>
              <w:spacing w:after="0"/>
              <w:rPr>
                <w:sz w:val="14"/>
                <w:szCs w:val="14"/>
                <w:color w:val="auto"/>
              </w:rPr>
            </w:pPr>
          </w:p>
        </w:tc>
        <w:tc>
          <w:tcPr>
            <w:tcW w:w="1220" w:type="dxa"/>
            <w:vAlign w:val="bottom"/>
            <w:gridSpan w:val="2"/>
          </w:tcPr>
          <w:p>
            <w:pPr>
              <w:ind w:left="100"/>
              <w:spacing w:after="0"/>
              <w:rPr>
                <w:sz w:val="20"/>
                <w:szCs w:val="20"/>
                <w:color w:val="auto"/>
              </w:rPr>
            </w:pPr>
            <w:r>
              <w:rPr>
                <w:rFonts w:ascii="Calibri" w:cs="Calibri" w:eastAsia="Calibri" w:hAnsi="Calibri"/>
                <w:sz w:val="14"/>
                <w:szCs w:val="14"/>
                <w:b w:val="1"/>
                <w:bCs w:val="1"/>
                <w:color w:val="auto"/>
              </w:rPr>
              <w:t>October 31,</w:t>
            </w:r>
          </w:p>
        </w:tc>
        <w:tc>
          <w:tcPr>
            <w:tcW w:w="220" w:type="dxa"/>
            <w:vAlign w:val="bottom"/>
          </w:tcPr>
          <w:p>
            <w:pPr>
              <w:spacing w:after="0"/>
              <w:rPr>
                <w:sz w:val="14"/>
                <w:szCs w:val="14"/>
                <w:color w:val="auto"/>
              </w:rPr>
            </w:pPr>
          </w:p>
        </w:tc>
        <w:tc>
          <w:tcPr>
            <w:tcW w:w="1220" w:type="dxa"/>
            <w:vAlign w:val="bottom"/>
            <w:gridSpan w:val="2"/>
          </w:tcPr>
          <w:p>
            <w:pPr>
              <w:ind w:left="100"/>
              <w:spacing w:after="0"/>
              <w:rPr>
                <w:sz w:val="20"/>
                <w:szCs w:val="20"/>
                <w:color w:val="auto"/>
              </w:rPr>
            </w:pPr>
            <w:r>
              <w:rPr>
                <w:rFonts w:ascii="Calibri" w:cs="Calibri" w:eastAsia="Calibri" w:hAnsi="Calibri"/>
                <w:sz w:val="14"/>
                <w:szCs w:val="14"/>
                <w:b w:val="1"/>
                <w:bCs w:val="1"/>
                <w:color w:val="auto"/>
              </w:rPr>
              <w:t>October 30,</w:t>
            </w:r>
          </w:p>
        </w:tc>
        <w:tc>
          <w:tcPr>
            <w:tcW w:w="120" w:type="dxa"/>
            <w:vAlign w:val="bottom"/>
          </w:tcPr>
          <w:p>
            <w:pPr>
              <w:spacing w:after="0"/>
              <w:rPr>
                <w:sz w:val="14"/>
                <w:szCs w:val="14"/>
                <w:color w:val="auto"/>
              </w:rPr>
            </w:pPr>
          </w:p>
        </w:tc>
        <w:tc>
          <w:tcPr>
            <w:tcW w:w="1180" w:type="dxa"/>
            <w:vAlign w:val="bottom"/>
            <w:vMerge w:val="restart"/>
          </w:tcPr>
          <w:p>
            <w:pPr>
              <w:jc w:val="right"/>
              <w:ind w:right="76"/>
              <w:spacing w:after="0"/>
              <w:rPr>
                <w:sz w:val="20"/>
                <w:szCs w:val="20"/>
                <w:color w:val="auto"/>
              </w:rPr>
            </w:pPr>
            <w:r>
              <w:rPr>
                <w:rFonts w:ascii="Calibri" w:cs="Calibri" w:eastAsia="Calibri" w:hAnsi="Calibri"/>
                <w:sz w:val="14"/>
                <w:szCs w:val="14"/>
                <w:b w:val="1"/>
                <w:bCs w:val="1"/>
                <w:color w:val="auto"/>
              </w:rPr>
              <w:t>October 29, 2023</w:t>
            </w:r>
          </w:p>
        </w:tc>
        <w:tc>
          <w:tcPr>
            <w:tcW w:w="0" w:type="dxa"/>
            <w:vAlign w:val="bottom"/>
          </w:tcPr>
          <w:p>
            <w:pPr>
              <w:spacing w:after="0"/>
              <w:rPr>
                <w:sz w:val="1"/>
                <w:szCs w:val="1"/>
                <w:color w:val="auto"/>
              </w:rPr>
            </w:pPr>
          </w:p>
        </w:tc>
      </w:tr>
      <w:tr>
        <w:trPr>
          <w:trHeight w:val="168"/>
        </w:trPr>
        <w:tc>
          <w:tcPr>
            <w:tcW w:w="2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jc w:val="right"/>
              <w:ind w:right="459"/>
              <w:spacing w:after="0" w:line="168" w:lineRule="exact"/>
              <w:rPr>
                <w:sz w:val="20"/>
                <w:szCs w:val="20"/>
                <w:color w:val="auto"/>
              </w:rPr>
            </w:pPr>
            <w:r>
              <w:rPr>
                <w:rFonts w:ascii="Calibri" w:cs="Calibri" w:eastAsia="Calibri" w:hAnsi="Calibri"/>
                <w:sz w:val="14"/>
                <w:szCs w:val="14"/>
                <w:b w:val="1"/>
                <w:bCs w:val="1"/>
                <w:color w:val="auto"/>
              </w:rPr>
              <w:t>2021</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jc w:val="right"/>
              <w:ind w:right="439"/>
              <w:spacing w:after="0" w:line="168" w:lineRule="exact"/>
              <w:rPr>
                <w:sz w:val="20"/>
                <w:szCs w:val="20"/>
                <w:color w:val="auto"/>
              </w:rPr>
            </w:pPr>
            <w:r>
              <w:rPr>
                <w:rFonts w:ascii="Calibri" w:cs="Calibri" w:eastAsia="Calibri" w:hAnsi="Calibri"/>
                <w:sz w:val="14"/>
                <w:szCs w:val="14"/>
                <w:b w:val="1"/>
                <w:bCs w:val="1"/>
                <w:color w:val="auto"/>
              </w:rPr>
              <w:t>2022</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2"/>
        </w:trPr>
        <w:tc>
          <w:tcPr>
            <w:tcW w:w="28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2880" w:type="dxa"/>
            <w:vAlign w:val="bottom"/>
            <w:shd w:val="clear" w:color="auto" w:fill="CCEEFF"/>
          </w:tcPr>
          <w:p>
            <w:pPr>
              <w:ind w:left="20"/>
              <w:spacing w:after="0" w:line="190" w:lineRule="exact"/>
              <w:rPr>
                <w:sz w:val="20"/>
                <w:szCs w:val="20"/>
                <w:color w:val="auto"/>
              </w:rPr>
            </w:pPr>
            <w:r>
              <w:rPr>
                <w:rFonts w:ascii="Calibri" w:cs="Calibri" w:eastAsia="Calibri" w:hAnsi="Calibri"/>
                <w:sz w:val="18"/>
                <w:szCs w:val="18"/>
                <w:color w:val="auto"/>
              </w:rPr>
              <w:t>Broadcom Inc.</w:t>
            </w:r>
          </w:p>
        </w:tc>
        <w:tc>
          <w:tcPr>
            <w:tcW w:w="100" w:type="dxa"/>
            <w:vAlign w:val="bottom"/>
            <w:shd w:val="clear" w:color="auto" w:fill="CCEEFF"/>
          </w:tcPr>
          <w:p>
            <w:pPr>
              <w:jc w:val="right"/>
              <w:spacing w:after="0" w:line="210" w:lineRule="exact"/>
              <w:rPr>
                <w:sz w:val="20"/>
                <w:szCs w:val="20"/>
                <w:color w:val="auto"/>
              </w:rPr>
            </w:pPr>
            <w:r>
              <w:rPr>
                <w:rFonts w:ascii="Calibri" w:cs="Calibri" w:eastAsia="Calibri" w:hAnsi="Calibri"/>
                <w:sz w:val="18"/>
                <w:szCs w:val="18"/>
                <w:color w:val="auto"/>
                <w:w w:val="87"/>
              </w:rPr>
              <w:t>$</w:t>
            </w:r>
          </w:p>
        </w:tc>
        <w:tc>
          <w:tcPr>
            <w:tcW w:w="1180" w:type="dxa"/>
            <w:vAlign w:val="bottom"/>
            <w:shd w:val="clear" w:color="auto" w:fill="CCEEFF"/>
          </w:tcPr>
          <w:p>
            <w:pPr>
              <w:jc w:val="right"/>
              <w:spacing w:after="0" w:line="210" w:lineRule="exact"/>
              <w:rPr>
                <w:sz w:val="20"/>
                <w:szCs w:val="20"/>
                <w:color w:val="auto"/>
              </w:rPr>
            </w:pPr>
            <w:r>
              <w:rPr>
                <w:rFonts w:ascii="Calibri" w:cs="Calibri" w:eastAsia="Calibri" w:hAnsi="Calibri"/>
                <w:sz w:val="18"/>
                <w:szCs w:val="18"/>
                <w:color w:val="auto"/>
              </w:rPr>
              <w:t>100.00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line="210" w:lineRule="exact"/>
              <w:rPr>
                <w:sz w:val="20"/>
                <w:szCs w:val="20"/>
                <w:color w:val="auto"/>
              </w:rPr>
            </w:pPr>
            <w:r>
              <w:rPr>
                <w:rFonts w:ascii="Calibri" w:cs="Calibri" w:eastAsia="Calibri" w:hAnsi="Calibri"/>
                <w:sz w:val="18"/>
                <w:szCs w:val="18"/>
                <w:color w:val="auto"/>
                <w:w w:val="87"/>
              </w:rPr>
              <w:t>$</w:t>
            </w:r>
          </w:p>
        </w:tc>
        <w:tc>
          <w:tcPr>
            <w:tcW w:w="1200" w:type="dxa"/>
            <w:vAlign w:val="bottom"/>
            <w:shd w:val="clear" w:color="auto" w:fill="CCEEFF"/>
          </w:tcPr>
          <w:p>
            <w:pPr>
              <w:jc w:val="right"/>
              <w:spacing w:after="0" w:line="210" w:lineRule="exact"/>
              <w:rPr>
                <w:sz w:val="20"/>
                <w:szCs w:val="20"/>
                <w:color w:val="auto"/>
              </w:rPr>
            </w:pPr>
            <w:r>
              <w:rPr>
                <w:rFonts w:ascii="Calibri" w:cs="Calibri" w:eastAsia="Calibri" w:hAnsi="Calibri"/>
                <w:sz w:val="18"/>
                <w:szCs w:val="18"/>
                <w:color w:val="auto"/>
              </w:rPr>
              <w:t>139.62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line="210" w:lineRule="exact"/>
              <w:rPr>
                <w:sz w:val="20"/>
                <w:szCs w:val="20"/>
                <w:color w:val="auto"/>
              </w:rPr>
            </w:pPr>
            <w:r>
              <w:rPr>
                <w:rFonts w:ascii="Calibri" w:cs="Calibri" w:eastAsia="Calibri" w:hAnsi="Calibri"/>
                <w:sz w:val="18"/>
                <w:szCs w:val="18"/>
                <w:color w:val="auto"/>
                <w:w w:val="87"/>
              </w:rPr>
              <w:t>$</w:t>
            </w:r>
          </w:p>
        </w:tc>
        <w:tc>
          <w:tcPr>
            <w:tcW w:w="1200" w:type="dxa"/>
            <w:vAlign w:val="bottom"/>
            <w:shd w:val="clear" w:color="auto" w:fill="CCEEFF"/>
          </w:tcPr>
          <w:p>
            <w:pPr>
              <w:jc w:val="right"/>
              <w:spacing w:after="0" w:line="210" w:lineRule="exact"/>
              <w:rPr>
                <w:sz w:val="20"/>
                <w:szCs w:val="20"/>
                <w:color w:val="auto"/>
              </w:rPr>
            </w:pPr>
            <w:r>
              <w:rPr>
                <w:rFonts w:ascii="Calibri" w:cs="Calibri" w:eastAsia="Calibri" w:hAnsi="Calibri"/>
                <w:sz w:val="18"/>
                <w:szCs w:val="18"/>
                <w:color w:val="auto"/>
              </w:rPr>
              <w:t>172.47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2"/>
              <w:spacing w:after="0" w:line="210" w:lineRule="exact"/>
              <w:rPr>
                <w:sz w:val="20"/>
                <w:szCs w:val="20"/>
                <w:color w:val="auto"/>
              </w:rPr>
            </w:pPr>
            <w:r>
              <w:rPr>
                <w:rFonts w:ascii="Calibri" w:cs="Calibri" w:eastAsia="Calibri" w:hAnsi="Calibri"/>
                <w:sz w:val="18"/>
                <w:szCs w:val="18"/>
                <w:color w:val="auto"/>
                <w:w w:val="87"/>
              </w:rPr>
              <w:t>$</w:t>
            </w:r>
          </w:p>
        </w:tc>
        <w:tc>
          <w:tcPr>
            <w:tcW w:w="1120" w:type="dxa"/>
            <w:vAlign w:val="bottom"/>
            <w:shd w:val="clear" w:color="auto" w:fill="CCEEFF"/>
          </w:tcPr>
          <w:p>
            <w:pPr>
              <w:jc w:val="right"/>
              <w:spacing w:after="0" w:line="210" w:lineRule="exact"/>
              <w:rPr>
                <w:sz w:val="20"/>
                <w:szCs w:val="20"/>
                <w:color w:val="auto"/>
              </w:rPr>
            </w:pPr>
            <w:r>
              <w:rPr>
                <w:rFonts w:ascii="Calibri" w:cs="Calibri" w:eastAsia="Calibri" w:hAnsi="Calibri"/>
                <w:sz w:val="18"/>
                <w:szCs w:val="18"/>
                <w:color w:val="auto"/>
              </w:rPr>
              <w:t>270.48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2"/>
              <w:spacing w:after="0" w:line="210" w:lineRule="exact"/>
              <w:rPr>
                <w:sz w:val="20"/>
                <w:szCs w:val="20"/>
                <w:color w:val="auto"/>
              </w:rPr>
            </w:pPr>
            <w:r>
              <w:rPr>
                <w:rFonts w:ascii="Calibri" w:cs="Calibri" w:eastAsia="Calibri" w:hAnsi="Calibri"/>
                <w:sz w:val="18"/>
                <w:szCs w:val="18"/>
                <w:color w:val="auto"/>
                <w:w w:val="87"/>
              </w:rPr>
              <w:t>$</w:t>
            </w:r>
          </w:p>
        </w:tc>
        <w:tc>
          <w:tcPr>
            <w:tcW w:w="1100" w:type="dxa"/>
            <w:vAlign w:val="bottom"/>
            <w:shd w:val="clear" w:color="auto" w:fill="CCEEFF"/>
          </w:tcPr>
          <w:p>
            <w:pPr>
              <w:jc w:val="right"/>
              <w:spacing w:after="0" w:line="210" w:lineRule="exact"/>
              <w:rPr>
                <w:sz w:val="20"/>
                <w:szCs w:val="20"/>
                <w:color w:val="auto"/>
              </w:rPr>
            </w:pPr>
            <w:r>
              <w:rPr>
                <w:rFonts w:ascii="Calibri" w:cs="Calibri" w:eastAsia="Calibri" w:hAnsi="Calibri"/>
                <w:sz w:val="18"/>
                <w:szCs w:val="18"/>
                <w:color w:val="auto"/>
              </w:rPr>
              <w:t>247.83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line="210" w:lineRule="exact"/>
              <w:rPr>
                <w:sz w:val="20"/>
                <w:szCs w:val="20"/>
                <w:color w:val="auto"/>
              </w:rPr>
            </w:pPr>
            <w:r>
              <w:rPr>
                <w:rFonts w:ascii="Calibri" w:cs="Calibri" w:eastAsia="Calibri" w:hAnsi="Calibri"/>
                <w:sz w:val="18"/>
                <w:szCs w:val="18"/>
                <w:color w:val="auto"/>
                <w:w w:val="87"/>
              </w:rPr>
              <w:t>$</w:t>
            </w:r>
          </w:p>
        </w:tc>
        <w:tc>
          <w:tcPr>
            <w:tcW w:w="1180" w:type="dxa"/>
            <w:vAlign w:val="bottom"/>
            <w:shd w:val="clear" w:color="auto" w:fill="CCEEFF"/>
          </w:tcPr>
          <w:p>
            <w:pPr>
              <w:jc w:val="right"/>
              <w:spacing w:after="0" w:line="210" w:lineRule="exact"/>
              <w:rPr>
                <w:sz w:val="20"/>
                <w:szCs w:val="20"/>
                <w:color w:val="auto"/>
              </w:rPr>
            </w:pPr>
            <w:r>
              <w:rPr>
                <w:rFonts w:ascii="Calibri" w:cs="Calibri" w:eastAsia="Calibri" w:hAnsi="Calibri"/>
                <w:sz w:val="18"/>
                <w:szCs w:val="18"/>
                <w:color w:val="auto"/>
              </w:rPr>
              <w:t>451.15</w:t>
            </w:r>
          </w:p>
        </w:tc>
        <w:tc>
          <w:tcPr>
            <w:tcW w:w="0" w:type="dxa"/>
            <w:vAlign w:val="bottom"/>
          </w:tcPr>
          <w:p>
            <w:pPr>
              <w:spacing w:after="0"/>
              <w:rPr>
                <w:sz w:val="1"/>
                <w:szCs w:val="1"/>
                <w:color w:val="auto"/>
              </w:rPr>
            </w:pPr>
          </w:p>
        </w:tc>
      </w:tr>
      <w:tr>
        <w:trPr>
          <w:trHeight w:val="217"/>
        </w:trPr>
        <w:tc>
          <w:tcPr>
            <w:tcW w:w="2880" w:type="dxa"/>
            <w:vAlign w:val="bottom"/>
          </w:tcPr>
          <w:p>
            <w:pPr>
              <w:ind w:left="20"/>
              <w:spacing w:after="0" w:line="210" w:lineRule="exact"/>
              <w:rPr>
                <w:sz w:val="20"/>
                <w:szCs w:val="20"/>
                <w:color w:val="auto"/>
              </w:rPr>
            </w:pPr>
            <w:r>
              <w:rPr>
                <w:rFonts w:ascii="Calibri" w:cs="Calibri" w:eastAsia="Calibri" w:hAnsi="Calibri"/>
                <w:sz w:val="18"/>
                <w:szCs w:val="18"/>
                <w:color w:val="auto"/>
              </w:rPr>
              <w:t>S&amp;P 500 Index</w:t>
            </w:r>
          </w:p>
        </w:tc>
        <w:tc>
          <w:tcPr>
            <w:tcW w:w="100" w:type="dxa"/>
            <w:vAlign w:val="bottom"/>
          </w:tcPr>
          <w:p>
            <w:pPr>
              <w:jc w:val="right"/>
              <w:spacing w:after="0" w:line="210" w:lineRule="exact"/>
              <w:rPr>
                <w:sz w:val="20"/>
                <w:szCs w:val="20"/>
                <w:color w:val="auto"/>
              </w:rPr>
            </w:pPr>
            <w:r>
              <w:rPr>
                <w:rFonts w:ascii="Calibri" w:cs="Calibri" w:eastAsia="Calibri" w:hAnsi="Calibri"/>
                <w:sz w:val="18"/>
                <w:szCs w:val="18"/>
                <w:color w:val="auto"/>
                <w:w w:val="87"/>
              </w:rPr>
              <w:t>$</w:t>
            </w:r>
          </w:p>
        </w:tc>
        <w:tc>
          <w:tcPr>
            <w:tcW w:w="1180" w:type="dxa"/>
            <w:vAlign w:val="bottom"/>
          </w:tcPr>
          <w:p>
            <w:pPr>
              <w:jc w:val="right"/>
              <w:spacing w:after="0" w:line="210" w:lineRule="exact"/>
              <w:rPr>
                <w:sz w:val="20"/>
                <w:szCs w:val="20"/>
                <w:color w:val="auto"/>
              </w:rPr>
            </w:pPr>
            <w:r>
              <w:rPr>
                <w:rFonts w:ascii="Calibri" w:cs="Calibri" w:eastAsia="Calibri" w:hAnsi="Calibri"/>
                <w:sz w:val="18"/>
                <w:szCs w:val="18"/>
                <w:color w:val="auto"/>
              </w:rPr>
              <w:t>100.00</w:t>
            </w:r>
          </w:p>
        </w:tc>
        <w:tc>
          <w:tcPr>
            <w:tcW w:w="100" w:type="dxa"/>
            <w:vAlign w:val="bottom"/>
          </w:tcPr>
          <w:p>
            <w:pPr>
              <w:spacing w:after="0"/>
              <w:rPr>
                <w:sz w:val="18"/>
                <w:szCs w:val="18"/>
                <w:color w:val="auto"/>
              </w:rPr>
            </w:pPr>
          </w:p>
        </w:tc>
        <w:tc>
          <w:tcPr>
            <w:tcW w:w="100" w:type="dxa"/>
            <w:vAlign w:val="bottom"/>
          </w:tcPr>
          <w:p>
            <w:pPr>
              <w:jc w:val="right"/>
              <w:spacing w:after="0" w:line="210" w:lineRule="exact"/>
              <w:rPr>
                <w:sz w:val="20"/>
                <w:szCs w:val="20"/>
                <w:color w:val="auto"/>
              </w:rPr>
            </w:pPr>
            <w:r>
              <w:rPr>
                <w:rFonts w:ascii="Calibri" w:cs="Calibri" w:eastAsia="Calibri" w:hAnsi="Calibri"/>
                <w:sz w:val="18"/>
                <w:szCs w:val="18"/>
                <w:color w:val="auto"/>
                <w:w w:val="87"/>
              </w:rPr>
              <w:t>$</w:t>
            </w:r>
          </w:p>
        </w:tc>
        <w:tc>
          <w:tcPr>
            <w:tcW w:w="1200" w:type="dxa"/>
            <w:vAlign w:val="bottom"/>
          </w:tcPr>
          <w:p>
            <w:pPr>
              <w:jc w:val="right"/>
              <w:spacing w:after="0" w:line="210" w:lineRule="exact"/>
              <w:rPr>
                <w:sz w:val="20"/>
                <w:szCs w:val="20"/>
                <w:color w:val="auto"/>
              </w:rPr>
            </w:pPr>
            <w:r>
              <w:rPr>
                <w:rFonts w:ascii="Calibri" w:cs="Calibri" w:eastAsia="Calibri" w:hAnsi="Calibri"/>
                <w:sz w:val="18"/>
                <w:szCs w:val="18"/>
                <w:color w:val="auto"/>
              </w:rPr>
              <w:t>114.95</w:t>
            </w:r>
          </w:p>
        </w:tc>
        <w:tc>
          <w:tcPr>
            <w:tcW w:w="100" w:type="dxa"/>
            <w:vAlign w:val="bottom"/>
          </w:tcPr>
          <w:p>
            <w:pPr>
              <w:spacing w:after="0"/>
              <w:rPr>
                <w:sz w:val="18"/>
                <w:szCs w:val="18"/>
                <w:color w:val="auto"/>
              </w:rPr>
            </w:pPr>
          </w:p>
        </w:tc>
        <w:tc>
          <w:tcPr>
            <w:tcW w:w="100" w:type="dxa"/>
            <w:vAlign w:val="bottom"/>
          </w:tcPr>
          <w:p>
            <w:pPr>
              <w:jc w:val="right"/>
              <w:spacing w:after="0" w:line="210" w:lineRule="exact"/>
              <w:rPr>
                <w:sz w:val="20"/>
                <w:szCs w:val="20"/>
                <w:color w:val="auto"/>
              </w:rPr>
            </w:pPr>
            <w:r>
              <w:rPr>
                <w:rFonts w:ascii="Calibri" w:cs="Calibri" w:eastAsia="Calibri" w:hAnsi="Calibri"/>
                <w:sz w:val="18"/>
                <w:szCs w:val="18"/>
                <w:color w:val="auto"/>
                <w:w w:val="87"/>
              </w:rPr>
              <w:t>$</w:t>
            </w:r>
          </w:p>
        </w:tc>
        <w:tc>
          <w:tcPr>
            <w:tcW w:w="1200" w:type="dxa"/>
            <w:vAlign w:val="bottom"/>
          </w:tcPr>
          <w:p>
            <w:pPr>
              <w:jc w:val="right"/>
              <w:spacing w:after="0" w:line="210" w:lineRule="exact"/>
              <w:rPr>
                <w:sz w:val="20"/>
                <w:szCs w:val="20"/>
                <w:color w:val="auto"/>
              </w:rPr>
            </w:pPr>
            <w:r>
              <w:rPr>
                <w:rFonts w:ascii="Calibri" w:cs="Calibri" w:eastAsia="Calibri" w:hAnsi="Calibri"/>
                <w:sz w:val="18"/>
                <w:szCs w:val="18"/>
                <w:color w:val="auto"/>
              </w:rPr>
              <w:t>124.89</w:t>
            </w:r>
          </w:p>
        </w:tc>
        <w:tc>
          <w:tcPr>
            <w:tcW w:w="100" w:type="dxa"/>
            <w:vAlign w:val="bottom"/>
          </w:tcPr>
          <w:p>
            <w:pPr>
              <w:spacing w:after="0"/>
              <w:rPr>
                <w:sz w:val="18"/>
                <w:szCs w:val="18"/>
                <w:color w:val="auto"/>
              </w:rPr>
            </w:pPr>
          </w:p>
        </w:tc>
        <w:tc>
          <w:tcPr>
            <w:tcW w:w="220" w:type="dxa"/>
            <w:vAlign w:val="bottom"/>
          </w:tcPr>
          <w:p>
            <w:pPr>
              <w:jc w:val="right"/>
              <w:ind w:right="32"/>
              <w:spacing w:after="0" w:line="210" w:lineRule="exact"/>
              <w:rPr>
                <w:sz w:val="20"/>
                <w:szCs w:val="20"/>
                <w:color w:val="auto"/>
              </w:rPr>
            </w:pPr>
            <w:r>
              <w:rPr>
                <w:rFonts w:ascii="Calibri" w:cs="Calibri" w:eastAsia="Calibri" w:hAnsi="Calibri"/>
                <w:sz w:val="18"/>
                <w:szCs w:val="18"/>
                <w:color w:val="auto"/>
                <w:w w:val="87"/>
              </w:rPr>
              <w:t>$</w:t>
            </w:r>
          </w:p>
        </w:tc>
        <w:tc>
          <w:tcPr>
            <w:tcW w:w="1120" w:type="dxa"/>
            <w:vAlign w:val="bottom"/>
          </w:tcPr>
          <w:p>
            <w:pPr>
              <w:jc w:val="right"/>
              <w:spacing w:after="0" w:line="210" w:lineRule="exact"/>
              <w:rPr>
                <w:sz w:val="20"/>
                <w:szCs w:val="20"/>
                <w:color w:val="auto"/>
              </w:rPr>
            </w:pPr>
            <w:r>
              <w:rPr>
                <w:rFonts w:ascii="Calibri" w:cs="Calibri" w:eastAsia="Calibri" w:hAnsi="Calibri"/>
                <w:sz w:val="18"/>
                <w:szCs w:val="18"/>
                <w:color w:val="auto"/>
              </w:rPr>
              <w:t>178.49</w:t>
            </w:r>
          </w:p>
        </w:tc>
        <w:tc>
          <w:tcPr>
            <w:tcW w:w="100" w:type="dxa"/>
            <w:vAlign w:val="bottom"/>
          </w:tcPr>
          <w:p>
            <w:pPr>
              <w:spacing w:after="0"/>
              <w:rPr>
                <w:sz w:val="18"/>
                <w:szCs w:val="18"/>
                <w:color w:val="auto"/>
              </w:rPr>
            </w:pPr>
          </w:p>
        </w:tc>
        <w:tc>
          <w:tcPr>
            <w:tcW w:w="220" w:type="dxa"/>
            <w:vAlign w:val="bottom"/>
          </w:tcPr>
          <w:p>
            <w:pPr>
              <w:jc w:val="right"/>
              <w:ind w:right="32"/>
              <w:spacing w:after="0" w:line="210" w:lineRule="exact"/>
              <w:rPr>
                <w:sz w:val="20"/>
                <w:szCs w:val="20"/>
                <w:color w:val="auto"/>
              </w:rPr>
            </w:pPr>
            <w:r>
              <w:rPr>
                <w:rFonts w:ascii="Calibri" w:cs="Calibri" w:eastAsia="Calibri" w:hAnsi="Calibri"/>
                <w:sz w:val="18"/>
                <w:szCs w:val="18"/>
                <w:color w:val="auto"/>
                <w:w w:val="87"/>
              </w:rPr>
              <w:t>$</w:t>
            </w:r>
          </w:p>
        </w:tc>
        <w:tc>
          <w:tcPr>
            <w:tcW w:w="1100" w:type="dxa"/>
            <w:vAlign w:val="bottom"/>
          </w:tcPr>
          <w:p>
            <w:pPr>
              <w:jc w:val="right"/>
              <w:spacing w:after="0" w:line="210" w:lineRule="exact"/>
              <w:rPr>
                <w:sz w:val="20"/>
                <w:szCs w:val="20"/>
                <w:color w:val="auto"/>
              </w:rPr>
            </w:pPr>
            <w:r>
              <w:rPr>
                <w:rFonts w:ascii="Calibri" w:cs="Calibri" w:eastAsia="Calibri" w:hAnsi="Calibri"/>
                <w:sz w:val="18"/>
                <w:szCs w:val="18"/>
                <w:color w:val="auto"/>
              </w:rPr>
              <w:t>153.55</w:t>
            </w:r>
          </w:p>
        </w:tc>
        <w:tc>
          <w:tcPr>
            <w:tcW w:w="120" w:type="dxa"/>
            <w:vAlign w:val="bottom"/>
          </w:tcPr>
          <w:p>
            <w:pPr>
              <w:spacing w:after="0"/>
              <w:rPr>
                <w:sz w:val="18"/>
                <w:szCs w:val="18"/>
                <w:color w:val="auto"/>
              </w:rPr>
            </w:pPr>
          </w:p>
        </w:tc>
        <w:tc>
          <w:tcPr>
            <w:tcW w:w="120" w:type="dxa"/>
            <w:vAlign w:val="bottom"/>
          </w:tcPr>
          <w:p>
            <w:pPr>
              <w:jc w:val="right"/>
              <w:spacing w:after="0" w:line="210" w:lineRule="exact"/>
              <w:rPr>
                <w:sz w:val="20"/>
                <w:szCs w:val="20"/>
                <w:color w:val="auto"/>
              </w:rPr>
            </w:pPr>
            <w:r>
              <w:rPr>
                <w:rFonts w:ascii="Calibri" w:cs="Calibri" w:eastAsia="Calibri" w:hAnsi="Calibri"/>
                <w:sz w:val="18"/>
                <w:szCs w:val="18"/>
                <w:color w:val="auto"/>
                <w:w w:val="87"/>
              </w:rPr>
              <w:t>$</w:t>
            </w:r>
          </w:p>
        </w:tc>
        <w:tc>
          <w:tcPr>
            <w:tcW w:w="1180" w:type="dxa"/>
            <w:vAlign w:val="bottom"/>
          </w:tcPr>
          <w:p>
            <w:pPr>
              <w:jc w:val="right"/>
              <w:spacing w:after="0" w:line="210" w:lineRule="exact"/>
              <w:rPr>
                <w:sz w:val="20"/>
                <w:szCs w:val="20"/>
                <w:color w:val="auto"/>
              </w:rPr>
            </w:pPr>
            <w:r>
              <w:rPr>
                <w:rFonts w:ascii="Calibri" w:cs="Calibri" w:eastAsia="Calibri" w:hAnsi="Calibri"/>
                <w:sz w:val="18"/>
                <w:szCs w:val="18"/>
                <w:color w:val="auto"/>
              </w:rPr>
              <w:t>164.78</w:t>
            </w:r>
          </w:p>
        </w:tc>
        <w:tc>
          <w:tcPr>
            <w:tcW w:w="0" w:type="dxa"/>
            <w:vAlign w:val="bottom"/>
          </w:tcPr>
          <w:p>
            <w:pPr>
              <w:spacing w:after="0"/>
              <w:rPr>
                <w:sz w:val="1"/>
                <w:szCs w:val="1"/>
                <w:color w:val="auto"/>
              </w:rPr>
            </w:pPr>
          </w:p>
        </w:tc>
      </w:tr>
      <w:tr>
        <w:trPr>
          <w:trHeight w:val="232"/>
        </w:trPr>
        <w:tc>
          <w:tcPr>
            <w:tcW w:w="2880" w:type="dxa"/>
            <w:vAlign w:val="bottom"/>
            <w:shd w:val="clear" w:color="auto" w:fill="CCEEFF"/>
          </w:tcPr>
          <w:p>
            <w:pPr>
              <w:ind w:left="20"/>
              <w:spacing w:after="0" w:line="217" w:lineRule="exact"/>
              <w:rPr>
                <w:sz w:val="20"/>
                <w:szCs w:val="20"/>
                <w:color w:val="auto"/>
              </w:rPr>
            </w:pPr>
            <w:r>
              <w:rPr>
                <w:rFonts w:ascii="Calibri" w:cs="Calibri" w:eastAsia="Calibri" w:hAnsi="Calibri"/>
                <w:sz w:val="18"/>
                <w:szCs w:val="18"/>
                <w:color w:val="auto"/>
              </w:rPr>
              <w:t>NASDAQ 100 Index</w:t>
            </w:r>
          </w:p>
        </w:tc>
        <w:tc>
          <w:tcPr>
            <w:tcW w:w="100" w:type="dxa"/>
            <w:vAlign w:val="bottom"/>
            <w:shd w:val="clear" w:color="auto" w:fill="CCEEFF"/>
          </w:tcPr>
          <w:p>
            <w:pPr>
              <w:jc w:val="right"/>
              <w:spacing w:after="0" w:line="217" w:lineRule="exact"/>
              <w:rPr>
                <w:sz w:val="20"/>
                <w:szCs w:val="20"/>
                <w:color w:val="auto"/>
              </w:rPr>
            </w:pPr>
            <w:r>
              <w:rPr>
                <w:rFonts w:ascii="Calibri" w:cs="Calibri" w:eastAsia="Calibri" w:hAnsi="Calibri"/>
                <w:sz w:val="18"/>
                <w:szCs w:val="18"/>
                <w:color w:val="auto"/>
                <w:w w:val="87"/>
              </w:rPr>
              <w:t>$</w:t>
            </w:r>
          </w:p>
        </w:tc>
        <w:tc>
          <w:tcPr>
            <w:tcW w:w="1180" w:type="dxa"/>
            <w:vAlign w:val="bottom"/>
            <w:shd w:val="clear" w:color="auto" w:fill="CCEEFF"/>
          </w:tcPr>
          <w:p>
            <w:pPr>
              <w:jc w:val="right"/>
              <w:spacing w:after="0" w:line="217" w:lineRule="exact"/>
              <w:rPr>
                <w:sz w:val="20"/>
                <w:szCs w:val="20"/>
                <w:color w:val="auto"/>
              </w:rPr>
            </w:pPr>
            <w:r>
              <w:rPr>
                <w:rFonts w:ascii="Calibri" w:cs="Calibri" w:eastAsia="Calibri" w:hAnsi="Calibri"/>
                <w:sz w:val="18"/>
                <w:szCs w:val="18"/>
                <w:color w:val="auto"/>
              </w:rPr>
              <w:t>100.00</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line="217" w:lineRule="exact"/>
              <w:rPr>
                <w:sz w:val="20"/>
                <w:szCs w:val="20"/>
                <w:color w:val="auto"/>
              </w:rPr>
            </w:pPr>
            <w:r>
              <w:rPr>
                <w:rFonts w:ascii="Calibri" w:cs="Calibri" w:eastAsia="Calibri" w:hAnsi="Calibri"/>
                <w:sz w:val="18"/>
                <w:szCs w:val="18"/>
                <w:color w:val="auto"/>
                <w:w w:val="87"/>
              </w:rPr>
              <w:t>$</w:t>
            </w:r>
          </w:p>
        </w:tc>
        <w:tc>
          <w:tcPr>
            <w:tcW w:w="1200" w:type="dxa"/>
            <w:vAlign w:val="bottom"/>
            <w:shd w:val="clear" w:color="auto" w:fill="CCEEFF"/>
          </w:tcPr>
          <w:p>
            <w:pPr>
              <w:jc w:val="right"/>
              <w:spacing w:after="0" w:line="217" w:lineRule="exact"/>
              <w:rPr>
                <w:sz w:val="20"/>
                <w:szCs w:val="20"/>
                <w:color w:val="auto"/>
              </w:rPr>
            </w:pPr>
            <w:r>
              <w:rPr>
                <w:rFonts w:ascii="Calibri" w:cs="Calibri" w:eastAsia="Calibri" w:hAnsi="Calibri"/>
                <w:sz w:val="18"/>
                <w:szCs w:val="18"/>
                <w:color w:val="auto"/>
              </w:rPr>
              <w:t>118.49</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line="217" w:lineRule="exact"/>
              <w:rPr>
                <w:sz w:val="20"/>
                <w:szCs w:val="20"/>
                <w:color w:val="auto"/>
              </w:rPr>
            </w:pPr>
            <w:r>
              <w:rPr>
                <w:rFonts w:ascii="Calibri" w:cs="Calibri" w:eastAsia="Calibri" w:hAnsi="Calibri"/>
                <w:sz w:val="18"/>
                <w:szCs w:val="18"/>
                <w:color w:val="auto"/>
                <w:w w:val="87"/>
              </w:rPr>
              <w:t>$</w:t>
            </w:r>
          </w:p>
        </w:tc>
        <w:tc>
          <w:tcPr>
            <w:tcW w:w="1200" w:type="dxa"/>
            <w:vAlign w:val="bottom"/>
            <w:shd w:val="clear" w:color="auto" w:fill="CCEEFF"/>
          </w:tcPr>
          <w:p>
            <w:pPr>
              <w:jc w:val="right"/>
              <w:spacing w:after="0" w:line="217" w:lineRule="exact"/>
              <w:rPr>
                <w:sz w:val="20"/>
                <w:szCs w:val="20"/>
                <w:color w:val="auto"/>
              </w:rPr>
            </w:pPr>
            <w:r>
              <w:rPr>
                <w:rFonts w:ascii="Calibri" w:cs="Calibri" w:eastAsia="Calibri" w:hAnsi="Calibri"/>
                <w:sz w:val="18"/>
                <w:szCs w:val="18"/>
                <w:color w:val="auto"/>
              </w:rPr>
              <w:t>161.99</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2"/>
              <w:spacing w:after="0" w:line="217" w:lineRule="exact"/>
              <w:rPr>
                <w:sz w:val="20"/>
                <w:szCs w:val="20"/>
                <w:color w:val="auto"/>
              </w:rPr>
            </w:pPr>
            <w:r>
              <w:rPr>
                <w:rFonts w:ascii="Calibri" w:cs="Calibri" w:eastAsia="Calibri" w:hAnsi="Calibri"/>
                <w:sz w:val="18"/>
                <w:szCs w:val="18"/>
                <w:color w:val="auto"/>
                <w:w w:val="87"/>
              </w:rPr>
              <w:t>$</w:t>
            </w:r>
          </w:p>
        </w:tc>
        <w:tc>
          <w:tcPr>
            <w:tcW w:w="1120" w:type="dxa"/>
            <w:vAlign w:val="bottom"/>
            <w:shd w:val="clear" w:color="auto" w:fill="CCEEFF"/>
          </w:tcPr>
          <w:p>
            <w:pPr>
              <w:jc w:val="right"/>
              <w:spacing w:after="0" w:line="217" w:lineRule="exact"/>
              <w:rPr>
                <w:sz w:val="20"/>
                <w:szCs w:val="20"/>
                <w:color w:val="auto"/>
              </w:rPr>
            </w:pPr>
            <w:r>
              <w:rPr>
                <w:rFonts w:ascii="Calibri" w:cs="Calibri" w:eastAsia="Calibri" w:hAnsi="Calibri"/>
                <w:sz w:val="18"/>
                <w:szCs w:val="18"/>
                <w:color w:val="auto"/>
              </w:rPr>
              <w:t>233.96</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2"/>
              <w:spacing w:after="0" w:line="217" w:lineRule="exact"/>
              <w:rPr>
                <w:sz w:val="20"/>
                <w:szCs w:val="20"/>
                <w:color w:val="auto"/>
              </w:rPr>
            </w:pPr>
            <w:r>
              <w:rPr>
                <w:rFonts w:ascii="Calibri" w:cs="Calibri" w:eastAsia="Calibri" w:hAnsi="Calibri"/>
                <w:sz w:val="18"/>
                <w:szCs w:val="18"/>
                <w:color w:val="auto"/>
                <w:w w:val="87"/>
              </w:rPr>
              <w:t>$</w:t>
            </w:r>
          </w:p>
        </w:tc>
        <w:tc>
          <w:tcPr>
            <w:tcW w:w="1100" w:type="dxa"/>
            <w:vAlign w:val="bottom"/>
            <w:shd w:val="clear" w:color="auto" w:fill="CCEEFF"/>
          </w:tcPr>
          <w:p>
            <w:pPr>
              <w:jc w:val="right"/>
              <w:spacing w:after="0" w:line="217" w:lineRule="exact"/>
              <w:rPr>
                <w:sz w:val="20"/>
                <w:szCs w:val="20"/>
                <w:color w:val="auto"/>
              </w:rPr>
            </w:pPr>
            <w:r>
              <w:rPr>
                <w:rFonts w:ascii="Calibri" w:cs="Calibri" w:eastAsia="Calibri" w:hAnsi="Calibri"/>
                <w:sz w:val="18"/>
                <w:szCs w:val="18"/>
                <w:color w:val="auto"/>
              </w:rPr>
              <w:t>171.79</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line="217" w:lineRule="exact"/>
              <w:rPr>
                <w:sz w:val="20"/>
                <w:szCs w:val="20"/>
                <w:color w:val="auto"/>
              </w:rPr>
            </w:pPr>
            <w:r>
              <w:rPr>
                <w:rFonts w:ascii="Calibri" w:cs="Calibri" w:eastAsia="Calibri" w:hAnsi="Calibri"/>
                <w:sz w:val="18"/>
                <w:szCs w:val="18"/>
                <w:color w:val="auto"/>
                <w:w w:val="87"/>
              </w:rPr>
              <w:t>$</w:t>
            </w:r>
          </w:p>
        </w:tc>
        <w:tc>
          <w:tcPr>
            <w:tcW w:w="1180" w:type="dxa"/>
            <w:vAlign w:val="bottom"/>
            <w:shd w:val="clear" w:color="auto" w:fill="CCEEFF"/>
          </w:tcPr>
          <w:p>
            <w:pPr>
              <w:jc w:val="right"/>
              <w:spacing w:after="0" w:line="217" w:lineRule="exact"/>
              <w:rPr>
                <w:sz w:val="20"/>
                <w:szCs w:val="20"/>
                <w:color w:val="auto"/>
              </w:rPr>
            </w:pPr>
            <w:r>
              <w:rPr>
                <w:rFonts w:ascii="Calibri" w:cs="Calibri" w:eastAsia="Calibri" w:hAnsi="Calibri"/>
                <w:sz w:val="18"/>
                <w:szCs w:val="18"/>
                <w:color w:val="auto"/>
              </w:rPr>
              <w:t>212.82</w:t>
            </w:r>
          </w:p>
        </w:tc>
        <w:tc>
          <w:tcPr>
            <w:tcW w:w="0" w:type="dxa"/>
            <w:vAlign w:val="bottom"/>
          </w:tcPr>
          <w:p>
            <w:pPr>
              <w:spacing w:after="0"/>
              <w:rPr>
                <w:sz w:val="1"/>
                <w:szCs w:val="1"/>
                <w:color w:val="auto"/>
              </w:rPr>
            </w:pPr>
          </w:p>
        </w:tc>
      </w:tr>
    </w:tbl>
    <w:p>
      <w:pPr>
        <w:spacing w:after="0" w:line="177" w:lineRule="exact"/>
        <w:rPr>
          <w:sz w:val="20"/>
          <w:szCs w:val="20"/>
          <w:color w:val="auto"/>
        </w:rPr>
      </w:pPr>
    </w:p>
    <w:p>
      <w:pPr>
        <w:ind w:right="60" w:firstLine="396"/>
        <w:spacing w:after="0" w:line="230" w:lineRule="auto"/>
        <w:rPr>
          <w:sz w:val="20"/>
          <w:szCs w:val="20"/>
          <w:color w:val="auto"/>
        </w:rPr>
      </w:pPr>
      <w:r>
        <w:rPr>
          <w:rFonts w:ascii="Calibri" w:cs="Calibri" w:eastAsia="Calibri" w:hAnsi="Calibri"/>
          <w:sz w:val="18"/>
          <w:szCs w:val="18"/>
          <w:i w:val="1"/>
          <w:iCs w:val="1"/>
          <w:color w:val="auto"/>
        </w:rPr>
        <w:t>The graph and the table above shall not be deemed “fled” with the SEC for the purposes of Secton 18 of the Exchange Act or otherwise subject to the liabilites of that secton, nor shall it be deemed incorporated by reference in any fling made by us with the SEC, regardless of any general incorporaton language in such fling.</w:t>
      </w:r>
    </w:p>
    <w:p>
      <w:pPr>
        <w:spacing w:after="0" w:line="98" w:lineRule="exact"/>
        <w:rPr>
          <w:sz w:val="20"/>
          <w:szCs w:val="20"/>
          <w:color w:val="auto"/>
        </w:rPr>
      </w:pPr>
    </w:p>
    <w:p>
      <w:pPr>
        <w:spacing w:after="0"/>
        <w:tabs>
          <w:tab w:leader="none" w:pos="1080" w:val="left"/>
        </w:tabs>
        <w:rPr>
          <w:sz w:val="20"/>
          <w:szCs w:val="20"/>
          <w:color w:val="auto"/>
        </w:rPr>
      </w:pPr>
      <w:r>
        <w:rPr>
          <w:rFonts w:ascii="Calibri" w:cs="Calibri" w:eastAsia="Calibri" w:hAnsi="Calibri"/>
          <w:sz w:val="18"/>
          <w:szCs w:val="18"/>
          <w:b w:val="1"/>
          <w:bCs w:val="1"/>
          <w:color w:val="auto"/>
        </w:rPr>
        <w:t>ITEM 6.</w:t>
      </w:r>
      <w:r>
        <w:rPr>
          <w:sz w:val="20"/>
          <w:szCs w:val="20"/>
          <w:color w:val="auto"/>
        </w:rPr>
        <w:tab/>
      </w:r>
      <w:r>
        <w:rPr>
          <w:rFonts w:ascii="Calibri" w:cs="Calibri" w:eastAsia="Calibri" w:hAnsi="Calibri"/>
          <w:sz w:val="17"/>
          <w:szCs w:val="17"/>
          <w:b w:val="1"/>
          <w:bCs w:val="1"/>
          <w:color w:val="auto"/>
        </w:rPr>
        <w:t>[RESERVED]</w:t>
      </w: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9" w:right="339" w:bottom="1440" w:gutter="0" w:footer="0" w:header="0"/>
        </w:sectPr>
      </w:pPr>
    </w:p>
    <w:bookmarkStart w:id="37" w:name="page38"/>
    <w:bookmarkEnd w:id="37"/>
    <w:p>
      <w:pPr>
        <w:spacing w:after="0"/>
        <w:rPr>
          <w:sz w:val="20"/>
          <w:szCs w:val="20"/>
          <w:color w:val="auto"/>
        </w:rPr>
      </w:pPr>
      <w:r>
        <w:rPr>
          <w:rFonts w:ascii="Calibri" w:cs="Calibri" w:eastAsia="Calibri" w:hAnsi="Calibri"/>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tabs>
          <w:tab w:leader="none" w:pos="720" w:val="left"/>
        </w:tabs>
        <w:rPr>
          <w:sz w:val="20"/>
          <w:szCs w:val="20"/>
          <w:color w:val="auto"/>
        </w:rPr>
      </w:pPr>
      <w:r>
        <w:rPr>
          <w:rFonts w:ascii="Calibri" w:cs="Calibri" w:eastAsia="Calibri" w:hAnsi="Calibri"/>
          <w:sz w:val="18"/>
          <w:szCs w:val="18"/>
          <w:b w:val="1"/>
          <w:bCs w:val="1"/>
          <w:color w:val="auto"/>
        </w:rPr>
        <w:t>ITEM 7.</w:t>
      </w:r>
      <w:r>
        <w:rPr>
          <w:sz w:val="20"/>
          <w:szCs w:val="20"/>
          <w:color w:val="auto"/>
        </w:rPr>
        <w:tab/>
      </w:r>
      <w:r>
        <w:rPr>
          <w:rFonts w:ascii="Calibri" w:cs="Calibri" w:eastAsia="Calibri" w:hAnsi="Calibri"/>
          <w:sz w:val="17"/>
          <w:szCs w:val="17"/>
          <w:b w:val="1"/>
          <w:bCs w:val="1"/>
          <w:color w:val="auto"/>
        </w:rPr>
        <w:t>MANAGEMENT’S DISCUSSION AND ANALYSIS OF FINANCIAL CONDITION AND RESULTS OF OPERATIONS</w:t>
      </w:r>
    </w:p>
    <w:p>
      <w:pPr>
        <w:spacing w:after="0" w:line="107" w:lineRule="exact"/>
        <w:rPr>
          <w:sz w:val="20"/>
          <w:szCs w:val="20"/>
          <w:color w:val="auto"/>
        </w:rPr>
      </w:pPr>
    </w:p>
    <w:p>
      <w:pPr>
        <w:jc w:val="both"/>
        <w:ind w:right="80" w:firstLine="396"/>
        <w:spacing w:after="0" w:line="245" w:lineRule="auto"/>
        <w:rPr>
          <w:sz w:val="20"/>
          <w:szCs w:val="20"/>
          <w:color w:val="auto"/>
        </w:rPr>
      </w:pPr>
      <w:r>
        <w:rPr>
          <w:rFonts w:ascii="Calibri" w:cs="Calibri" w:eastAsia="Calibri" w:hAnsi="Calibri"/>
          <w:sz w:val="17"/>
          <w:szCs w:val="17"/>
          <w:i w:val="1"/>
          <w:iCs w:val="1"/>
          <w:color w:val="auto"/>
        </w:rPr>
        <w:t>This Management’s Discussion and Analysis of Financial Conditon and Results of Operatons should be read in conjuncton with our consolidated fnancial statements and notes thereto, which appear elsewhere in this Annual Report on Form 10-K. This discussion may contain forward-looking statements based upon current expectatons that involve risks and uncertaintes. Our actual results may difer materially from those antcipated in these forward-looking statements as a result of various factors, including those set forth under the capton “Risk Factors” or in other parts of this Annual Report on Form 10-K.</w:t>
      </w:r>
    </w:p>
    <w:p>
      <w:pPr>
        <w:spacing w:after="0" w:line="103" w:lineRule="exact"/>
        <w:rPr>
          <w:sz w:val="20"/>
          <w:szCs w:val="20"/>
          <w:color w:val="auto"/>
        </w:rPr>
      </w:pPr>
    </w:p>
    <w:p>
      <w:pPr>
        <w:jc w:val="both"/>
        <w:ind w:right="260" w:firstLine="396"/>
        <w:spacing w:after="0" w:line="230" w:lineRule="auto"/>
        <w:rPr>
          <w:sz w:val="20"/>
          <w:szCs w:val="20"/>
          <w:color w:val="auto"/>
        </w:rPr>
      </w:pPr>
      <w:r>
        <w:rPr>
          <w:rFonts w:ascii="Calibri" w:cs="Calibri" w:eastAsia="Calibri" w:hAnsi="Calibri"/>
          <w:sz w:val="18"/>
          <w:szCs w:val="18"/>
          <w:color w:val="auto"/>
        </w:rPr>
        <w:t>The following secton generally discusses our fnancial conditon and results of operatons for our fscal year ended October 29, 2023 (“fscal year 2023”) compared to our fscal year ended October 30, 2022 (“fscal year 2022”). A discussion regarding our fnancial conditon and results of operatons for fscal year 2022 compared to our fscal year ended October 31, 2021 (“fscal year 2021”) can be found in Part II, Item 7 of our Annual Report on Form 10-K for fscal year 2022, fled with the Securites and Exchange Commission (the “SEC”) on December 16, 2022.</w:t>
      </w:r>
    </w:p>
    <w:p>
      <w:pPr>
        <w:spacing w:after="0" w:line="99"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Overview</w:t>
      </w:r>
    </w:p>
    <w:p>
      <w:pPr>
        <w:spacing w:after="0" w:line="107" w:lineRule="exact"/>
        <w:rPr>
          <w:sz w:val="20"/>
          <w:szCs w:val="20"/>
          <w:color w:val="auto"/>
        </w:rPr>
      </w:pPr>
    </w:p>
    <w:p>
      <w:pPr>
        <w:ind w:firstLine="396"/>
        <w:spacing w:after="0" w:line="230" w:lineRule="auto"/>
        <w:rPr>
          <w:sz w:val="20"/>
          <w:szCs w:val="20"/>
          <w:color w:val="auto"/>
        </w:rPr>
      </w:pPr>
      <w:r>
        <w:rPr>
          <w:rFonts w:ascii="Calibri" w:cs="Calibri" w:eastAsia="Calibri" w:hAnsi="Calibri"/>
          <w:sz w:val="18"/>
          <w:szCs w:val="18"/>
          <w:color w:val="auto"/>
        </w:rPr>
        <w:t>We are a global technology leader that designs, develops and supplies a broad range of semiconductor and infrastructure sofware solutons. We develop semiconductor devices with a focus on complex digital and mixed signal complementary metal oxide semiconductor based devices and analog III-V based products. We have a history of innovaton in the semiconductor industry and ofer thousands of products that are used in end products such as enterprise and data center networking, home connectvity, set-top boxes, broadband access, telecommunicaton equipment, smartphones and base statons, data center servers and storage systems, factory automaton, power generaton and alternatve energy systems, and electronic displays. Our infrastructure sofware solutons enable customers to plan, develop, automate, manage and secure applicatons across mainframe, distributed, mobile and cloud platorms. Our portolio of infrastructure and security sofware is designed to modernize, optmize, and secure the most complex hybrid environments, enabling scalability, agility, automaton, insights, resiliency and security. We also ofer mission critcal fbre channel storage area networking (“FC SAN”) products and related sofware in the form of modules, switches and subsystems incorporatng multple semiconductor products.</w:t>
      </w:r>
    </w:p>
    <w:p>
      <w:pPr>
        <w:spacing w:after="0" w:line="112" w:lineRule="exact"/>
        <w:rPr>
          <w:sz w:val="20"/>
          <w:szCs w:val="20"/>
          <w:color w:val="auto"/>
        </w:rPr>
      </w:pPr>
    </w:p>
    <w:p>
      <w:pPr>
        <w:jc w:val="both"/>
        <w:ind w:right="100" w:firstLine="396"/>
        <w:spacing w:after="0" w:line="230" w:lineRule="auto"/>
        <w:rPr>
          <w:sz w:val="20"/>
          <w:szCs w:val="20"/>
          <w:color w:val="auto"/>
        </w:rPr>
      </w:pPr>
      <w:r>
        <w:rPr>
          <w:rFonts w:ascii="Calibri" w:cs="Calibri" w:eastAsia="Calibri" w:hAnsi="Calibri"/>
          <w:sz w:val="18"/>
          <w:szCs w:val="18"/>
          <w:color w:val="auto"/>
        </w:rPr>
        <w:t>We have two reportable segments: semiconductor solutons and infrastructure sofware. Our semiconductor solutons segment includes all of our product lines and intellectual property (“IP”) licensing. Our infrastructure sofware segment includes our mainframe, distributed and cyber security solutons, and our FC SAN business.</w:t>
      </w:r>
    </w:p>
    <w:p>
      <w:pPr>
        <w:spacing w:after="0" w:line="108" w:lineRule="exact"/>
        <w:rPr>
          <w:sz w:val="20"/>
          <w:szCs w:val="20"/>
          <w:color w:val="auto"/>
        </w:rPr>
      </w:pPr>
    </w:p>
    <w:p>
      <w:pPr>
        <w:ind w:right="100" w:firstLine="396"/>
        <w:spacing w:after="0" w:line="230" w:lineRule="auto"/>
        <w:rPr>
          <w:sz w:val="20"/>
          <w:szCs w:val="20"/>
          <w:color w:val="auto"/>
        </w:rPr>
      </w:pPr>
      <w:r>
        <w:rPr>
          <w:rFonts w:ascii="Calibri" w:cs="Calibri" w:eastAsia="Calibri" w:hAnsi="Calibri"/>
          <w:sz w:val="18"/>
          <w:szCs w:val="18"/>
          <w:color w:val="auto"/>
        </w:rPr>
        <w:t>Our strategy is to combine best-of-breed technology leadership in semiconductor and infrastructure sofware solutons, with unmatched scale, on a common sales and administratve platorm to deliver a comprehensive suite of infrastructure technology products to the world’s leading business and government customers. We seek to achieve this through responsibly fnanced acquisitons of category-leading businesses and technologies, as well as investng extensively in research and development, to ensure our products retain their technology leadership. This strategy results in a robust business model designed to drive diversifed and sustainable operatng and fnancial results.</w:t>
      </w:r>
    </w:p>
    <w:p>
      <w:pPr>
        <w:spacing w:after="0" w:line="109" w:lineRule="exact"/>
        <w:rPr>
          <w:sz w:val="20"/>
          <w:szCs w:val="20"/>
          <w:color w:val="auto"/>
        </w:rPr>
      </w:pPr>
    </w:p>
    <w:p>
      <w:pPr>
        <w:ind w:left="400"/>
        <w:spacing w:after="0"/>
        <w:rPr>
          <w:sz w:val="20"/>
          <w:szCs w:val="20"/>
          <w:color w:val="auto"/>
        </w:rPr>
      </w:pPr>
      <w:r>
        <w:rPr>
          <w:rFonts w:ascii="Calibri" w:cs="Calibri" w:eastAsia="Calibri" w:hAnsi="Calibri"/>
          <w:sz w:val="17"/>
          <w:szCs w:val="17"/>
          <w:color w:val="auto"/>
        </w:rPr>
        <w:t>The demand for our products has been afected in the past, and is likely to contnue to be afected in the future, by various factors, including the following:</w:t>
      </w:r>
    </w:p>
    <w:p>
      <w:pPr>
        <w:spacing w:after="0" w:line="100" w:lineRule="exact"/>
        <w:rPr>
          <w:sz w:val="20"/>
          <w:szCs w:val="20"/>
          <w:color w:val="auto"/>
        </w:rPr>
      </w:pPr>
    </w:p>
    <w:p>
      <w:pPr>
        <w:ind w:left="640" w:hanging="238"/>
        <w:spacing w:after="0"/>
        <w:tabs>
          <w:tab w:leader="none" w:pos="640" w:val="left"/>
        </w:tabs>
        <w:numPr>
          <w:ilvl w:val="0"/>
          <w:numId w:val="23"/>
        </w:numPr>
        <w:rPr>
          <w:rFonts w:ascii="Calibri" w:cs="Calibri" w:eastAsia="Calibri" w:hAnsi="Calibri"/>
          <w:sz w:val="18"/>
          <w:szCs w:val="18"/>
          <w:color w:val="auto"/>
        </w:rPr>
      </w:pPr>
      <w:r>
        <w:rPr>
          <w:rFonts w:ascii="Calibri" w:cs="Calibri" w:eastAsia="Calibri" w:hAnsi="Calibri"/>
          <w:sz w:val="18"/>
          <w:szCs w:val="18"/>
          <w:color w:val="auto"/>
        </w:rPr>
        <w:t>gain or loss of signifcant customers;</w:t>
      </w:r>
    </w:p>
    <w:p>
      <w:pPr>
        <w:spacing w:after="0" w:line="97" w:lineRule="exact"/>
        <w:rPr>
          <w:rFonts w:ascii="Calibri" w:cs="Calibri" w:eastAsia="Calibri" w:hAnsi="Calibri"/>
          <w:sz w:val="18"/>
          <w:szCs w:val="18"/>
          <w:color w:val="auto"/>
        </w:rPr>
      </w:pPr>
    </w:p>
    <w:p>
      <w:pPr>
        <w:ind w:left="640" w:hanging="238"/>
        <w:spacing w:after="0"/>
        <w:tabs>
          <w:tab w:leader="none" w:pos="640" w:val="left"/>
        </w:tabs>
        <w:numPr>
          <w:ilvl w:val="0"/>
          <w:numId w:val="23"/>
        </w:numPr>
        <w:rPr>
          <w:rFonts w:ascii="Calibri" w:cs="Calibri" w:eastAsia="Calibri" w:hAnsi="Calibri"/>
          <w:sz w:val="18"/>
          <w:szCs w:val="18"/>
          <w:color w:val="auto"/>
        </w:rPr>
      </w:pPr>
      <w:r>
        <w:rPr>
          <w:rFonts w:ascii="Calibri" w:cs="Calibri" w:eastAsia="Calibri" w:hAnsi="Calibri"/>
          <w:sz w:val="18"/>
          <w:szCs w:val="18"/>
          <w:color w:val="auto"/>
        </w:rPr>
        <w:t>general economic and market conditons in the industries and markets in which we compete;</w:t>
      </w:r>
    </w:p>
    <w:p>
      <w:pPr>
        <w:spacing w:after="0" w:line="97" w:lineRule="exact"/>
        <w:rPr>
          <w:rFonts w:ascii="Calibri" w:cs="Calibri" w:eastAsia="Calibri" w:hAnsi="Calibri"/>
          <w:sz w:val="18"/>
          <w:szCs w:val="18"/>
          <w:color w:val="auto"/>
        </w:rPr>
      </w:pPr>
    </w:p>
    <w:p>
      <w:pPr>
        <w:ind w:left="640" w:hanging="238"/>
        <w:spacing w:after="0"/>
        <w:tabs>
          <w:tab w:leader="none" w:pos="640" w:val="left"/>
        </w:tabs>
        <w:numPr>
          <w:ilvl w:val="0"/>
          <w:numId w:val="23"/>
        </w:numPr>
        <w:rPr>
          <w:rFonts w:ascii="Calibri" w:cs="Calibri" w:eastAsia="Calibri" w:hAnsi="Calibri"/>
          <w:sz w:val="18"/>
          <w:szCs w:val="18"/>
          <w:color w:val="auto"/>
        </w:rPr>
      </w:pPr>
      <w:r>
        <w:rPr>
          <w:rFonts w:ascii="Calibri" w:cs="Calibri" w:eastAsia="Calibri" w:hAnsi="Calibri"/>
          <w:sz w:val="18"/>
          <w:szCs w:val="18"/>
          <w:color w:val="auto"/>
        </w:rPr>
        <w:t>our distributors’ product inventory and end customer demand;</w:t>
      </w:r>
    </w:p>
    <w:p>
      <w:pPr>
        <w:spacing w:after="0" w:line="106" w:lineRule="exact"/>
        <w:rPr>
          <w:rFonts w:ascii="Calibri" w:cs="Calibri" w:eastAsia="Calibri" w:hAnsi="Calibri"/>
          <w:sz w:val="18"/>
          <w:szCs w:val="18"/>
          <w:color w:val="auto"/>
        </w:rPr>
      </w:pPr>
    </w:p>
    <w:p>
      <w:pPr>
        <w:ind w:left="640" w:right="60" w:hanging="238"/>
        <w:spacing w:after="0" w:line="230" w:lineRule="auto"/>
        <w:tabs>
          <w:tab w:leader="none" w:pos="633" w:val="left"/>
        </w:tabs>
        <w:numPr>
          <w:ilvl w:val="0"/>
          <w:numId w:val="23"/>
        </w:numPr>
        <w:rPr>
          <w:rFonts w:ascii="Calibri" w:cs="Calibri" w:eastAsia="Calibri" w:hAnsi="Calibri"/>
          <w:sz w:val="18"/>
          <w:szCs w:val="18"/>
          <w:color w:val="auto"/>
        </w:rPr>
      </w:pPr>
      <w:r>
        <w:rPr>
          <w:rFonts w:ascii="Calibri" w:cs="Calibri" w:eastAsia="Calibri" w:hAnsi="Calibri"/>
          <w:sz w:val="18"/>
          <w:szCs w:val="18"/>
          <w:color w:val="auto"/>
        </w:rPr>
        <w:t>the rate at which our present and future customers and end-users adopt our products and technologies in our target markets, and the rate at which our customers' products that include our technology are accepted in their markets;</w:t>
      </w:r>
    </w:p>
    <w:p>
      <w:pPr>
        <w:spacing w:after="0" w:line="107" w:lineRule="exact"/>
        <w:rPr>
          <w:rFonts w:ascii="Calibri" w:cs="Calibri" w:eastAsia="Calibri" w:hAnsi="Calibri"/>
          <w:sz w:val="18"/>
          <w:szCs w:val="18"/>
          <w:color w:val="auto"/>
        </w:rPr>
      </w:pPr>
    </w:p>
    <w:p>
      <w:pPr>
        <w:ind w:left="640" w:right="540" w:hanging="238"/>
        <w:spacing w:after="0" w:line="230" w:lineRule="auto"/>
        <w:tabs>
          <w:tab w:leader="none" w:pos="633" w:val="left"/>
        </w:tabs>
        <w:numPr>
          <w:ilvl w:val="0"/>
          <w:numId w:val="23"/>
        </w:numPr>
        <w:rPr>
          <w:rFonts w:ascii="Calibri" w:cs="Calibri" w:eastAsia="Calibri" w:hAnsi="Calibri"/>
          <w:sz w:val="18"/>
          <w:szCs w:val="18"/>
          <w:color w:val="auto"/>
        </w:rPr>
      </w:pPr>
      <w:r>
        <w:rPr>
          <w:rFonts w:ascii="Calibri" w:cs="Calibri" w:eastAsia="Calibri" w:hAnsi="Calibri"/>
          <w:sz w:val="18"/>
          <w:szCs w:val="18"/>
          <w:color w:val="auto"/>
        </w:rPr>
        <w:t>the shif to cloud-based informaton technology solutons and services, such as hyperscale computng, which may adversely afect the tming and volume of sales of our products for use in traditonal enterprise data centers; and</w:t>
      </w:r>
    </w:p>
    <w:p>
      <w:pPr>
        <w:spacing w:after="0" w:line="97" w:lineRule="exact"/>
        <w:rPr>
          <w:rFonts w:ascii="Calibri" w:cs="Calibri" w:eastAsia="Calibri" w:hAnsi="Calibri"/>
          <w:sz w:val="18"/>
          <w:szCs w:val="18"/>
          <w:color w:val="auto"/>
        </w:rPr>
      </w:pPr>
    </w:p>
    <w:p>
      <w:pPr>
        <w:ind w:left="640" w:hanging="238"/>
        <w:spacing w:after="0"/>
        <w:tabs>
          <w:tab w:leader="none" w:pos="640" w:val="left"/>
        </w:tabs>
        <w:numPr>
          <w:ilvl w:val="0"/>
          <w:numId w:val="23"/>
        </w:numPr>
        <w:rPr>
          <w:rFonts w:ascii="Calibri" w:cs="Calibri" w:eastAsia="Calibri" w:hAnsi="Calibri"/>
          <w:sz w:val="18"/>
          <w:szCs w:val="18"/>
          <w:color w:val="auto"/>
        </w:rPr>
      </w:pPr>
      <w:r>
        <w:rPr>
          <w:rFonts w:ascii="Calibri" w:cs="Calibri" w:eastAsia="Calibri" w:hAnsi="Calibri"/>
          <w:sz w:val="18"/>
          <w:szCs w:val="18"/>
          <w:color w:val="auto"/>
        </w:rPr>
        <w:t>the tming, rescheduling or cancellaton of expected customer orders.</w:t>
      </w:r>
    </w:p>
    <w:p>
      <w:pPr>
        <w:spacing w:after="0" w:line="97"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Fiscal Year Highlights</w:t>
      </w:r>
    </w:p>
    <w:p>
      <w:pPr>
        <w:spacing w:after="0" w:line="97" w:lineRule="exact"/>
        <w:rPr>
          <w:sz w:val="20"/>
          <w:szCs w:val="20"/>
          <w:color w:val="auto"/>
        </w:rPr>
      </w:pPr>
    </w:p>
    <w:p>
      <w:pPr>
        <w:ind w:left="400"/>
        <w:spacing w:after="0"/>
        <w:rPr>
          <w:sz w:val="20"/>
          <w:szCs w:val="20"/>
          <w:color w:val="auto"/>
        </w:rPr>
      </w:pPr>
      <w:r>
        <w:rPr>
          <w:rFonts w:ascii="Calibri" w:cs="Calibri" w:eastAsia="Calibri" w:hAnsi="Calibri"/>
          <w:sz w:val="18"/>
          <w:szCs w:val="18"/>
          <w:color w:val="auto"/>
        </w:rPr>
        <w:t>Highlights during fscal year 2023 include the following:</w:t>
      </w:r>
    </w:p>
    <w:p>
      <w:pPr>
        <w:spacing w:after="0" w:line="97" w:lineRule="exact"/>
        <w:rPr>
          <w:sz w:val="20"/>
          <w:szCs w:val="20"/>
          <w:color w:val="auto"/>
        </w:rPr>
      </w:pPr>
    </w:p>
    <w:p>
      <w:pPr>
        <w:ind w:left="640" w:hanging="238"/>
        <w:spacing w:after="0"/>
        <w:tabs>
          <w:tab w:leader="none" w:pos="640" w:val="left"/>
        </w:tabs>
        <w:numPr>
          <w:ilvl w:val="0"/>
          <w:numId w:val="24"/>
        </w:numPr>
        <w:rPr>
          <w:rFonts w:ascii="Calibri" w:cs="Calibri" w:eastAsia="Calibri" w:hAnsi="Calibri"/>
          <w:sz w:val="18"/>
          <w:szCs w:val="18"/>
          <w:color w:val="auto"/>
        </w:rPr>
      </w:pPr>
      <w:r>
        <w:rPr>
          <w:rFonts w:ascii="Calibri" w:cs="Calibri" w:eastAsia="Calibri" w:hAnsi="Calibri"/>
          <w:sz w:val="18"/>
          <w:szCs w:val="18"/>
          <w:color w:val="auto"/>
        </w:rPr>
        <w:t>We generated $18,085 million of cash from operatons.</w:t>
      </w:r>
    </w:p>
    <w:p>
      <w:pPr>
        <w:spacing w:after="0" w:line="97" w:lineRule="exact"/>
        <w:rPr>
          <w:rFonts w:ascii="Calibri" w:cs="Calibri" w:eastAsia="Calibri" w:hAnsi="Calibri"/>
          <w:sz w:val="18"/>
          <w:szCs w:val="18"/>
          <w:color w:val="auto"/>
        </w:rPr>
      </w:pPr>
    </w:p>
    <w:p>
      <w:pPr>
        <w:ind w:left="640" w:hanging="238"/>
        <w:spacing w:after="0"/>
        <w:tabs>
          <w:tab w:leader="none" w:pos="640" w:val="left"/>
        </w:tabs>
        <w:numPr>
          <w:ilvl w:val="0"/>
          <w:numId w:val="24"/>
        </w:numPr>
        <w:rPr>
          <w:rFonts w:ascii="Calibri" w:cs="Calibri" w:eastAsia="Calibri" w:hAnsi="Calibri"/>
          <w:sz w:val="18"/>
          <w:szCs w:val="18"/>
          <w:color w:val="auto"/>
        </w:rPr>
      </w:pPr>
      <w:r>
        <w:rPr>
          <w:rFonts w:ascii="Calibri" w:cs="Calibri" w:eastAsia="Calibri" w:hAnsi="Calibri"/>
          <w:sz w:val="18"/>
          <w:szCs w:val="18"/>
          <w:color w:val="auto"/>
        </w:rPr>
        <w:t>We paid $7,645 million in cash dividends.</w:t>
      </w:r>
    </w:p>
    <w:p>
      <w:pPr>
        <w:spacing w:after="0" w:line="97" w:lineRule="exact"/>
        <w:rPr>
          <w:rFonts w:ascii="Calibri" w:cs="Calibri" w:eastAsia="Calibri" w:hAnsi="Calibri"/>
          <w:sz w:val="18"/>
          <w:szCs w:val="18"/>
          <w:color w:val="auto"/>
        </w:rPr>
      </w:pPr>
    </w:p>
    <w:p>
      <w:pPr>
        <w:ind w:left="640" w:hanging="238"/>
        <w:spacing w:after="0"/>
        <w:tabs>
          <w:tab w:leader="none" w:pos="640" w:val="left"/>
        </w:tabs>
        <w:numPr>
          <w:ilvl w:val="0"/>
          <w:numId w:val="24"/>
        </w:numPr>
        <w:rPr>
          <w:rFonts w:ascii="Calibri" w:cs="Calibri" w:eastAsia="Calibri" w:hAnsi="Calibri"/>
          <w:sz w:val="18"/>
          <w:szCs w:val="18"/>
          <w:color w:val="auto"/>
        </w:rPr>
      </w:pPr>
      <w:r>
        <w:rPr>
          <w:rFonts w:ascii="Calibri" w:cs="Calibri" w:eastAsia="Calibri" w:hAnsi="Calibri"/>
          <w:sz w:val="18"/>
          <w:szCs w:val="18"/>
          <w:color w:val="auto"/>
        </w:rPr>
        <w:t>We repurchased $5,824 million of common stock.</w:t>
      </w: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9" w:right="339" w:bottom="1440" w:gutter="0" w:footer="0" w:header="0"/>
        </w:sectPr>
      </w:pPr>
    </w:p>
    <w:bookmarkStart w:id="38" w:name="page39"/>
    <w:bookmarkEnd w:id="38"/>
    <w:p>
      <w:pPr>
        <w:spacing w:after="0"/>
        <w:rPr>
          <w:sz w:val="20"/>
          <w:szCs w:val="20"/>
          <w:color w:val="auto"/>
        </w:rPr>
      </w:pPr>
      <w:r>
        <w:rPr>
          <w:rFonts w:ascii="Calibri" w:cs="Calibri" w:eastAsia="Calibri" w:hAnsi="Calibri"/>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Acquisiton of VMware, Inc.</w:t>
      </w:r>
    </w:p>
    <w:p>
      <w:pPr>
        <w:spacing w:after="0" w:line="107" w:lineRule="exact"/>
        <w:rPr>
          <w:sz w:val="20"/>
          <w:szCs w:val="20"/>
          <w:color w:val="auto"/>
        </w:rPr>
      </w:pPr>
    </w:p>
    <w:p>
      <w:pPr>
        <w:ind w:right="60" w:firstLine="396"/>
        <w:spacing w:after="0" w:line="230" w:lineRule="auto"/>
        <w:rPr>
          <w:sz w:val="20"/>
          <w:szCs w:val="20"/>
          <w:color w:val="auto"/>
        </w:rPr>
      </w:pPr>
      <w:r>
        <w:rPr>
          <w:rFonts w:ascii="Calibri" w:cs="Calibri" w:eastAsia="Calibri" w:hAnsi="Calibri"/>
          <w:sz w:val="18"/>
          <w:szCs w:val="18"/>
          <w:color w:val="auto"/>
        </w:rPr>
        <w:t>On November 22, 2023, we completed the acquisiton of VMware in a cash-and-stock transacton (the “VMware Merger”). Pursuant to the Agreement and Plan of Merger, each share of VMware common stock issued and outstanding immediately prior to the efectve tme of the VMware Merger was indirectly converted into the right to receive, at the electon of the holder of such share of VMware common stock, either $142.50 in cash, without interest, or 0.2520 shares of Broadcom common stock. The stockholder electon was prorated, such that the total number of shares of VMware common stock enttled to receive cash and the total number of shares of VMware common stock enttled to receive Broadcom common stock, in each case, was equal to 50% of the aggregate number of shares of VMware common stock issued and outstanding. Based on the VMware stockholders’ electons, the VMware stockholders received approximately $30.8 billion in cash and 54.4 million shares of Broadcom common stock in aggregate.</w:t>
      </w:r>
    </w:p>
    <w:p>
      <w:pPr>
        <w:spacing w:after="0" w:line="110" w:lineRule="exact"/>
        <w:rPr>
          <w:sz w:val="20"/>
          <w:szCs w:val="20"/>
          <w:color w:val="auto"/>
        </w:rPr>
      </w:pPr>
    </w:p>
    <w:p>
      <w:pPr>
        <w:ind w:right="80" w:firstLine="396"/>
        <w:spacing w:after="0" w:line="245" w:lineRule="auto"/>
        <w:rPr>
          <w:sz w:val="20"/>
          <w:szCs w:val="20"/>
          <w:color w:val="auto"/>
        </w:rPr>
      </w:pPr>
      <w:r>
        <w:rPr>
          <w:rFonts w:ascii="Calibri" w:cs="Calibri" w:eastAsia="Calibri" w:hAnsi="Calibri"/>
          <w:sz w:val="17"/>
          <w:szCs w:val="17"/>
          <w:color w:val="auto"/>
        </w:rPr>
        <w:t>We assumed all outstanding VMware restricted stock unit (“RSU”) awards and performance stock unit awards held by contnuing employees. The assumed awards were converted into approximately 5 million Broadcom RSU awards. All outstanding in-the-money VMware stock optons and RSU awards held by non-employee directors were accelerated and converted into the right to receive cash and shares of Broadcom common stock, in equal parts.</w:t>
      </w:r>
    </w:p>
    <w:p>
      <w:pPr>
        <w:spacing w:after="0" w:line="104" w:lineRule="exact"/>
        <w:rPr>
          <w:sz w:val="20"/>
          <w:szCs w:val="20"/>
          <w:color w:val="auto"/>
        </w:rPr>
      </w:pPr>
    </w:p>
    <w:p>
      <w:pPr>
        <w:ind w:right="360" w:firstLine="396"/>
        <w:spacing w:after="0" w:line="230" w:lineRule="auto"/>
        <w:rPr>
          <w:sz w:val="20"/>
          <w:szCs w:val="20"/>
          <w:color w:val="auto"/>
        </w:rPr>
      </w:pPr>
      <w:r>
        <w:rPr>
          <w:rFonts w:ascii="Calibri" w:cs="Calibri" w:eastAsia="Calibri" w:hAnsi="Calibri"/>
          <w:sz w:val="18"/>
          <w:szCs w:val="18"/>
          <w:color w:val="auto"/>
        </w:rPr>
        <w:t>VMware was a leading provider of mult-cloud services for all applicatons, enabling digital innovaton with enterprise control. We acquired VMware to enhance our infrastructure sofware capabilites.</w:t>
      </w:r>
    </w:p>
    <w:p>
      <w:pPr>
        <w:spacing w:after="0" w:line="107" w:lineRule="exact"/>
        <w:rPr>
          <w:sz w:val="20"/>
          <w:szCs w:val="20"/>
          <w:color w:val="auto"/>
        </w:rPr>
      </w:pPr>
    </w:p>
    <w:p>
      <w:pPr>
        <w:jc w:val="both"/>
        <w:ind w:right="80" w:firstLine="396"/>
        <w:spacing w:after="0" w:line="245" w:lineRule="auto"/>
        <w:rPr>
          <w:sz w:val="20"/>
          <w:szCs w:val="20"/>
          <w:color w:val="auto"/>
        </w:rPr>
      </w:pPr>
      <w:r>
        <w:rPr>
          <w:rFonts w:ascii="Calibri" w:cs="Calibri" w:eastAsia="Calibri" w:hAnsi="Calibri"/>
          <w:sz w:val="17"/>
          <w:szCs w:val="17"/>
          <w:color w:val="auto"/>
        </w:rPr>
        <w:t>The preliminary purchase consideraton for the VMware Merger was approximately $86.3 billion. We funded the cash porton of the VMware Merger with net proceeds from the issuance of $30.4 billion in term loans under a credit agreement that we entered into on August 15, 2023 (the “2023 Credit Agreement”), as well as cash on hand. See Note 15. “Subsequent Events” included in Part II, Item 8 of this Annual Report on Form 10-K for additonal informaton.</w:t>
      </w:r>
    </w:p>
    <w:p>
      <w:pPr>
        <w:spacing w:after="0" w:line="104" w:lineRule="exact"/>
        <w:rPr>
          <w:sz w:val="20"/>
          <w:szCs w:val="20"/>
          <w:color w:val="auto"/>
        </w:rPr>
      </w:pPr>
    </w:p>
    <w:p>
      <w:pPr>
        <w:ind w:right="340" w:firstLine="396"/>
        <w:spacing w:after="0" w:line="230" w:lineRule="auto"/>
        <w:rPr>
          <w:sz w:val="20"/>
          <w:szCs w:val="20"/>
          <w:color w:val="auto"/>
        </w:rPr>
      </w:pPr>
      <w:r>
        <w:rPr>
          <w:rFonts w:ascii="Calibri" w:cs="Calibri" w:eastAsia="Calibri" w:hAnsi="Calibri"/>
          <w:sz w:val="18"/>
          <w:szCs w:val="18"/>
          <w:color w:val="auto"/>
        </w:rPr>
        <w:t>The discussions below related to our business and fnancial results for fscal year 2023 and prior periods do not include any impact from or informaton relatng to the VMware Merger.</w:t>
      </w:r>
    </w:p>
    <w:p>
      <w:pPr>
        <w:spacing w:after="0" w:line="97"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Net Revenue</w:t>
      </w:r>
    </w:p>
    <w:p>
      <w:pPr>
        <w:spacing w:after="0" w:line="107" w:lineRule="exact"/>
        <w:rPr>
          <w:sz w:val="20"/>
          <w:szCs w:val="20"/>
          <w:color w:val="auto"/>
        </w:rPr>
      </w:pPr>
    </w:p>
    <w:p>
      <w:pPr>
        <w:ind w:right="320" w:firstLine="396"/>
        <w:spacing w:after="0" w:line="230" w:lineRule="auto"/>
        <w:rPr>
          <w:sz w:val="20"/>
          <w:szCs w:val="20"/>
          <w:color w:val="auto"/>
        </w:rPr>
      </w:pPr>
      <w:r>
        <w:rPr>
          <w:rFonts w:ascii="Calibri" w:cs="Calibri" w:eastAsia="Calibri" w:hAnsi="Calibri"/>
          <w:sz w:val="18"/>
          <w:szCs w:val="18"/>
          <w:color w:val="auto"/>
        </w:rPr>
        <w:t>A majority of our net revenue is derived from sales of a broad range of semiconductor devices that are incorporated into electronic products, as well as from modules, switches and subsystems. Net revenue is also generated from the sale of sofware solutons that enable our customers to plan, develop, automate, manage, and secure applicatons across mainframe, distributed, mobile, and cloud platorms.</w:t>
      </w:r>
    </w:p>
    <w:p>
      <w:pPr>
        <w:spacing w:after="0" w:line="108" w:lineRule="exact"/>
        <w:rPr>
          <w:sz w:val="20"/>
          <w:szCs w:val="20"/>
          <w:color w:val="auto"/>
        </w:rPr>
      </w:pPr>
    </w:p>
    <w:p>
      <w:pPr>
        <w:jc w:val="both"/>
        <w:ind w:right="340" w:firstLine="396"/>
        <w:spacing w:after="0" w:line="230" w:lineRule="auto"/>
        <w:rPr>
          <w:sz w:val="20"/>
          <w:szCs w:val="20"/>
          <w:color w:val="auto"/>
        </w:rPr>
      </w:pPr>
      <w:r>
        <w:rPr>
          <w:rFonts w:ascii="Calibri" w:cs="Calibri" w:eastAsia="Calibri" w:hAnsi="Calibri"/>
          <w:sz w:val="18"/>
          <w:szCs w:val="18"/>
          <w:color w:val="auto"/>
        </w:rPr>
        <w:t xml:space="preserve">Our overall net revenue, as well as the percentage of total net revenue generated by sales in our semiconductor solutons and infrastructure sofware segments, have varied from quarter to quarter, due largely to fuctuatons in end-market demand, including the efects of seasonality, which are discussed in detail in Part I, Item 1. </w:t>
      </w:r>
      <w:r>
        <w:rPr>
          <w:rFonts w:ascii="Calibri" w:cs="Calibri" w:eastAsia="Calibri" w:hAnsi="Calibri"/>
          <w:sz w:val="18"/>
          <w:szCs w:val="18"/>
          <w:i w:val="1"/>
          <w:iCs w:val="1"/>
          <w:color w:val="auto"/>
        </w:rPr>
        <w:t>Business</w:t>
      </w:r>
      <w:r>
        <w:rPr>
          <w:rFonts w:ascii="Calibri" w:cs="Calibri" w:eastAsia="Calibri" w:hAnsi="Calibri"/>
          <w:sz w:val="18"/>
          <w:szCs w:val="18"/>
          <w:color w:val="auto"/>
        </w:rPr>
        <w:t xml:space="preserve"> under “Seasonality” of this Annual Report on Form 10-K.</w:t>
      </w:r>
    </w:p>
    <w:p>
      <w:pPr>
        <w:spacing w:after="0" w:line="108" w:lineRule="exact"/>
        <w:rPr>
          <w:sz w:val="20"/>
          <w:szCs w:val="20"/>
          <w:color w:val="auto"/>
        </w:rPr>
      </w:pPr>
    </w:p>
    <w:p>
      <w:pPr>
        <w:ind w:right="60" w:firstLine="396"/>
        <w:spacing w:after="0" w:line="230" w:lineRule="auto"/>
        <w:rPr>
          <w:sz w:val="20"/>
          <w:szCs w:val="20"/>
          <w:color w:val="auto"/>
        </w:rPr>
      </w:pPr>
      <w:r>
        <w:rPr>
          <w:rFonts w:ascii="Calibri" w:cs="Calibri" w:eastAsia="Calibri" w:hAnsi="Calibri"/>
          <w:sz w:val="18"/>
          <w:szCs w:val="18"/>
          <w:color w:val="auto"/>
        </w:rPr>
        <w:t>Distributors and original equipment manufacturers (“OEMs”), or their contract manufacturers, typically account for the substantal majority of our semiconductor sales. To serve customers around the world, we have strategically developed relatonships with large global electronic component distributors, complemented by a number of regional distributors with customer relatonships based on their respectve product ranges. We have established strong relatonships with leading OEM customers across multple target markets. Our direct sales force focuses on supportng our large OEM customers and has specialized product and service knowledge that enables us to sell specifc oferings at key levels throughout a customer’s organizaton. Certain customers require us to contract with them directly and with specifed intermediaries, such as contract manufacturers. Many of our major customer relatonships have been in place for many years and are ofen the result of years of collaboratve product development. This has enabled us to build our extensive IP portolio and develop critcal expertse regarding our customers’ requirements, including substantal system-level knowledge. This collaboraton has provided us with key insights into our customers' businesses and has enabled us to be more efcient and productve and to beter serve our target markets and customers. We recognize revenue upon the delivery of our products to the distributors, which can cause our quarterly net revenue to fuctuate signifcantly. Such revenue is reduced for estmated returns and distributor allowances.</w:t>
      </w:r>
    </w:p>
    <w:p>
      <w:pPr>
        <w:spacing w:after="0" w:line="113" w:lineRule="exact"/>
        <w:rPr>
          <w:sz w:val="20"/>
          <w:szCs w:val="20"/>
          <w:color w:val="auto"/>
        </w:rPr>
      </w:pPr>
    </w:p>
    <w:p>
      <w:pPr>
        <w:ind w:firstLine="396"/>
        <w:spacing w:after="0" w:line="230" w:lineRule="auto"/>
        <w:rPr>
          <w:sz w:val="20"/>
          <w:szCs w:val="20"/>
          <w:color w:val="auto"/>
        </w:rPr>
      </w:pPr>
      <w:r>
        <w:rPr>
          <w:rFonts w:ascii="Calibri" w:cs="Calibri" w:eastAsia="Calibri" w:hAnsi="Calibri"/>
          <w:sz w:val="18"/>
          <w:szCs w:val="18"/>
          <w:color w:val="auto"/>
        </w:rPr>
        <w:t>Our sofware customers generally consist of large enterprises that have computng environments from multple vendors and are highly complex. We believe our enterprise-wide license model will contnue to ofer our customers reduced complexity, more fexibility and an easier renewal process that will help drive revenue growth.</w:t>
      </w:r>
    </w:p>
    <w:p>
      <w:pPr>
        <w:spacing w:after="0" w:line="98"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Costs and Expenses</w:t>
      </w:r>
    </w:p>
    <w:p>
      <w:pPr>
        <w:spacing w:after="0" w:line="107" w:lineRule="exact"/>
        <w:rPr>
          <w:sz w:val="20"/>
          <w:szCs w:val="20"/>
          <w:color w:val="auto"/>
        </w:rPr>
      </w:pPr>
    </w:p>
    <w:p>
      <w:pPr>
        <w:ind w:right="60" w:firstLine="396"/>
        <w:spacing w:after="0" w:line="230" w:lineRule="auto"/>
        <w:rPr>
          <w:sz w:val="20"/>
          <w:szCs w:val="20"/>
          <w:color w:val="auto"/>
        </w:rPr>
      </w:pPr>
      <w:r>
        <w:rPr>
          <w:rFonts w:ascii="Calibri" w:cs="Calibri" w:eastAsia="Calibri" w:hAnsi="Calibri"/>
          <w:sz w:val="18"/>
          <w:szCs w:val="18"/>
          <w:i w:val="1"/>
          <w:iCs w:val="1"/>
          <w:color w:val="auto"/>
        </w:rPr>
        <w:t xml:space="preserve">Cost of products sold. </w:t>
      </w:r>
      <w:r>
        <w:rPr>
          <w:rFonts w:ascii="Calibri" w:cs="Calibri" w:eastAsia="Calibri" w:hAnsi="Calibri"/>
          <w:sz w:val="18"/>
          <w:szCs w:val="18"/>
          <w:color w:val="auto"/>
        </w:rPr>
        <w:t>Cost of products sold consists primarily of the costs for semiconductor wafers and other materials, as well as the costs of assembling</w:t>
      </w:r>
      <w:r>
        <w:rPr>
          <w:rFonts w:ascii="Calibri" w:cs="Calibri" w:eastAsia="Calibri" w:hAnsi="Calibri"/>
          <w:sz w:val="18"/>
          <w:szCs w:val="18"/>
          <w:i w:val="1"/>
          <w:iCs w:val="1"/>
          <w:color w:val="auto"/>
        </w:rPr>
        <w:t xml:space="preserve"> </w:t>
      </w:r>
      <w:r>
        <w:rPr>
          <w:rFonts w:ascii="Calibri" w:cs="Calibri" w:eastAsia="Calibri" w:hAnsi="Calibri"/>
          <w:sz w:val="18"/>
          <w:szCs w:val="18"/>
          <w:color w:val="auto"/>
        </w:rPr>
        <w:t>and testng those products and materials. Such costs include personnel and overhead related to our manufacturing operatons, which include stock-based compensaton expense, related occupancy, computer services, equipment costs, manufacturing quality, order fulfllment, warranty adjustments, inventory adjustments</w:t>
      </w: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09" w:right="359" w:bottom="1440" w:gutter="0" w:footer="0" w:header="0"/>
        </w:sectPr>
      </w:pPr>
    </w:p>
    <w:bookmarkStart w:id="39" w:name="page40"/>
    <w:bookmarkEnd w:id="39"/>
    <w:p>
      <w:pPr>
        <w:spacing w:after="0"/>
        <w:rPr>
          <w:sz w:val="20"/>
          <w:szCs w:val="20"/>
          <w:color w:val="auto"/>
        </w:rPr>
      </w:pPr>
      <w:r>
        <w:rPr>
          <w:rFonts w:ascii="Calibri" w:cs="Calibri" w:eastAsia="Calibri" w:hAnsi="Calibri"/>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Calibri" w:cs="Calibri" w:eastAsia="Calibri" w:hAnsi="Calibri"/>
          <w:sz w:val="18"/>
          <w:szCs w:val="18"/>
          <w:color w:val="auto"/>
        </w:rPr>
        <w:t>including write-downs for inventory obsolescence, and acquisiton costs, which include direct transacton costs and acquisiton-related costs.</w:t>
      </w:r>
    </w:p>
    <w:p>
      <w:pPr>
        <w:spacing w:after="0" w:line="107" w:lineRule="exact"/>
        <w:rPr>
          <w:sz w:val="20"/>
          <w:szCs w:val="20"/>
          <w:color w:val="auto"/>
        </w:rPr>
      </w:pPr>
    </w:p>
    <w:p>
      <w:pPr>
        <w:jc w:val="both"/>
        <w:ind w:right="320" w:firstLine="396"/>
        <w:spacing w:after="0" w:line="230" w:lineRule="auto"/>
        <w:rPr>
          <w:sz w:val="20"/>
          <w:szCs w:val="20"/>
          <w:color w:val="auto"/>
        </w:rPr>
      </w:pPr>
      <w:r>
        <w:rPr>
          <w:rFonts w:ascii="Calibri" w:cs="Calibri" w:eastAsia="Calibri" w:hAnsi="Calibri"/>
          <w:sz w:val="18"/>
          <w:szCs w:val="18"/>
          <w:color w:val="auto"/>
        </w:rPr>
        <w:t>Although we outsource a signifcant porton of our manufacturing actvites, we do have some proprietary semiconductor fabricaton facilites. If we are unable to utlize our owned fabricaton facilites at a desired level, the fxed costs associated with these facilites will not be fully absorbed, resultng in higher average unit costs and lower gross margins.</w:t>
      </w:r>
    </w:p>
    <w:p>
      <w:pPr>
        <w:spacing w:after="0" w:line="108" w:lineRule="exact"/>
        <w:rPr>
          <w:sz w:val="20"/>
          <w:szCs w:val="20"/>
          <w:color w:val="auto"/>
        </w:rPr>
      </w:pPr>
    </w:p>
    <w:p>
      <w:pPr>
        <w:jc w:val="both"/>
        <w:ind w:right="80" w:firstLine="396"/>
        <w:spacing w:after="0" w:line="247" w:lineRule="auto"/>
        <w:rPr>
          <w:sz w:val="20"/>
          <w:szCs w:val="20"/>
          <w:color w:val="auto"/>
        </w:rPr>
      </w:pPr>
      <w:r>
        <w:rPr>
          <w:rFonts w:ascii="Calibri" w:cs="Calibri" w:eastAsia="Calibri" w:hAnsi="Calibri"/>
          <w:sz w:val="17"/>
          <w:szCs w:val="17"/>
          <w:i w:val="1"/>
          <w:iCs w:val="1"/>
          <w:color w:val="auto"/>
        </w:rPr>
        <w:t xml:space="preserve">Cost of subscriptons and services. </w:t>
      </w:r>
      <w:r>
        <w:rPr>
          <w:rFonts w:ascii="Calibri" w:cs="Calibri" w:eastAsia="Calibri" w:hAnsi="Calibri"/>
          <w:sz w:val="17"/>
          <w:szCs w:val="17"/>
          <w:color w:val="auto"/>
        </w:rPr>
        <w:t>Cost of subscriptons and services consists of personnel, project costs associated with professional services or support of</w:t>
      </w:r>
      <w:r>
        <w:rPr>
          <w:rFonts w:ascii="Calibri" w:cs="Calibri" w:eastAsia="Calibri" w:hAnsi="Calibri"/>
          <w:sz w:val="17"/>
          <w:szCs w:val="17"/>
          <w:i w:val="1"/>
          <w:iCs w:val="1"/>
          <w:color w:val="auto"/>
        </w:rPr>
        <w:t xml:space="preserve"> </w:t>
      </w:r>
      <w:r>
        <w:rPr>
          <w:rFonts w:ascii="Calibri" w:cs="Calibri" w:eastAsia="Calibri" w:hAnsi="Calibri"/>
          <w:sz w:val="17"/>
          <w:szCs w:val="17"/>
          <w:color w:val="auto"/>
        </w:rPr>
        <w:t>our subscriptons and services revenue, and allocated facilites costs and other corporate expenses. Personnel costs include stock-based compensaton expense.</w:t>
      </w:r>
    </w:p>
    <w:p>
      <w:pPr>
        <w:spacing w:after="0" w:line="91" w:lineRule="exact"/>
        <w:rPr>
          <w:sz w:val="20"/>
          <w:szCs w:val="20"/>
          <w:color w:val="auto"/>
        </w:rPr>
      </w:pPr>
    </w:p>
    <w:p>
      <w:pPr>
        <w:ind w:left="400"/>
        <w:spacing w:after="0"/>
        <w:rPr>
          <w:sz w:val="20"/>
          <w:szCs w:val="20"/>
          <w:color w:val="auto"/>
        </w:rPr>
      </w:pPr>
      <w:r>
        <w:rPr>
          <w:rFonts w:ascii="Calibri" w:cs="Calibri" w:eastAsia="Calibri" w:hAnsi="Calibri"/>
          <w:sz w:val="18"/>
          <w:szCs w:val="18"/>
          <w:color w:val="auto"/>
        </w:rPr>
        <w:t>Total cost of revenue also includes amortzaton of acquisiton-related intangible assets and restructuring charges.</w:t>
      </w:r>
    </w:p>
    <w:p>
      <w:pPr>
        <w:spacing w:after="0" w:line="107" w:lineRule="exact"/>
        <w:rPr>
          <w:sz w:val="20"/>
          <w:szCs w:val="20"/>
          <w:color w:val="auto"/>
        </w:rPr>
      </w:pPr>
    </w:p>
    <w:p>
      <w:pPr>
        <w:ind w:firstLine="396"/>
        <w:spacing w:after="0" w:line="230" w:lineRule="auto"/>
        <w:rPr>
          <w:sz w:val="20"/>
          <w:szCs w:val="20"/>
          <w:color w:val="auto"/>
        </w:rPr>
      </w:pPr>
      <w:r>
        <w:rPr>
          <w:rFonts w:ascii="Calibri" w:cs="Calibri" w:eastAsia="Calibri" w:hAnsi="Calibri"/>
          <w:sz w:val="18"/>
          <w:szCs w:val="18"/>
          <w:i w:val="1"/>
          <w:iCs w:val="1"/>
          <w:color w:val="auto"/>
        </w:rPr>
        <w:t xml:space="preserve">Research and development. </w:t>
      </w:r>
      <w:r>
        <w:rPr>
          <w:rFonts w:ascii="Calibri" w:cs="Calibri" w:eastAsia="Calibri" w:hAnsi="Calibri"/>
          <w:sz w:val="18"/>
          <w:szCs w:val="18"/>
          <w:color w:val="auto"/>
        </w:rPr>
        <w:t>Research and development expense consists primarily of personnel costs for our engineers engaged in the design and</w:t>
      </w:r>
      <w:r>
        <w:rPr>
          <w:rFonts w:ascii="Calibri" w:cs="Calibri" w:eastAsia="Calibri" w:hAnsi="Calibri"/>
          <w:sz w:val="18"/>
          <w:szCs w:val="18"/>
          <w:i w:val="1"/>
          <w:iCs w:val="1"/>
          <w:color w:val="auto"/>
        </w:rPr>
        <w:t xml:space="preserve"> </w:t>
      </w:r>
      <w:r>
        <w:rPr>
          <w:rFonts w:ascii="Calibri" w:cs="Calibri" w:eastAsia="Calibri" w:hAnsi="Calibri"/>
          <w:sz w:val="18"/>
          <w:szCs w:val="18"/>
          <w:color w:val="auto"/>
        </w:rPr>
        <w:t>development of our products and technologies, including stock-based compensaton expense. These expenses also include project material costs, third-party fees paid to consultants, prototype development expense, allocated facilites costs and other corporate expenses and computer services costs related to supportng computer tools used in the engineering and design process.</w:t>
      </w:r>
    </w:p>
    <w:p>
      <w:pPr>
        <w:spacing w:after="0" w:line="108" w:lineRule="exact"/>
        <w:rPr>
          <w:sz w:val="20"/>
          <w:szCs w:val="20"/>
          <w:color w:val="auto"/>
        </w:rPr>
      </w:pPr>
    </w:p>
    <w:p>
      <w:pPr>
        <w:ind w:right="100" w:firstLine="396"/>
        <w:spacing w:after="0" w:line="245" w:lineRule="auto"/>
        <w:rPr>
          <w:sz w:val="20"/>
          <w:szCs w:val="20"/>
          <w:color w:val="auto"/>
        </w:rPr>
      </w:pPr>
      <w:r>
        <w:rPr>
          <w:rFonts w:ascii="Calibri" w:cs="Calibri" w:eastAsia="Calibri" w:hAnsi="Calibri"/>
          <w:sz w:val="17"/>
          <w:szCs w:val="17"/>
          <w:i w:val="1"/>
          <w:iCs w:val="1"/>
          <w:color w:val="auto"/>
        </w:rPr>
        <w:t>Selling</w:t>
      </w:r>
      <w:r>
        <w:rPr>
          <w:rFonts w:ascii="Calibri" w:cs="Calibri" w:eastAsia="Calibri" w:hAnsi="Calibri"/>
          <w:sz w:val="17"/>
          <w:szCs w:val="17"/>
          <w:color w:val="auto"/>
        </w:rPr>
        <w:t>,</w:t>
      </w:r>
      <w:r>
        <w:rPr>
          <w:rFonts w:ascii="Calibri" w:cs="Calibri" w:eastAsia="Calibri" w:hAnsi="Calibri"/>
          <w:sz w:val="17"/>
          <w:szCs w:val="17"/>
          <w:i w:val="1"/>
          <w:iCs w:val="1"/>
          <w:color w:val="auto"/>
        </w:rPr>
        <w:t xml:space="preserve"> general and administratve. </w:t>
      </w:r>
      <w:r>
        <w:rPr>
          <w:rFonts w:ascii="Calibri" w:cs="Calibri" w:eastAsia="Calibri" w:hAnsi="Calibri"/>
          <w:sz w:val="17"/>
          <w:szCs w:val="17"/>
          <w:color w:val="auto"/>
        </w:rPr>
        <w:t>Selling expense consists primarily of compensaton and associated costs for sales and marketng personnel, including</w:t>
      </w:r>
      <w:r>
        <w:rPr>
          <w:rFonts w:ascii="Calibri" w:cs="Calibri" w:eastAsia="Calibri" w:hAnsi="Calibri"/>
          <w:sz w:val="17"/>
          <w:szCs w:val="17"/>
          <w:i w:val="1"/>
          <w:iCs w:val="1"/>
          <w:color w:val="auto"/>
        </w:rPr>
        <w:t xml:space="preserve"> </w:t>
      </w:r>
      <w:r>
        <w:rPr>
          <w:rFonts w:ascii="Calibri" w:cs="Calibri" w:eastAsia="Calibri" w:hAnsi="Calibri"/>
          <w:sz w:val="17"/>
          <w:szCs w:val="17"/>
          <w:color w:val="auto"/>
        </w:rPr>
        <w:t>stock-based compensaton expense, sales commissions paid to our independent sales representatves, advertsing costs, trade shows, corporate marketng, promoton, travel related to our sales and marketng operatons, related occupancy and equipment costs, and other marketng costs. General and administratve expense consists primarily of compensaton and associated costs for executve management, fnance, human resources and other administratve personnel, including stock-based compensaton expense, outside professional fees, allocated facilites costs, acquisiton-related costs and other corporate expenses.</w:t>
      </w:r>
    </w:p>
    <w:p>
      <w:pPr>
        <w:spacing w:after="0" w:line="103" w:lineRule="exact"/>
        <w:rPr>
          <w:sz w:val="20"/>
          <w:szCs w:val="20"/>
          <w:color w:val="auto"/>
        </w:rPr>
      </w:pPr>
    </w:p>
    <w:p>
      <w:pPr>
        <w:ind w:right="40" w:firstLine="396"/>
        <w:spacing w:after="0" w:line="230" w:lineRule="auto"/>
        <w:rPr>
          <w:sz w:val="20"/>
          <w:szCs w:val="20"/>
          <w:color w:val="auto"/>
        </w:rPr>
      </w:pPr>
      <w:r>
        <w:rPr>
          <w:rFonts w:ascii="Calibri" w:cs="Calibri" w:eastAsia="Calibri" w:hAnsi="Calibri"/>
          <w:sz w:val="18"/>
          <w:szCs w:val="18"/>
          <w:i w:val="1"/>
          <w:iCs w:val="1"/>
          <w:color w:val="auto"/>
        </w:rPr>
        <w:t xml:space="preserve">Amortzaton of acquisiton-related intangible assets. </w:t>
      </w:r>
      <w:r>
        <w:rPr>
          <w:rFonts w:ascii="Calibri" w:cs="Calibri" w:eastAsia="Calibri" w:hAnsi="Calibri"/>
          <w:sz w:val="18"/>
          <w:szCs w:val="18"/>
          <w:color w:val="auto"/>
        </w:rPr>
        <w:t>In connecton with our acquisitons, we recognize intangible assets that are being amortzed over</w:t>
      </w:r>
      <w:r>
        <w:rPr>
          <w:rFonts w:ascii="Calibri" w:cs="Calibri" w:eastAsia="Calibri" w:hAnsi="Calibri"/>
          <w:sz w:val="18"/>
          <w:szCs w:val="18"/>
          <w:i w:val="1"/>
          <w:iCs w:val="1"/>
          <w:color w:val="auto"/>
        </w:rPr>
        <w:t xml:space="preserve"> </w:t>
      </w:r>
      <w:r>
        <w:rPr>
          <w:rFonts w:ascii="Calibri" w:cs="Calibri" w:eastAsia="Calibri" w:hAnsi="Calibri"/>
          <w:sz w:val="18"/>
          <w:szCs w:val="18"/>
          <w:color w:val="auto"/>
        </w:rPr>
        <w:t>their estmated useful lives. We also recognize goodwill, which is not amortzed, and in-process research and development (“IPR&amp;D”), which is initally capitalized as an indefnite-lived intangible asset, in connecton with the acquisitons. Upon completon of each underlying project, IPR&amp;D assets are reclassifed as amortzable purchased intangible assets and amortzed over their estmated useful lives.</w:t>
      </w:r>
    </w:p>
    <w:p>
      <w:pPr>
        <w:spacing w:after="0" w:line="108" w:lineRule="exact"/>
        <w:rPr>
          <w:sz w:val="20"/>
          <w:szCs w:val="20"/>
          <w:color w:val="auto"/>
        </w:rPr>
      </w:pPr>
    </w:p>
    <w:p>
      <w:pPr>
        <w:ind w:right="140" w:firstLine="396"/>
        <w:spacing w:after="0" w:line="245" w:lineRule="auto"/>
        <w:rPr>
          <w:sz w:val="20"/>
          <w:szCs w:val="20"/>
          <w:color w:val="auto"/>
        </w:rPr>
      </w:pPr>
      <w:r>
        <w:rPr>
          <w:rFonts w:ascii="Calibri" w:cs="Calibri" w:eastAsia="Calibri" w:hAnsi="Calibri"/>
          <w:sz w:val="17"/>
          <w:szCs w:val="17"/>
          <w:i w:val="1"/>
          <w:iCs w:val="1"/>
          <w:color w:val="auto"/>
        </w:rPr>
        <w:t xml:space="preserve">Restructuring and other charges. </w:t>
      </w:r>
      <w:r>
        <w:rPr>
          <w:rFonts w:ascii="Calibri" w:cs="Calibri" w:eastAsia="Calibri" w:hAnsi="Calibri"/>
          <w:sz w:val="17"/>
          <w:szCs w:val="17"/>
          <w:color w:val="auto"/>
        </w:rPr>
        <w:t>Restructuring and other charges consist primarily of non-recurring charges related to IP litgaton, compensaton costs</w:t>
      </w:r>
      <w:r>
        <w:rPr>
          <w:rFonts w:ascii="Calibri" w:cs="Calibri" w:eastAsia="Calibri" w:hAnsi="Calibri"/>
          <w:sz w:val="17"/>
          <w:szCs w:val="17"/>
          <w:i w:val="1"/>
          <w:iCs w:val="1"/>
          <w:color w:val="auto"/>
        </w:rPr>
        <w:t xml:space="preserve"> </w:t>
      </w:r>
      <w:r>
        <w:rPr>
          <w:rFonts w:ascii="Calibri" w:cs="Calibri" w:eastAsia="Calibri" w:hAnsi="Calibri"/>
          <w:sz w:val="17"/>
          <w:szCs w:val="17"/>
          <w:color w:val="auto"/>
        </w:rPr>
        <w:t>associated with employee exit programs, alignment of our global manufacturing operatons, ratonalizing product development program costs, facility and lease abandonments, fxed asset impairment, IPR&amp;D impairment, and other exit costs, including curtailment of service or supply agreements.</w:t>
      </w:r>
    </w:p>
    <w:p>
      <w:pPr>
        <w:spacing w:after="0" w:line="104" w:lineRule="exact"/>
        <w:rPr>
          <w:sz w:val="20"/>
          <w:szCs w:val="20"/>
          <w:color w:val="auto"/>
        </w:rPr>
      </w:pPr>
    </w:p>
    <w:p>
      <w:pPr>
        <w:ind w:right="340" w:firstLine="396"/>
        <w:spacing w:after="0" w:line="230" w:lineRule="auto"/>
        <w:rPr>
          <w:sz w:val="20"/>
          <w:szCs w:val="20"/>
          <w:color w:val="auto"/>
        </w:rPr>
      </w:pPr>
      <w:r>
        <w:rPr>
          <w:rFonts w:ascii="Calibri" w:cs="Calibri" w:eastAsia="Calibri" w:hAnsi="Calibri"/>
          <w:sz w:val="18"/>
          <w:szCs w:val="18"/>
          <w:i w:val="1"/>
          <w:iCs w:val="1"/>
          <w:color w:val="auto"/>
        </w:rPr>
        <w:t xml:space="preserve">Interest expense. </w:t>
      </w:r>
      <w:r>
        <w:rPr>
          <w:rFonts w:ascii="Calibri" w:cs="Calibri" w:eastAsia="Calibri" w:hAnsi="Calibri"/>
          <w:sz w:val="18"/>
          <w:szCs w:val="18"/>
          <w:color w:val="auto"/>
        </w:rPr>
        <w:t>Interest expense includes coupon interest, commitment fees, accreton of original issue discount, amortzaton of debt premiums and</w:t>
      </w:r>
      <w:r>
        <w:rPr>
          <w:rFonts w:ascii="Calibri" w:cs="Calibri" w:eastAsia="Calibri" w:hAnsi="Calibri"/>
          <w:sz w:val="18"/>
          <w:szCs w:val="18"/>
          <w:i w:val="1"/>
          <w:iCs w:val="1"/>
          <w:color w:val="auto"/>
        </w:rPr>
        <w:t xml:space="preserve"> </w:t>
      </w:r>
      <w:r>
        <w:rPr>
          <w:rFonts w:ascii="Calibri" w:cs="Calibri" w:eastAsia="Calibri" w:hAnsi="Calibri"/>
          <w:sz w:val="18"/>
          <w:szCs w:val="18"/>
          <w:color w:val="auto"/>
        </w:rPr>
        <w:t>debt issuance costs, and expenses related to debt modifcatons or extnguishments.</w:t>
      </w:r>
    </w:p>
    <w:p>
      <w:pPr>
        <w:spacing w:after="0" w:line="107" w:lineRule="exact"/>
        <w:rPr>
          <w:sz w:val="20"/>
          <w:szCs w:val="20"/>
          <w:color w:val="auto"/>
        </w:rPr>
      </w:pPr>
    </w:p>
    <w:p>
      <w:pPr>
        <w:ind w:right="120" w:firstLine="396"/>
        <w:spacing w:after="0" w:line="230" w:lineRule="auto"/>
        <w:rPr>
          <w:sz w:val="20"/>
          <w:szCs w:val="20"/>
          <w:color w:val="auto"/>
        </w:rPr>
      </w:pPr>
      <w:r>
        <w:rPr>
          <w:rFonts w:ascii="Calibri" w:cs="Calibri" w:eastAsia="Calibri" w:hAnsi="Calibri"/>
          <w:sz w:val="18"/>
          <w:szCs w:val="18"/>
          <w:i w:val="1"/>
          <w:iCs w:val="1"/>
          <w:color w:val="auto"/>
        </w:rPr>
        <w:t xml:space="preserve">Other income (expense), net. </w:t>
      </w:r>
      <w:r>
        <w:rPr>
          <w:rFonts w:ascii="Calibri" w:cs="Calibri" w:eastAsia="Calibri" w:hAnsi="Calibri"/>
          <w:sz w:val="18"/>
          <w:szCs w:val="18"/>
          <w:color w:val="auto"/>
        </w:rPr>
        <w:t>Other income (expense), net includes interest income, gains or losses on investments, foreign currency remeasurement, and</w:t>
      </w:r>
      <w:r>
        <w:rPr>
          <w:rFonts w:ascii="Calibri" w:cs="Calibri" w:eastAsia="Calibri" w:hAnsi="Calibri"/>
          <w:sz w:val="18"/>
          <w:szCs w:val="18"/>
          <w:i w:val="1"/>
          <w:iCs w:val="1"/>
          <w:color w:val="auto"/>
        </w:rPr>
        <w:t xml:space="preserve"> </w:t>
      </w:r>
      <w:r>
        <w:rPr>
          <w:rFonts w:ascii="Calibri" w:cs="Calibri" w:eastAsia="Calibri" w:hAnsi="Calibri"/>
          <w:sz w:val="18"/>
          <w:szCs w:val="18"/>
          <w:color w:val="auto"/>
        </w:rPr>
        <w:t>other miscellaneous items.</w:t>
      </w:r>
    </w:p>
    <w:p>
      <w:pPr>
        <w:spacing w:after="0" w:line="107" w:lineRule="exact"/>
        <w:rPr>
          <w:sz w:val="20"/>
          <w:szCs w:val="20"/>
          <w:color w:val="auto"/>
        </w:rPr>
      </w:pPr>
    </w:p>
    <w:p>
      <w:pPr>
        <w:ind w:right="220" w:firstLine="396"/>
        <w:spacing w:after="0" w:line="245" w:lineRule="auto"/>
        <w:rPr>
          <w:sz w:val="20"/>
          <w:szCs w:val="20"/>
          <w:color w:val="auto"/>
        </w:rPr>
      </w:pPr>
      <w:r>
        <w:rPr>
          <w:rFonts w:ascii="Calibri" w:cs="Calibri" w:eastAsia="Calibri" w:hAnsi="Calibri"/>
          <w:sz w:val="17"/>
          <w:szCs w:val="17"/>
          <w:i w:val="1"/>
          <w:iCs w:val="1"/>
          <w:color w:val="auto"/>
        </w:rPr>
        <w:t xml:space="preserve">Provision for income taxes. </w:t>
      </w:r>
      <w:r>
        <w:rPr>
          <w:rFonts w:ascii="Calibri" w:cs="Calibri" w:eastAsia="Calibri" w:hAnsi="Calibri"/>
          <w:sz w:val="17"/>
          <w:szCs w:val="17"/>
          <w:color w:val="auto"/>
        </w:rPr>
        <w:t>We have structured our operatons to maximize the beneft from tax incentves extended to us in various jurisdictons to</w:t>
      </w:r>
      <w:r>
        <w:rPr>
          <w:rFonts w:ascii="Calibri" w:cs="Calibri" w:eastAsia="Calibri" w:hAnsi="Calibri"/>
          <w:sz w:val="17"/>
          <w:szCs w:val="17"/>
          <w:i w:val="1"/>
          <w:iCs w:val="1"/>
          <w:color w:val="auto"/>
        </w:rPr>
        <w:t xml:space="preserve"> </w:t>
      </w:r>
      <w:r>
        <w:rPr>
          <w:rFonts w:ascii="Calibri" w:cs="Calibri" w:eastAsia="Calibri" w:hAnsi="Calibri"/>
          <w:sz w:val="17"/>
          <w:szCs w:val="17"/>
          <w:color w:val="auto"/>
        </w:rPr>
        <w:t>encourage investment or employment. Our tax incentves from the Singapore Economic Development Board provide that any qualifying income earned in Singapore is subject to tax incentves or reduced rates of Singapore income tax, subject to our compliance with the conditons specifed in these incentves and legislatve developments. These Singapore tax incentves are presently expected to expire in November 2025. The corporate income tax rate in Singapore that would otherwise apply to us would be 17%. We also have a tax holiday from our qualifying income earned in Malaysia, which is scheduled to expire in 2028.</w:t>
      </w:r>
    </w:p>
    <w:p>
      <w:pPr>
        <w:spacing w:after="0" w:line="103" w:lineRule="exact"/>
        <w:rPr>
          <w:sz w:val="20"/>
          <w:szCs w:val="20"/>
          <w:color w:val="auto"/>
        </w:rPr>
      </w:pPr>
    </w:p>
    <w:p>
      <w:pPr>
        <w:ind w:firstLine="396"/>
        <w:spacing w:after="0" w:line="244" w:lineRule="auto"/>
        <w:rPr>
          <w:sz w:val="20"/>
          <w:szCs w:val="20"/>
          <w:color w:val="auto"/>
        </w:rPr>
      </w:pPr>
      <w:r>
        <w:rPr>
          <w:rFonts w:ascii="Calibri" w:cs="Calibri" w:eastAsia="Calibri" w:hAnsi="Calibri"/>
          <w:sz w:val="17"/>
          <w:szCs w:val="17"/>
          <w:color w:val="auto"/>
        </w:rPr>
        <w:t>Each tax incentve and tax holiday is also subject to our compliance with various operatng and other conditons. If we cannot, or elect not to, comply with any such operatng conditons specifed, we could, in some instances, be required to refund previously realized material tax benefts, or if such tax incentve or tax holiday is terminated prior to its expiraton absent a new incentve applying, we will lose the related tax benefts earlier than scheduled. We may elect to modify our operatonal structure and tax strategy, which may not be as benefcial to us as the benefts provided under the present tax concession arrangements. Before taking into consideraton the efects of the U.S. Tax Cuts and Jobs Act and other indirect tax impacts, the efect of these tax incentves and tax holiday decreased the provision for income taxes by approximately $2,104 million and $1,821 million for fscal years 2023 and 2022, respectvely.</w:t>
      </w:r>
    </w:p>
    <w:p>
      <w:pPr>
        <w:spacing w:after="0" w:line="107" w:lineRule="exact"/>
        <w:rPr>
          <w:sz w:val="20"/>
          <w:szCs w:val="20"/>
          <w:color w:val="auto"/>
        </w:rPr>
      </w:pPr>
    </w:p>
    <w:p>
      <w:pPr>
        <w:ind w:right="220" w:firstLine="396"/>
        <w:spacing w:after="0" w:line="230" w:lineRule="auto"/>
        <w:rPr>
          <w:sz w:val="20"/>
          <w:szCs w:val="20"/>
          <w:color w:val="auto"/>
        </w:rPr>
      </w:pPr>
      <w:r>
        <w:rPr>
          <w:rFonts w:ascii="Calibri" w:cs="Calibri" w:eastAsia="Calibri" w:hAnsi="Calibri"/>
          <w:sz w:val="18"/>
          <w:szCs w:val="18"/>
          <w:color w:val="auto"/>
        </w:rPr>
        <w:t>Our interpretatons and conclusions regarding the tax incentves are not binding on any taxing authority, and if our assumptons about tax and other laws are incorrect or if these tax incentves are substantally modifed or rescinded, we could sufer material adverse tax and other fnancial consequences, which would increase our expenses, reduce our proftability and</w:t>
      </w: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9" w:right="339" w:bottom="1440" w:gutter="0" w:footer="0" w:header="0"/>
        </w:sectPr>
      </w:pPr>
    </w:p>
    <w:bookmarkStart w:id="40" w:name="page41"/>
    <w:bookmarkEnd w:id="40"/>
    <w:p>
      <w:pPr>
        <w:spacing w:after="0"/>
        <w:rPr>
          <w:sz w:val="20"/>
          <w:szCs w:val="20"/>
          <w:color w:val="auto"/>
        </w:rPr>
      </w:pPr>
      <w:r>
        <w:rPr>
          <w:rFonts w:ascii="Calibri" w:cs="Calibri" w:eastAsia="Calibri" w:hAnsi="Calibri"/>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right="420"/>
        <w:spacing w:after="0" w:line="230" w:lineRule="auto"/>
        <w:rPr>
          <w:sz w:val="20"/>
          <w:szCs w:val="20"/>
          <w:color w:val="auto"/>
        </w:rPr>
      </w:pPr>
      <w:r>
        <w:rPr>
          <w:rFonts w:ascii="Calibri" w:cs="Calibri" w:eastAsia="Calibri" w:hAnsi="Calibri"/>
          <w:sz w:val="18"/>
          <w:szCs w:val="18"/>
          <w:color w:val="auto"/>
        </w:rPr>
        <w:t>adversely afect our cash fows. In additon, taxable income in any jurisdicton is dependent upon acceptance of our operatonal practces and intercompany transfer pricing by local tax authorites as being on an arm’s length basis. Due to inconsistencies in applicaton of the arm’s length standard among taxing authorites, as well as lack of adequate treaty-based protecton, transfer pricing challenges by tax authorites could, if successful, substantally increase our income tax expense.</w:t>
      </w:r>
    </w:p>
    <w:p>
      <w:pPr>
        <w:spacing w:after="0" w:line="99"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Critcal Accountng Estmates</w:t>
      </w:r>
    </w:p>
    <w:p>
      <w:pPr>
        <w:spacing w:after="0" w:line="107" w:lineRule="exact"/>
        <w:rPr>
          <w:sz w:val="20"/>
          <w:szCs w:val="20"/>
          <w:color w:val="auto"/>
        </w:rPr>
      </w:pPr>
    </w:p>
    <w:p>
      <w:pPr>
        <w:ind w:right="60" w:firstLine="396"/>
        <w:spacing w:after="0" w:line="230" w:lineRule="auto"/>
        <w:rPr>
          <w:sz w:val="20"/>
          <w:szCs w:val="20"/>
          <w:color w:val="auto"/>
        </w:rPr>
      </w:pPr>
      <w:r>
        <w:rPr>
          <w:rFonts w:ascii="Calibri" w:cs="Calibri" w:eastAsia="Calibri" w:hAnsi="Calibri"/>
          <w:sz w:val="18"/>
          <w:szCs w:val="18"/>
          <w:color w:val="auto"/>
        </w:rPr>
        <w:t>The preparaton of fnancial statements in accordance with generally accepted accountng principles in the United States (“GAAP”) requires us to make estmates and assumptons that afect the reported amounts of assets and liabilites and disclosure of contngent assets and liabilites at the date of the fnancial statements and the reported amounts of revenue and expenses during the reportng periods. We base our estmates and assumptons on current facts, historical experience and various other factors that we believe to be reasonable under the circumstances, the results of which form the basis for making judgments about the carrying values of assets and liabilites and the accrual of costs and expenses that are not readily apparent from other sources. Our actual fnancial results may difer materially and adversely from our estmates. Our critcal accountng policies are those that afect our fnancial statements materially and involve difcult, subjectve or complex judgments by management. Those policies include revenue recogniton, valuaton of goodwill and long-lived assets, and income taxes. See Note 2. “Summary of Signifcant Accountng Policies” included in Part II, Item 8. of this Annual Report on Form 10-K for further informaton on our critcal accountng policies and estmates.</w:t>
      </w:r>
    </w:p>
    <w:p>
      <w:pPr>
        <w:spacing w:after="0" w:line="112" w:lineRule="exact"/>
        <w:rPr>
          <w:sz w:val="20"/>
          <w:szCs w:val="20"/>
          <w:color w:val="auto"/>
        </w:rPr>
      </w:pPr>
    </w:p>
    <w:p>
      <w:pPr>
        <w:ind w:right="40" w:firstLine="396"/>
        <w:spacing w:after="0" w:line="245" w:lineRule="auto"/>
        <w:rPr>
          <w:sz w:val="20"/>
          <w:szCs w:val="20"/>
          <w:color w:val="auto"/>
        </w:rPr>
      </w:pPr>
      <w:r>
        <w:rPr>
          <w:rFonts w:ascii="Calibri" w:cs="Calibri" w:eastAsia="Calibri" w:hAnsi="Calibri"/>
          <w:sz w:val="17"/>
          <w:szCs w:val="17"/>
          <w:i w:val="1"/>
          <w:iCs w:val="1"/>
          <w:color w:val="auto"/>
        </w:rPr>
        <w:t xml:space="preserve">Revenue recogniton. </w:t>
      </w:r>
      <w:r>
        <w:rPr>
          <w:rFonts w:ascii="Calibri" w:cs="Calibri" w:eastAsia="Calibri" w:hAnsi="Calibri"/>
          <w:sz w:val="17"/>
          <w:szCs w:val="17"/>
          <w:color w:val="auto"/>
        </w:rPr>
        <w:t>We account for a contract with a customer when both partes have approved the contract and are commited to perform their</w:t>
      </w:r>
      <w:r>
        <w:rPr>
          <w:rFonts w:ascii="Calibri" w:cs="Calibri" w:eastAsia="Calibri" w:hAnsi="Calibri"/>
          <w:sz w:val="17"/>
          <w:szCs w:val="17"/>
          <w:i w:val="1"/>
          <w:iCs w:val="1"/>
          <w:color w:val="auto"/>
        </w:rPr>
        <w:t xml:space="preserve"> </w:t>
      </w:r>
      <w:r>
        <w:rPr>
          <w:rFonts w:ascii="Calibri" w:cs="Calibri" w:eastAsia="Calibri" w:hAnsi="Calibri"/>
          <w:sz w:val="17"/>
          <w:szCs w:val="17"/>
          <w:color w:val="auto"/>
        </w:rPr>
        <w:t>respectve obligatons, each party’s rights can be identfed, payment terms can be identfed, the contract has commercial substance, and it is probable we will collect substantally all of the consideraton we are enttled to. Revenue is recognized when, or as, performance obligatons are satsfed by transferring control of a promised product or service to a customer. Our products and services can be broadly categorized as sales of products and subscriptons and services.</w:t>
      </w:r>
    </w:p>
    <w:p>
      <w:pPr>
        <w:spacing w:after="0" w:line="103" w:lineRule="exact"/>
        <w:rPr>
          <w:sz w:val="20"/>
          <w:szCs w:val="20"/>
          <w:color w:val="auto"/>
        </w:rPr>
      </w:pPr>
    </w:p>
    <w:p>
      <w:pPr>
        <w:ind w:firstLine="396"/>
        <w:spacing w:after="0" w:line="244" w:lineRule="auto"/>
        <w:rPr>
          <w:sz w:val="20"/>
          <w:szCs w:val="20"/>
          <w:color w:val="auto"/>
        </w:rPr>
      </w:pPr>
      <w:r>
        <w:rPr>
          <w:rFonts w:ascii="Calibri" w:cs="Calibri" w:eastAsia="Calibri" w:hAnsi="Calibri"/>
          <w:sz w:val="17"/>
          <w:szCs w:val="17"/>
          <w:color w:val="auto"/>
        </w:rPr>
        <w:t>We recognize products revenue from sales to direct customers and distributors when control transfers to the customer. An allowance for distributor credits covering price adjustments is made based on our estmate of historical experience rates as well as considering economic conditons and contractual terms. To date, actual distributor claims actvity has been materially consistent with the provisions we have made based on our historical estmates. However, because of the inherent nature of estmates, there is always a risk that there could be signifcant diferences between actual amounts and our estmates. Diferent judgments or estmates could result in variances that might be signifcant to reported operatng results. We also record reductons of revenue for rebates in the same period that the related revenue is recorded. We accrue 100% of potental rebates at the tme of sale. We reverse the accrual of unclaimed rebate amounts as specifc rebate programs contractually end and when we believe unclaimed rebates are no longer subject to payment and will not be paid. Thus, the reversal of unclaimed rebates may have a positve impact on our net revenue and net income in subsequent periods.</w:t>
      </w:r>
    </w:p>
    <w:p>
      <w:pPr>
        <w:spacing w:after="0" w:line="108" w:lineRule="exact"/>
        <w:rPr>
          <w:sz w:val="20"/>
          <w:szCs w:val="20"/>
          <w:color w:val="auto"/>
        </w:rPr>
      </w:pPr>
    </w:p>
    <w:p>
      <w:pPr>
        <w:ind w:firstLine="396"/>
        <w:spacing w:after="0" w:line="230" w:lineRule="auto"/>
        <w:rPr>
          <w:sz w:val="20"/>
          <w:szCs w:val="20"/>
          <w:color w:val="auto"/>
        </w:rPr>
      </w:pPr>
      <w:r>
        <w:rPr>
          <w:rFonts w:ascii="Calibri" w:cs="Calibri" w:eastAsia="Calibri" w:hAnsi="Calibri"/>
          <w:sz w:val="18"/>
          <w:szCs w:val="18"/>
          <w:i w:val="1"/>
          <w:iCs w:val="1"/>
          <w:color w:val="auto"/>
        </w:rPr>
        <w:t xml:space="preserve">Valuaton of goodwill and long-lived assets. </w:t>
      </w:r>
      <w:r>
        <w:rPr>
          <w:rFonts w:ascii="Calibri" w:cs="Calibri" w:eastAsia="Calibri" w:hAnsi="Calibri"/>
          <w:sz w:val="18"/>
          <w:szCs w:val="18"/>
          <w:color w:val="auto"/>
        </w:rPr>
        <w:t>We perform an annual impairment review of our goodwill during the fourth fscal quarter of each year, and</w:t>
      </w:r>
      <w:r>
        <w:rPr>
          <w:rFonts w:ascii="Calibri" w:cs="Calibri" w:eastAsia="Calibri" w:hAnsi="Calibri"/>
          <w:sz w:val="18"/>
          <w:szCs w:val="18"/>
          <w:i w:val="1"/>
          <w:iCs w:val="1"/>
          <w:color w:val="auto"/>
        </w:rPr>
        <w:t xml:space="preserve"> </w:t>
      </w:r>
      <w:r>
        <w:rPr>
          <w:rFonts w:ascii="Calibri" w:cs="Calibri" w:eastAsia="Calibri" w:hAnsi="Calibri"/>
          <w:sz w:val="18"/>
          <w:szCs w:val="18"/>
          <w:color w:val="auto"/>
        </w:rPr>
        <w:t>more frequently if we believe indicators of impairment exist. The process of evaluatng the potental impairment of goodwill is highly subjectve and requires signifcant judgment. To review for impairment, we frst assess qualitatve factors to determine whether events or circumstances lead to a determinaton that it is more likely than not that the fair value of any of our reportng units is less than its carrying amount. Our qualitatve assessment of the recoverability of goodwill, whether performed annually or based on specifc events or circumstances, considers various macroeconomic, industry-specifc and company-specifc factors. These factors include: (i) severe adverse industry or economic trends; (ii) signifcant company-specifc actons, including exitng an actvity in conjuncton with restructuring of operatons; (iii) current, historical or projected deterioraton of our fnancial performance; or (iv) a sustained decrease in our market capitalizaton below our net book value. Afer assessing the totality of events and circumstances, if we determine that it is not more likely than not that the fair value of any of our reportng units is less than its carrying amount, no further assessment is performed. If we determine that it is more likely than not that the fair value of any of our reportng units is less than its carrying amount, we calculate the fair value of that reportng unit and compare the fair value to the reportng unit’s net book value.</w:t>
      </w:r>
    </w:p>
    <w:p>
      <w:pPr>
        <w:spacing w:after="0" w:line="113" w:lineRule="exact"/>
        <w:rPr>
          <w:sz w:val="20"/>
          <w:szCs w:val="20"/>
          <w:color w:val="auto"/>
        </w:rPr>
      </w:pPr>
    </w:p>
    <w:p>
      <w:pPr>
        <w:ind w:right="20" w:firstLine="396"/>
        <w:spacing w:after="0" w:line="244" w:lineRule="auto"/>
        <w:rPr>
          <w:sz w:val="20"/>
          <w:szCs w:val="20"/>
          <w:color w:val="auto"/>
        </w:rPr>
      </w:pPr>
      <w:r>
        <w:rPr>
          <w:rFonts w:ascii="Calibri" w:cs="Calibri" w:eastAsia="Calibri" w:hAnsi="Calibri"/>
          <w:sz w:val="17"/>
          <w:szCs w:val="17"/>
          <w:color w:val="auto"/>
        </w:rPr>
        <w:t>Determining the fair value of a reportng unit involves the use of signifcant estmates and assumptons. Our goodwill impairment test uses both the income approach and the market approach to estmate a reportng unit's fair value. The income approach is based on the discounted cash fow method that uses the reportng unit estmates for forecasted future fnancial performance, including revenues, operatng expenses, and taxes, as well as working capital and capital asset requirements. These estmates are developed as part of our long-term planning process based on assumed market segment growth rates and our assumed market segment share, estmated costs based on historical data and various internal estmates. Projected cash fows are then discounted to a present value employing a discount rate that properly accounts for the estmated market weighted-average cost of capital, as well as any risk unique to the subject cash fows. The market approach is based on weightng the fnancial multples of comparable companies and applying a control premium. A reportng unit's</w:t>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9" w:right="339" w:bottom="1440" w:gutter="0" w:footer="0" w:header="0"/>
        </w:sectPr>
      </w:pPr>
    </w:p>
    <w:bookmarkStart w:id="41" w:name="page42"/>
    <w:bookmarkEnd w:id="41"/>
    <w:p>
      <w:pPr>
        <w:spacing w:after="0"/>
        <w:rPr>
          <w:sz w:val="20"/>
          <w:szCs w:val="20"/>
          <w:color w:val="auto"/>
        </w:rPr>
      </w:pPr>
      <w:r>
        <w:rPr>
          <w:rFonts w:ascii="Calibri" w:cs="Calibri" w:eastAsia="Calibri" w:hAnsi="Calibri"/>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Calibri" w:cs="Calibri" w:eastAsia="Calibri" w:hAnsi="Calibri"/>
          <w:sz w:val="18"/>
          <w:szCs w:val="18"/>
          <w:color w:val="auto"/>
        </w:rPr>
        <w:t>carrying value represents the assignment of various assets and liabilites, excluding certain corporate assets and liabilites, such as cash and debt.</w:t>
      </w:r>
    </w:p>
    <w:p>
      <w:pPr>
        <w:spacing w:after="0" w:line="107" w:lineRule="exact"/>
        <w:rPr>
          <w:sz w:val="20"/>
          <w:szCs w:val="20"/>
          <w:color w:val="auto"/>
        </w:rPr>
      </w:pPr>
    </w:p>
    <w:p>
      <w:pPr>
        <w:ind w:firstLine="396"/>
        <w:spacing w:after="0" w:line="244" w:lineRule="auto"/>
        <w:rPr>
          <w:sz w:val="20"/>
          <w:szCs w:val="20"/>
          <w:color w:val="auto"/>
        </w:rPr>
      </w:pPr>
      <w:r>
        <w:rPr>
          <w:rFonts w:ascii="Calibri" w:cs="Calibri" w:eastAsia="Calibri" w:hAnsi="Calibri"/>
          <w:sz w:val="17"/>
          <w:szCs w:val="17"/>
          <w:color w:val="auto"/>
        </w:rPr>
        <w:t>We assess the impairment of long-lived assets, including purchased IPR&amp;D, property, plant and equipment, right-of-use assets, and intangible assets, whenever events or changes in circumstances indicate that the carrying value of such assets may not be recoverable. Factors we consider important which could trigger an impairment review include: (i) signifcant under-performance relatve to historical or projected future operatng results, (ii) signifcant changes in the manner of our use of the acquired assets or the strategy for our overall business, or (iii) signifcant negatve industry or economic trends. The process of evaluatng the potental impairment of long-lived assets under the accountng guidance on property, plant and equipment, and intangible assets is also highly subjectve and requires signifcant judgment. In order to estmate the fair value of long-lived assets, we typically make various assumptons about the future prospects of our business or the part of our business to which the long-lived assets relate. We also consider market factors specifc to the business and estmate future cash fows to be generated by the business, which requires signifcant judgment as it is based on assumptons about market demand for our products over a number of future years. Based on these assumptons and estmates, we determine whether we need to take an impairment charge to reduce the value of the long-lived assets stated on our consolidated balance sheets to refect their estmated fair value. Assumptons and estmates about future values and remaining useful lives are complex and ofen subjectve. They can be afected by a variety of factors, including external factors, such as the real estate market, industry and economic trends, and internal factors, such as changes in our business strategy and our internal forecasts. Although we believe the assumptons and estmates we have made in the past have been reasonable and appropriate, changes in assumptons and estmates could materially impact our reported fnancial results.</w:t>
      </w:r>
    </w:p>
    <w:p>
      <w:pPr>
        <w:spacing w:after="0" w:line="109" w:lineRule="exact"/>
        <w:rPr>
          <w:sz w:val="20"/>
          <w:szCs w:val="20"/>
          <w:color w:val="auto"/>
        </w:rPr>
      </w:pPr>
    </w:p>
    <w:p>
      <w:pPr>
        <w:ind w:firstLine="396"/>
        <w:spacing w:after="0" w:line="245" w:lineRule="auto"/>
        <w:rPr>
          <w:sz w:val="20"/>
          <w:szCs w:val="20"/>
          <w:color w:val="auto"/>
        </w:rPr>
      </w:pPr>
      <w:r>
        <w:rPr>
          <w:rFonts w:ascii="Calibri" w:cs="Calibri" w:eastAsia="Calibri" w:hAnsi="Calibri"/>
          <w:sz w:val="17"/>
          <w:szCs w:val="17"/>
          <w:i w:val="1"/>
          <w:iCs w:val="1"/>
          <w:color w:val="auto"/>
        </w:rPr>
        <w:t xml:space="preserve">Income taxes. </w:t>
      </w:r>
      <w:r>
        <w:rPr>
          <w:rFonts w:ascii="Calibri" w:cs="Calibri" w:eastAsia="Calibri" w:hAnsi="Calibri"/>
          <w:sz w:val="17"/>
          <w:szCs w:val="17"/>
          <w:color w:val="auto"/>
        </w:rPr>
        <w:t>Signifcant management judgment is required in developing our provision for or beneft from income taxes, including the determinaton of</w:t>
      </w:r>
      <w:r>
        <w:rPr>
          <w:rFonts w:ascii="Calibri" w:cs="Calibri" w:eastAsia="Calibri" w:hAnsi="Calibri"/>
          <w:sz w:val="17"/>
          <w:szCs w:val="17"/>
          <w:i w:val="1"/>
          <w:iCs w:val="1"/>
          <w:color w:val="auto"/>
        </w:rPr>
        <w:t xml:space="preserve"> </w:t>
      </w:r>
      <w:r>
        <w:rPr>
          <w:rFonts w:ascii="Calibri" w:cs="Calibri" w:eastAsia="Calibri" w:hAnsi="Calibri"/>
          <w:sz w:val="17"/>
          <w:szCs w:val="17"/>
          <w:color w:val="auto"/>
        </w:rPr>
        <w:t>deferred tax assets and liabilites and any valuaton allowances that might be required against the deferred tax assets. We have considered projected future taxable income and ongoing prudent and feasible tax planning strategies in assessing the need for valuaton allowances. An adjustment to the valuaton allowance will either increase or decrease our provision for or beneft from income taxes in the period such determinaton is made. In evaluatng the exposure associated with various tax fling positons, we accrue an income tax liability when such positons do not meet the more-likely-than-not threshold for recogniton.</w:t>
      </w:r>
    </w:p>
    <w:p>
      <w:pPr>
        <w:spacing w:after="0" w:line="103" w:lineRule="exact"/>
        <w:rPr>
          <w:sz w:val="20"/>
          <w:szCs w:val="20"/>
          <w:color w:val="auto"/>
        </w:rPr>
      </w:pPr>
    </w:p>
    <w:p>
      <w:pPr>
        <w:ind w:firstLine="396"/>
        <w:spacing w:after="0" w:line="230" w:lineRule="auto"/>
        <w:rPr>
          <w:sz w:val="20"/>
          <w:szCs w:val="20"/>
          <w:color w:val="auto"/>
        </w:rPr>
      </w:pPr>
      <w:r>
        <w:rPr>
          <w:rFonts w:ascii="Calibri" w:cs="Calibri" w:eastAsia="Calibri" w:hAnsi="Calibri"/>
          <w:sz w:val="18"/>
          <w:szCs w:val="18"/>
          <w:color w:val="auto"/>
        </w:rPr>
        <w:t>The calculaton of our tax liabilites involves dealing with uncertaintes in the applicaton of complex tax laws and regulatons in a multtude of jurisdictons. We recognize potental liabilites for antcipated tax audit issues in the U.S. and other tax jurisdictons based on our estmate of whether, and the extent to which, additonal taxes, interest, and penaltes will be due. If our estmate of income tax liabilites proves to be less than the actual amount ultmately assessed, a further charge to tax expense would be required. If the payment of these amounts ultmately proves to be unnecessary, the reversal of the accrued liabilites would result in tax benefts being recognized in the period when we determine the liabilites no longer exist.</w:t>
      </w:r>
    </w:p>
    <w:p>
      <w:pPr>
        <w:spacing w:after="0" w:line="99"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Fiscal Year Presentaton</w:t>
      </w:r>
    </w:p>
    <w:p>
      <w:pPr>
        <w:spacing w:after="0" w:line="107" w:lineRule="exact"/>
        <w:rPr>
          <w:sz w:val="20"/>
          <w:szCs w:val="20"/>
          <w:color w:val="auto"/>
        </w:rPr>
      </w:pPr>
    </w:p>
    <w:p>
      <w:pPr>
        <w:ind w:right="180" w:firstLine="396"/>
        <w:spacing w:after="0" w:line="230" w:lineRule="auto"/>
        <w:rPr>
          <w:sz w:val="20"/>
          <w:szCs w:val="20"/>
          <w:color w:val="auto"/>
        </w:rPr>
      </w:pPr>
      <w:r>
        <w:rPr>
          <w:rFonts w:ascii="Calibri" w:cs="Calibri" w:eastAsia="Calibri" w:hAnsi="Calibri"/>
          <w:sz w:val="18"/>
          <w:szCs w:val="18"/>
          <w:color w:val="auto"/>
        </w:rPr>
        <w:t>We operate on a 52- or 53-week fscal year ending on the Sunday closest to October 31 in a 52-week year and the frst Sunday in November in a 53-week year. Our fscal years 2023, 2022 and 2021 each consisted of 52 weeks.</w:t>
      </w:r>
    </w:p>
    <w:p>
      <w:pPr>
        <w:spacing w:after="0" w:line="107" w:lineRule="exact"/>
        <w:rPr>
          <w:sz w:val="20"/>
          <w:szCs w:val="20"/>
          <w:color w:val="auto"/>
        </w:rPr>
      </w:pPr>
    </w:p>
    <w:p>
      <w:pPr>
        <w:ind w:right="780" w:firstLine="396"/>
        <w:spacing w:after="0" w:line="230" w:lineRule="auto"/>
        <w:rPr>
          <w:sz w:val="20"/>
          <w:szCs w:val="20"/>
          <w:color w:val="auto"/>
        </w:rPr>
      </w:pPr>
      <w:r>
        <w:rPr>
          <w:rFonts w:ascii="Calibri" w:cs="Calibri" w:eastAsia="Calibri" w:hAnsi="Calibri"/>
          <w:sz w:val="18"/>
          <w:szCs w:val="18"/>
          <w:color w:val="auto"/>
        </w:rPr>
        <w:t>The fnancial statements included in Part II, Item 8. of this Annual Report on Form 10-K are presented in accordance with GAAP and expressed in U.S. dollars.</w:t>
      </w:r>
    </w:p>
    <w:p>
      <w:pPr>
        <w:spacing w:after="0" w:line="200" w:lineRule="exact"/>
        <w:rPr>
          <w:sz w:val="20"/>
          <w:szCs w:val="20"/>
          <w:color w:val="auto"/>
        </w:rPr>
      </w:pPr>
    </w:p>
    <w:p>
      <w:pPr>
        <w:spacing w:after="0" w:line="373" w:lineRule="exact"/>
        <w:rPr>
          <w:sz w:val="20"/>
          <w:szCs w:val="20"/>
          <w:color w:val="auto"/>
        </w:rPr>
      </w:pPr>
    </w:p>
    <w:p>
      <w:pPr>
        <w:jc w:val="center"/>
        <w:ind w:right="-39"/>
        <w:spacing w:after="0"/>
        <w:rPr>
          <w:sz w:val="20"/>
          <w:szCs w:val="20"/>
          <w:color w:val="auto"/>
        </w:rPr>
      </w:pPr>
      <w:r>
        <w:rPr>
          <w:rFonts w:ascii="Calibri" w:cs="Calibri" w:eastAsia="Calibri" w:hAnsi="Calibri"/>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00"/>
          </w:cols>
          <w:pgMar w:left="320" w:top="109" w:right="379" w:bottom="1440" w:gutter="0" w:footer="0" w:header="0"/>
        </w:sectPr>
      </w:pPr>
    </w:p>
    <w:bookmarkStart w:id="42" w:name="page43"/>
    <w:bookmarkEnd w:id="42"/>
    <w:p>
      <w:pPr>
        <w:spacing w:after="0"/>
        <w:rPr>
          <w:sz w:val="20"/>
          <w:szCs w:val="20"/>
          <w:color w:val="auto"/>
        </w:rPr>
      </w:pPr>
      <w:r>
        <w:rPr>
          <w:rFonts w:ascii="Calibri" w:cs="Calibri" w:eastAsia="Calibri" w:hAnsi="Calibri"/>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Results of Operatons</w:t>
      </w:r>
    </w:p>
    <w:p>
      <w:pPr>
        <w:spacing w:after="0" w:line="97"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Fiscal Year 2023 Compared to Fiscal Year 2022</w:t>
      </w:r>
    </w:p>
    <w:p>
      <w:pPr>
        <w:spacing w:after="0" w:line="97" w:lineRule="exact"/>
        <w:rPr>
          <w:sz w:val="20"/>
          <w:szCs w:val="20"/>
          <w:color w:val="auto"/>
        </w:rPr>
      </w:pPr>
    </w:p>
    <w:p>
      <w:pPr>
        <w:ind w:left="400"/>
        <w:spacing w:after="0"/>
        <w:rPr>
          <w:sz w:val="20"/>
          <w:szCs w:val="20"/>
          <w:color w:val="auto"/>
        </w:rPr>
      </w:pPr>
      <w:r>
        <w:rPr>
          <w:rFonts w:ascii="Calibri" w:cs="Calibri" w:eastAsia="Calibri" w:hAnsi="Calibri"/>
          <w:sz w:val="18"/>
          <w:szCs w:val="18"/>
          <w:color w:val="auto"/>
        </w:rPr>
        <w:t>The following table sets forth our results of operatons for the periods presented:</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0" w:type="dxa"/>
            <w:vAlign w:val="bottom"/>
            <w:gridSpan w:val="4"/>
          </w:tcPr>
          <w:p>
            <w:pPr>
              <w:ind w:left="720"/>
              <w:spacing w:after="0"/>
              <w:rPr>
                <w:sz w:val="20"/>
                <w:szCs w:val="20"/>
                <w:color w:val="auto"/>
              </w:rPr>
            </w:pPr>
            <w:r>
              <w:rPr>
                <w:rFonts w:ascii="Calibri" w:cs="Calibri" w:eastAsia="Calibri" w:hAnsi="Calibri"/>
                <w:sz w:val="14"/>
                <w:szCs w:val="14"/>
                <w:b w:val="1"/>
                <w:bCs w:val="1"/>
                <w:color w:val="auto"/>
              </w:rPr>
              <w:t>Fiscal Year Ended</w:t>
            </w:r>
          </w:p>
        </w:tc>
        <w:tc>
          <w:tcPr>
            <w:tcW w:w="1360" w:type="dxa"/>
            <w:vAlign w:val="bottom"/>
          </w:tcPr>
          <w:p>
            <w:pPr>
              <w:spacing w:after="0"/>
              <w:rPr>
                <w:sz w:val="14"/>
                <w:szCs w:val="14"/>
                <w:color w:val="auto"/>
              </w:rPr>
            </w:pPr>
          </w:p>
        </w:tc>
      </w:tr>
      <w:tr>
        <w:trPr>
          <w:trHeight w:val="45"/>
        </w:trPr>
        <w:tc>
          <w:tcPr>
            <w:tcW w:w="570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gridSpan w:val="2"/>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gridSpan w:val="2"/>
          </w:tcPr>
          <w:p>
            <w:pPr>
              <w:spacing w:after="0"/>
              <w:rPr>
                <w:sz w:val="3"/>
                <w:szCs w:val="3"/>
                <w:color w:val="auto"/>
              </w:rPr>
            </w:pPr>
          </w:p>
        </w:tc>
        <w:tc>
          <w:tcPr>
            <w:tcW w:w="1440" w:type="dxa"/>
            <w:vAlign w:val="bottom"/>
            <w:tcBorders>
              <w:bottom w:val="single" w:sz="8" w:color="auto"/>
            </w:tcBorders>
            <w:gridSpan w:val="2"/>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r>
      <w:tr>
        <w:trPr>
          <w:trHeight w:val="124"/>
        </w:trPr>
        <w:tc>
          <w:tcPr>
            <w:tcW w:w="57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60" w:type="dxa"/>
            <w:vAlign w:val="bottom"/>
            <w:gridSpan w:val="2"/>
          </w:tcPr>
          <w:p>
            <w:pPr>
              <w:ind w:left="80"/>
              <w:spacing w:after="0" w:line="124" w:lineRule="exact"/>
              <w:rPr>
                <w:sz w:val="20"/>
                <w:szCs w:val="20"/>
                <w:color w:val="auto"/>
              </w:rPr>
            </w:pPr>
            <w:r>
              <w:rPr>
                <w:rFonts w:ascii="Calibri" w:cs="Calibri" w:eastAsia="Calibri" w:hAnsi="Calibri"/>
                <w:sz w:val="13"/>
                <w:szCs w:val="13"/>
                <w:b w:val="1"/>
                <w:bCs w:val="1"/>
                <w:color w:val="auto"/>
              </w:rPr>
              <w:t>October 29,</w:t>
            </w:r>
          </w:p>
        </w:tc>
        <w:tc>
          <w:tcPr>
            <w:tcW w:w="180" w:type="dxa"/>
            <w:vAlign w:val="bottom"/>
          </w:tcPr>
          <w:p>
            <w:pPr>
              <w:spacing w:after="0"/>
              <w:rPr>
                <w:sz w:val="10"/>
                <w:szCs w:val="10"/>
                <w:color w:val="auto"/>
              </w:rPr>
            </w:pPr>
          </w:p>
        </w:tc>
        <w:tc>
          <w:tcPr>
            <w:tcW w:w="1160" w:type="dxa"/>
            <w:vAlign w:val="bottom"/>
            <w:gridSpan w:val="2"/>
          </w:tcPr>
          <w:p>
            <w:pPr>
              <w:ind w:left="80"/>
              <w:spacing w:after="0" w:line="124" w:lineRule="exact"/>
              <w:rPr>
                <w:sz w:val="20"/>
                <w:szCs w:val="20"/>
                <w:color w:val="auto"/>
              </w:rPr>
            </w:pPr>
            <w:r>
              <w:rPr>
                <w:rFonts w:ascii="Calibri" w:cs="Calibri" w:eastAsia="Calibri" w:hAnsi="Calibri"/>
                <w:sz w:val="13"/>
                <w:szCs w:val="13"/>
                <w:b w:val="1"/>
                <w:bCs w:val="1"/>
                <w:color w:val="auto"/>
              </w:rPr>
              <w:t>October 30,</w:t>
            </w:r>
          </w:p>
        </w:tc>
        <w:tc>
          <w:tcPr>
            <w:tcW w:w="1440" w:type="dxa"/>
            <w:vAlign w:val="bottom"/>
            <w:gridSpan w:val="2"/>
          </w:tcPr>
          <w:p>
            <w:pPr>
              <w:ind w:left="320"/>
              <w:spacing w:after="0" w:line="124" w:lineRule="exact"/>
              <w:rPr>
                <w:sz w:val="20"/>
                <w:szCs w:val="20"/>
                <w:color w:val="auto"/>
              </w:rPr>
            </w:pPr>
            <w:r>
              <w:rPr>
                <w:rFonts w:ascii="Calibri" w:cs="Calibri" w:eastAsia="Calibri" w:hAnsi="Calibri"/>
                <w:sz w:val="13"/>
                <w:szCs w:val="13"/>
                <w:b w:val="1"/>
                <w:bCs w:val="1"/>
                <w:color w:val="auto"/>
              </w:rPr>
              <w:t>October 29,</w:t>
            </w:r>
          </w:p>
        </w:tc>
        <w:tc>
          <w:tcPr>
            <w:tcW w:w="1360" w:type="dxa"/>
            <w:vAlign w:val="bottom"/>
          </w:tcPr>
          <w:p>
            <w:pPr>
              <w:jc w:val="right"/>
              <w:ind w:right="234"/>
              <w:spacing w:after="0" w:line="124" w:lineRule="exact"/>
              <w:rPr>
                <w:sz w:val="20"/>
                <w:szCs w:val="20"/>
                <w:color w:val="auto"/>
              </w:rPr>
            </w:pPr>
            <w:r>
              <w:rPr>
                <w:rFonts w:ascii="Calibri" w:cs="Calibri" w:eastAsia="Calibri" w:hAnsi="Calibri"/>
                <w:sz w:val="13"/>
                <w:szCs w:val="13"/>
                <w:b w:val="1"/>
                <w:bCs w:val="1"/>
                <w:color w:val="auto"/>
              </w:rPr>
              <w:t>October 30,</w:t>
            </w:r>
          </w:p>
        </w:tc>
      </w:tr>
      <w:tr>
        <w:trPr>
          <w:trHeight w:val="168"/>
        </w:trPr>
        <w:tc>
          <w:tcPr>
            <w:tcW w:w="5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jc w:val="right"/>
              <w:ind w:right="375"/>
              <w:spacing w:after="0" w:line="168" w:lineRule="exact"/>
              <w:rPr>
                <w:sz w:val="20"/>
                <w:szCs w:val="20"/>
                <w:color w:val="auto"/>
              </w:rPr>
            </w:pPr>
            <w:r>
              <w:rPr>
                <w:rFonts w:ascii="Calibri" w:cs="Calibri" w:eastAsia="Calibri" w:hAnsi="Calibri"/>
                <w:sz w:val="14"/>
                <w:szCs w:val="14"/>
                <w:b w:val="1"/>
                <w:bCs w:val="1"/>
                <w:color w:val="auto"/>
              </w:rPr>
              <w:t>2023</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jc w:val="right"/>
              <w:ind w:right="395"/>
              <w:spacing w:after="0" w:line="168" w:lineRule="exact"/>
              <w:rPr>
                <w:sz w:val="20"/>
                <w:szCs w:val="20"/>
                <w:color w:val="auto"/>
              </w:rPr>
            </w:pPr>
            <w:r>
              <w:rPr>
                <w:rFonts w:ascii="Calibri" w:cs="Calibri" w:eastAsia="Calibri" w:hAnsi="Calibri"/>
                <w:sz w:val="14"/>
                <w:szCs w:val="14"/>
                <w:b w:val="1"/>
                <w:bCs w:val="1"/>
                <w:color w:val="auto"/>
              </w:rPr>
              <w:t>2022</w:t>
            </w:r>
          </w:p>
        </w:tc>
        <w:tc>
          <w:tcPr>
            <w:tcW w:w="100" w:type="dxa"/>
            <w:vAlign w:val="bottom"/>
          </w:tcPr>
          <w:p>
            <w:pPr>
              <w:spacing w:after="0"/>
              <w:rPr>
                <w:sz w:val="14"/>
                <w:szCs w:val="14"/>
                <w:color w:val="auto"/>
              </w:rPr>
            </w:pPr>
          </w:p>
        </w:tc>
        <w:tc>
          <w:tcPr>
            <w:tcW w:w="1340" w:type="dxa"/>
            <w:vAlign w:val="bottom"/>
          </w:tcPr>
          <w:p>
            <w:pPr>
              <w:jc w:val="right"/>
              <w:ind w:right="435"/>
              <w:spacing w:after="0" w:line="168" w:lineRule="exact"/>
              <w:rPr>
                <w:sz w:val="20"/>
                <w:szCs w:val="20"/>
                <w:color w:val="auto"/>
              </w:rPr>
            </w:pPr>
            <w:r>
              <w:rPr>
                <w:rFonts w:ascii="Calibri" w:cs="Calibri" w:eastAsia="Calibri" w:hAnsi="Calibri"/>
                <w:sz w:val="14"/>
                <w:szCs w:val="14"/>
                <w:b w:val="1"/>
                <w:bCs w:val="1"/>
                <w:color w:val="auto"/>
              </w:rPr>
              <w:t>2023</w:t>
            </w:r>
          </w:p>
        </w:tc>
        <w:tc>
          <w:tcPr>
            <w:tcW w:w="100" w:type="dxa"/>
            <w:vAlign w:val="bottom"/>
          </w:tcPr>
          <w:p>
            <w:pPr>
              <w:spacing w:after="0"/>
              <w:rPr>
                <w:sz w:val="14"/>
                <w:szCs w:val="14"/>
                <w:color w:val="auto"/>
              </w:rPr>
            </w:pPr>
          </w:p>
        </w:tc>
        <w:tc>
          <w:tcPr>
            <w:tcW w:w="1360" w:type="dxa"/>
            <w:vAlign w:val="bottom"/>
          </w:tcPr>
          <w:p>
            <w:pPr>
              <w:jc w:val="right"/>
              <w:ind w:right="434"/>
              <w:spacing w:after="0" w:line="168" w:lineRule="exact"/>
              <w:rPr>
                <w:sz w:val="20"/>
                <w:szCs w:val="20"/>
                <w:color w:val="auto"/>
              </w:rPr>
            </w:pPr>
            <w:r>
              <w:rPr>
                <w:rFonts w:ascii="Calibri" w:cs="Calibri" w:eastAsia="Calibri" w:hAnsi="Calibri"/>
                <w:sz w:val="14"/>
                <w:szCs w:val="14"/>
                <w:b w:val="1"/>
                <w:bCs w:val="1"/>
                <w:color w:val="auto"/>
              </w:rPr>
              <w:t>2022</w:t>
            </w:r>
          </w:p>
        </w:tc>
      </w:tr>
      <w:tr>
        <w:trPr>
          <w:trHeight w:val="32"/>
        </w:trPr>
        <w:tc>
          <w:tcPr>
            <w:tcW w:w="57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186"/>
        </w:trPr>
        <w:tc>
          <w:tcPr>
            <w:tcW w:w="5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500" w:type="dxa"/>
            <w:vAlign w:val="bottom"/>
            <w:gridSpan w:val="5"/>
          </w:tcPr>
          <w:p>
            <w:pPr>
              <w:ind w:left="760"/>
              <w:spacing w:after="0"/>
              <w:rPr>
                <w:sz w:val="20"/>
                <w:szCs w:val="20"/>
                <w:color w:val="auto"/>
              </w:rPr>
            </w:pPr>
            <w:r>
              <w:rPr>
                <w:rFonts w:ascii="Calibri" w:cs="Calibri" w:eastAsia="Calibri" w:hAnsi="Calibri"/>
                <w:sz w:val="14"/>
                <w:szCs w:val="14"/>
                <w:b w:val="1"/>
                <w:bCs w:val="1"/>
                <w:color w:val="auto"/>
              </w:rPr>
              <w:t>(In millions)</w:t>
            </w:r>
          </w:p>
        </w:tc>
        <w:tc>
          <w:tcPr>
            <w:tcW w:w="2800" w:type="dxa"/>
            <w:vAlign w:val="bottom"/>
            <w:gridSpan w:val="3"/>
          </w:tcPr>
          <w:p>
            <w:pPr>
              <w:jc w:val="right"/>
              <w:ind w:right="354"/>
              <w:spacing w:after="0"/>
              <w:rPr>
                <w:sz w:val="20"/>
                <w:szCs w:val="20"/>
                <w:color w:val="auto"/>
              </w:rPr>
            </w:pPr>
            <w:r>
              <w:rPr>
                <w:rFonts w:ascii="Calibri" w:cs="Calibri" w:eastAsia="Calibri" w:hAnsi="Calibri"/>
                <w:sz w:val="14"/>
                <w:szCs w:val="14"/>
                <w:b w:val="1"/>
                <w:bCs w:val="1"/>
                <w:color w:val="auto"/>
              </w:rPr>
              <w:t>(As a percentage of net revenue)</w:t>
            </w:r>
          </w:p>
        </w:tc>
      </w:tr>
      <w:tr>
        <w:trPr>
          <w:trHeight w:val="248"/>
        </w:trPr>
        <w:tc>
          <w:tcPr>
            <w:tcW w:w="5700" w:type="dxa"/>
            <w:vAlign w:val="bottom"/>
          </w:tcPr>
          <w:p>
            <w:pPr>
              <w:ind w:left="20"/>
              <w:spacing w:after="0"/>
              <w:rPr>
                <w:sz w:val="20"/>
                <w:szCs w:val="20"/>
                <w:color w:val="auto"/>
              </w:rPr>
            </w:pPr>
            <w:r>
              <w:rPr>
                <w:rFonts w:ascii="Calibri" w:cs="Calibri" w:eastAsia="Calibri" w:hAnsi="Calibri"/>
                <w:sz w:val="18"/>
                <w:szCs w:val="18"/>
                <w:b w:val="1"/>
                <w:bCs w:val="1"/>
                <w:color w:val="auto"/>
              </w:rPr>
              <w:t>Statements of Operatons Data:</w:t>
            </w:r>
          </w:p>
        </w:tc>
        <w:tc>
          <w:tcPr>
            <w:tcW w:w="1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60" w:type="dxa"/>
            <w:vAlign w:val="bottom"/>
          </w:tcPr>
          <w:p>
            <w:pPr>
              <w:spacing w:after="0"/>
              <w:rPr>
                <w:sz w:val="21"/>
                <w:szCs w:val="21"/>
                <w:color w:val="auto"/>
              </w:rPr>
            </w:pPr>
          </w:p>
        </w:tc>
      </w:tr>
      <w:tr>
        <w:trPr>
          <w:trHeight w:val="22"/>
        </w:trPr>
        <w:tc>
          <w:tcPr>
            <w:tcW w:w="5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224"/>
        </w:trPr>
        <w:tc>
          <w:tcPr>
            <w:tcW w:w="5700" w:type="dxa"/>
            <w:vAlign w:val="bottom"/>
            <w:shd w:val="clear" w:color="auto" w:fill="CCEEFF"/>
          </w:tcPr>
          <w:p>
            <w:pPr>
              <w:ind w:left="20"/>
              <w:spacing w:after="0" w:line="210" w:lineRule="exact"/>
              <w:rPr>
                <w:sz w:val="20"/>
                <w:szCs w:val="20"/>
                <w:color w:val="auto"/>
              </w:rPr>
            </w:pPr>
            <w:r>
              <w:rPr>
                <w:rFonts w:ascii="Calibri" w:cs="Calibri" w:eastAsia="Calibri" w:hAnsi="Calibri"/>
                <w:sz w:val="18"/>
                <w:szCs w:val="18"/>
                <w:color w:val="auto"/>
              </w:rPr>
              <w:t>Net revenue:</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17"/>
        </w:trPr>
        <w:tc>
          <w:tcPr>
            <w:tcW w:w="5700" w:type="dxa"/>
            <w:vAlign w:val="bottom"/>
          </w:tcPr>
          <w:p>
            <w:pPr>
              <w:ind w:left="140"/>
              <w:spacing w:after="0" w:line="210" w:lineRule="exact"/>
              <w:rPr>
                <w:sz w:val="20"/>
                <w:szCs w:val="20"/>
                <w:color w:val="auto"/>
              </w:rPr>
            </w:pPr>
            <w:r>
              <w:rPr>
                <w:rFonts w:ascii="Calibri" w:cs="Calibri" w:eastAsia="Calibri" w:hAnsi="Calibri"/>
                <w:sz w:val="18"/>
                <w:szCs w:val="18"/>
                <w:color w:val="auto"/>
              </w:rPr>
              <w:t>Products</w:t>
            </w:r>
          </w:p>
        </w:tc>
        <w:tc>
          <w:tcPr>
            <w:tcW w:w="180" w:type="dxa"/>
            <w:vAlign w:val="bottom"/>
          </w:tcPr>
          <w:p>
            <w:pPr>
              <w:jc w:val="right"/>
              <w:spacing w:after="0" w:line="210" w:lineRule="exact"/>
              <w:rPr>
                <w:sz w:val="20"/>
                <w:szCs w:val="20"/>
                <w:color w:val="auto"/>
              </w:rPr>
            </w:pPr>
            <w:r>
              <w:rPr>
                <w:rFonts w:ascii="Calibri" w:cs="Calibri" w:eastAsia="Calibri" w:hAnsi="Calibri"/>
                <w:sz w:val="18"/>
                <w:szCs w:val="18"/>
                <w:color w:val="auto"/>
                <w:w w:val="87"/>
              </w:rPr>
              <w:t>$</w:t>
            </w:r>
          </w:p>
        </w:tc>
        <w:tc>
          <w:tcPr>
            <w:tcW w:w="1040" w:type="dxa"/>
            <w:vAlign w:val="bottom"/>
          </w:tcPr>
          <w:p>
            <w:pPr>
              <w:jc w:val="right"/>
              <w:spacing w:after="0" w:line="210" w:lineRule="exact"/>
              <w:rPr>
                <w:sz w:val="20"/>
                <w:szCs w:val="20"/>
                <w:color w:val="auto"/>
              </w:rPr>
            </w:pPr>
            <w:r>
              <w:rPr>
                <w:rFonts w:ascii="Calibri" w:cs="Calibri" w:eastAsia="Calibri" w:hAnsi="Calibri"/>
                <w:sz w:val="18"/>
                <w:szCs w:val="18"/>
                <w:color w:val="auto"/>
              </w:rPr>
              <w:t>27,891</w:t>
            </w:r>
          </w:p>
        </w:tc>
        <w:tc>
          <w:tcPr>
            <w:tcW w:w="120" w:type="dxa"/>
            <w:vAlign w:val="bottom"/>
          </w:tcPr>
          <w:p>
            <w:pPr>
              <w:spacing w:after="0"/>
              <w:rPr>
                <w:sz w:val="18"/>
                <w:szCs w:val="18"/>
                <w:color w:val="auto"/>
              </w:rPr>
            </w:pPr>
          </w:p>
        </w:tc>
        <w:tc>
          <w:tcPr>
            <w:tcW w:w="180" w:type="dxa"/>
            <w:vAlign w:val="bottom"/>
          </w:tcPr>
          <w:p>
            <w:pPr>
              <w:jc w:val="right"/>
              <w:spacing w:after="0" w:line="210" w:lineRule="exact"/>
              <w:rPr>
                <w:sz w:val="20"/>
                <w:szCs w:val="20"/>
                <w:color w:val="auto"/>
              </w:rPr>
            </w:pPr>
            <w:r>
              <w:rPr>
                <w:rFonts w:ascii="Calibri" w:cs="Calibri" w:eastAsia="Calibri" w:hAnsi="Calibri"/>
                <w:sz w:val="18"/>
                <w:szCs w:val="18"/>
                <w:color w:val="auto"/>
                <w:w w:val="87"/>
              </w:rPr>
              <w:t>$</w:t>
            </w:r>
          </w:p>
        </w:tc>
        <w:tc>
          <w:tcPr>
            <w:tcW w:w="1060" w:type="dxa"/>
            <w:vAlign w:val="bottom"/>
          </w:tcPr>
          <w:p>
            <w:pPr>
              <w:jc w:val="right"/>
              <w:spacing w:after="0" w:line="210" w:lineRule="exact"/>
              <w:rPr>
                <w:sz w:val="20"/>
                <w:szCs w:val="20"/>
                <w:color w:val="auto"/>
              </w:rPr>
            </w:pPr>
            <w:r>
              <w:rPr>
                <w:rFonts w:ascii="Calibri" w:cs="Calibri" w:eastAsia="Calibri" w:hAnsi="Calibri"/>
                <w:sz w:val="18"/>
                <w:szCs w:val="18"/>
                <w:color w:val="auto"/>
              </w:rPr>
              <w:t>26,277</w:t>
            </w:r>
          </w:p>
        </w:tc>
        <w:tc>
          <w:tcPr>
            <w:tcW w:w="100" w:type="dxa"/>
            <w:vAlign w:val="bottom"/>
          </w:tcPr>
          <w:p>
            <w:pPr>
              <w:spacing w:after="0"/>
              <w:rPr>
                <w:sz w:val="18"/>
                <w:szCs w:val="18"/>
                <w:color w:val="auto"/>
              </w:rPr>
            </w:pPr>
          </w:p>
        </w:tc>
        <w:tc>
          <w:tcPr>
            <w:tcW w:w="1340" w:type="dxa"/>
            <w:vAlign w:val="bottom"/>
          </w:tcPr>
          <w:p>
            <w:pPr>
              <w:jc w:val="right"/>
              <w:spacing w:after="0" w:line="210" w:lineRule="exact"/>
              <w:rPr>
                <w:sz w:val="20"/>
                <w:szCs w:val="20"/>
                <w:color w:val="auto"/>
              </w:rPr>
            </w:pPr>
            <w:r>
              <w:rPr>
                <w:rFonts w:ascii="Calibri" w:cs="Calibri" w:eastAsia="Calibri" w:hAnsi="Calibri"/>
                <w:sz w:val="18"/>
                <w:szCs w:val="18"/>
                <w:color w:val="auto"/>
              </w:rPr>
              <w:t>78 %</w:t>
            </w:r>
          </w:p>
        </w:tc>
        <w:tc>
          <w:tcPr>
            <w:tcW w:w="100" w:type="dxa"/>
            <w:vAlign w:val="bottom"/>
          </w:tcPr>
          <w:p>
            <w:pPr>
              <w:spacing w:after="0"/>
              <w:rPr>
                <w:sz w:val="18"/>
                <w:szCs w:val="18"/>
                <w:color w:val="auto"/>
              </w:rPr>
            </w:pPr>
          </w:p>
        </w:tc>
        <w:tc>
          <w:tcPr>
            <w:tcW w:w="1360" w:type="dxa"/>
            <w:vAlign w:val="bottom"/>
          </w:tcPr>
          <w:p>
            <w:pPr>
              <w:jc w:val="right"/>
              <w:spacing w:after="0" w:line="210" w:lineRule="exact"/>
              <w:rPr>
                <w:sz w:val="20"/>
                <w:szCs w:val="20"/>
                <w:color w:val="auto"/>
              </w:rPr>
            </w:pPr>
            <w:r>
              <w:rPr>
                <w:rFonts w:ascii="Calibri" w:cs="Calibri" w:eastAsia="Calibri" w:hAnsi="Calibri"/>
                <w:sz w:val="18"/>
                <w:szCs w:val="18"/>
                <w:color w:val="auto"/>
              </w:rPr>
              <w:t>79 %</w:t>
            </w:r>
          </w:p>
        </w:tc>
      </w:tr>
      <w:tr>
        <w:trPr>
          <w:trHeight w:val="232"/>
        </w:trPr>
        <w:tc>
          <w:tcPr>
            <w:tcW w:w="5700" w:type="dxa"/>
            <w:vAlign w:val="bottom"/>
            <w:shd w:val="clear" w:color="auto" w:fill="CCEEFF"/>
          </w:tcPr>
          <w:p>
            <w:pPr>
              <w:ind w:left="140"/>
              <w:spacing w:after="0" w:line="217" w:lineRule="exact"/>
              <w:rPr>
                <w:sz w:val="20"/>
                <w:szCs w:val="20"/>
                <w:color w:val="auto"/>
              </w:rPr>
            </w:pPr>
            <w:r>
              <w:rPr>
                <w:rFonts w:ascii="Calibri" w:cs="Calibri" w:eastAsia="Calibri" w:hAnsi="Calibri"/>
                <w:sz w:val="18"/>
                <w:szCs w:val="18"/>
                <w:color w:val="auto"/>
              </w:rPr>
              <w:t>Subscriptons and services</w:t>
            </w:r>
          </w:p>
        </w:tc>
        <w:tc>
          <w:tcPr>
            <w:tcW w:w="18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line="217" w:lineRule="exact"/>
              <w:rPr>
                <w:sz w:val="20"/>
                <w:szCs w:val="20"/>
                <w:color w:val="auto"/>
              </w:rPr>
            </w:pPr>
            <w:r>
              <w:rPr>
                <w:rFonts w:ascii="Calibri" w:cs="Calibri" w:eastAsia="Calibri" w:hAnsi="Calibri"/>
                <w:sz w:val="18"/>
                <w:szCs w:val="18"/>
                <w:color w:val="auto"/>
              </w:rPr>
              <w:t>7,928</w:t>
            </w:r>
          </w:p>
        </w:tc>
        <w:tc>
          <w:tcPr>
            <w:tcW w:w="12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line="217" w:lineRule="exact"/>
              <w:rPr>
                <w:sz w:val="20"/>
                <w:szCs w:val="20"/>
                <w:color w:val="auto"/>
              </w:rPr>
            </w:pPr>
            <w:r>
              <w:rPr>
                <w:rFonts w:ascii="Calibri" w:cs="Calibri" w:eastAsia="Calibri" w:hAnsi="Calibri"/>
                <w:sz w:val="18"/>
                <w:szCs w:val="18"/>
                <w:color w:val="auto"/>
              </w:rPr>
              <w:t>6,926</w:t>
            </w:r>
          </w:p>
        </w:tc>
        <w:tc>
          <w:tcPr>
            <w:tcW w:w="100" w:type="dxa"/>
            <w:vAlign w:val="bottom"/>
            <w:shd w:val="clear" w:color="auto" w:fill="CCEEFF"/>
          </w:tcPr>
          <w:p>
            <w:pPr>
              <w:spacing w:after="0"/>
              <w:rPr>
                <w:sz w:val="20"/>
                <w:szCs w:val="20"/>
                <w:color w:val="auto"/>
              </w:rPr>
            </w:pPr>
          </w:p>
        </w:tc>
        <w:tc>
          <w:tcPr>
            <w:tcW w:w="1340" w:type="dxa"/>
            <w:vAlign w:val="bottom"/>
            <w:tcBorders>
              <w:bottom w:val="single" w:sz="8" w:color="auto"/>
            </w:tcBorders>
            <w:shd w:val="clear" w:color="auto" w:fill="CCEEFF"/>
          </w:tcPr>
          <w:p>
            <w:pPr>
              <w:jc w:val="right"/>
              <w:ind w:right="95"/>
              <w:spacing w:after="0" w:line="217" w:lineRule="exact"/>
              <w:rPr>
                <w:sz w:val="20"/>
                <w:szCs w:val="20"/>
                <w:color w:val="auto"/>
              </w:rPr>
            </w:pPr>
            <w:r>
              <w:rPr>
                <w:rFonts w:ascii="Calibri" w:cs="Calibri" w:eastAsia="Calibri" w:hAnsi="Calibri"/>
                <w:sz w:val="18"/>
                <w:szCs w:val="18"/>
                <w:color w:val="auto"/>
              </w:rPr>
              <w:t>22</w:t>
            </w:r>
          </w:p>
        </w:tc>
        <w:tc>
          <w:tcPr>
            <w:tcW w:w="100" w:type="dxa"/>
            <w:vAlign w:val="bottom"/>
            <w:shd w:val="clear" w:color="auto" w:fill="CCEEFF"/>
          </w:tcPr>
          <w:p>
            <w:pPr>
              <w:spacing w:after="0"/>
              <w:rPr>
                <w:sz w:val="20"/>
                <w:szCs w:val="20"/>
                <w:color w:val="auto"/>
              </w:rPr>
            </w:pPr>
          </w:p>
        </w:tc>
        <w:tc>
          <w:tcPr>
            <w:tcW w:w="1360" w:type="dxa"/>
            <w:vAlign w:val="bottom"/>
            <w:tcBorders>
              <w:bottom w:val="single" w:sz="8" w:color="auto"/>
            </w:tcBorders>
            <w:shd w:val="clear" w:color="auto" w:fill="CCEEFF"/>
          </w:tcPr>
          <w:p>
            <w:pPr>
              <w:jc w:val="right"/>
              <w:ind w:right="94"/>
              <w:spacing w:after="0" w:line="217" w:lineRule="exact"/>
              <w:rPr>
                <w:sz w:val="20"/>
                <w:szCs w:val="20"/>
                <w:color w:val="auto"/>
              </w:rPr>
            </w:pPr>
            <w:r>
              <w:rPr>
                <w:rFonts w:ascii="Calibri" w:cs="Calibri" w:eastAsia="Calibri" w:hAnsi="Calibri"/>
                <w:sz w:val="18"/>
                <w:szCs w:val="18"/>
                <w:color w:val="auto"/>
              </w:rPr>
              <w:t>21</w:t>
            </w:r>
          </w:p>
        </w:tc>
      </w:tr>
      <w:tr>
        <w:trPr>
          <w:trHeight w:val="211"/>
        </w:trPr>
        <w:tc>
          <w:tcPr>
            <w:tcW w:w="5700" w:type="dxa"/>
            <w:vAlign w:val="bottom"/>
            <w:tcBorders>
              <w:bottom w:val="single" w:sz="8" w:color="CCEEFF"/>
            </w:tcBorders>
          </w:tcPr>
          <w:p>
            <w:pPr>
              <w:ind w:left="220"/>
              <w:spacing w:after="0" w:line="196" w:lineRule="exact"/>
              <w:rPr>
                <w:sz w:val="20"/>
                <w:szCs w:val="20"/>
                <w:color w:val="auto"/>
              </w:rPr>
            </w:pPr>
            <w:r>
              <w:rPr>
                <w:rFonts w:ascii="Calibri" w:cs="Calibri" w:eastAsia="Calibri" w:hAnsi="Calibri"/>
                <w:sz w:val="18"/>
                <w:szCs w:val="18"/>
                <w:color w:val="auto"/>
              </w:rPr>
              <w:t>Total net revenue</w:t>
            </w: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line="210" w:lineRule="exact"/>
              <w:rPr>
                <w:sz w:val="20"/>
                <w:szCs w:val="20"/>
                <w:color w:val="auto"/>
              </w:rPr>
            </w:pPr>
            <w:r>
              <w:rPr>
                <w:rFonts w:ascii="Calibri" w:cs="Calibri" w:eastAsia="Calibri" w:hAnsi="Calibri"/>
                <w:sz w:val="18"/>
                <w:szCs w:val="18"/>
                <w:color w:val="auto"/>
              </w:rPr>
              <w:t>35,819</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line="210" w:lineRule="exact"/>
              <w:rPr>
                <w:sz w:val="20"/>
                <w:szCs w:val="20"/>
                <w:color w:val="auto"/>
              </w:rPr>
            </w:pPr>
            <w:r>
              <w:rPr>
                <w:rFonts w:ascii="Calibri" w:cs="Calibri" w:eastAsia="Calibri" w:hAnsi="Calibri"/>
                <w:sz w:val="18"/>
                <w:szCs w:val="18"/>
                <w:color w:val="auto"/>
              </w:rPr>
              <w:t>33,203</w:t>
            </w:r>
          </w:p>
        </w:tc>
        <w:tc>
          <w:tcPr>
            <w:tcW w:w="100" w:type="dxa"/>
            <w:vAlign w:val="bottom"/>
            <w:tcBorders>
              <w:bottom w:val="single" w:sz="8" w:color="CCEEFF"/>
            </w:tcBorders>
          </w:tcPr>
          <w:p>
            <w:pPr>
              <w:spacing w:after="0"/>
              <w:rPr>
                <w:sz w:val="18"/>
                <w:szCs w:val="18"/>
                <w:color w:val="auto"/>
              </w:rPr>
            </w:pPr>
          </w:p>
        </w:tc>
        <w:tc>
          <w:tcPr>
            <w:tcW w:w="1340" w:type="dxa"/>
            <w:vAlign w:val="bottom"/>
            <w:tcBorders>
              <w:bottom w:val="single" w:sz="8" w:color="auto"/>
            </w:tcBorders>
          </w:tcPr>
          <w:p>
            <w:pPr>
              <w:jc w:val="right"/>
              <w:ind w:right="95"/>
              <w:spacing w:after="0" w:line="210" w:lineRule="exact"/>
              <w:rPr>
                <w:sz w:val="20"/>
                <w:szCs w:val="20"/>
                <w:color w:val="auto"/>
              </w:rPr>
            </w:pPr>
            <w:r>
              <w:rPr>
                <w:rFonts w:ascii="Calibri" w:cs="Calibri" w:eastAsia="Calibri" w:hAnsi="Calibri"/>
                <w:sz w:val="18"/>
                <w:szCs w:val="18"/>
                <w:color w:val="auto"/>
              </w:rPr>
              <w:t>100</w:t>
            </w:r>
          </w:p>
        </w:tc>
        <w:tc>
          <w:tcPr>
            <w:tcW w:w="100" w:type="dxa"/>
            <w:vAlign w:val="bottom"/>
            <w:tcBorders>
              <w:bottom w:val="single" w:sz="8" w:color="CCEEFF"/>
            </w:tcBorders>
          </w:tcPr>
          <w:p>
            <w:pPr>
              <w:spacing w:after="0"/>
              <w:rPr>
                <w:sz w:val="18"/>
                <w:szCs w:val="18"/>
                <w:color w:val="auto"/>
              </w:rPr>
            </w:pPr>
          </w:p>
        </w:tc>
        <w:tc>
          <w:tcPr>
            <w:tcW w:w="1360" w:type="dxa"/>
            <w:vAlign w:val="bottom"/>
            <w:tcBorders>
              <w:bottom w:val="single" w:sz="8" w:color="auto"/>
            </w:tcBorders>
          </w:tcPr>
          <w:p>
            <w:pPr>
              <w:jc w:val="right"/>
              <w:ind w:right="94"/>
              <w:spacing w:after="0" w:line="210" w:lineRule="exact"/>
              <w:rPr>
                <w:sz w:val="20"/>
                <w:szCs w:val="20"/>
                <w:color w:val="auto"/>
              </w:rPr>
            </w:pPr>
            <w:r>
              <w:rPr>
                <w:rFonts w:ascii="Calibri" w:cs="Calibri" w:eastAsia="Calibri" w:hAnsi="Calibri"/>
                <w:sz w:val="18"/>
                <w:szCs w:val="18"/>
                <w:color w:val="auto"/>
              </w:rPr>
              <w:t>100</w:t>
            </w:r>
          </w:p>
        </w:tc>
      </w:tr>
      <w:tr>
        <w:trPr>
          <w:trHeight w:val="211"/>
        </w:trPr>
        <w:tc>
          <w:tcPr>
            <w:tcW w:w="5700" w:type="dxa"/>
            <w:vAlign w:val="bottom"/>
            <w:shd w:val="clear" w:color="auto" w:fill="CCEEFF"/>
          </w:tcPr>
          <w:p>
            <w:pPr>
              <w:ind w:left="20"/>
              <w:spacing w:after="0" w:line="196" w:lineRule="exact"/>
              <w:rPr>
                <w:sz w:val="20"/>
                <w:szCs w:val="20"/>
                <w:color w:val="auto"/>
              </w:rPr>
            </w:pPr>
            <w:r>
              <w:rPr>
                <w:rFonts w:ascii="Calibri" w:cs="Calibri" w:eastAsia="Calibri" w:hAnsi="Calibri"/>
                <w:sz w:val="18"/>
                <w:szCs w:val="18"/>
                <w:color w:val="auto"/>
              </w:rPr>
              <w:t>Cost of revenue:</w:t>
            </w: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17"/>
        </w:trPr>
        <w:tc>
          <w:tcPr>
            <w:tcW w:w="5700" w:type="dxa"/>
            <w:vAlign w:val="bottom"/>
          </w:tcPr>
          <w:p>
            <w:pPr>
              <w:ind w:left="140"/>
              <w:spacing w:after="0" w:line="210" w:lineRule="exact"/>
              <w:rPr>
                <w:sz w:val="20"/>
                <w:szCs w:val="20"/>
                <w:color w:val="auto"/>
              </w:rPr>
            </w:pPr>
            <w:r>
              <w:rPr>
                <w:rFonts w:ascii="Calibri" w:cs="Calibri" w:eastAsia="Calibri" w:hAnsi="Calibri"/>
                <w:sz w:val="18"/>
                <w:szCs w:val="18"/>
                <w:color w:val="auto"/>
              </w:rPr>
              <w:t>Cost of products sold</w:t>
            </w:r>
          </w:p>
        </w:tc>
        <w:tc>
          <w:tcPr>
            <w:tcW w:w="180" w:type="dxa"/>
            <w:vAlign w:val="bottom"/>
          </w:tcPr>
          <w:p>
            <w:pPr>
              <w:spacing w:after="0"/>
              <w:rPr>
                <w:sz w:val="18"/>
                <w:szCs w:val="18"/>
                <w:color w:val="auto"/>
              </w:rPr>
            </w:pPr>
          </w:p>
        </w:tc>
        <w:tc>
          <w:tcPr>
            <w:tcW w:w="1040" w:type="dxa"/>
            <w:vAlign w:val="bottom"/>
          </w:tcPr>
          <w:p>
            <w:pPr>
              <w:jc w:val="right"/>
              <w:spacing w:after="0" w:line="210" w:lineRule="exact"/>
              <w:rPr>
                <w:sz w:val="20"/>
                <w:szCs w:val="20"/>
                <w:color w:val="auto"/>
              </w:rPr>
            </w:pPr>
            <w:r>
              <w:rPr>
                <w:rFonts w:ascii="Calibri" w:cs="Calibri" w:eastAsia="Calibri" w:hAnsi="Calibri"/>
                <w:sz w:val="18"/>
                <w:szCs w:val="18"/>
                <w:color w:val="auto"/>
              </w:rPr>
              <w:t>8,636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spacing w:after="0" w:line="210" w:lineRule="exact"/>
              <w:rPr>
                <w:sz w:val="20"/>
                <w:szCs w:val="20"/>
                <w:color w:val="auto"/>
              </w:rPr>
            </w:pPr>
            <w:r>
              <w:rPr>
                <w:rFonts w:ascii="Calibri" w:cs="Calibri" w:eastAsia="Calibri" w:hAnsi="Calibri"/>
                <w:sz w:val="18"/>
                <w:szCs w:val="18"/>
                <w:color w:val="auto"/>
              </w:rPr>
              <w:t>7,629</w:t>
            </w:r>
          </w:p>
        </w:tc>
        <w:tc>
          <w:tcPr>
            <w:tcW w:w="100" w:type="dxa"/>
            <w:vAlign w:val="bottom"/>
          </w:tcPr>
          <w:p>
            <w:pPr>
              <w:spacing w:after="0"/>
              <w:rPr>
                <w:sz w:val="18"/>
                <w:szCs w:val="18"/>
                <w:color w:val="auto"/>
              </w:rPr>
            </w:pPr>
          </w:p>
        </w:tc>
        <w:tc>
          <w:tcPr>
            <w:tcW w:w="1340" w:type="dxa"/>
            <w:vAlign w:val="bottom"/>
          </w:tcPr>
          <w:p>
            <w:pPr>
              <w:jc w:val="right"/>
              <w:ind w:right="95"/>
              <w:spacing w:after="0" w:line="210" w:lineRule="exact"/>
              <w:rPr>
                <w:sz w:val="20"/>
                <w:szCs w:val="20"/>
                <w:color w:val="auto"/>
              </w:rPr>
            </w:pPr>
            <w:r>
              <w:rPr>
                <w:rFonts w:ascii="Calibri" w:cs="Calibri" w:eastAsia="Calibri" w:hAnsi="Calibri"/>
                <w:sz w:val="18"/>
                <w:szCs w:val="18"/>
                <w:color w:val="auto"/>
              </w:rPr>
              <w:t>24</w:t>
            </w:r>
          </w:p>
        </w:tc>
        <w:tc>
          <w:tcPr>
            <w:tcW w:w="100" w:type="dxa"/>
            <w:vAlign w:val="bottom"/>
          </w:tcPr>
          <w:p>
            <w:pPr>
              <w:spacing w:after="0"/>
              <w:rPr>
                <w:sz w:val="18"/>
                <w:szCs w:val="18"/>
                <w:color w:val="auto"/>
              </w:rPr>
            </w:pPr>
          </w:p>
        </w:tc>
        <w:tc>
          <w:tcPr>
            <w:tcW w:w="1360" w:type="dxa"/>
            <w:vAlign w:val="bottom"/>
          </w:tcPr>
          <w:p>
            <w:pPr>
              <w:jc w:val="right"/>
              <w:ind w:right="94"/>
              <w:spacing w:after="0" w:line="210" w:lineRule="exact"/>
              <w:rPr>
                <w:sz w:val="20"/>
                <w:szCs w:val="20"/>
                <w:color w:val="auto"/>
              </w:rPr>
            </w:pPr>
            <w:r>
              <w:rPr>
                <w:rFonts w:ascii="Calibri" w:cs="Calibri" w:eastAsia="Calibri" w:hAnsi="Calibri"/>
                <w:sz w:val="18"/>
                <w:szCs w:val="18"/>
                <w:color w:val="auto"/>
              </w:rPr>
              <w:t>23</w:t>
            </w:r>
          </w:p>
        </w:tc>
      </w:tr>
      <w:tr>
        <w:trPr>
          <w:trHeight w:val="232"/>
        </w:trPr>
        <w:tc>
          <w:tcPr>
            <w:tcW w:w="5700" w:type="dxa"/>
            <w:vAlign w:val="bottom"/>
            <w:shd w:val="clear" w:color="auto" w:fill="CCEEFF"/>
          </w:tcPr>
          <w:p>
            <w:pPr>
              <w:ind w:left="140"/>
              <w:spacing w:after="0" w:line="217" w:lineRule="exact"/>
              <w:rPr>
                <w:sz w:val="20"/>
                <w:szCs w:val="20"/>
                <w:color w:val="auto"/>
              </w:rPr>
            </w:pPr>
            <w:r>
              <w:rPr>
                <w:rFonts w:ascii="Calibri" w:cs="Calibri" w:eastAsia="Calibri" w:hAnsi="Calibri"/>
                <w:sz w:val="18"/>
                <w:szCs w:val="18"/>
                <w:color w:val="auto"/>
              </w:rPr>
              <w:t>Cost of subscriptons and services</w:t>
            </w:r>
          </w:p>
        </w:tc>
        <w:tc>
          <w:tcPr>
            <w:tcW w:w="18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line="217" w:lineRule="exact"/>
              <w:rPr>
                <w:sz w:val="20"/>
                <w:szCs w:val="20"/>
                <w:color w:val="auto"/>
              </w:rPr>
            </w:pPr>
            <w:r>
              <w:rPr>
                <w:rFonts w:ascii="Calibri" w:cs="Calibri" w:eastAsia="Calibri" w:hAnsi="Calibri"/>
                <w:sz w:val="18"/>
                <w:szCs w:val="18"/>
                <w:color w:val="auto"/>
              </w:rPr>
              <w:t>636</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line="217" w:lineRule="exact"/>
              <w:rPr>
                <w:sz w:val="20"/>
                <w:szCs w:val="20"/>
                <w:color w:val="auto"/>
              </w:rPr>
            </w:pPr>
            <w:r>
              <w:rPr>
                <w:rFonts w:ascii="Calibri" w:cs="Calibri" w:eastAsia="Calibri" w:hAnsi="Calibri"/>
                <w:sz w:val="18"/>
                <w:szCs w:val="18"/>
                <w:color w:val="auto"/>
              </w:rPr>
              <w:t>627</w:t>
            </w:r>
          </w:p>
        </w:tc>
        <w:tc>
          <w:tcPr>
            <w:tcW w:w="100" w:type="dxa"/>
            <w:vAlign w:val="bottom"/>
            <w:shd w:val="clear" w:color="auto" w:fill="CCEEFF"/>
          </w:tcPr>
          <w:p>
            <w:pPr>
              <w:spacing w:after="0"/>
              <w:rPr>
                <w:sz w:val="20"/>
                <w:szCs w:val="20"/>
                <w:color w:val="auto"/>
              </w:rPr>
            </w:pPr>
          </w:p>
        </w:tc>
        <w:tc>
          <w:tcPr>
            <w:tcW w:w="1340" w:type="dxa"/>
            <w:vAlign w:val="bottom"/>
            <w:shd w:val="clear" w:color="auto" w:fill="CCEEFF"/>
          </w:tcPr>
          <w:p>
            <w:pPr>
              <w:jc w:val="right"/>
              <w:ind w:right="95"/>
              <w:spacing w:after="0" w:line="217" w:lineRule="exact"/>
              <w:rPr>
                <w:sz w:val="20"/>
                <w:szCs w:val="20"/>
                <w:color w:val="auto"/>
              </w:rPr>
            </w:pPr>
            <w:r>
              <w:rPr>
                <w:rFonts w:ascii="Calibri" w:cs="Calibri" w:eastAsia="Calibri" w:hAnsi="Calibri"/>
                <w:sz w:val="18"/>
                <w:szCs w:val="18"/>
                <w:color w:val="auto"/>
              </w:rPr>
              <w:t>2</w:t>
            </w:r>
          </w:p>
        </w:tc>
        <w:tc>
          <w:tcPr>
            <w:tcW w:w="100" w:type="dxa"/>
            <w:vAlign w:val="bottom"/>
            <w:shd w:val="clear" w:color="auto" w:fill="CCEEFF"/>
          </w:tcPr>
          <w:p>
            <w:pPr>
              <w:spacing w:after="0"/>
              <w:rPr>
                <w:sz w:val="20"/>
                <w:szCs w:val="20"/>
                <w:color w:val="auto"/>
              </w:rPr>
            </w:pPr>
          </w:p>
        </w:tc>
        <w:tc>
          <w:tcPr>
            <w:tcW w:w="1360" w:type="dxa"/>
            <w:vAlign w:val="bottom"/>
            <w:shd w:val="clear" w:color="auto" w:fill="CCEEFF"/>
          </w:tcPr>
          <w:p>
            <w:pPr>
              <w:jc w:val="right"/>
              <w:ind w:right="94"/>
              <w:spacing w:after="0" w:line="217" w:lineRule="exact"/>
              <w:rPr>
                <w:sz w:val="20"/>
                <w:szCs w:val="20"/>
                <w:color w:val="auto"/>
              </w:rPr>
            </w:pPr>
            <w:r>
              <w:rPr>
                <w:rFonts w:ascii="Calibri" w:cs="Calibri" w:eastAsia="Calibri" w:hAnsi="Calibri"/>
                <w:sz w:val="18"/>
                <w:szCs w:val="18"/>
                <w:color w:val="auto"/>
              </w:rPr>
              <w:t>2</w:t>
            </w:r>
          </w:p>
        </w:tc>
      </w:tr>
      <w:tr>
        <w:trPr>
          <w:trHeight w:val="217"/>
        </w:trPr>
        <w:tc>
          <w:tcPr>
            <w:tcW w:w="5700" w:type="dxa"/>
            <w:vAlign w:val="bottom"/>
          </w:tcPr>
          <w:p>
            <w:pPr>
              <w:ind w:left="140"/>
              <w:spacing w:after="0" w:line="210" w:lineRule="exact"/>
              <w:rPr>
                <w:sz w:val="20"/>
                <w:szCs w:val="20"/>
                <w:color w:val="auto"/>
              </w:rPr>
            </w:pPr>
            <w:r>
              <w:rPr>
                <w:rFonts w:ascii="Calibri" w:cs="Calibri" w:eastAsia="Calibri" w:hAnsi="Calibri"/>
                <w:sz w:val="18"/>
                <w:szCs w:val="18"/>
                <w:color w:val="auto"/>
              </w:rPr>
              <w:t>Amortzaton of acquisiton-related intangible assets</w:t>
            </w:r>
          </w:p>
        </w:tc>
        <w:tc>
          <w:tcPr>
            <w:tcW w:w="180" w:type="dxa"/>
            <w:vAlign w:val="bottom"/>
          </w:tcPr>
          <w:p>
            <w:pPr>
              <w:spacing w:after="0"/>
              <w:rPr>
                <w:sz w:val="18"/>
                <w:szCs w:val="18"/>
                <w:color w:val="auto"/>
              </w:rPr>
            </w:pPr>
          </w:p>
        </w:tc>
        <w:tc>
          <w:tcPr>
            <w:tcW w:w="1040" w:type="dxa"/>
            <w:vAlign w:val="bottom"/>
          </w:tcPr>
          <w:p>
            <w:pPr>
              <w:jc w:val="right"/>
              <w:spacing w:after="0" w:line="210" w:lineRule="exact"/>
              <w:rPr>
                <w:sz w:val="20"/>
                <w:szCs w:val="20"/>
                <w:color w:val="auto"/>
              </w:rPr>
            </w:pPr>
            <w:r>
              <w:rPr>
                <w:rFonts w:ascii="Calibri" w:cs="Calibri" w:eastAsia="Calibri" w:hAnsi="Calibri"/>
                <w:sz w:val="18"/>
                <w:szCs w:val="18"/>
                <w:color w:val="auto"/>
              </w:rPr>
              <w:t>1,853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spacing w:after="0" w:line="210" w:lineRule="exact"/>
              <w:rPr>
                <w:sz w:val="20"/>
                <w:szCs w:val="20"/>
                <w:color w:val="auto"/>
              </w:rPr>
            </w:pPr>
            <w:r>
              <w:rPr>
                <w:rFonts w:ascii="Calibri" w:cs="Calibri" w:eastAsia="Calibri" w:hAnsi="Calibri"/>
                <w:sz w:val="18"/>
                <w:szCs w:val="18"/>
                <w:color w:val="auto"/>
              </w:rPr>
              <w:t>2,847</w:t>
            </w:r>
          </w:p>
        </w:tc>
        <w:tc>
          <w:tcPr>
            <w:tcW w:w="100" w:type="dxa"/>
            <w:vAlign w:val="bottom"/>
          </w:tcPr>
          <w:p>
            <w:pPr>
              <w:spacing w:after="0"/>
              <w:rPr>
                <w:sz w:val="18"/>
                <w:szCs w:val="18"/>
                <w:color w:val="auto"/>
              </w:rPr>
            </w:pPr>
          </w:p>
        </w:tc>
        <w:tc>
          <w:tcPr>
            <w:tcW w:w="1340" w:type="dxa"/>
            <w:vAlign w:val="bottom"/>
          </w:tcPr>
          <w:p>
            <w:pPr>
              <w:jc w:val="right"/>
              <w:ind w:right="95"/>
              <w:spacing w:after="0" w:line="210" w:lineRule="exact"/>
              <w:rPr>
                <w:sz w:val="20"/>
                <w:szCs w:val="20"/>
                <w:color w:val="auto"/>
              </w:rPr>
            </w:pPr>
            <w:r>
              <w:rPr>
                <w:rFonts w:ascii="Calibri" w:cs="Calibri" w:eastAsia="Calibri" w:hAnsi="Calibri"/>
                <w:sz w:val="18"/>
                <w:szCs w:val="18"/>
                <w:color w:val="auto"/>
              </w:rPr>
              <w:t>5</w:t>
            </w:r>
          </w:p>
        </w:tc>
        <w:tc>
          <w:tcPr>
            <w:tcW w:w="100" w:type="dxa"/>
            <w:vAlign w:val="bottom"/>
          </w:tcPr>
          <w:p>
            <w:pPr>
              <w:spacing w:after="0"/>
              <w:rPr>
                <w:sz w:val="18"/>
                <w:szCs w:val="18"/>
                <w:color w:val="auto"/>
              </w:rPr>
            </w:pPr>
          </w:p>
        </w:tc>
        <w:tc>
          <w:tcPr>
            <w:tcW w:w="1360" w:type="dxa"/>
            <w:vAlign w:val="bottom"/>
          </w:tcPr>
          <w:p>
            <w:pPr>
              <w:jc w:val="right"/>
              <w:ind w:right="94"/>
              <w:spacing w:after="0" w:line="210" w:lineRule="exact"/>
              <w:rPr>
                <w:sz w:val="20"/>
                <w:szCs w:val="20"/>
                <w:color w:val="auto"/>
              </w:rPr>
            </w:pPr>
            <w:r>
              <w:rPr>
                <w:rFonts w:ascii="Calibri" w:cs="Calibri" w:eastAsia="Calibri" w:hAnsi="Calibri"/>
                <w:sz w:val="18"/>
                <w:szCs w:val="18"/>
                <w:color w:val="auto"/>
              </w:rPr>
              <w:t>8</w:t>
            </w:r>
          </w:p>
        </w:tc>
      </w:tr>
      <w:tr>
        <w:trPr>
          <w:trHeight w:val="232"/>
        </w:trPr>
        <w:tc>
          <w:tcPr>
            <w:tcW w:w="5700" w:type="dxa"/>
            <w:vAlign w:val="bottom"/>
            <w:shd w:val="clear" w:color="auto" w:fill="CCEEFF"/>
          </w:tcPr>
          <w:p>
            <w:pPr>
              <w:ind w:left="140"/>
              <w:spacing w:after="0" w:line="217" w:lineRule="exact"/>
              <w:rPr>
                <w:sz w:val="20"/>
                <w:szCs w:val="20"/>
                <w:color w:val="auto"/>
              </w:rPr>
            </w:pPr>
            <w:r>
              <w:rPr>
                <w:rFonts w:ascii="Calibri" w:cs="Calibri" w:eastAsia="Calibri" w:hAnsi="Calibri"/>
                <w:sz w:val="18"/>
                <w:szCs w:val="18"/>
                <w:color w:val="auto"/>
              </w:rPr>
              <w:t>Restructuring charges</w:t>
            </w:r>
          </w:p>
        </w:tc>
        <w:tc>
          <w:tcPr>
            <w:tcW w:w="18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line="217" w:lineRule="exact"/>
              <w:rPr>
                <w:sz w:val="20"/>
                <w:szCs w:val="20"/>
                <w:color w:val="auto"/>
              </w:rPr>
            </w:pPr>
            <w:r>
              <w:rPr>
                <w:rFonts w:ascii="Calibri" w:cs="Calibri" w:eastAsia="Calibri" w:hAnsi="Calibri"/>
                <w:sz w:val="18"/>
                <w:szCs w:val="18"/>
                <w:color w:val="auto"/>
              </w:rPr>
              <w:t>4</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line="217" w:lineRule="exact"/>
              <w:rPr>
                <w:sz w:val="20"/>
                <w:szCs w:val="20"/>
                <w:color w:val="auto"/>
              </w:rPr>
            </w:pPr>
            <w:r>
              <w:rPr>
                <w:rFonts w:ascii="Calibri" w:cs="Calibri" w:eastAsia="Calibri" w:hAnsi="Calibri"/>
                <w:sz w:val="18"/>
                <w:szCs w:val="18"/>
                <w:color w:val="auto"/>
              </w:rPr>
              <w:t>5</w:t>
            </w:r>
          </w:p>
        </w:tc>
        <w:tc>
          <w:tcPr>
            <w:tcW w:w="100" w:type="dxa"/>
            <w:vAlign w:val="bottom"/>
            <w:shd w:val="clear" w:color="auto" w:fill="CCEEFF"/>
          </w:tcPr>
          <w:p>
            <w:pPr>
              <w:spacing w:after="0"/>
              <w:rPr>
                <w:sz w:val="20"/>
                <w:szCs w:val="20"/>
                <w:color w:val="auto"/>
              </w:rPr>
            </w:pPr>
          </w:p>
        </w:tc>
        <w:tc>
          <w:tcPr>
            <w:tcW w:w="1440" w:type="dxa"/>
            <w:vAlign w:val="bottom"/>
            <w:gridSpan w:val="2"/>
            <w:shd w:val="clear" w:color="auto" w:fill="CCEEFF"/>
          </w:tcPr>
          <w:p>
            <w:pPr>
              <w:jc w:val="right"/>
              <w:ind w:right="280"/>
              <w:spacing w:after="0" w:line="217" w:lineRule="exact"/>
              <w:rPr>
                <w:sz w:val="20"/>
                <w:szCs w:val="20"/>
                <w:color w:val="auto"/>
              </w:rPr>
            </w:pPr>
            <w:r>
              <w:rPr>
                <w:rFonts w:ascii="Calibri" w:cs="Calibri" w:eastAsia="Calibri" w:hAnsi="Calibri"/>
                <w:sz w:val="18"/>
                <w:szCs w:val="18"/>
                <w:color w:val="auto"/>
              </w:rPr>
              <w:t>—</w:t>
            </w:r>
          </w:p>
        </w:tc>
        <w:tc>
          <w:tcPr>
            <w:tcW w:w="1360" w:type="dxa"/>
            <w:vAlign w:val="bottom"/>
            <w:shd w:val="clear" w:color="auto" w:fill="CCEEFF"/>
          </w:tcPr>
          <w:p>
            <w:pPr>
              <w:jc w:val="right"/>
              <w:ind w:right="94"/>
              <w:spacing w:after="0" w:line="217" w:lineRule="exact"/>
              <w:rPr>
                <w:sz w:val="20"/>
                <w:szCs w:val="20"/>
                <w:color w:val="auto"/>
              </w:rPr>
            </w:pPr>
            <w:r>
              <w:rPr>
                <w:rFonts w:ascii="Calibri" w:cs="Calibri" w:eastAsia="Calibri" w:hAnsi="Calibri"/>
                <w:sz w:val="18"/>
                <w:szCs w:val="18"/>
                <w:color w:val="auto"/>
              </w:rPr>
              <w:t>—</w:t>
            </w:r>
          </w:p>
        </w:tc>
      </w:tr>
      <w:tr>
        <w:trPr>
          <w:trHeight w:val="211"/>
        </w:trPr>
        <w:tc>
          <w:tcPr>
            <w:tcW w:w="5700" w:type="dxa"/>
            <w:vAlign w:val="bottom"/>
            <w:tcBorders>
              <w:bottom w:val="single" w:sz="8" w:color="CCEEFF"/>
            </w:tcBorders>
          </w:tcPr>
          <w:p>
            <w:pPr>
              <w:ind w:left="220"/>
              <w:spacing w:after="0" w:line="196" w:lineRule="exact"/>
              <w:rPr>
                <w:sz w:val="20"/>
                <w:szCs w:val="20"/>
                <w:color w:val="auto"/>
              </w:rPr>
            </w:pPr>
            <w:r>
              <w:rPr>
                <w:rFonts w:ascii="Calibri" w:cs="Calibri" w:eastAsia="Calibri" w:hAnsi="Calibri"/>
                <w:sz w:val="18"/>
                <w:szCs w:val="18"/>
                <w:color w:val="auto"/>
              </w:rPr>
              <w:t>Total cost of revenue</w:t>
            </w:r>
          </w:p>
        </w:tc>
        <w:tc>
          <w:tcPr>
            <w:tcW w:w="18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line="210" w:lineRule="exact"/>
              <w:rPr>
                <w:sz w:val="20"/>
                <w:szCs w:val="20"/>
                <w:color w:val="auto"/>
              </w:rPr>
            </w:pPr>
            <w:r>
              <w:rPr>
                <w:rFonts w:ascii="Calibri" w:cs="Calibri" w:eastAsia="Calibri" w:hAnsi="Calibri"/>
                <w:sz w:val="18"/>
                <w:szCs w:val="18"/>
                <w:color w:val="auto"/>
              </w:rPr>
              <w:t>11,129</w:t>
            </w:r>
          </w:p>
        </w:tc>
        <w:tc>
          <w:tcPr>
            <w:tcW w:w="12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line="210" w:lineRule="exact"/>
              <w:rPr>
                <w:sz w:val="20"/>
                <w:szCs w:val="20"/>
                <w:color w:val="auto"/>
              </w:rPr>
            </w:pPr>
            <w:r>
              <w:rPr>
                <w:rFonts w:ascii="Calibri" w:cs="Calibri" w:eastAsia="Calibri" w:hAnsi="Calibri"/>
                <w:sz w:val="18"/>
                <w:szCs w:val="18"/>
                <w:color w:val="auto"/>
              </w:rPr>
              <w:t>11,108</w:t>
            </w:r>
          </w:p>
        </w:tc>
        <w:tc>
          <w:tcPr>
            <w:tcW w:w="100" w:type="dxa"/>
            <w:vAlign w:val="bottom"/>
            <w:tcBorders>
              <w:bottom w:val="single" w:sz="8" w:color="CCEEFF"/>
            </w:tcBorders>
          </w:tcPr>
          <w:p>
            <w:pPr>
              <w:spacing w:after="0"/>
              <w:rPr>
                <w:sz w:val="18"/>
                <w:szCs w:val="18"/>
                <w:color w:val="auto"/>
              </w:rPr>
            </w:pPr>
          </w:p>
        </w:tc>
        <w:tc>
          <w:tcPr>
            <w:tcW w:w="1340" w:type="dxa"/>
            <w:vAlign w:val="bottom"/>
            <w:tcBorders>
              <w:top w:val="single" w:sz="8" w:color="auto"/>
              <w:bottom w:val="single" w:sz="8" w:color="auto"/>
            </w:tcBorders>
          </w:tcPr>
          <w:p>
            <w:pPr>
              <w:jc w:val="right"/>
              <w:ind w:right="95"/>
              <w:spacing w:after="0" w:line="210" w:lineRule="exact"/>
              <w:rPr>
                <w:sz w:val="20"/>
                <w:szCs w:val="20"/>
                <w:color w:val="auto"/>
              </w:rPr>
            </w:pPr>
            <w:r>
              <w:rPr>
                <w:rFonts w:ascii="Calibri" w:cs="Calibri" w:eastAsia="Calibri" w:hAnsi="Calibri"/>
                <w:sz w:val="18"/>
                <w:szCs w:val="18"/>
                <w:color w:val="auto"/>
              </w:rPr>
              <w:t>31</w:t>
            </w:r>
          </w:p>
        </w:tc>
        <w:tc>
          <w:tcPr>
            <w:tcW w:w="100" w:type="dxa"/>
            <w:vAlign w:val="bottom"/>
            <w:tcBorders>
              <w:bottom w:val="single" w:sz="8" w:color="CCEEFF"/>
            </w:tcBorders>
          </w:tcPr>
          <w:p>
            <w:pPr>
              <w:spacing w:after="0"/>
              <w:rPr>
                <w:sz w:val="18"/>
                <w:szCs w:val="18"/>
                <w:color w:val="auto"/>
              </w:rPr>
            </w:pPr>
          </w:p>
        </w:tc>
        <w:tc>
          <w:tcPr>
            <w:tcW w:w="1360" w:type="dxa"/>
            <w:vAlign w:val="bottom"/>
            <w:tcBorders>
              <w:top w:val="single" w:sz="8" w:color="auto"/>
              <w:bottom w:val="single" w:sz="8" w:color="auto"/>
            </w:tcBorders>
          </w:tcPr>
          <w:p>
            <w:pPr>
              <w:jc w:val="right"/>
              <w:ind w:right="94"/>
              <w:spacing w:after="0" w:line="210" w:lineRule="exact"/>
              <w:rPr>
                <w:sz w:val="20"/>
                <w:szCs w:val="20"/>
                <w:color w:val="auto"/>
              </w:rPr>
            </w:pPr>
            <w:r>
              <w:rPr>
                <w:rFonts w:ascii="Calibri" w:cs="Calibri" w:eastAsia="Calibri" w:hAnsi="Calibri"/>
                <w:sz w:val="18"/>
                <w:szCs w:val="18"/>
                <w:color w:val="auto"/>
              </w:rPr>
              <w:t>33</w:t>
            </w:r>
          </w:p>
        </w:tc>
      </w:tr>
      <w:tr>
        <w:trPr>
          <w:trHeight w:val="224"/>
        </w:trPr>
        <w:tc>
          <w:tcPr>
            <w:tcW w:w="5700" w:type="dxa"/>
            <w:vAlign w:val="bottom"/>
            <w:shd w:val="clear" w:color="auto" w:fill="CCEEFF"/>
          </w:tcPr>
          <w:p>
            <w:pPr>
              <w:ind w:left="20"/>
              <w:spacing w:after="0" w:line="203" w:lineRule="exact"/>
              <w:rPr>
                <w:sz w:val="20"/>
                <w:szCs w:val="20"/>
                <w:color w:val="auto"/>
              </w:rPr>
            </w:pPr>
            <w:r>
              <w:rPr>
                <w:rFonts w:ascii="Calibri" w:cs="Calibri" w:eastAsia="Calibri" w:hAnsi="Calibri"/>
                <w:sz w:val="18"/>
                <w:szCs w:val="18"/>
                <w:color w:val="auto"/>
              </w:rPr>
              <w:t>Gross margin</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line="210" w:lineRule="exact"/>
              <w:rPr>
                <w:sz w:val="20"/>
                <w:szCs w:val="20"/>
                <w:color w:val="auto"/>
              </w:rPr>
            </w:pPr>
            <w:r>
              <w:rPr>
                <w:rFonts w:ascii="Calibri" w:cs="Calibri" w:eastAsia="Calibri" w:hAnsi="Calibri"/>
                <w:sz w:val="18"/>
                <w:szCs w:val="18"/>
                <w:color w:val="auto"/>
              </w:rPr>
              <w:t>24,690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line="210" w:lineRule="exact"/>
              <w:rPr>
                <w:sz w:val="20"/>
                <w:szCs w:val="20"/>
                <w:color w:val="auto"/>
              </w:rPr>
            </w:pPr>
            <w:r>
              <w:rPr>
                <w:rFonts w:ascii="Calibri" w:cs="Calibri" w:eastAsia="Calibri" w:hAnsi="Calibri"/>
                <w:sz w:val="18"/>
                <w:szCs w:val="18"/>
                <w:color w:val="auto"/>
              </w:rPr>
              <w:t>22,095</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95"/>
              <w:spacing w:after="0" w:line="210" w:lineRule="exact"/>
              <w:rPr>
                <w:sz w:val="20"/>
                <w:szCs w:val="20"/>
                <w:color w:val="auto"/>
              </w:rPr>
            </w:pPr>
            <w:r>
              <w:rPr>
                <w:rFonts w:ascii="Calibri" w:cs="Calibri" w:eastAsia="Calibri" w:hAnsi="Calibri"/>
                <w:sz w:val="18"/>
                <w:szCs w:val="18"/>
                <w:color w:val="auto"/>
              </w:rPr>
              <w:t>69</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94"/>
              <w:spacing w:after="0" w:line="210" w:lineRule="exact"/>
              <w:rPr>
                <w:sz w:val="20"/>
                <w:szCs w:val="20"/>
                <w:color w:val="auto"/>
              </w:rPr>
            </w:pPr>
            <w:r>
              <w:rPr>
                <w:rFonts w:ascii="Calibri" w:cs="Calibri" w:eastAsia="Calibri" w:hAnsi="Calibri"/>
                <w:sz w:val="18"/>
                <w:szCs w:val="18"/>
                <w:color w:val="auto"/>
              </w:rPr>
              <w:t>67</w:t>
            </w:r>
          </w:p>
        </w:tc>
      </w:tr>
      <w:tr>
        <w:trPr>
          <w:trHeight w:val="217"/>
        </w:trPr>
        <w:tc>
          <w:tcPr>
            <w:tcW w:w="5700" w:type="dxa"/>
            <w:vAlign w:val="bottom"/>
          </w:tcPr>
          <w:p>
            <w:pPr>
              <w:ind w:left="20"/>
              <w:spacing w:after="0" w:line="210" w:lineRule="exact"/>
              <w:rPr>
                <w:sz w:val="20"/>
                <w:szCs w:val="20"/>
                <w:color w:val="auto"/>
              </w:rPr>
            </w:pPr>
            <w:r>
              <w:rPr>
                <w:rFonts w:ascii="Calibri" w:cs="Calibri" w:eastAsia="Calibri" w:hAnsi="Calibri"/>
                <w:sz w:val="18"/>
                <w:szCs w:val="18"/>
                <w:color w:val="auto"/>
              </w:rPr>
              <w:t>Research and development</w:t>
            </w:r>
          </w:p>
        </w:tc>
        <w:tc>
          <w:tcPr>
            <w:tcW w:w="180" w:type="dxa"/>
            <w:vAlign w:val="bottom"/>
          </w:tcPr>
          <w:p>
            <w:pPr>
              <w:spacing w:after="0"/>
              <w:rPr>
                <w:sz w:val="18"/>
                <w:szCs w:val="18"/>
                <w:color w:val="auto"/>
              </w:rPr>
            </w:pPr>
          </w:p>
        </w:tc>
        <w:tc>
          <w:tcPr>
            <w:tcW w:w="1040" w:type="dxa"/>
            <w:vAlign w:val="bottom"/>
          </w:tcPr>
          <w:p>
            <w:pPr>
              <w:jc w:val="right"/>
              <w:spacing w:after="0" w:line="210" w:lineRule="exact"/>
              <w:rPr>
                <w:sz w:val="20"/>
                <w:szCs w:val="20"/>
                <w:color w:val="auto"/>
              </w:rPr>
            </w:pPr>
            <w:r>
              <w:rPr>
                <w:rFonts w:ascii="Calibri" w:cs="Calibri" w:eastAsia="Calibri" w:hAnsi="Calibri"/>
                <w:sz w:val="18"/>
                <w:szCs w:val="18"/>
                <w:color w:val="auto"/>
              </w:rPr>
              <w:t>5,253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spacing w:after="0" w:line="210" w:lineRule="exact"/>
              <w:rPr>
                <w:sz w:val="20"/>
                <w:szCs w:val="20"/>
                <w:color w:val="auto"/>
              </w:rPr>
            </w:pPr>
            <w:r>
              <w:rPr>
                <w:rFonts w:ascii="Calibri" w:cs="Calibri" w:eastAsia="Calibri" w:hAnsi="Calibri"/>
                <w:sz w:val="18"/>
                <w:szCs w:val="18"/>
                <w:color w:val="auto"/>
              </w:rPr>
              <w:t>4,919</w:t>
            </w:r>
          </w:p>
        </w:tc>
        <w:tc>
          <w:tcPr>
            <w:tcW w:w="100" w:type="dxa"/>
            <w:vAlign w:val="bottom"/>
          </w:tcPr>
          <w:p>
            <w:pPr>
              <w:spacing w:after="0"/>
              <w:rPr>
                <w:sz w:val="18"/>
                <w:szCs w:val="18"/>
                <w:color w:val="auto"/>
              </w:rPr>
            </w:pPr>
          </w:p>
        </w:tc>
        <w:tc>
          <w:tcPr>
            <w:tcW w:w="1340" w:type="dxa"/>
            <w:vAlign w:val="bottom"/>
          </w:tcPr>
          <w:p>
            <w:pPr>
              <w:jc w:val="right"/>
              <w:ind w:right="95"/>
              <w:spacing w:after="0" w:line="210" w:lineRule="exact"/>
              <w:rPr>
                <w:sz w:val="20"/>
                <w:szCs w:val="20"/>
                <w:color w:val="auto"/>
              </w:rPr>
            </w:pPr>
            <w:r>
              <w:rPr>
                <w:rFonts w:ascii="Calibri" w:cs="Calibri" w:eastAsia="Calibri" w:hAnsi="Calibri"/>
                <w:sz w:val="18"/>
                <w:szCs w:val="18"/>
                <w:color w:val="auto"/>
              </w:rPr>
              <w:t>15</w:t>
            </w:r>
          </w:p>
        </w:tc>
        <w:tc>
          <w:tcPr>
            <w:tcW w:w="100" w:type="dxa"/>
            <w:vAlign w:val="bottom"/>
          </w:tcPr>
          <w:p>
            <w:pPr>
              <w:spacing w:after="0"/>
              <w:rPr>
                <w:sz w:val="18"/>
                <w:szCs w:val="18"/>
                <w:color w:val="auto"/>
              </w:rPr>
            </w:pPr>
          </w:p>
        </w:tc>
        <w:tc>
          <w:tcPr>
            <w:tcW w:w="1360" w:type="dxa"/>
            <w:vAlign w:val="bottom"/>
          </w:tcPr>
          <w:p>
            <w:pPr>
              <w:jc w:val="right"/>
              <w:ind w:right="94"/>
              <w:spacing w:after="0" w:line="210" w:lineRule="exact"/>
              <w:rPr>
                <w:sz w:val="20"/>
                <w:szCs w:val="20"/>
                <w:color w:val="auto"/>
              </w:rPr>
            </w:pPr>
            <w:r>
              <w:rPr>
                <w:rFonts w:ascii="Calibri" w:cs="Calibri" w:eastAsia="Calibri" w:hAnsi="Calibri"/>
                <w:sz w:val="18"/>
                <w:szCs w:val="18"/>
                <w:color w:val="auto"/>
              </w:rPr>
              <w:t>15</w:t>
            </w:r>
          </w:p>
        </w:tc>
      </w:tr>
      <w:tr>
        <w:trPr>
          <w:trHeight w:val="232"/>
        </w:trPr>
        <w:tc>
          <w:tcPr>
            <w:tcW w:w="5700" w:type="dxa"/>
            <w:vAlign w:val="bottom"/>
            <w:shd w:val="clear" w:color="auto" w:fill="CCEEFF"/>
          </w:tcPr>
          <w:p>
            <w:pPr>
              <w:ind w:left="20"/>
              <w:spacing w:after="0" w:line="217" w:lineRule="exact"/>
              <w:rPr>
                <w:sz w:val="20"/>
                <w:szCs w:val="20"/>
                <w:color w:val="auto"/>
              </w:rPr>
            </w:pPr>
            <w:r>
              <w:rPr>
                <w:rFonts w:ascii="Calibri" w:cs="Calibri" w:eastAsia="Calibri" w:hAnsi="Calibri"/>
                <w:sz w:val="18"/>
                <w:szCs w:val="18"/>
                <w:color w:val="auto"/>
              </w:rPr>
              <w:t>Selling, general and administratve</w:t>
            </w:r>
          </w:p>
        </w:tc>
        <w:tc>
          <w:tcPr>
            <w:tcW w:w="18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line="217" w:lineRule="exact"/>
              <w:rPr>
                <w:sz w:val="20"/>
                <w:szCs w:val="20"/>
                <w:color w:val="auto"/>
              </w:rPr>
            </w:pPr>
            <w:r>
              <w:rPr>
                <w:rFonts w:ascii="Calibri" w:cs="Calibri" w:eastAsia="Calibri" w:hAnsi="Calibri"/>
                <w:sz w:val="18"/>
                <w:szCs w:val="18"/>
                <w:color w:val="auto"/>
              </w:rPr>
              <w:t>1,592</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line="217" w:lineRule="exact"/>
              <w:rPr>
                <w:sz w:val="20"/>
                <w:szCs w:val="20"/>
                <w:color w:val="auto"/>
              </w:rPr>
            </w:pPr>
            <w:r>
              <w:rPr>
                <w:rFonts w:ascii="Calibri" w:cs="Calibri" w:eastAsia="Calibri" w:hAnsi="Calibri"/>
                <w:sz w:val="18"/>
                <w:szCs w:val="18"/>
                <w:color w:val="auto"/>
              </w:rPr>
              <w:t>1,382</w:t>
            </w:r>
          </w:p>
        </w:tc>
        <w:tc>
          <w:tcPr>
            <w:tcW w:w="100" w:type="dxa"/>
            <w:vAlign w:val="bottom"/>
            <w:shd w:val="clear" w:color="auto" w:fill="CCEEFF"/>
          </w:tcPr>
          <w:p>
            <w:pPr>
              <w:spacing w:after="0"/>
              <w:rPr>
                <w:sz w:val="20"/>
                <w:szCs w:val="20"/>
                <w:color w:val="auto"/>
              </w:rPr>
            </w:pPr>
          </w:p>
        </w:tc>
        <w:tc>
          <w:tcPr>
            <w:tcW w:w="1340" w:type="dxa"/>
            <w:vAlign w:val="bottom"/>
            <w:shd w:val="clear" w:color="auto" w:fill="CCEEFF"/>
          </w:tcPr>
          <w:p>
            <w:pPr>
              <w:jc w:val="right"/>
              <w:ind w:right="95"/>
              <w:spacing w:after="0" w:line="217" w:lineRule="exact"/>
              <w:rPr>
                <w:sz w:val="20"/>
                <w:szCs w:val="20"/>
                <w:color w:val="auto"/>
              </w:rPr>
            </w:pPr>
            <w:r>
              <w:rPr>
                <w:rFonts w:ascii="Calibri" w:cs="Calibri" w:eastAsia="Calibri" w:hAnsi="Calibri"/>
                <w:sz w:val="18"/>
                <w:szCs w:val="18"/>
                <w:color w:val="auto"/>
              </w:rPr>
              <w:t>4</w:t>
            </w:r>
          </w:p>
        </w:tc>
        <w:tc>
          <w:tcPr>
            <w:tcW w:w="100" w:type="dxa"/>
            <w:vAlign w:val="bottom"/>
            <w:shd w:val="clear" w:color="auto" w:fill="CCEEFF"/>
          </w:tcPr>
          <w:p>
            <w:pPr>
              <w:spacing w:after="0"/>
              <w:rPr>
                <w:sz w:val="20"/>
                <w:szCs w:val="20"/>
                <w:color w:val="auto"/>
              </w:rPr>
            </w:pPr>
          </w:p>
        </w:tc>
        <w:tc>
          <w:tcPr>
            <w:tcW w:w="1360" w:type="dxa"/>
            <w:vAlign w:val="bottom"/>
            <w:shd w:val="clear" w:color="auto" w:fill="CCEEFF"/>
          </w:tcPr>
          <w:p>
            <w:pPr>
              <w:jc w:val="right"/>
              <w:ind w:right="94"/>
              <w:spacing w:after="0" w:line="217" w:lineRule="exact"/>
              <w:rPr>
                <w:sz w:val="20"/>
                <w:szCs w:val="20"/>
                <w:color w:val="auto"/>
              </w:rPr>
            </w:pPr>
            <w:r>
              <w:rPr>
                <w:rFonts w:ascii="Calibri" w:cs="Calibri" w:eastAsia="Calibri" w:hAnsi="Calibri"/>
                <w:sz w:val="18"/>
                <w:szCs w:val="18"/>
                <w:color w:val="auto"/>
              </w:rPr>
              <w:t>4</w:t>
            </w:r>
          </w:p>
        </w:tc>
      </w:tr>
      <w:tr>
        <w:trPr>
          <w:trHeight w:val="217"/>
        </w:trPr>
        <w:tc>
          <w:tcPr>
            <w:tcW w:w="5700" w:type="dxa"/>
            <w:vAlign w:val="bottom"/>
          </w:tcPr>
          <w:p>
            <w:pPr>
              <w:ind w:left="20"/>
              <w:spacing w:after="0" w:line="210" w:lineRule="exact"/>
              <w:rPr>
                <w:sz w:val="20"/>
                <w:szCs w:val="20"/>
                <w:color w:val="auto"/>
              </w:rPr>
            </w:pPr>
            <w:r>
              <w:rPr>
                <w:rFonts w:ascii="Calibri" w:cs="Calibri" w:eastAsia="Calibri" w:hAnsi="Calibri"/>
                <w:sz w:val="18"/>
                <w:szCs w:val="18"/>
                <w:color w:val="auto"/>
              </w:rPr>
              <w:t>Amortzaton of acquisiton-related intangible assets</w:t>
            </w:r>
          </w:p>
        </w:tc>
        <w:tc>
          <w:tcPr>
            <w:tcW w:w="180" w:type="dxa"/>
            <w:vAlign w:val="bottom"/>
          </w:tcPr>
          <w:p>
            <w:pPr>
              <w:spacing w:after="0"/>
              <w:rPr>
                <w:sz w:val="18"/>
                <w:szCs w:val="18"/>
                <w:color w:val="auto"/>
              </w:rPr>
            </w:pPr>
          </w:p>
        </w:tc>
        <w:tc>
          <w:tcPr>
            <w:tcW w:w="1040" w:type="dxa"/>
            <w:vAlign w:val="bottom"/>
          </w:tcPr>
          <w:p>
            <w:pPr>
              <w:jc w:val="right"/>
              <w:spacing w:after="0" w:line="210" w:lineRule="exact"/>
              <w:rPr>
                <w:sz w:val="20"/>
                <w:szCs w:val="20"/>
                <w:color w:val="auto"/>
              </w:rPr>
            </w:pPr>
            <w:r>
              <w:rPr>
                <w:rFonts w:ascii="Calibri" w:cs="Calibri" w:eastAsia="Calibri" w:hAnsi="Calibri"/>
                <w:sz w:val="18"/>
                <w:szCs w:val="18"/>
                <w:color w:val="auto"/>
              </w:rPr>
              <w:t>1,394</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spacing w:after="0" w:line="210" w:lineRule="exact"/>
              <w:rPr>
                <w:sz w:val="20"/>
                <w:szCs w:val="20"/>
                <w:color w:val="auto"/>
              </w:rPr>
            </w:pPr>
            <w:r>
              <w:rPr>
                <w:rFonts w:ascii="Calibri" w:cs="Calibri" w:eastAsia="Calibri" w:hAnsi="Calibri"/>
                <w:sz w:val="18"/>
                <w:szCs w:val="18"/>
                <w:color w:val="auto"/>
              </w:rPr>
              <w:t>1,512</w:t>
            </w:r>
          </w:p>
        </w:tc>
        <w:tc>
          <w:tcPr>
            <w:tcW w:w="100" w:type="dxa"/>
            <w:vAlign w:val="bottom"/>
          </w:tcPr>
          <w:p>
            <w:pPr>
              <w:spacing w:after="0"/>
              <w:rPr>
                <w:sz w:val="18"/>
                <w:szCs w:val="18"/>
                <w:color w:val="auto"/>
              </w:rPr>
            </w:pPr>
          </w:p>
        </w:tc>
        <w:tc>
          <w:tcPr>
            <w:tcW w:w="1340" w:type="dxa"/>
            <w:vAlign w:val="bottom"/>
          </w:tcPr>
          <w:p>
            <w:pPr>
              <w:jc w:val="right"/>
              <w:ind w:right="95"/>
              <w:spacing w:after="0" w:line="210" w:lineRule="exact"/>
              <w:rPr>
                <w:sz w:val="20"/>
                <w:szCs w:val="20"/>
                <w:color w:val="auto"/>
              </w:rPr>
            </w:pPr>
            <w:r>
              <w:rPr>
                <w:rFonts w:ascii="Calibri" w:cs="Calibri" w:eastAsia="Calibri" w:hAnsi="Calibri"/>
                <w:sz w:val="18"/>
                <w:szCs w:val="18"/>
                <w:color w:val="auto"/>
              </w:rPr>
              <w:t>4</w:t>
            </w:r>
          </w:p>
        </w:tc>
        <w:tc>
          <w:tcPr>
            <w:tcW w:w="100" w:type="dxa"/>
            <w:vAlign w:val="bottom"/>
          </w:tcPr>
          <w:p>
            <w:pPr>
              <w:spacing w:after="0"/>
              <w:rPr>
                <w:sz w:val="18"/>
                <w:szCs w:val="18"/>
                <w:color w:val="auto"/>
              </w:rPr>
            </w:pPr>
          </w:p>
        </w:tc>
        <w:tc>
          <w:tcPr>
            <w:tcW w:w="1360" w:type="dxa"/>
            <w:vAlign w:val="bottom"/>
          </w:tcPr>
          <w:p>
            <w:pPr>
              <w:jc w:val="right"/>
              <w:ind w:right="94"/>
              <w:spacing w:after="0" w:line="210" w:lineRule="exact"/>
              <w:rPr>
                <w:sz w:val="20"/>
                <w:szCs w:val="20"/>
                <w:color w:val="auto"/>
              </w:rPr>
            </w:pPr>
            <w:r>
              <w:rPr>
                <w:rFonts w:ascii="Calibri" w:cs="Calibri" w:eastAsia="Calibri" w:hAnsi="Calibri"/>
                <w:sz w:val="18"/>
                <w:szCs w:val="18"/>
                <w:color w:val="auto"/>
              </w:rPr>
              <w:t>5</w:t>
            </w:r>
          </w:p>
        </w:tc>
      </w:tr>
      <w:tr>
        <w:trPr>
          <w:trHeight w:val="232"/>
        </w:trPr>
        <w:tc>
          <w:tcPr>
            <w:tcW w:w="5700" w:type="dxa"/>
            <w:vAlign w:val="bottom"/>
            <w:shd w:val="clear" w:color="auto" w:fill="CCEEFF"/>
          </w:tcPr>
          <w:p>
            <w:pPr>
              <w:ind w:left="20"/>
              <w:spacing w:after="0" w:line="217" w:lineRule="exact"/>
              <w:rPr>
                <w:sz w:val="20"/>
                <w:szCs w:val="20"/>
                <w:color w:val="auto"/>
              </w:rPr>
            </w:pPr>
            <w:r>
              <w:rPr>
                <w:rFonts w:ascii="Calibri" w:cs="Calibri" w:eastAsia="Calibri" w:hAnsi="Calibri"/>
                <w:sz w:val="18"/>
                <w:szCs w:val="18"/>
                <w:color w:val="auto"/>
              </w:rPr>
              <w:t>Restructuring and other charges</w:t>
            </w:r>
          </w:p>
        </w:tc>
        <w:tc>
          <w:tcPr>
            <w:tcW w:w="18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line="217" w:lineRule="exact"/>
              <w:rPr>
                <w:sz w:val="20"/>
                <w:szCs w:val="20"/>
                <w:color w:val="auto"/>
              </w:rPr>
            </w:pPr>
            <w:r>
              <w:rPr>
                <w:rFonts w:ascii="Calibri" w:cs="Calibri" w:eastAsia="Calibri" w:hAnsi="Calibri"/>
                <w:sz w:val="18"/>
                <w:szCs w:val="18"/>
                <w:color w:val="auto"/>
              </w:rPr>
              <w:t>244</w:t>
            </w:r>
          </w:p>
        </w:tc>
        <w:tc>
          <w:tcPr>
            <w:tcW w:w="12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line="217" w:lineRule="exact"/>
              <w:rPr>
                <w:sz w:val="20"/>
                <w:szCs w:val="20"/>
                <w:color w:val="auto"/>
              </w:rPr>
            </w:pPr>
            <w:r>
              <w:rPr>
                <w:rFonts w:ascii="Calibri" w:cs="Calibri" w:eastAsia="Calibri" w:hAnsi="Calibri"/>
                <w:sz w:val="18"/>
                <w:szCs w:val="18"/>
                <w:color w:val="auto"/>
              </w:rPr>
              <w:t>57</w:t>
            </w:r>
          </w:p>
        </w:tc>
        <w:tc>
          <w:tcPr>
            <w:tcW w:w="100" w:type="dxa"/>
            <w:vAlign w:val="bottom"/>
            <w:shd w:val="clear" w:color="auto" w:fill="CCEEFF"/>
          </w:tcPr>
          <w:p>
            <w:pPr>
              <w:spacing w:after="0"/>
              <w:rPr>
                <w:sz w:val="20"/>
                <w:szCs w:val="20"/>
                <w:color w:val="auto"/>
              </w:rPr>
            </w:pPr>
          </w:p>
        </w:tc>
        <w:tc>
          <w:tcPr>
            <w:tcW w:w="1340" w:type="dxa"/>
            <w:vAlign w:val="bottom"/>
            <w:tcBorders>
              <w:bottom w:val="single" w:sz="8" w:color="auto"/>
            </w:tcBorders>
            <w:shd w:val="clear" w:color="auto" w:fill="CCEEFF"/>
          </w:tcPr>
          <w:p>
            <w:pPr>
              <w:jc w:val="right"/>
              <w:ind w:right="95"/>
              <w:spacing w:after="0" w:line="217" w:lineRule="exact"/>
              <w:rPr>
                <w:sz w:val="20"/>
                <w:szCs w:val="20"/>
                <w:color w:val="auto"/>
              </w:rPr>
            </w:pPr>
            <w:r>
              <w:rPr>
                <w:rFonts w:ascii="Calibri" w:cs="Calibri" w:eastAsia="Calibri" w:hAnsi="Calibri"/>
                <w:sz w:val="18"/>
                <w:szCs w:val="18"/>
                <w:color w:val="auto"/>
              </w:rPr>
              <w:t>1</w:t>
            </w:r>
          </w:p>
        </w:tc>
        <w:tc>
          <w:tcPr>
            <w:tcW w:w="100" w:type="dxa"/>
            <w:vAlign w:val="bottom"/>
            <w:shd w:val="clear" w:color="auto" w:fill="CCEEFF"/>
          </w:tcPr>
          <w:p>
            <w:pPr>
              <w:spacing w:after="0"/>
              <w:rPr>
                <w:sz w:val="20"/>
                <w:szCs w:val="20"/>
                <w:color w:val="auto"/>
              </w:rPr>
            </w:pPr>
          </w:p>
        </w:tc>
        <w:tc>
          <w:tcPr>
            <w:tcW w:w="1360" w:type="dxa"/>
            <w:vAlign w:val="bottom"/>
            <w:tcBorders>
              <w:bottom w:val="single" w:sz="8" w:color="auto"/>
            </w:tcBorders>
            <w:shd w:val="clear" w:color="auto" w:fill="CCEEFF"/>
          </w:tcPr>
          <w:p>
            <w:pPr>
              <w:jc w:val="right"/>
              <w:ind w:right="94"/>
              <w:spacing w:after="0" w:line="217" w:lineRule="exact"/>
              <w:rPr>
                <w:sz w:val="20"/>
                <w:szCs w:val="20"/>
                <w:color w:val="auto"/>
              </w:rPr>
            </w:pPr>
            <w:r>
              <w:rPr>
                <w:rFonts w:ascii="Calibri" w:cs="Calibri" w:eastAsia="Calibri" w:hAnsi="Calibri"/>
                <w:sz w:val="18"/>
                <w:szCs w:val="18"/>
                <w:color w:val="auto"/>
              </w:rPr>
              <w:t>—</w:t>
            </w:r>
          </w:p>
        </w:tc>
      </w:tr>
      <w:tr>
        <w:trPr>
          <w:trHeight w:val="211"/>
        </w:trPr>
        <w:tc>
          <w:tcPr>
            <w:tcW w:w="5700" w:type="dxa"/>
            <w:vAlign w:val="bottom"/>
            <w:tcBorders>
              <w:bottom w:val="single" w:sz="8" w:color="CCEEFF"/>
            </w:tcBorders>
          </w:tcPr>
          <w:p>
            <w:pPr>
              <w:ind w:left="140"/>
              <w:spacing w:after="0" w:line="196" w:lineRule="exact"/>
              <w:rPr>
                <w:sz w:val="20"/>
                <w:szCs w:val="20"/>
                <w:color w:val="auto"/>
              </w:rPr>
            </w:pPr>
            <w:r>
              <w:rPr>
                <w:rFonts w:ascii="Calibri" w:cs="Calibri" w:eastAsia="Calibri" w:hAnsi="Calibri"/>
                <w:sz w:val="18"/>
                <w:szCs w:val="18"/>
                <w:color w:val="auto"/>
              </w:rPr>
              <w:t>Total operatng expenses</w:t>
            </w: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line="210" w:lineRule="exact"/>
              <w:rPr>
                <w:sz w:val="20"/>
                <w:szCs w:val="20"/>
                <w:color w:val="auto"/>
              </w:rPr>
            </w:pPr>
            <w:r>
              <w:rPr>
                <w:rFonts w:ascii="Calibri" w:cs="Calibri" w:eastAsia="Calibri" w:hAnsi="Calibri"/>
                <w:sz w:val="18"/>
                <w:szCs w:val="18"/>
                <w:color w:val="auto"/>
              </w:rPr>
              <w:t>8,483</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line="210" w:lineRule="exact"/>
              <w:rPr>
                <w:sz w:val="20"/>
                <w:szCs w:val="20"/>
                <w:color w:val="auto"/>
              </w:rPr>
            </w:pPr>
            <w:r>
              <w:rPr>
                <w:rFonts w:ascii="Calibri" w:cs="Calibri" w:eastAsia="Calibri" w:hAnsi="Calibri"/>
                <w:sz w:val="18"/>
                <w:szCs w:val="18"/>
                <w:color w:val="auto"/>
              </w:rPr>
              <w:t>7,870</w:t>
            </w:r>
          </w:p>
        </w:tc>
        <w:tc>
          <w:tcPr>
            <w:tcW w:w="100" w:type="dxa"/>
            <w:vAlign w:val="bottom"/>
            <w:tcBorders>
              <w:bottom w:val="single" w:sz="8" w:color="CCEEFF"/>
            </w:tcBorders>
          </w:tcPr>
          <w:p>
            <w:pPr>
              <w:spacing w:after="0"/>
              <w:rPr>
                <w:sz w:val="18"/>
                <w:szCs w:val="18"/>
                <w:color w:val="auto"/>
              </w:rPr>
            </w:pPr>
          </w:p>
        </w:tc>
        <w:tc>
          <w:tcPr>
            <w:tcW w:w="1340" w:type="dxa"/>
            <w:vAlign w:val="bottom"/>
            <w:tcBorders>
              <w:bottom w:val="single" w:sz="8" w:color="auto"/>
            </w:tcBorders>
          </w:tcPr>
          <w:p>
            <w:pPr>
              <w:jc w:val="right"/>
              <w:ind w:right="95"/>
              <w:spacing w:after="0" w:line="210" w:lineRule="exact"/>
              <w:rPr>
                <w:sz w:val="20"/>
                <w:szCs w:val="20"/>
                <w:color w:val="auto"/>
              </w:rPr>
            </w:pPr>
            <w:r>
              <w:rPr>
                <w:rFonts w:ascii="Calibri" w:cs="Calibri" w:eastAsia="Calibri" w:hAnsi="Calibri"/>
                <w:sz w:val="18"/>
                <w:szCs w:val="18"/>
                <w:color w:val="auto"/>
              </w:rPr>
              <w:t>24</w:t>
            </w:r>
          </w:p>
        </w:tc>
        <w:tc>
          <w:tcPr>
            <w:tcW w:w="100" w:type="dxa"/>
            <w:vAlign w:val="bottom"/>
            <w:tcBorders>
              <w:bottom w:val="single" w:sz="8" w:color="CCEEFF"/>
            </w:tcBorders>
          </w:tcPr>
          <w:p>
            <w:pPr>
              <w:spacing w:after="0"/>
              <w:rPr>
                <w:sz w:val="18"/>
                <w:szCs w:val="18"/>
                <w:color w:val="auto"/>
              </w:rPr>
            </w:pPr>
          </w:p>
        </w:tc>
        <w:tc>
          <w:tcPr>
            <w:tcW w:w="1360" w:type="dxa"/>
            <w:vAlign w:val="bottom"/>
            <w:tcBorders>
              <w:bottom w:val="single" w:sz="8" w:color="auto"/>
            </w:tcBorders>
          </w:tcPr>
          <w:p>
            <w:pPr>
              <w:jc w:val="right"/>
              <w:ind w:right="94"/>
              <w:spacing w:after="0" w:line="210" w:lineRule="exact"/>
              <w:rPr>
                <w:sz w:val="20"/>
                <w:szCs w:val="20"/>
                <w:color w:val="auto"/>
              </w:rPr>
            </w:pPr>
            <w:r>
              <w:rPr>
                <w:rFonts w:ascii="Calibri" w:cs="Calibri" w:eastAsia="Calibri" w:hAnsi="Calibri"/>
                <w:sz w:val="18"/>
                <w:szCs w:val="18"/>
                <w:color w:val="auto"/>
              </w:rPr>
              <w:t>24</w:t>
            </w:r>
          </w:p>
        </w:tc>
      </w:tr>
      <w:tr>
        <w:trPr>
          <w:trHeight w:val="249"/>
        </w:trPr>
        <w:tc>
          <w:tcPr>
            <w:tcW w:w="5700" w:type="dxa"/>
            <w:vAlign w:val="bottom"/>
            <w:tcBorders>
              <w:bottom w:val="single" w:sz="8" w:color="CCEEFF"/>
            </w:tcBorders>
            <w:shd w:val="clear" w:color="auto" w:fill="CCEEFF"/>
          </w:tcPr>
          <w:p>
            <w:pPr>
              <w:ind w:left="20"/>
              <w:spacing w:after="0"/>
              <w:rPr>
                <w:sz w:val="20"/>
                <w:szCs w:val="20"/>
                <w:color w:val="auto"/>
              </w:rPr>
            </w:pPr>
            <w:r>
              <w:rPr>
                <w:rFonts w:ascii="Calibri" w:cs="Calibri" w:eastAsia="Calibri" w:hAnsi="Calibri"/>
                <w:sz w:val="18"/>
                <w:szCs w:val="18"/>
                <w:color w:val="auto"/>
              </w:rPr>
              <w:t>Operatng income</w:t>
            </w:r>
          </w:p>
        </w:tc>
        <w:tc>
          <w:tcPr>
            <w:tcW w:w="180" w:type="dxa"/>
            <w:vAlign w:val="bottom"/>
            <w:tcBorders>
              <w:bottom w:val="single" w:sz="8" w:color="auto"/>
            </w:tcBorders>
            <w:shd w:val="clear" w:color="auto" w:fill="CCEEFF"/>
          </w:tcPr>
          <w:p>
            <w:pPr>
              <w:jc w:val="right"/>
              <w:spacing w:after="0" w:line="210" w:lineRule="exact"/>
              <w:rPr>
                <w:sz w:val="20"/>
                <w:szCs w:val="20"/>
                <w:color w:val="auto"/>
              </w:rPr>
            </w:pPr>
            <w:r>
              <w:rPr>
                <w:rFonts w:ascii="Calibri" w:cs="Calibri" w:eastAsia="Calibri" w:hAnsi="Calibri"/>
                <w:sz w:val="18"/>
                <w:szCs w:val="18"/>
                <w:color w:val="auto"/>
                <w:w w:val="87"/>
              </w:rPr>
              <w:t>$</w:t>
            </w:r>
          </w:p>
        </w:tc>
        <w:tc>
          <w:tcPr>
            <w:tcW w:w="1040" w:type="dxa"/>
            <w:vAlign w:val="bottom"/>
            <w:tcBorders>
              <w:bottom w:val="single" w:sz="8" w:color="auto"/>
            </w:tcBorders>
            <w:shd w:val="clear" w:color="auto" w:fill="CCEEFF"/>
          </w:tcPr>
          <w:p>
            <w:pPr>
              <w:jc w:val="right"/>
              <w:spacing w:after="0" w:line="210" w:lineRule="exact"/>
              <w:rPr>
                <w:sz w:val="20"/>
                <w:szCs w:val="20"/>
                <w:color w:val="auto"/>
              </w:rPr>
            </w:pPr>
            <w:r>
              <w:rPr>
                <w:rFonts w:ascii="Calibri" w:cs="Calibri" w:eastAsia="Calibri" w:hAnsi="Calibri"/>
                <w:sz w:val="18"/>
                <w:szCs w:val="18"/>
                <w:color w:val="auto"/>
              </w:rPr>
              <w:t>16,207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line="210" w:lineRule="exact"/>
              <w:rPr>
                <w:sz w:val="20"/>
                <w:szCs w:val="20"/>
                <w:color w:val="auto"/>
              </w:rPr>
            </w:pPr>
            <w:r>
              <w:rPr>
                <w:rFonts w:ascii="Calibri" w:cs="Calibri" w:eastAsia="Calibri" w:hAnsi="Calibri"/>
                <w:sz w:val="18"/>
                <w:szCs w:val="18"/>
                <w:color w:val="auto"/>
                <w:w w:val="87"/>
              </w:rPr>
              <w:t>$</w:t>
            </w:r>
          </w:p>
        </w:tc>
        <w:tc>
          <w:tcPr>
            <w:tcW w:w="1060" w:type="dxa"/>
            <w:vAlign w:val="bottom"/>
            <w:tcBorders>
              <w:bottom w:val="single" w:sz="8" w:color="auto"/>
            </w:tcBorders>
            <w:shd w:val="clear" w:color="auto" w:fill="CCEEFF"/>
          </w:tcPr>
          <w:p>
            <w:pPr>
              <w:jc w:val="right"/>
              <w:spacing w:after="0" w:line="210" w:lineRule="exact"/>
              <w:rPr>
                <w:sz w:val="20"/>
                <w:szCs w:val="20"/>
                <w:color w:val="auto"/>
              </w:rPr>
            </w:pPr>
            <w:r>
              <w:rPr>
                <w:rFonts w:ascii="Calibri" w:cs="Calibri" w:eastAsia="Calibri" w:hAnsi="Calibri"/>
                <w:sz w:val="18"/>
                <w:szCs w:val="18"/>
                <w:color w:val="auto"/>
              </w:rPr>
              <w:t>14,225</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line="210" w:lineRule="exact"/>
              <w:rPr>
                <w:sz w:val="20"/>
                <w:szCs w:val="20"/>
                <w:color w:val="auto"/>
              </w:rPr>
            </w:pPr>
            <w:r>
              <w:rPr>
                <w:rFonts w:ascii="Calibri" w:cs="Calibri" w:eastAsia="Calibri" w:hAnsi="Calibri"/>
                <w:sz w:val="18"/>
                <w:szCs w:val="18"/>
                <w:color w:val="auto"/>
              </w:rPr>
              <w:t>45 %</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line="210" w:lineRule="exact"/>
              <w:rPr>
                <w:sz w:val="20"/>
                <w:szCs w:val="20"/>
                <w:color w:val="auto"/>
              </w:rPr>
            </w:pPr>
            <w:r>
              <w:rPr>
                <w:rFonts w:ascii="Calibri" w:cs="Calibri" w:eastAsia="Calibri" w:hAnsi="Calibri"/>
                <w:sz w:val="18"/>
                <w:szCs w:val="18"/>
                <w:color w:val="auto"/>
              </w:rPr>
              <w:t>43 %</w:t>
            </w:r>
          </w:p>
        </w:tc>
      </w:tr>
      <w:tr>
        <w:trPr>
          <w:trHeight w:val="20"/>
        </w:trPr>
        <w:tc>
          <w:tcPr>
            <w:tcW w:w="57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168"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Net Revenue</w:t>
      </w:r>
    </w:p>
    <w:p>
      <w:pPr>
        <w:spacing w:after="0" w:line="107" w:lineRule="exact"/>
        <w:rPr>
          <w:sz w:val="20"/>
          <w:szCs w:val="20"/>
          <w:color w:val="auto"/>
        </w:rPr>
      </w:pPr>
    </w:p>
    <w:p>
      <w:pPr>
        <w:ind w:right="20" w:firstLine="396"/>
        <w:spacing w:after="0" w:line="230" w:lineRule="auto"/>
        <w:rPr>
          <w:sz w:val="20"/>
          <w:szCs w:val="20"/>
          <w:color w:val="auto"/>
        </w:rPr>
      </w:pPr>
      <w:r>
        <w:rPr>
          <w:rFonts w:ascii="Calibri" w:cs="Calibri" w:eastAsia="Calibri" w:hAnsi="Calibri"/>
          <w:sz w:val="18"/>
          <w:szCs w:val="18"/>
          <w:color w:val="auto"/>
        </w:rPr>
        <w:t>A relatvely small number of customers account for a signifcant porton of our net revenue. Sales of products to distributors accounted for 57% and 56% of our net revenue for fscal years 2023 and 2022, respectvely. Direct sales to WT Microelectronics Co., Ltd., a distributor, accounted for 21% and 20% of our net revenue for fscal years 2023 and 2022, respectvely. We believe aggregate sales to our top fve end customers, through all channels, accounted for approximately 35% of our net revenue for each of fscal years 2023 and 2022. We believe aggregate sales to Apple Inc., through all channels, accounted for approximately 20% of our net revenue for each of fscal years 2023 and 2022. We expect to contnue to experience signifcant customer concentraton in future periods. The loss of, or signifcant decrease in demand from, any of our top fve end customers could have a material adverse efect on our business, results of operatons and fnancial conditon.</w:t>
      </w:r>
    </w:p>
    <w:p>
      <w:pPr>
        <w:spacing w:after="0" w:line="110" w:lineRule="exact"/>
        <w:rPr>
          <w:sz w:val="20"/>
          <w:szCs w:val="20"/>
          <w:color w:val="auto"/>
        </w:rPr>
      </w:pPr>
    </w:p>
    <w:p>
      <w:pPr>
        <w:ind w:right="120" w:firstLine="396"/>
        <w:spacing w:after="0" w:line="230" w:lineRule="auto"/>
        <w:rPr>
          <w:sz w:val="20"/>
          <w:szCs w:val="20"/>
          <w:color w:val="auto"/>
        </w:rPr>
      </w:pPr>
      <w:r>
        <w:rPr>
          <w:rFonts w:ascii="Calibri" w:cs="Calibri" w:eastAsia="Calibri" w:hAnsi="Calibri"/>
          <w:sz w:val="18"/>
          <w:szCs w:val="18"/>
          <w:color w:val="auto"/>
        </w:rPr>
        <w:t>From tme to tme, some of our key semiconductor customers place large orders or delay orders, causing our quarterly net revenue to fuctuate signifcantly. This is partcularly true of our wireless products as fuctuatons may be magnifed by the tming of launches, and seasonal variatons in sales, of mobile devices. In additon, the macroeconomic environment remains uncertain and may cause our net revenue to fuctuate signifcantly and impact our results of operatons.</w:t>
      </w:r>
    </w:p>
    <w:p>
      <w:pPr>
        <w:spacing w:after="0" w:line="108" w:lineRule="exact"/>
        <w:rPr>
          <w:sz w:val="20"/>
          <w:szCs w:val="20"/>
          <w:color w:val="auto"/>
        </w:rPr>
      </w:pPr>
    </w:p>
    <w:p>
      <w:pPr>
        <w:ind w:firstLine="396"/>
        <w:spacing w:after="0" w:line="230" w:lineRule="auto"/>
        <w:rPr>
          <w:sz w:val="20"/>
          <w:szCs w:val="20"/>
          <w:color w:val="auto"/>
        </w:rPr>
      </w:pPr>
      <w:r>
        <w:rPr>
          <w:rFonts w:ascii="Calibri" w:cs="Calibri" w:eastAsia="Calibri" w:hAnsi="Calibri"/>
          <w:sz w:val="18"/>
          <w:szCs w:val="18"/>
          <w:color w:val="auto"/>
        </w:rPr>
        <w:t>Although we recognize revenue for the majority of our products when ttle and control transfer in Penang, Malaysia, we disclose net revenue by country based primarily on the geographic shipment or delivery locaton specifed by our distributors, OEMs, contract manufacturers, channel partners, or sofware customers. In fscal years 2023 and 2022, 32% and 35%, respectvely, of our net revenue came from shipments or deliveries to China (including Hong Kong). However, the end customers for either our products or for the end products into which our products are incorporated, are frequently located in countries other than China (including Hong Kong). As a result, we believe that a substantally smaller percentage of our net revenue is ultmately dependent on sales of either our product or our customers’ product incorporatng our product, to end customers located in China (including Hong Kong).</w:t>
      </w: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9" w:right="339" w:bottom="1440" w:gutter="0" w:footer="0" w:header="0"/>
        </w:sectPr>
      </w:pPr>
    </w:p>
    <w:bookmarkStart w:id="43" w:name="page44"/>
    <w:bookmarkEnd w:id="43"/>
    <w:p>
      <w:pPr>
        <w:spacing w:after="0"/>
        <w:rPr>
          <w:sz w:val="20"/>
          <w:szCs w:val="20"/>
          <w:color w:val="auto"/>
        </w:rPr>
      </w:pPr>
      <w:r>
        <w:rPr>
          <w:rFonts w:ascii="Calibri" w:cs="Calibri" w:eastAsia="Calibri" w:hAnsi="Calibri"/>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400"/>
        <w:spacing w:after="0"/>
        <w:rPr>
          <w:sz w:val="20"/>
          <w:szCs w:val="20"/>
          <w:color w:val="auto"/>
        </w:rPr>
      </w:pPr>
      <w:r>
        <w:rPr>
          <w:rFonts w:ascii="Calibri" w:cs="Calibri" w:eastAsia="Calibri" w:hAnsi="Calibri"/>
          <w:sz w:val="18"/>
          <w:szCs w:val="18"/>
          <w:color w:val="auto"/>
        </w:rPr>
        <w:t>The following tables set forth net revenue by segment for the periods presented:</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520" w:type="dxa"/>
            <w:vAlign w:val="bottom"/>
            <w:gridSpan w:val="6"/>
          </w:tcPr>
          <w:p>
            <w:pPr>
              <w:ind w:left="620"/>
              <w:spacing w:after="0"/>
              <w:rPr>
                <w:sz w:val="20"/>
                <w:szCs w:val="20"/>
                <w:color w:val="auto"/>
              </w:rPr>
            </w:pPr>
            <w:r>
              <w:rPr>
                <w:rFonts w:ascii="Calibri" w:cs="Calibri" w:eastAsia="Calibri" w:hAnsi="Calibri"/>
                <w:sz w:val="14"/>
                <w:szCs w:val="14"/>
                <w:b w:val="1"/>
                <w:bCs w:val="1"/>
                <w:color w:val="auto"/>
              </w:rPr>
              <w:t>Fiscal Year Ended</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56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gridSpan w:val="2"/>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60" w:type="dxa"/>
            <w:vAlign w:val="bottom"/>
            <w:vMerge w:val="restart"/>
          </w:tcPr>
          <w:p>
            <w:pPr>
              <w:spacing w:after="0"/>
              <w:rPr>
                <w:sz w:val="3"/>
                <w:szCs w:val="3"/>
                <w:color w:val="auto"/>
              </w:rPr>
            </w:pPr>
          </w:p>
        </w:tc>
        <w:tc>
          <w:tcPr>
            <w:tcW w:w="40" w:type="dxa"/>
            <w:vAlign w:val="bottom"/>
            <w:vMerge w:val="restart"/>
          </w:tcPr>
          <w:p>
            <w:pPr>
              <w:spacing w:after="0"/>
              <w:rPr>
                <w:sz w:val="3"/>
                <w:szCs w:val="3"/>
                <w:color w:val="auto"/>
              </w:rPr>
            </w:pPr>
          </w:p>
        </w:tc>
        <w:tc>
          <w:tcPr>
            <w:tcW w:w="6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24"/>
        </w:trPr>
        <w:tc>
          <w:tcPr>
            <w:tcW w:w="5780" w:type="dxa"/>
            <w:vAlign w:val="bottom"/>
            <w:gridSpan w:val="2"/>
            <w:vMerge w:val="restart"/>
          </w:tcPr>
          <w:p>
            <w:pPr>
              <w:ind w:left="20"/>
              <w:spacing w:after="0"/>
              <w:rPr>
                <w:sz w:val="20"/>
                <w:szCs w:val="20"/>
                <w:color w:val="auto"/>
              </w:rPr>
            </w:pPr>
            <w:r>
              <w:rPr>
                <w:rFonts w:ascii="Calibri" w:cs="Calibri" w:eastAsia="Calibri" w:hAnsi="Calibri"/>
                <w:sz w:val="14"/>
                <w:szCs w:val="14"/>
                <w:b w:val="1"/>
                <w:bCs w:val="1"/>
                <w:color w:val="auto"/>
              </w:rPr>
              <w:t>Net Revenue by Segment</w:t>
            </w:r>
          </w:p>
        </w:tc>
        <w:tc>
          <w:tcPr>
            <w:tcW w:w="200" w:type="dxa"/>
            <w:vAlign w:val="bottom"/>
          </w:tcPr>
          <w:p>
            <w:pPr>
              <w:spacing w:after="0"/>
              <w:rPr>
                <w:sz w:val="10"/>
                <w:szCs w:val="10"/>
                <w:color w:val="auto"/>
              </w:rPr>
            </w:pPr>
          </w:p>
        </w:tc>
        <w:tc>
          <w:tcPr>
            <w:tcW w:w="1160" w:type="dxa"/>
            <w:vAlign w:val="bottom"/>
            <w:gridSpan w:val="2"/>
          </w:tcPr>
          <w:p>
            <w:pPr>
              <w:ind w:left="100"/>
              <w:spacing w:after="0" w:line="124" w:lineRule="exact"/>
              <w:rPr>
                <w:sz w:val="20"/>
                <w:szCs w:val="20"/>
                <w:color w:val="auto"/>
              </w:rPr>
            </w:pPr>
            <w:r>
              <w:rPr>
                <w:rFonts w:ascii="Calibri" w:cs="Calibri" w:eastAsia="Calibri" w:hAnsi="Calibri"/>
                <w:sz w:val="13"/>
                <w:szCs w:val="13"/>
                <w:b w:val="1"/>
                <w:bCs w:val="1"/>
                <w:color w:val="auto"/>
              </w:rPr>
              <w:t>October 29,</w:t>
            </w:r>
          </w:p>
        </w:tc>
        <w:tc>
          <w:tcPr>
            <w:tcW w:w="200" w:type="dxa"/>
            <w:vAlign w:val="bottom"/>
          </w:tcPr>
          <w:p>
            <w:pPr>
              <w:spacing w:after="0"/>
              <w:rPr>
                <w:sz w:val="10"/>
                <w:szCs w:val="10"/>
                <w:color w:val="auto"/>
              </w:rPr>
            </w:pPr>
          </w:p>
        </w:tc>
        <w:tc>
          <w:tcPr>
            <w:tcW w:w="1060" w:type="dxa"/>
            <w:vAlign w:val="bottom"/>
          </w:tcPr>
          <w:p>
            <w:pPr>
              <w:jc w:val="right"/>
              <w:ind w:right="200"/>
              <w:spacing w:after="0" w:line="124" w:lineRule="exact"/>
              <w:rPr>
                <w:sz w:val="20"/>
                <w:szCs w:val="20"/>
                <w:color w:val="auto"/>
              </w:rPr>
            </w:pPr>
            <w:r>
              <w:rPr>
                <w:rFonts w:ascii="Calibri" w:cs="Calibri" w:eastAsia="Calibri" w:hAnsi="Calibri"/>
                <w:sz w:val="13"/>
                <w:szCs w:val="13"/>
                <w:b w:val="1"/>
                <w:bCs w:val="1"/>
                <w:color w:val="auto"/>
              </w:rPr>
              <w:t>October 30,</w:t>
            </w:r>
          </w:p>
        </w:tc>
        <w:tc>
          <w:tcPr>
            <w:tcW w:w="60" w:type="dxa"/>
            <w:vAlign w:val="bottom"/>
            <w:vMerge w:val="continue"/>
          </w:tcPr>
          <w:p>
            <w:pPr>
              <w:spacing w:after="0"/>
              <w:rPr>
                <w:sz w:val="10"/>
                <w:szCs w:val="10"/>
                <w:color w:val="auto"/>
              </w:rPr>
            </w:pPr>
          </w:p>
        </w:tc>
        <w:tc>
          <w:tcPr>
            <w:tcW w:w="4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20" w:type="dxa"/>
            <w:vAlign w:val="bottom"/>
            <w:vMerge w:val="restart"/>
          </w:tcPr>
          <w:p>
            <w:pPr>
              <w:jc w:val="right"/>
              <w:ind w:right="279"/>
              <w:spacing w:after="0"/>
              <w:rPr>
                <w:sz w:val="20"/>
                <w:szCs w:val="20"/>
                <w:color w:val="auto"/>
              </w:rPr>
            </w:pPr>
            <w:r>
              <w:rPr>
                <w:rFonts w:ascii="Calibri" w:cs="Calibri" w:eastAsia="Calibri" w:hAnsi="Calibri"/>
                <w:sz w:val="14"/>
                <w:szCs w:val="14"/>
                <w:b w:val="1"/>
                <w:bCs w:val="1"/>
                <w:color w:val="auto"/>
              </w:rPr>
              <w:t>$ Change</w:t>
            </w:r>
          </w:p>
        </w:tc>
        <w:tc>
          <w:tcPr>
            <w:tcW w:w="100" w:type="dxa"/>
            <w:vAlign w:val="bottom"/>
          </w:tcPr>
          <w:p>
            <w:pPr>
              <w:spacing w:after="0"/>
              <w:rPr>
                <w:sz w:val="10"/>
                <w:szCs w:val="10"/>
                <w:color w:val="auto"/>
              </w:rPr>
            </w:pPr>
          </w:p>
        </w:tc>
        <w:tc>
          <w:tcPr>
            <w:tcW w:w="1380" w:type="dxa"/>
            <w:vAlign w:val="bottom"/>
            <w:vMerge w:val="restart"/>
          </w:tcPr>
          <w:p>
            <w:pPr>
              <w:jc w:val="right"/>
              <w:ind w:right="330"/>
              <w:spacing w:after="0"/>
              <w:rPr>
                <w:sz w:val="20"/>
                <w:szCs w:val="20"/>
                <w:color w:val="auto"/>
              </w:rPr>
            </w:pPr>
            <w:r>
              <w:rPr>
                <w:rFonts w:ascii="Calibri" w:cs="Calibri" w:eastAsia="Calibri" w:hAnsi="Calibri"/>
                <w:sz w:val="14"/>
                <w:szCs w:val="14"/>
                <w:b w:val="1"/>
                <w:bCs w:val="1"/>
                <w:color w:val="auto"/>
              </w:rPr>
              <w:t>% Change</w:t>
            </w:r>
          </w:p>
        </w:tc>
        <w:tc>
          <w:tcPr>
            <w:tcW w:w="0" w:type="dxa"/>
            <w:vAlign w:val="bottom"/>
          </w:tcPr>
          <w:p>
            <w:pPr>
              <w:spacing w:after="0"/>
              <w:rPr>
                <w:sz w:val="1"/>
                <w:szCs w:val="1"/>
                <w:color w:val="auto"/>
              </w:rPr>
            </w:pPr>
          </w:p>
        </w:tc>
      </w:tr>
      <w:tr>
        <w:trPr>
          <w:trHeight w:val="168"/>
        </w:trPr>
        <w:tc>
          <w:tcPr>
            <w:tcW w:w="578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jc w:val="right"/>
              <w:ind w:right="403"/>
              <w:spacing w:after="0" w:line="168" w:lineRule="exact"/>
              <w:rPr>
                <w:sz w:val="20"/>
                <w:szCs w:val="20"/>
                <w:color w:val="auto"/>
              </w:rPr>
            </w:pPr>
            <w:r>
              <w:rPr>
                <w:rFonts w:ascii="Calibri" w:cs="Calibri" w:eastAsia="Calibri" w:hAnsi="Calibri"/>
                <w:sz w:val="14"/>
                <w:szCs w:val="14"/>
                <w:b w:val="1"/>
                <w:bCs w:val="1"/>
                <w:color w:val="auto"/>
              </w:rPr>
              <w:t>2023</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jc w:val="right"/>
              <w:ind w:right="400"/>
              <w:spacing w:after="0" w:line="168" w:lineRule="exact"/>
              <w:rPr>
                <w:sz w:val="20"/>
                <w:szCs w:val="20"/>
                <w:color w:val="auto"/>
              </w:rPr>
            </w:pPr>
            <w:r>
              <w:rPr>
                <w:rFonts w:ascii="Calibri" w:cs="Calibri" w:eastAsia="Calibri" w:hAnsi="Calibri"/>
                <w:sz w:val="14"/>
                <w:szCs w:val="14"/>
                <w:b w:val="1"/>
                <w:bCs w:val="1"/>
                <w:color w:val="auto"/>
              </w:rPr>
              <w:t>2022</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2"/>
        </w:trPr>
        <w:tc>
          <w:tcPr>
            <w:tcW w:w="5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5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20" w:type="dxa"/>
            <w:vAlign w:val="bottom"/>
            <w:gridSpan w:val="6"/>
          </w:tcPr>
          <w:p>
            <w:pPr>
              <w:jc w:val="center"/>
              <w:spacing w:after="0"/>
              <w:rPr>
                <w:sz w:val="20"/>
                <w:szCs w:val="20"/>
                <w:color w:val="auto"/>
              </w:rPr>
            </w:pPr>
            <w:r>
              <w:rPr>
                <w:rFonts w:ascii="Calibri" w:cs="Calibri" w:eastAsia="Calibri" w:hAnsi="Calibri"/>
                <w:sz w:val="14"/>
                <w:szCs w:val="14"/>
                <w:b w:val="1"/>
                <w:bCs w:val="1"/>
                <w:color w:val="auto"/>
                <w:w w:val="99"/>
              </w:rPr>
              <w:t>(In millions, except percentages)</w:t>
            </w: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56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4"/>
        </w:trPr>
        <w:tc>
          <w:tcPr>
            <w:tcW w:w="5780" w:type="dxa"/>
            <w:vAlign w:val="bottom"/>
            <w:gridSpan w:val="2"/>
            <w:shd w:val="clear" w:color="auto" w:fill="CCEEFF"/>
          </w:tcPr>
          <w:p>
            <w:pPr>
              <w:ind w:left="20"/>
              <w:spacing w:after="0" w:line="210" w:lineRule="exact"/>
              <w:rPr>
                <w:sz w:val="20"/>
                <w:szCs w:val="20"/>
                <w:color w:val="auto"/>
              </w:rPr>
            </w:pPr>
            <w:r>
              <w:rPr>
                <w:rFonts w:ascii="Calibri" w:cs="Calibri" w:eastAsia="Calibri" w:hAnsi="Calibri"/>
                <w:sz w:val="18"/>
                <w:szCs w:val="18"/>
                <w:color w:val="auto"/>
              </w:rPr>
              <w:t>Semiconductor solutons</w:t>
            </w:r>
          </w:p>
        </w:tc>
        <w:tc>
          <w:tcPr>
            <w:tcW w:w="200" w:type="dxa"/>
            <w:vAlign w:val="bottom"/>
            <w:shd w:val="clear" w:color="auto" w:fill="CCEEFF"/>
          </w:tcPr>
          <w:p>
            <w:pPr>
              <w:jc w:val="right"/>
              <w:spacing w:after="0" w:line="210" w:lineRule="exact"/>
              <w:rPr>
                <w:sz w:val="20"/>
                <w:szCs w:val="20"/>
                <w:color w:val="auto"/>
              </w:rPr>
            </w:pPr>
            <w:r>
              <w:rPr>
                <w:rFonts w:ascii="Calibri" w:cs="Calibri" w:eastAsia="Calibri" w:hAnsi="Calibri"/>
                <w:sz w:val="18"/>
                <w:szCs w:val="18"/>
                <w:color w:val="auto"/>
              </w:rPr>
              <w:t>$</w:t>
            </w:r>
          </w:p>
        </w:tc>
        <w:tc>
          <w:tcPr>
            <w:tcW w:w="1060" w:type="dxa"/>
            <w:vAlign w:val="bottom"/>
            <w:shd w:val="clear" w:color="auto" w:fill="CCEEFF"/>
          </w:tcPr>
          <w:p>
            <w:pPr>
              <w:jc w:val="right"/>
              <w:spacing w:after="0" w:line="210" w:lineRule="exact"/>
              <w:rPr>
                <w:sz w:val="20"/>
                <w:szCs w:val="20"/>
                <w:color w:val="auto"/>
              </w:rPr>
            </w:pPr>
            <w:r>
              <w:rPr>
                <w:rFonts w:ascii="Calibri" w:cs="Calibri" w:eastAsia="Calibri" w:hAnsi="Calibri"/>
                <w:sz w:val="18"/>
                <w:szCs w:val="18"/>
                <w:color w:val="auto"/>
              </w:rPr>
              <w:t>28,182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line="210" w:lineRule="exact"/>
              <w:rPr>
                <w:sz w:val="20"/>
                <w:szCs w:val="20"/>
                <w:color w:val="auto"/>
              </w:rPr>
            </w:pPr>
            <w:r>
              <w:rPr>
                <w:rFonts w:ascii="Calibri" w:cs="Calibri" w:eastAsia="Calibri" w:hAnsi="Calibri"/>
                <w:sz w:val="18"/>
                <w:szCs w:val="18"/>
                <w:color w:val="auto"/>
              </w:rPr>
              <w:t>$</w:t>
            </w:r>
          </w:p>
        </w:tc>
        <w:tc>
          <w:tcPr>
            <w:tcW w:w="1060" w:type="dxa"/>
            <w:vAlign w:val="bottom"/>
            <w:shd w:val="clear" w:color="auto" w:fill="CCEEFF"/>
          </w:tcPr>
          <w:p>
            <w:pPr>
              <w:jc w:val="right"/>
              <w:spacing w:after="0" w:line="210" w:lineRule="exact"/>
              <w:rPr>
                <w:sz w:val="20"/>
                <w:szCs w:val="20"/>
                <w:color w:val="auto"/>
              </w:rPr>
            </w:pPr>
            <w:r>
              <w:rPr>
                <w:rFonts w:ascii="Calibri" w:cs="Calibri" w:eastAsia="Calibri" w:hAnsi="Calibri"/>
                <w:sz w:val="18"/>
                <w:szCs w:val="18"/>
                <w:color w:val="auto"/>
              </w:rPr>
              <w:t>25,818</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gridSpan w:val="2"/>
            <w:shd w:val="clear" w:color="auto" w:fill="CCEEFF"/>
          </w:tcPr>
          <w:p>
            <w:pPr>
              <w:jc w:val="right"/>
              <w:ind w:right="120"/>
              <w:spacing w:after="0" w:line="210" w:lineRule="exact"/>
              <w:rPr>
                <w:sz w:val="20"/>
                <w:szCs w:val="20"/>
                <w:color w:val="auto"/>
              </w:rPr>
            </w:pPr>
            <w:r>
              <w:rPr>
                <w:rFonts w:ascii="Calibri" w:cs="Calibri" w:eastAsia="Calibri" w:hAnsi="Calibri"/>
                <w:sz w:val="18"/>
                <w:szCs w:val="18"/>
                <w:color w:val="auto"/>
              </w:rPr>
              <w:t>$</w:t>
            </w:r>
          </w:p>
        </w:tc>
        <w:tc>
          <w:tcPr>
            <w:tcW w:w="1020" w:type="dxa"/>
            <w:vAlign w:val="bottom"/>
            <w:shd w:val="clear" w:color="auto" w:fill="CCEEFF"/>
          </w:tcPr>
          <w:p>
            <w:pPr>
              <w:jc w:val="right"/>
              <w:spacing w:after="0" w:line="210" w:lineRule="exact"/>
              <w:rPr>
                <w:sz w:val="20"/>
                <w:szCs w:val="20"/>
                <w:color w:val="auto"/>
              </w:rPr>
            </w:pPr>
            <w:r>
              <w:rPr>
                <w:rFonts w:ascii="Calibri" w:cs="Calibri" w:eastAsia="Calibri" w:hAnsi="Calibri"/>
                <w:sz w:val="18"/>
                <w:szCs w:val="18"/>
                <w:color w:val="auto"/>
              </w:rPr>
              <w:t>2,364</w:t>
            </w:r>
          </w:p>
        </w:tc>
        <w:tc>
          <w:tcPr>
            <w:tcW w:w="1480" w:type="dxa"/>
            <w:vAlign w:val="bottom"/>
            <w:gridSpan w:val="2"/>
            <w:shd w:val="clear" w:color="auto" w:fill="CCEEFF"/>
          </w:tcPr>
          <w:p>
            <w:pPr>
              <w:jc w:val="right"/>
              <w:spacing w:after="0" w:line="210" w:lineRule="exact"/>
              <w:rPr>
                <w:sz w:val="20"/>
                <w:szCs w:val="20"/>
                <w:color w:val="auto"/>
              </w:rPr>
            </w:pPr>
            <w:r>
              <w:rPr>
                <w:rFonts w:ascii="Calibri" w:cs="Calibri" w:eastAsia="Calibri" w:hAnsi="Calibri"/>
                <w:sz w:val="18"/>
                <w:szCs w:val="18"/>
                <w:color w:val="auto"/>
              </w:rPr>
              <w:t>9 %</w:t>
            </w:r>
          </w:p>
        </w:tc>
        <w:tc>
          <w:tcPr>
            <w:tcW w:w="0" w:type="dxa"/>
            <w:vAlign w:val="bottom"/>
          </w:tcPr>
          <w:p>
            <w:pPr>
              <w:spacing w:after="0"/>
              <w:rPr>
                <w:sz w:val="1"/>
                <w:szCs w:val="1"/>
                <w:color w:val="auto"/>
              </w:rPr>
            </w:pPr>
          </w:p>
        </w:tc>
      </w:tr>
      <w:tr>
        <w:trPr>
          <w:trHeight w:val="218"/>
        </w:trPr>
        <w:tc>
          <w:tcPr>
            <w:tcW w:w="5780" w:type="dxa"/>
            <w:vAlign w:val="bottom"/>
            <w:tcBorders>
              <w:bottom w:val="single" w:sz="8" w:color="CCEEFF"/>
            </w:tcBorders>
            <w:gridSpan w:val="2"/>
          </w:tcPr>
          <w:p>
            <w:pPr>
              <w:ind w:left="20"/>
              <w:spacing w:after="0" w:line="210" w:lineRule="exact"/>
              <w:rPr>
                <w:sz w:val="20"/>
                <w:szCs w:val="20"/>
                <w:color w:val="auto"/>
              </w:rPr>
            </w:pPr>
            <w:r>
              <w:rPr>
                <w:rFonts w:ascii="Calibri" w:cs="Calibri" w:eastAsia="Calibri" w:hAnsi="Calibri"/>
                <w:sz w:val="18"/>
                <w:szCs w:val="18"/>
                <w:color w:val="auto"/>
              </w:rPr>
              <w:t>Infrastructure sofware</w:t>
            </w:r>
          </w:p>
        </w:tc>
        <w:tc>
          <w:tcPr>
            <w:tcW w:w="2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line="210" w:lineRule="exact"/>
              <w:rPr>
                <w:sz w:val="20"/>
                <w:szCs w:val="20"/>
                <w:color w:val="auto"/>
              </w:rPr>
            </w:pPr>
            <w:r>
              <w:rPr>
                <w:rFonts w:ascii="Calibri" w:cs="Calibri" w:eastAsia="Calibri" w:hAnsi="Calibri"/>
                <w:sz w:val="18"/>
                <w:szCs w:val="18"/>
                <w:color w:val="auto"/>
              </w:rPr>
              <w:t>7,637</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line="210" w:lineRule="exact"/>
              <w:rPr>
                <w:sz w:val="20"/>
                <w:szCs w:val="20"/>
                <w:color w:val="auto"/>
              </w:rPr>
            </w:pPr>
            <w:r>
              <w:rPr>
                <w:rFonts w:ascii="Calibri" w:cs="Calibri" w:eastAsia="Calibri" w:hAnsi="Calibri"/>
                <w:sz w:val="18"/>
                <w:szCs w:val="18"/>
                <w:color w:val="auto"/>
              </w:rPr>
              <w:t>7,385</w:t>
            </w:r>
          </w:p>
        </w:tc>
        <w:tc>
          <w:tcPr>
            <w:tcW w:w="6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line="210" w:lineRule="exact"/>
              <w:rPr>
                <w:sz w:val="20"/>
                <w:szCs w:val="20"/>
                <w:color w:val="auto"/>
              </w:rPr>
            </w:pPr>
            <w:r>
              <w:rPr>
                <w:rFonts w:ascii="Calibri" w:cs="Calibri" w:eastAsia="Calibri" w:hAnsi="Calibri"/>
                <w:sz w:val="18"/>
                <w:szCs w:val="18"/>
                <w:color w:val="auto"/>
              </w:rPr>
              <w:t>252</w:t>
            </w:r>
          </w:p>
        </w:tc>
        <w:tc>
          <w:tcPr>
            <w:tcW w:w="1480" w:type="dxa"/>
            <w:vAlign w:val="bottom"/>
            <w:tcBorders>
              <w:bottom w:val="single" w:sz="8" w:color="CCEEFF"/>
            </w:tcBorders>
            <w:gridSpan w:val="2"/>
          </w:tcPr>
          <w:p>
            <w:pPr>
              <w:jc w:val="right"/>
              <w:spacing w:after="0" w:line="210" w:lineRule="exact"/>
              <w:rPr>
                <w:sz w:val="20"/>
                <w:szCs w:val="20"/>
                <w:color w:val="auto"/>
              </w:rPr>
            </w:pPr>
            <w:r>
              <w:rPr>
                <w:rFonts w:ascii="Calibri" w:cs="Calibri" w:eastAsia="Calibri" w:hAnsi="Calibri"/>
                <w:sz w:val="18"/>
                <w:szCs w:val="18"/>
                <w:color w:val="auto"/>
              </w:rPr>
              <w:t>3 %</w:t>
            </w:r>
          </w:p>
        </w:tc>
        <w:tc>
          <w:tcPr>
            <w:tcW w:w="0" w:type="dxa"/>
            <w:vAlign w:val="bottom"/>
          </w:tcPr>
          <w:p>
            <w:pPr>
              <w:spacing w:after="0"/>
              <w:rPr>
                <w:sz w:val="1"/>
                <w:szCs w:val="1"/>
                <w:color w:val="auto"/>
              </w:rPr>
            </w:pPr>
          </w:p>
        </w:tc>
      </w:tr>
      <w:tr>
        <w:trPr>
          <w:trHeight w:val="249"/>
        </w:trPr>
        <w:tc>
          <w:tcPr>
            <w:tcW w:w="5780" w:type="dxa"/>
            <w:vAlign w:val="bottom"/>
            <w:tcBorders>
              <w:bottom w:val="single" w:sz="8" w:color="CCEEFF"/>
            </w:tcBorders>
            <w:gridSpan w:val="2"/>
            <w:shd w:val="clear" w:color="auto" w:fill="CCEEFF"/>
          </w:tcPr>
          <w:p>
            <w:pPr>
              <w:ind w:left="140"/>
              <w:spacing w:after="0"/>
              <w:rPr>
                <w:sz w:val="20"/>
                <w:szCs w:val="20"/>
                <w:color w:val="auto"/>
              </w:rPr>
            </w:pPr>
            <w:r>
              <w:rPr>
                <w:rFonts w:ascii="Calibri" w:cs="Calibri" w:eastAsia="Calibri" w:hAnsi="Calibri"/>
                <w:sz w:val="18"/>
                <w:szCs w:val="18"/>
                <w:color w:val="auto"/>
              </w:rPr>
              <w:t>Total net revenue</w:t>
            </w:r>
          </w:p>
        </w:tc>
        <w:tc>
          <w:tcPr>
            <w:tcW w:w="200" w:type="dxa"/>
            <w:vAlign w:val="bottom"/>
            <w:tcBorders>
              <w:bottom w:val="single" w:sz="8" w:color="auto"/>
            </w:tcBorders>
            <w:shd w:val="clear" w:color="auto" w:fill="CCEEFF"/>
          </w:tcPr>
          <w:p>
            <w:pPr>
              <w:jc w:val="right"/>
              <w:spacing w:after="0" w:line="210" w:lineRule="exact"/>
              <w:rPr>
                <w:sz w:val="20"/>
                <w:szCs w:val="20"/>
                <w:color w:val="auto"/>
              </w:rPr>
            </w:pPr>
            <w:r>
              <w:rPr>
                <w:rFonts w:ascii="Calibri" w:cs="Calibri" w:eastAsia="Calibri" w:hAnsi="Calibri"/>
                <w:sz w:val="18"/>
                <w:szCs w:val="18"/>
                <w:color w:val="auto"/>
              </w:rPr>
              <w:t>$</w:t>
            </w:r>
          </w:p>
        </w:tc>
        <w:tc>
          <w:tcPr>
            <w:tcW w:w="1060" w:type="dxa"/>
            <w:vAlign w:val="bottom"/>
            <w:tcBorders>
              <w:bottom w:val="single" w:sz="8" w:color="auto"/>
            </w:tcBorders>
            <w:shd w:val="clear" w:color="auto" w:fill="CCEEFF"/>
          </w:tcPr>
          <w:p>
            <w:pPr>
              <w:jc w:val="right"/>
              <w:spacing w:after="0" w:line="210" w:lineRule="exact"/>
              <w:rPr>
                <w:sz w:val="20"/>
                <w:szCs w:val="20"/>
                <w:color w:val="auto"/>
              </w:rPr>
            </w:pPr>
            <w:r>
              <w:rPr>
                <w:rFonts w:ascii="Calibri" w:cs="Calibri" w:eastAsia="Calibri" w:hAnsi="Calibri"/>
                <w:sz w:val="18"/>
                <w:szCs w:val="18"/>
                <w:color w:val="auto"/>
              </w:rPr>
              <w:t>35,819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line="210" w:lineRule="exact"/>
              <w:rPr>
                <w:sz w:val="20"/>
                <w:szCs w:val="20"/>
                <w:color w:val="auto"/>
              </w:rPr>
            </w:pPr>
            <w:r>
              <w:rPr>
                <w:rFonts w:ascii="Calibri" w:cs="Calibri" w:eastAsia="Calibri" w:hAnsi="Calibri"/>
                <w:sz w:val="18"/>
                <w:szCs w:val="18"/>
                <w:color w:val="auto"/>
              </w:rPr>
              <w:t>$</w:t>
            </w:r>
          </w:p>
        </w:tc>
        <w:tc>
          <w:tcPr>
            <w:tcW w:w="1060" w:type="dxa"/>
            <w:vAlign w:val="bottom"/>
            <w:tcBorders>
              <w:bottom w:val="single" w:sz="8" w:color="auto"/>
            </w:tcBorders>
            <w:shd w:val="clear" w:color="auto" w:fill="CCEEFF"/>
          </w:tcPr>
          <w:p>
            <w:pPr>
              <w:jc w:val="right"/>
              <w:spacing w:after="0" w:line="210" w:lineRule="exact"/>
              <w:rPr>
                <w:sz w:val="20"/>
                <w:szCs w:val="20"/>
                <w:color w:val="auto"/>
              </w:rPr>
            </w:pPr>
            <w:r>
              <w:rPr>
                <w:rFonts w:ascii="Calibri" w:cs="Calibri" w:eastAsia="Calibri" w:hAnsi="Calibri"/>
                <w:sz w:val="18"/>
                <w:szCs w:val="18"/>
                <w:color w:val="auto"/>
              </w:rPr>
              <w:t>33,203</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gridSpan w:val="2"/>
            <w:shd w:val="clear" w:color="auto" w:fill="CCEEFF"/>
          </w:tcPr>
          <w:p>
            <w:pPr>
              <w:jc w:val="right"/>
              <w:ind w:right="120"/>
              <w:spacing w:after="0" w:line="210" w:lineRule="exact"/>
              <w:rPr>
                <w:sz w:val="20"/>
                <w:szCs w:val="20"/>
                <w:color w:val="auto"/>
              </w:rPr>
            </w:pPr>
            <w:r>
              <w:rPr>
                <w:rFonts w:ascii="Calibri" w:cs="Calibri" w:eastAsia="Calibri" w:hAnsi="Calibri"/>
                <w:sz w:val="18"/>
                <w:szCs w:val="18"/>
                <w:color w:val="auto"/>
              </w:rPr>
              <w:t>$</w:t>
            </w:r>
          </w:p>
        </w:tc>
        <w:tc>
          <w:tcPr>
            <w:tcW w:w="1020" w:type="dxa"/>
            <w:vAlign w:val="bottom"/>
            <w:tcBorders>
              <w:bottom w:val="single" w:sz="8" w:color="auto"/>
            </w:tcBorders>
            <w:shd w:val="clear" w:color="auto" w:fill="CCEEFF"/>
          </w:tcPr>
          <w:p>
            <w:pPr>
              <w:jc w:val="right"/>
              <w:spacing w:after="0" w:line="210" w:lineRule="exact"/>
              <w:rPr>
                <w:sz w:val="20"/>
                <w:szCs w:val="20"/>
                <w:color w:val="auto"/>
              </w:rPr>
            </w:pPr>
            <w:r>
              <w:rPr>
                <w:rFonts w:ascii="Calibri" w:cs="Calibri" w:eastAsia="Calibri" w:hAnsi="Calibri"/>
                <w:sz w:val="18"/>
                <w:szCs w:val="18"/>
                <w:color w:val="auto"/>
              </w:rPr>
              <w:t>2,616</w:t>
            </w: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Calibri" w:cs="Calibri" w:eastAsia="Calibri" w:hAnsi="Calibri"/>
                <w:sz w:val="18"/>
                <w:szCs w:val="18"/>
                <w:color w:val="auto"/>
              </w:rPr>
              <w:t>8 %</w:t>
            </w:r>
          </w:p>
        </w:tc>
        <w:tc>
          <w:tcPr>
            <w:tcW w:w="0" w:type="dxa"/>
            <w:vAlign w:val="bottom"/>
          </w:tcPr>
          <w:p>
            <w:pPr>
              <w:spacing w:after="0"/>
              <w:rPr>
                <w:sz w:val="1"/>
                <w:szCs w:val="1"/>
                <w:color w:val="auto"/>
              </w:rPr>
            </w:pPr>
          </w:p>
        </w:tc>
      </w:tr>
      <w:tr>
        <w:trPr>
          <w:trHeight w:val="20"/>
        </w:trPr>
        <w:tc>
          <w:tcPr>
            <w:tcW w:w="5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5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420" w:type="dxa"/>
            <w:vAlign w:val="bottom"/>
            <w:gridSpan w:val="6"/>
          </w:tcPr>
          <w:p>
            <w:pPr>
              <w:jc w:val="center"/>
              <w:spacing w:after="0"/>
              <w:rPr>
                <w:sz w:val="20"/>
                <w:szCs w:val="20"/>
                <w:color w:val="auto"/>
              </w:rPr>
            </w:pPr>
            <w:r>
              <w:rPr>
                <w:rFonts w:ascii="Calibri" w:cs="Calibri" w:eastAsia="Calibri" w:hAnsi="Calibri"/>
                <w:sz w:val="14"/>
                <w:szCs w:val="14"/>
                <w:b w:val="1"/>
                <w:bCs w:val="1"/>
                <w:color w:val="auto"/>
                <w:w w:val="99"/>
              </w:rPr>
              <w:t>Fiscal Year Ended</w:t>
            </w:r>
          </w:p>
        </w:tc>
        <w:tc>
          <w:tcPr>
            <w:tcW w:w="1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5"/>
        </w:trPr>
        <w:tc>
          <w:tcPr>
            <w:tcW w:w="5780" w:type="dxa"/>
            <w:vAlign w:val="bottom"/>
            <w:gridSpan w:val="2"/>
            <w:vMerge w:val="restart"/>
          </w:tcPr>
          <w:p>
            <w:pPr>
              <w:ind w:left="20"/>
              <w:spacing w:after="0"/>
              <w:rPr>
                <w:sz w:val="20"/>
                <w:szCs w:val="20"/>
                <w:color w:val="auto"/>
              </w:rPr>
            </w:pPr>
            <w:r>
              <w:rPr>
                <w:rFonts w:ascii="Calibri" w:cs="Calibri" w:eastAsia="Calibri" w:hAnsi="Calibri"/>
                <w:sz w:val="14"/>
                <w:szCs w:val="14"/>
                <w:b w:val="1"/>
                <w:bCs w:val="1"/>
                <w:color w:val="auto"/>
              </w:rPr>
              <w:t>Net Revenue by Segment</w:t>
            </w:r>
          </w:p>
        </w:tc>
        <w:tc>
          <w:tcPr>
            <w:tcW w:w="200" w:type="dxa"/>
            <w:vAlign w:val="bottom"/>
            <w:tcBorders>
              <w:bottom w:val="single" w:sz="8" w:color="auto"/>
            </w:tcBorders>
          </w:tcPr>
          <w:p>
            <w:pPr>
              <w:spacing w:after="0"/>
              <w:rPr>
                <w:sz w:val="3"/>
                <w:szCs w:val="3"/>
                <w:color w:val="auto"/>
              </w:rPr>
            </w:pPr>
          </w:p>
        </w:tc>
        <w:tc>
          <w:tcPr>
            <w:tcW w:w="2520" w:type="dxa"/>
            <w:vAlign w:val="bottom"/>
            <w:tcBorders>
              <w:bottom w:val="single" w:sz="8" w:color="auto"/>
            </w:tcBorders>
            <w:gridSpan w:val="6"/>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2500" w:type="dxa"/>
            <w:vAlign w:val="bottom"/>
            <w:tcBorders>
              <w:bottom w:val="single" w:sz="8" w:color="auto"/>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1"/>
        </w:trPr>
        <w:tc>
          <w:tcPr>
            <w:tcW w:w="5780" w:type="dxa"/>
            <w:vAlign w:val="bottom"/>
            <w:gridSpan w:val="2"/>
            <w:vMerge w:val="continue"/>
          </w:tcPr>
          <w:p>
            <w:pPr>
              <w:spacing w:after="0"/>
              <w:rPr>
                <w:sz w:val="13"/>
                <w:szCs w:val="13"/>
                <w:color w:val="auto"/>
              </w:rPr>
            </w:pPr>
          </w:p>
        </w:tc>
        <w:tc>
          <w:tcPr>
            <w:tcW w:w="200" w:type="dxa"/>
            <w:vAlign w:val="bottom"/>
          </w:tcPr>
          <w:p>
            <w:pPr>
              <w:spacing w:after="0"/>
              <w:rPr>
                <w:sz w:val="13"/>
                <w:szCs w:val="13"/>
                <w:color w:val="auto"/>
              </w:rPr>
            </w:pPr>
          </w:p>
        </w:tc>
        <w:tc>
          <w:tcPr>
            <w:tcW w:w="2520" w:type="dxa"/>
            <w:vAlign w:val="bottom"/>
            <w:gridSpan w:val="6"/>
          </w:tcPr>
          <w:p>
            <w:pPr>
              <w:ind w:left="640"/>
              <w:spacing w:after="0" w:line="161" w:lineRule="exact"/>
              <w:rPr>
                <w:sz w:val="20"/>
                <w:szCs w:val="20"/>
                <w:color w:val="auto"/>
              </w:rPr>
            </w:pPr>
            <w:r>
              <w:rPr>
                <w:rFonts w:ascii="Calibri" w:cs="Calibri" w:eastAsia="Calibri" w:hAnsi="Calibri"/>
                <w:sz w:val="14"/>
                <w:szCs w:val="14"/>
                <w:b w:val="1"/>
                <w:bCs w:val="1"/>
                <w:color w:val="auto"/>
              </w:rPr>
              <w:t>October 29, 2023</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500" w:type="dxa"/>
            <w:vAlign w:val="bottom"/>
            <w:gridSpan w:val="3"/>
          </w:tcPr>
          <w:p>
            <w:pPr>
              <w:jc w:val="right"/>
              <w:ind w:right="770"/>
              <w:spacing w:after="0" w:line="161" w:lineRule="exact"/>
              <w:rPr>
                <w:sz w:val="20"/>
                <w:szCs w:val="20"/>
                <w:color w:val="auto"/>
              </w:rPr>
            </w:pPr>
            <w:r>
              <w:rPr>
                <w:rFonts w:ascii="Calibri" w:cs="Calibri" w:eastAsia="Calibri" w:hAnsi="Calibri"/>
                <w:sz w:val="14"/>
                <w:szCs w:val="14"/>
                <w:b w:val="1"/>
                <w:bCs w:val="1"/>
                <w:color w:val="auto"/>
              </w:rPr>
              <w:t>October 30, 2022</w:t>
            </w:r>
          </w:p>
        </w:tc>
        <w:tc>
          <w:tcPr>
            <w:tcW w:w="0" w:type="dxa"/>
            <w:vAlign w:val="bottom"/>
          </w:tcPr>
          <w:p>
            <w:pPr>
              <w:spacing w:after="0"/>
              <w:rPr>
                <w:sz w:val="1"/>
                <w:szCs w:val="1"/>
                <w:color w:val="auto"/>
              </w:rPr>
            </w:pPr>
          </w:p>
        </w:tc>
      </w:tr>
      <w:tr>
        <w:trPr>
          <w:trHeight w:val="30"/>
        </w:trPr>
        <w:tc>
          <w:tcPr>
            <w:tcW w:w="5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100" w:type="dxa"/>
            <w:vAlign w:val="bottom"/>
            <w:gridSpan w:val="2"/>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5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20" w:type="dxa"/>
            <w:vAlign w:val="bottom"/>
            <w:gridSpan w:val="6"/>
          </w:tcPr>
          <w:p>
            <w:pPr>
              <w:jc w:val="center"/>
              <w:spacing w:after="0"/>
              <w:rPr>
                <w:sz w:val="20"/>
                <w:szCs w:val="20"/>
                <w:color w:val="auto"/>
              </w:rPr>
            </w:pPr>
            <w:r>
              <w:rPr>
                <w:rFonts w:ascii="Calibri" w:cs="Calibri" w:eastAsia="Calibri" w:hAnsi="Calibri"/>
                <w:sz w:val="14"/>
                <w:szCs w:val="14"/>
                <w:b w:val="1"/>
                <w:bCs w:val="1"/>
                <w:color w:val="auto"/>
                <w:w w:val="99"/>
              </w:rPr>
              <w:t>(As a percentage of net revenue)</w:t>
            </w: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5780" w:type="dxa"/>
            <w:vAlign w:val="bottom"/>
            <w:gridSpan w:val="2"/>
          </w:tcPr>
          <w:p>
            <w:pPr>
              <w:spacing w:after="0"/>
              <w:rPr>
                <w:sz w:val="3"/>
                <w:szCs w:val="3"/>
                <w:color w:val="auto"/>
              </w:rPr>
            </w:pPr>
          </w:p>
        </w:tc>
        <w:tc>
          <w:tcPr>
            <w:tcW w:w="2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20" w:type="dxa"/>
            <w:vAlign w:val="bottom"/>
            <w:gridSpan w:val="2"/>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48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24"/>
        </w:trPr>
        <w:tc>
          <w:tcPr>
            <w:tcW w:w="5780" w:type="dxa"/>
            <w:vAlign w:val="bottom"/>
            <w:gridSpan w:val="2"/>
            <w:shd w:val="clear" w:color="auto" w:fill="CCEEFF"/>
          </w:tcPr>
          <w:p>
            <w:pPr>
              <w:ind w:left="20"/>
              <w:spacing w:after="0" w:line="210" w:lineRule="exact"/>
              <w:rPr>
                <w:sz w:val="20"/>
                <w:szCs w:val="20"/>
                <w:color w:val="auto"/>
              </w:rPr>
            </w:pPr>
            <w:r>
              <w:rPr>
                <w:rFonts w:ascii="Calibri" w:cs="Calibri" w:eastAsia="Calibri" w:hAnsi="Calibri"/>
                <w:sz w:val="18"/>
                <w:szCs w:val="18"/>
                <w:color w:val="auto"/>
              </w:rPr>
              <w:t>Semiconductor solutons</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
              <w:spacing w:after="0" w:line="210" w:lineRule="exact"/>
              <w:rPr>
                <w:sz w:val="20"/>
                <w:szCs w:val="20"/>
                <w:color w:val="auto"/>
              </w:rPr>
            </w:pPr>
            <w:r>
              <w:rPr>
                <w:rFonts w:ascii="Calibri" w:cs="Calibri" w:eastAsia="Calibri" w:hAnsi="Calibri"/>
                <w:sz w:val="18"/>
                <w:szCs w:val="18"/>
                <w:color w:val="auto"/>
              </w:rPr>
              <w:t>79 %</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spacing w:after="0" w:line="210" w:lineRule="exact"/>
              <w:rPr>
                <w:sz w:val="20"/>
                <w:szCs w:val="20"/>
                <w:color w:val="auto"/>
              </w:rPr>
            </w:pPr>
            <w:r>
              <w:rPr>
                <w:rFonts w:ascii="Calibri" w:cs="Calibri" w:eastAsia="Calibri" w:hAnsi="Calibri"/>
                <w:sz w:val="18"/>
                <w:szCs w:val="18"/>
                <w:color w:val="auto"/>
              </w:rPr>
              <w:t>78 %</w:t>
            </w:r>
          </w:p>
        </w:tc>
        <w:tc>
          <w:tcPr>
            <w:tcW w:w="0" w:type="dxa"/>
            <w:vAlign w:val="bottom"/>
          </w:tcPr>
          <w:p>
            <w:pPr>
              <w:spacing w:after="0"/>
              <w:rPr>
                <w:sz w:val="1"/>
                <w:szCs w:val="1"/>
                <w:color w:val="auto"/>
              </w:rPr>
            </w:pPr>
          </w:p>
        </w:tc>
      </w:tr>
      <w:tr>
        <w:trPr>
          <w:trHeight w:val="218"/>
        </w:trPr>
        <w:tc>
          <w:tcPr>
            <w:tcW w:w="5780" w:type="dxa"/>
            <w:vAlign w:val="bottom"/>
            <w:tcBorders>
              <w:bottom w:val="single" w:sz="8" w:color="CCEEFF"/>
            </w:tcBorders>
            <w:gridSpan w:val="2"/>
          </w:tcPr>
          <w:p>
            <w:pPr>
              <w:ind w:left="20"/>
              <w:spacing w:after="0" w:line="210" w:lineRule="exact"/>
              <w:rPr>
                <w:sz w:val="20"/>
                <w:szCs w:val="20"/>
                <w:color w:val="auto"/>
              </w:rPr>
            </w:pPr>
            <w:r>
              <w:rPr>
                <w:rFonts w:ascii="Calibri" w:cs="Calibri" w:eastAsia="Calibri" w:hAnsi="Calibri"/>
                <w:sz w:val="18"/>
                <w:szCs w:val="18"/>
                <w:color w:val="auto"/>
              </w:rPr>
              <w:t>Infrastructure sofware</w:t>
            </w:r>
          </w:p>
        </w:tc>
        <w:tc>
          <w:tcPr>
            <w:tcW w:w="2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0"/>
              <w:spacing w:after="0" w:line="210" w:lineRule="exact"/>
              <w:rPr>
                <w:sz w:val="20"/>
                <w:szCs w:val="20"/>
                <w:color w:val="auto"/>
              </w:rPr>
            </w:pPr>
            <w:r>
              <w:rPr>
                <w:rFonts w:ascii="Calibri" w:cs="Calibri" w:eastAsia="Calibri" w:hAnsi="Calibri"/>
                <w:sz w:val="18"/>
                <w:szCs w:val="18"/>
                <w:color w:val="auto"/>
              </w:rPr>
              <w:t>21</w:t>
            </w:r>
          </w:p>
        </w:tc>
        <w:tc>
          <w:tcPr>
            <w:tcW w:w="60" w:type="dxa"/>
            <w:vAlign w:val="bottom"/>
            <w:tcBorders>
              <w:bottom w:val="single" w:sz="8" w:color="auto"/>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2"/>
          </w:tcPr>
          <w:p>
            <w:pPr>
              <w:jc w:val="right"/>
              <w:ind w:right="110"/>
              <w:spacing w:after="0" w:line="210" w:lineRule="exact"/>
              <w:rPr>
                <w:sz w:val="20"/>
                <w:szCs w:val="20"/>
                <w:color w:val="auto"/>
              </w:rPr>
            </w:pPr>
            <w:r>
              <w:rPr>
                <w:rFonts w:ascii="Calibri" w:cs="Calibri" w:eastAsia="Calibri" w:hAnsi="Calibri"/>
                <w:sz w:val="18"/>
                <w:szCs w:val="18"/>
                <w:color w:val="auto"/>
              </w:rPr>
              <w:t>22</w:t>
            </w:r>
          </w:p>
        </w:tc>
        <w:tc>
          <w:tcPr>
            <w:tcW w:w="0" w:type="dxa"/>
            <w:vAlign w:val="bottom"/>
          </w:tcPr>
          <w:p>
            <w:pPr>
              <w:spacing w:after="0"/>
              <w:rPr>
                <w:sz w:val="1"/>
                <w:szCs w:val="1"/>
                <w:color w:val="auto"/>
              </w:rPr>
            </w:pPr>
          </w:p>
        </w:tc>
      </w:tr>
      <w:tr>
        <w:trPr>
          <w:trHeight w:val="249"/>
        </w:trPr>
        <w:tc>
          <w:tcPr>
            <w:tcW w:w="5780" w:type="dxa"/>
            <w:vAlign w:val="bottom"/>
            <w:tcBorders>
              <w:bottom w:val="single" w:sz="8" w:color="CCEEFF"/>
            </w:tcBorders>
            <w:gridSpan w:val="2"/>
            <w:shd w:val="clear" w:color="auto" w:fill="CCEEFF"/>
          </w:tcPr>
          <w:p>
            <w:pPr>
              <w:ind w:left="140"/>
              <w:spacing w:after="0"/>
              <w:rPr>
                <w:sz w:val="20"/>
                <w:szCs w:val="20"/>
                <w:color w:val="auto"/>
              </w:rPr>
            </w:pPr>
            <w:r>
              <w:rPr>
                <w:rFonts w:ascii="Calibri" w:cs="Calibri" w:eastAsia="Calibri" w:hAnsi="Calibri"/>
                <w:sz w:val="18"/>
                <w:szCs w:val="18"/>
                <w:color w:val="auto"/>
              </w:rPr>
              <w:t>Total net revenue</w:t>
            </w:r>
          </w:p>
        </w:tc>
        <w:tc>
          <w:tcPr>
            <w:tcW w:w="20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gridSpan w:val="2"/>
            <w:shd w:val="clear" w:color="auto" w:fill="CCEEFF"/>
          </w:tcPr>
          <w:p>
            <w:pPr>
              <w:jc w:val="right"/>
              <w:ind w:right="20"/>
              <w:spacing w:after="0" w:line="210" w:lineRule="exact"/>
              <w:rPr>
                <w:sz w:val="20"/>
                <w:szCs w:val="20"/>
                <w:color w:val="auto"/>
              </w:rPr>
            </w:pPr>
            <w:r>
              <w:rPr>
                <w:rFonts w:ascii="Calibri" w:cs="Calibri" w:eastAsia="Calibri" w:hAnsi="Calibri"/>
                <w:sz w:val="18"/>
                <w:szCs w:val="18"/>
                <w:color w:val="auto"/>
              </w:rPr>
              <w:t>100 %</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spacing w:after="0"/>
              <w:rPr>
                <w:sz w:val="21"/>
                <w:szCs w:val="21"/>
                <w:color w:val="auto"/>
              </w:rPr>
            </w:pPr>
          </w:p>
        </w:tc>
        <w:tc>
          <w:tcPr>
            <w:tcW w:w="1480" w:type="dxa"/>
            <w:vAlign w:val="bottom"/>
            <w:tcBorders>
              <w:bottom w:val="single" w:sz="8" w:color="auto"/>
            </w:tcBorders>
            <w:gridSpan w:val="2"/>
            <w:shd w:val="clear" w:color="auto" w:fill="CCEEFF"/>
          </w:tcPr>
          <w:p>
            <w:pPr>
              <w:jc w:val="right"/>
              <w:spacing w:after="0" w:line="210" w:lineRule="exact"/>
              <w:rPr>
                <w:sz w:val="20"/>
                <w:szCs w:val="20"/>
                <w:color w:val="auto"/>
              </w:rPr>
            </w:pPr>
            <w:r>
              <w:rPr>
                <w:rFonts w:ascii="Calibri" w:cs="Calibri" w:eastAsia="Calibri" w:hAnsi="Calibri"/>
                <w:sz w:val="18"/>
                <w:szCs w:val="18"/>
                <w:color w:val="auto"/>
              </w:rPr>
              <w:t>100 %</w:t>
            </w:r>
          </w:p>
        </w:tc>
        <w:tc>
          <w:tcPr>
            <w:tcW w:w="0" w:type="dxa"/>
            <w:vAlign w:val="bottom"/>
          </w:tcPr>
          <w:p>
            <w:pPr>
              <w:spacing w:after="0"/>
              <w:rPr>
                <w:sz w:val="1"/>
                <w:szCs w:val="1"/>
                <w:color w:val="auto"/>
              </w:rPr>
            </w:pPr>
          </w:p>
        </w:tc>
      </w:tr>
      <w:tr>
        <w:trPr>
          <w:trHeight w:val="20"/>
        </w:trPr>
        <w:tc>
          <w:tcPr>
            <w:tcW w:w="5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4" w:lineRule="exact"/>
        <w:rPr>
          <w:sz w:val="20"/>
          <w:szCs w:val="20"/>
          <w:color w:val="auto"/>
        </w:rPr>
      </w:pPr>
    </w:p>
    <w:p>
      <w:pPr>
        <w:ind w:right="100" w:firstLine="396"/>
        <w:spacing w:after="0" w:line="230" w:lineRule="auto"/>
        <w:rPr>
          <w:sz w:val="20"/>
          <w:szCs w:val="20"/>
          <w:color w:val="auto"/>
        </w:rPr>
      </w:pPr>
      <w:r>
        <w:rPr>
          <w:rFonts w:ascii="Calibri" w:cs="Calibri" w:eastAsia="Calibri" w:hAnsi="Calibri"/>
          <w:sz w:val="18"/>
          <w:szCs w:val="18"/>
          <w:color w:val="auto"/>
        </w:rPr>
        <w:t>Net revenue from our semiconductor solutons segment increased due to strong product demand, primarily for networking, server storage and broadband products. Net revenue from our infrastructure sofware segment increased primarily due to increases in sales from our mainframe solutons, partally ofset by lower demand for our FC SAN products.</w:t>
      </w:r>
    </w:p>
    <w:p>
      <w:pPr>
        <w:spacing w:after="0" w:line="98"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Gross Margin</w:t>
      </w:r>
    </w:p>
    <w:p>
      <w:pPr>
        <w:spacing w:after="0" w:line="107" w:lineRule="exact"/>
        <w:rPr>
          <w:sz w:val="20"/>
          <w:szCs w:val="20"/>
          <w:color w:val="auto"/>
        </w:rPr>
      </w:pPr>
    </w:p>
    <w:p>
      <w:pPr>
        <w:ind w:firstLine="396"/>
        <w:spacing w:after="0" w:line="230" w:lineRule="auto"/>
        <w:rPr>
          <w:sz w:val="20"/>
          <w:szCs w:val="20"/>
          <w:color w:val="auto"/>
        </w:rPr>
      </w:pPr>
      <w:r>
        <w:rPr>
          <w:rFonts w:ascii="Calibri" w:cs="Calibri" w:eastAsia="Calibri" w:hAnsi="Calibri"/>
          <w:sz w:val="18"/>
          <w:szCs w:val="18"/>
          <w:color w:val="auto"/>
        </w:rPr>
        <w:t>Gross margin was $24,690 million, or 69% of net revenue, for fscal year 2023, compared to $22,095 million, or 67% of net revenue, for fscal year 2022. The increase was primarily due to lower amortzaton of acquisiton-related intangible assets, mainly from our 2016 acquisiton of Broadcom Corporaton, partally ofset by less favorable margin within our semiconductor solutons segment driven by product mix. We expect to incur additonal amortzaton of acquisiton-related intangible assets in future periods as a result of the VMware Merger and any further acquisitons we may make.</w:t>
      </w:r>
    </w:p>
    <w:p>
      <w:pPr>
        <w:spacing w:after="0" w:line="99"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Research and Development Expense</w:t>
      </w:r>
    </w:p>
    <w:p>
      <w:pPr>
        <w:spacing w:after="0" w:line="107" w:lineRule="exact"/>
        <w:rPr>
          <w:sz w:val="20"/>
          <w:szCs w:val="20"/>
          <w:color w:val="auto"/>
        </w:rPr>
      </w:pPr>
    </w:p>
    <w:p>
      <w:pPr>
        <w:ind w:right="140" w:firstLine="396"/>
        <w:spacing w:after="0" w:line="230" w:lineRule="auto"/>
        <w:rPr>
          <w:sz w:val="20"/>
          <w:szCs w:val="20"/>
          <w:color w:val="auto"/>
        </w:rPr>
      </w:pPr>
      <w:r>
        <w:rPr>
          <w:rFonts w:ascii="Calibri" w:cs="Calibri" w:eastAsia="Calibri" w:hAnsi="Calibri"/>
          <w:sz w:val="18"/>
          <w:szCs w:val="18"/>
          <w:color w:val="auto"/>
        </w:rPr>
        <w:t>Research and development expense increased $334 million, or 7%, in fscal year 2023, compared to the prior fscal year. The increase was primarily due to higher stock-based compensaton expense as a result of annual employee equity awards granted at higher grant-date fair values in fscal year 2023, partally ofset by lower variable employee compensaton expense. We expect to incur additonal research and development expense in future periods as a result of the VMware Merger and any further acquisitons we may make.</w:t>
      </w:r>
    </w:p>
    <w:p>
      <w:pPr>
        <w:spacing w:after="0" w:line="99"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Selling, General and Administratve Expense</w:t>
      </w:r>
    </w:p>
    <w:p>
      <w:pPr>
        <w:spacing w:after="0" w:line="107" w:lineRule="exact"/>
        <w:rPr>
          <w:sz w:val="20"/>
          <w:szCs w:val="20"/>
          <w:color w:val="auto"/>
        </w:rPr>
      </w:pPr>
    </w:p>
    <w:p>
      <w:pPr>
        <w:jc w:val="both"/>
        <w:ind w:right="20" w:firstLine="396"/>
        <w:spacing w:after="0" w:line="230" w:lineRule="auto"/>
        <w:rPr>
          <w:sz w:val="20"/>
          <w:szCs w:val="20"/>
          <w:color w:val="auto"/>
        </w:rPr>
      </w:pPr>
      <w:r>
        <w:rPr>
          <w:rFonts w:ascii="Calibri" w:cs="Calibri" w:eastAsia="Calibri" w:hAnsi="Calibri"/>
          <w:sz w:val="18"/>
          <w:szCs w:val="18"/>
          <w:color w:val="auto"/>
        </w:rPr>
        <w:t>Selling, general and administratve expense increased $210 million, or 15%, in fscal year 2023, compared to the prior fscal year. The increase was primarily due to higher costs incurred in connecton with the VMware Merger and higher stock-based compensaton expense as a result of annual employee equity awards granted at higher grant-date fair values in fscal year 2023, partally ofset by lower variable employee compensaton expense.</w:t>
      </w:r>
    </w:p>
    <w:p>
      <w:pPr>
        <w:spacing w:after="0" w:line="98"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Amortzaton of Acquisiton-Related Intangible Assets</w:t>
      </w:r>
    </w:p>
    <w:p>
      <w:pPr>
        <w:spacing w:after="0" w:line="107" w:lineRule="exact"/>
        <w:rPr>
          <w:sz w:val="20"/>
          <w:szCs w:val="20"/>
          <w:color w:val="auto"/>
        </w:rPr>
      </w:pPr>
    </w:p>
    <w:p>
      <w:pPr>
        <w:ind w:firstLine="396"/>
        <w:spacing w:after="0" w:line="230" w:lineRule="auto"/>
        <w:rPr>
          <w:sz w:val="20"/>
          <w:szCs w:val="20"/>
          <w:color w:val="auto"/>
        </w:rPr>
      </w:pPr>
      <w:r>
        <w:rPr>
          <w:rFonts w:ascii="Calibri" w:cs="Calibri" w:eastAsia="Calibri" w:hAnsi="Calibri"/>
          <w:sz w:val="18"/>
          <w:szCs w:val="18"/>
          <w:color w:val="auto"/>
        </w:rPr>
        <w:t>Amortzaton of acquisiton-related intangible assets recognized in operatng expenses decreased $118 million, or 8%, in fscal year 2023, compared to the prior fscal year. The decrease was primarily due to lower amortzaton of customer-related intangible assets from our acquisiton of LSI Corporaton. We expect to incur additonal amortzaton of acquisiton-related intangible assets in future periods as a result of the VMware Merger and any further acquisitons we may make.</w:t>
      </w:r>
    </w:p>
    <w:p>
      <w:pPr>
        <w:spacing w:after="0" w:line="99"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Restructuring and Other Charges</w:t>
      </w:r>
    </w:p>
    <w:p>
      <w:pPr>
        <w:spacing w:after="0" w:line="107" w:lineRule="exact"/>
        <w:rPr>
          <w:sz w:val="20"/>
          <w:szCs w:val="20"/>
          <w:color w:val="auto"/>
        </w:rPr>
      </w:pPr>
    </w:p>
    <w:p>
      <w:pPr>
        <w:ind w:right="780" w:firstLine="396"/>
        <w:spacing w:after="0" w:line="230" w:lineRule="auto"/>
        <w:rPr>
          <w:sz w:val="20"/>
          <w:szCs w:val="20"/>
          <w:color w:val="auto"/>
        </w:rPr>
      </w:pPr>
      <w:r>
        <w:rPr>
          <w:rFonts w:ascii="Calibri" w:cs="Calibri" w:eastAsia="Calibri" w:hAnsi="Calibri"/>
          <w:sz w:val="18"/>
          <w:szCs w:val="18"/>
          <w:color w:val="auto"/>
        </w:rPr>
        <w:t>Restructuring and other charges in fscal year 2023 primarily included non-recurring charges related to IP litgaton. We expect to incur additonal restructuring and other charges in future periods as a result of the VMware Merger and any further acquisitons we may make.</w:t>
      </w:r>
    </w:p>
    <w:p>
      <w:pPr>
        <w:spacing w:after="0" w:line="97"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Stock-Based Compensaton Expense</w:t>
      </w:r>
    </w:p>
    <w:p>
      <w:pPr>
        <w:spacing w:after="0" w:line="107" w:lineRule="exact"/>
        <w:rPr>
          <w:sz w:val="20"/>
          <w:szCs w:val="20"/>
          <w:color w:val="auto"/>
        </w:rPr>
      </w:pPr>
    </w:p>
    <w:p>
      <w:pPr>
        <w:jc w:val="both"/>
        <w:ind w:right="80" w:firstLine="396"/>
        <w:spacing w:after="0" w:line="230" w:lineRule="auto"/>
        <w:rPr>
          <w:sz w:val="20"/>
          <w:szCs w:val="20"/>
          <w:color w:val="auto"/>
        </w:rPr>
      </w:pPr>
      <w:r>
        <w:rPr>
          <w:rFonts w:ascii="Calibri" w:cs="Calibri" w:eastAsia="Calibri" w:hAnsi="Calibri"/>
          <w:sz w:val="18"/>
          <w:szCs w:val="18"/>
          <w:color w:val="auto"/>
        </w:rPr>
        <w:t>Total stock-based compensaton expense was $2,171 million and $1,533 million for fscal years 2023 and 2022, respectvely. The increase was primarily due to annual employee equity awards granted at higher grant-date fair values in fscal year 2023. We expect to incur additonal stock-based compensaton expense in future periods as a result of the VMware Merger and any further acquisitons we may make.</w:t>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9" w:right="339" w:bottom="1440" w:gutter="0" w:footer="0" w:header="0"/>
        </w:sectPr>
      </w:pPr>
    </w:p>
    <w:bookmarkStart w:id="44" w:name="page45"/>
    <w:bookmarkEnd w:id="44"/>
    <w:p>
      <w:pPr>
        <w:spacing w:after="0"/>
        <w:rPr>
          <w:sz w:val="20"/>
          <w:szCs w:val="20"/>
          <w:color w:val="auto"/>
        </w:rPr>
      </w:pPr>
      <w:r>
        <w:rPr>
          <w:rFonts w:ascii="Calibri" w:cs="Calibri" w:eastAsia="Calibri" w:hAnsi="Calibri"/>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right="340" w:firstLine="396"/>
        <w:spacing w:after="0" w:line="230" w:lineRule="auto"/>
        <w:rPr>
          <w:sz w:val="20"/>
          <w:szCs w:val="20"/>
          <w:color w:val="auto"/>
        </w:rPr>
      </w:pPr>
      <w:r>
        <w:rPr>
          <w:rFonts w:ascii="Calibri" w:cs="Calibri" w:eastAsia="Calibri" w:hAnsi="Calibri"/>
          <w:sz w:val="18"/>
          <w:szCs w:val="18"/>
          <w:color w:val="auto"/>
        </w:rPr>
        <w:t>The following table sets forth the total unrecognized compensaton cost related to unvested stock-based awards outstanding and expected to vest as of October 29, 2023. The remaining weighted-average service period was 3.4 years.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480" w:type="dxa"/>
            <w:vAlign w:val="bottom"/>
          </w:tcPr>
          <w:p>
            <w:pPr>
              <w:spacing w:after="0"/>
              <w:rPr>
                <w:sz w:val="14"/>
                <w:szCs w:val="14"/>
                <w:color w:val="auto"/>
              </w:rPr>
            </w:pPr>
          </w:p>
        </w:tc>
        <w:tc>
          <w:tcPr>
            <w:tcW w:w="1760" w:type="dxa"/>
            <w:vAlign w:val="bottom"/>
            <w:gridSpan w:val="2"/>
          </w:tcPr>
          <w:p>
            <w:pPr>
              <w:jc w:val="center"/>
              <w:spacing w:after="0"/>
              <w:rPr>
                <w:sz w:val="20"/>
                <w:szCs w:val="20"/>
                <w:color w:val="auto"/>
              </w:rPr>
            </w:pPr>
            <w:r>
              <w:rPr>
                <w:rFonts w:ascii="Calibri" w:cs="Calibri" w:eastAsia="Calibri" w:hAnsi="Calibri"/>
                <w:sz w:val="14"/>
                <w:szCs w:val="14"/>
                <w:b w:val="1"/>
                <w:bCs w:val="1"/>
                <w:color w:val="auto"/>
              </w:rPr>
              <w:t>Unrecognized Compensaton</w:t>
            </w:r>
          </w:p>
        </w:tc>
        <w:tc>
          <w:tcPr>
            <w:tcW w:w="0" w:type="dxa"/>
            <w:vAlign w:val="bottom"/>
          </w:tcPr>
          <w:p>
            <w:pPr>
              <w:spacing w:after="0"/>
              <w:rPr>
                <w:sz w:val="1"/>
                <w:szCs w:val="1"/>
                <w:color w:val="auto"/>
              </w:rPr>
            </w:pPr>
          </w:p>
        </w:tc>
      </w:tr>
      <w:tr>
        <w:trPr>
          <w:trHeight w:val="134"/>
        </w:trPr>
        <w:tc>
          <w:tcPr>
            <w:tcW w:w="9480" w:type="dxa"/>
            <w:vAlign w:val="bottom"/>
            <w:vMerge w:val="restart"/>
          </w:tcPr>
          <w:p>
            <w:pPr>
              <w:ind w:left="20"/>
              <w:spacing w:after="0"/>
              <w:rPr>
                <w:sz w:val="20"/>
                <w:szCs w:val="20"/>
                <w:color w:val="auto"/>
              </w:rPr>
            </w:pPr>
            <w:r>
              <w:rPr>
                <w:rFonts w:ascii="Calibri" w:cs="Calibri" w:eastAsia="Calibri" w:hAnsi="Calibri"/>
                <w:sz w:val="18"/>
                <w:szCs w:val="18"/>
                <w:b w:val="1"/>
                <w:bCs w:val="1"/>
                <w:color w:val="auto"/>
              </w:rPr>
              <w:t>Fiscal Year:</w:t>
            </w:r>
          </w:p>
        </w:tc>
        <w:tc>
          <w:tcPr>
            <w:tcW w:w="180" w:type="dxa"/>
            <w:vAlign w:val="bottom"/>
          </w:tcPr>
          <w:p>
            <w:pPr>
              <w:spacing w:after="0"/>
              <w:rPr>
                <w:sz w:val="11"/>
                <w:szCs w:val="11"/>
                <w:color w:val="auto"/>
              </w:rPr>
            </w:pPr>
          </w:p>
        </w:tc>
        <w:tc>
          <w:tcPr>
            <w:tcW w:w="1580" w:type="dxa"/>
            <w:vAlign w:val="bottom"/>
          </w:tcPr>
          <w:p>
            <w:pPr>
              <w:jc w:val="center"/>
              <w:ind w:right="98"/>
              <w:spacing w:after="0" w:line="134" w:lineRule="exact"/>
              <w:rPr>
                <w:sz w:val="20"/>
                <w:szCs w:val="20"/>
                <w:color w:val="auto"/>
              </w:rPr>
            </w:pPr>
            <w:r>
              <w:rPr>
                <w:rFonts w:ascii="Calibri" w:cs="Calibri" w:eastAsia="Calibri" w:hAnsi="Calibri"/>
                <w:sz w:val="14"/>
                <w:szCs w:val="14"/>
                <w:b w:val="1"/>
                <w:bCs w:val="1"/>
                <w:color w:val="auto"/>
                <w:w w:val="99"/>
              </w:rPr>
              <w:t>Cost, Net of Expected</w:t>
            </w:r>
          </w:p>
        </w:tc>
        <w:tc>
          <w:tcPr>
            <w:tcW w:w="0" w:type="dxa"/>
            <w:vAlign w:val="bottom"/>
          </w:tcPr>
          <w:p>
            <w:pPr>
              <w:spacing w:after="0"/>
              <w:rPr>
                <w:sz w:val="1"/>
                <w:szCs w:val="1"/>
                <w:color w:val="auto"/>
              </w:rPr>
            </w:pPr>
          </w:p>
        </w:tc>
      </w:tr>
      <w:tr>
        <w:trPr>
          <w:trHeight w:val="189"/>
        </w:trPr>
        <w:tc>
          <w:tcPr>
            <w:tcW w:w="948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580" w:type="dxa"/>
            <w:vAlign w:val="bottom"/>
          </w:tcPr>
          <w:p>
            <w:pPr>
              <w:jc w:val="center"/>
              <w:ind w:right="98"/>
              <w:spacing w:after="0" w:line="168" w:lineRule="exact"/>
              <w:rPr>
                <w:sz w:val="20"/>
                <w:szCs w:val="20"/>
                <w:color w:val="auto"/>
              </w:rPr>
            </w:pPr>
            <w:r>
              <w:rPr>
                <w:rFonts w:ascii="Calibri" w:cs="Calibri" w:eastAsia="Calibri" w:hAnsi="Calibri"/>
                <w:sz w:val="14"/>
                <w:szCs w:val="14"/>
                <w:b w:val="1"/>
                <w:bCs w:val="1"/>
                <w:color w:val="auto"/>
              </w:rPr>
              <w:t>Forfeitures</w:t>
            </w:r>
          </w:p>
        </w:tc>
        <w:tc>
          <w:tcPr>
            <w:tcW w:w="0" w:type="dxa"/>
            <w:vAlign w:val="bottom"/>
          </w:tcPr>
          <w:p>
            <w:pPr>
              <w:spacing w:after="0"/>
              <w:rPr>
                <w:sz w:val="1"/>
                <w:szCs w:val="1"/>
                <w:color w:val="auto"/>
              </w:rPr>
            </w:pPr>
          </w:p>
        </w:tc>
      </w:tr>
      <w:tr>
        <w:trPr>
          <w:trHeight w:val="22"/>
        </w:trPr>
        <w:tc>
          <w:tcPr>
            <w:tcW w:w="94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1"/>
        </w:trPr>
        <w:tc>
          <w:tcPr>
            <w:tcW w:w="94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80" w:type="dxa"/>
            <w:vAlign w:val="bottom"/>
          </w:tcPr>
          <w:p>
            <w:pPr>
              <w:jc w:val="center"/>
              <w:ind w:right="78"/>
              <w:spacing w:after="0" w:line="161" w:lineRule="exact"/>
              <w:rPr>
                <w:sz w:val="20"/>
                <w:szCs w:val="20"/>
                <w:color w:val="auto"/>
              </w:rPr>
            </w:pPr>
            <w:r>
              <w:rPr>
                <w:rFonts w:ascii="Calibri" w:cs="Calibri" w:eastAsia="Calibri" w:hAnsi="Calibri"/>
                <w:sz w:val="14"/>
                <w:szCs w:val="14"/>
                <w:b w:val="1"/>
                <w:bCs w:val="1"/>
                <w:color w:val="auto"/>
              </w:rPr>
              <w:t>(In millions)</w:t>
            </w:r>
          </w:p>
        </w:tc>
        <w:tc>
          <w:tcPr>
            <w:tcW w:w="0" w:type="dxa"/>
            <w:vAlign w:val="bottom"/>
          </w:tcPr>
          <w:p>
            <w:pPr>
              <w:spacing w:after="0"/>
              <w:rPr>
                <w:sz w:val="1"/>
                <w:szCs w:val="1"/>
                <w:color w:val="auto"/>
              </w:rPr>
            </w:pPr>
          </w:p>
        </w:tc>
      </w:tr>
      <w:tr>
        <w:trPr>
          <w:trHeight w:val="30"/>
        </w:trPr>
        <w:tc>
          <w:tcPr>
            <w:tcW w:w="9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4"/>
        </w:trPr>
        <w:tc>
          <w:tcPr>
            <w:tcW w:w="9480" w:type="dxa"/>
            <w:vAlign w:val="bottom"/>
            <w:shd w:val="clear" w:color="auto" w:fill="CCEEFF"/>
          </w:tcPr>
          <w:p>
            <w:pPr>
              <w:ind w:left="20"/>
              <w:spacing w:after="0" w:line="210" w:lineRule="exact"/>
              <w:rPr>
                <w:sz w:val="20"/>
                <w:szCs w:val="20"/>
                <w:color w:val="auto"/>
              </w:rPr>
            </w:pPr>
            <w:r>
              <w:rPr>
                <w:rFonts w:ascii="Calibri" w:cs="Calibri" w:eastAsia="Calibri" w:hAnsi="Calibri"/>
                <w:sz w:val="18"/>
                <w:szCs w:val="18"/>
                <w:color w:val="auto"/>
              </w:rPr>
              <w:t>2024</w:t>
            </w:r>
          </w:p>
        </w:tc>
        <w:tc>
          <w:tcPr>
            <w:tcW w:w="180" w:type="dxa"/>
            <w:vAlign w:val="bottom"/>
            <w:shd w:val="clear" w:color="auto" w:fill="CCEEFF"/>
          </w:tcPr>
          <w:p>
            <w:pPr>
              <w:jc w:val="right"/>
              <w:spacing w:after="0" w:line="210" w:lineRule="exact"/>
              <w:rPr>
                <w:sz w:val="20"/>
                <w:szCs w:val="20"/>
                <w:color w:val="auto"/>
              </w:rPr>
            </w:pPr>
            <w:r>
              <w:rPr>
                <w:rFonts w:ascii="Calibri" w:cs="Calibri" w:eastAsia="Calibri" w:hAnsi="Calibri"/>
                <w:sz w:val="18"/>
                <w:szCs w:val="18"/>
                <w:color w:val="auto"/>
              </w:rPr>
              <w:t>$</w:t>
            </w:r>
          </w:p>
        </w:tc>
        <w:tc>
          <w:tcPr>
            <w:tcW w:w="1580" w:type="dxa"/>
            <w:vAlign w:val="bottom"/>
            <w:shd w:val="clear" w:color="auto" w:fill="CCEEFF"/>
          </w:tcPr>
          <w:p>
            <w:pPr>
              <w:jc w:val="right"/>
              <w:spacing w:after="0" w:line="210" w:lineRule="exact"/>
              <w:rPr>
                <w:sz w:val="20"/>
                <w:szCs w:val="20"/>
                <w:color w:val="auto"/>
              </w:rPr>
            </w:pPr>
            <w:r>
              <w:rPr>
                <w:rFonts w:ascii="Calibri" w:cs="Calibri" w:eastAsia="Calibri" w:hAnsi="Calibri"/>
                <w:sz w:val="18"/>
                <w:szCs w:val="18"/>
                <w:color w:val="auto"/>
              </w:rPr>
              <w:t>2,279</w:t>
            </w:r>
          </w:p>
        </w:tc>
        <w:tc>
          <w:tcPr>
            <w:tcW w:w="0" w:type="dxa"/>
            <w:vAlign w:val="bottom"/>
          </w:tcPr>
          <w:p>
            <w:pPr>
              <w:spacing w:after="0"/>
              <w:rPr>
                <w:sz w:val="1"/>
                <w:szCs w:val="1"/>
                <w:color w:val="auto"/>
              </w:rPr>
            </w:pPr>
          </w:p>
        </w:tc>
      </w:tr>
      <w:tr>
        <w:trPr>
          <w:trHeight w:val="217"/>
        </w:trPr>
        <w:tc>
          <w:tcPr>
            <w:tcW w:w="9480" w:type="dxa"/>
            <w:vAlign w:val="bottom"/>
          </w:tcPr>
          <w:p>
            <w:pPr>
              <w:ind w:left="20"/>
              <w:spacing w:after="0" w:line="210" w:lineRule="exact"/>
              <w:rPr>
                <w:sz w:val="20"/>
                <w:szCs w:val="20"/>
                <w:color w:val="auto"/>
              </w:rPr>
            </w:pPr>
            <w:r>
              <w:rPr>
                <w:rFonts w:ascii="Calibri" w:cs="Calibri" w:eastAsia="Calibri" w:hAnsi="Calibri"/>
                <w:sz w:val="18"/>
                <w:szCs w:val="18"/>
                <w:color w:val="auto"/>
              </w:rPr>
              <w:t>2025</w:t>
            </w:r>
          </w:p>
        </w:tc>
        <w:tc>
          <w:tcPr>
            <w:tcW w:w="180" w:type="dxa"/>
            <w:vAlign w:val="bottom"/>
          </w:tcPr>
          <w:p>
            <w:pPr>
              <w:spacing w:after="0"/>
              <w:rPr>
                <w:sz w:val="18"/>
                <w:szCs w:val="18"/>
                <w:color w:val="auto"/>
              </w:rPr>
            </w:pPr>
          </w:p>
        </w:tc>
        <w:tc>
          <w:tcPr>
            <w:tcW w:w="1580" w:type="dxa"/>
            <w:vAlign w:val="bottom"/>
          </w:tcPr>
          <w:p>
            <w:pPr>
              <w:jc w:val="right"/>
              <w:spacing w:after="0" w:line="210" w:lineRule="exact"/>
              <w:rPr>
                <w:sz w:val="20"/>
                <w:szCs w:val="20"/>
                <w:color w:val="auto"/>
              </w:rPr>
            </w:pPr>
            <w:r>
              <w:rPr>
                <w:rFonts w:ascii="Calibri" w:cs="Calibri" w:eastAsia="Calibri" w:hAnsi="Calibri"/>
                <w:sz w:val="18"/>
                <w:szCs w:val="18"/>
                <w:color w:val="auto"/>
              </w:rPr>
              <w:t>1,845</w:t>
            </w:r>
          </w:p>
        </w:tc>
        <w:tc>
          <w:tcPr>
            <w:tcW w:w="0" w:type="dxa"/>
            <w:vAlign w:val="bottom"/>
          </w:tcPr>
          <w:p>
            <w:pPr>
              <w:spacing w:after="0"/>
              <w:rPr>
                <w:sz w:val="1"/>
                <w:szCs w:val="1"/>
                <w:color w:val="auto"/>
              </w:rPr>
            </w:pPr>
          </w:p>
        </w:tc>
      </w:tr>
      <w:tr>
        <w:trPr>
          <w:trHeight w:val="232"/>
        </w:trPr>
        <w:tc>
          <w:tcPr>
            <w:tcW w:w="9480" w:type="dxa"/>
            <w:vAlign w:val="bottom"/>
            <w:shd w:val="clear" w:color="auto" w:fill="CCEEFF"/>
          </w:tcPr>
          <w:p>
            <w:pPr>
              <w:ind w:left="20"/>
              <w:spacing w:after="0" w:line="217" w:lineRule="exact"/>
              <w:rPr>
                <w:sz w:val="20"/>
                <w:szCs w:val="20"/>
                <w:color w:val="auto"/>
              </w:rPr>
            </w:pPr>
            <w:r>
              <w:rPr>
                <w:rFonts w:ascii="Calibri" w:cs="Calibri" w:eastAsia="Calibri" w:hAnsi="Calibri"/>
                <w:sz w:val="18"/>
                <w:szCs w:val="18"/>
                <w:color w:val="auto"/>
              </w:rPr>
              <w:t>2026</w:t>
            </w:r>
          </w:p>
        </w:tc>
        <w:tc>
          <w:tcPr>
            <w:tcW w:w="180" w:type="dxa"/>
            <w:vAlign w:val="bottom"/>
            <w:shd w:val="clear" w:color="auto" w:fill="CCEEFF"/>
          </w:tcPr>
          <w:p>
            <w:pPr>
              <w:spacing w:after="0"/>
              <w:rPr>
                <w:sz w:val="20"/>
                <w:szCs w:val="20"/>
                <w:color w:val="auto"/>
              </w:rPr>
            </w:pPr>
          </w:p>
        </w:tc>
        <w:tc>
          <w:tcPr>
            <w:tcW w:w="1580" w:type="dxa"/>
            <w:vAlign w:val="bottom"/>
            <w:shd w:val="clear" w:color="auto" w:fill="CCEEFF"/>
          </w:tcPr>
          <w:p>
            <w:pPr>
              <w:jc w:val="right"/>
              <w:spacing w:after="0" w:line="217" w:lineRule="exact"/>
              <w:rPr>
                <w:sz w:val="20"/>
                <w:szCs w:val="20"/>
                <w:color w:val="auto"/>
              </w:rPr>
            </w:pPr>
            <w:r>
              <w:rPr>
                <w:rFonts w:ascii="Calibri" w:cs="Calibri" w:eastAsia="Calibri" w:hAnsi="Calibri"/>
                <w:sz w:val="18"/>
                <w:szCs w:val="18"/>
                <w:color w:val="auto"/>
              </w:rPr>
              <w:t>1,407</w:t>
            </w:r>
          </w:p>
        </w:tc>
        <w:tc>
          <w:tcPr>
            <w:tcW w:w="0" w:type="dxa"/>
            <w:vAlign w:val="bottom"/>
          </w:tcPr>
          <w:p>
            <w:pPr>
              <w:spacing w:after="0"/>
              <w:rPr>
                <w:sz w:val="1"/>
                <w:szCs w:val="1"/>
                <w:color w:val="auto"/>
              </w:rPr>
            </w:pPr>
          </w:p>
        </w:tc>
      </w:tr>
      <w:tr>
        <w:trPr>
          <w:trHeight w:val="217"/>
        </w:trPr>
        <w:tc>
          <w:tcPr>
            <w:tcW w:w="9480" w:type="dxa"/>
            <w:vAlign w:val="bottom"/>
          </w:tcPr>
          <w:p>
            <w:pPr>
              <w:ind w:left="20"/>
              <w:spacing w:after="0" w:line="210" w:lineRule="exact"/>
              <w:rPr>
                <w:sz w:val="20"/>
                <w:szCs w:val="20"/>
                <w:color w:val="auto"/>
              </w:rPr>
            </w:pPr>
            <w:r>
              <w:rPr>
                <w:rFonts w:ascii="Calibri" w:cs="Calibri" w:eastAsia="Calibri" w:hAnsi="Calibri"/>
                <w:sz w:val="18"/>
                <w:szCs w:val="18"/>
                <w:color w:val="auto"/>
              </w:rPr>
              <w:t>2027</w:t>
            </w:r>
          </w:p>
        </w:tc>
        <w:tc>
          <w:tcPr>
            <w:tcW w:w="180" w:type="dxa"/>
            <w:vAlign w:val="bottom"/>
          </w:tcPr>
          <w:p>
            <w:pPr>
              <w:spacing w:after="0"/>
              <w:rPr>
                <w:sz w:val="18"/>
                <w:szCs w:val="18"/>
                <w:color w:val="auto"/>
              </w:rPr>
            </w:pPr>
          </w:p>
        </w:tc>
        <w:tc>
          <w:tcPr>
            <w:tcW w:w="1580" w:type="dxa"/>
            <w:vAlign w:val="bottom"/>
          </w:tcPr>
          <w:p>
            <w:pPr>
              <w:jc w:val="right"/>
              <w:spacing w:after="0" w:line="210" w:lineRule="exact"/>
              <w:rPr>
                <w:sz w:val="20"/>
                <w:szCs w:val="20"/>
                <w:color w:val="auto"/>
              </w:rPr>
            </w:pPr>
            <w:r>
              <w:rPr>
                <w:rFonts w:ascii="Calibri" w:cs="Calibri" w:eastAsia="Calibri" w:hAnsi="Calibri"/>
                <w:sz w:val="18"/>
                <w:szCs w:val="18"/>
                <w:color w:val="auto"/>
              </w:rPr>
              <w:t>715</w:t>
            </w:r>
          </w:p>
        </w:tc>
        <w:tc>
          <w:tcPr>
            <w:tcW w:w="0" w:type="dxa"/>
            <w:vAlign w:val="bottom"/>
          </w:tcPr>
          <w:p>
            <w:pPr>
              <w:spacing w:after="0"/>
              <w:rPr>
                <w:sz w:val="1"/>
                <w:szCs w:val="1"/>
                <w:color w:val="auto"/>
              </w:rPr>
            </w:pPr>
          </w:p>
        </w:tc>
      </w:tr>
      <w:tr>
        <w:trPr>
          <w:trHeight w:val="225"/>
        </w:trPr>
        <w:tc>
          <w:tcPr>
            <w:tcW w:w="9480" w:type="dxa"/>
            <w:vAlign w:val="bottom"/>
            <w:shd w:val="clear" w:color="auto" w:fill="CCEEFF"/>
          </w:tcPr>
          <w:p>
            <w:pPr>
              <w:ind w:left="40"/>
              <w:spacing w:after="0" w:line="217" w:lineRule="exact"/>
              <w:rPr>
                <w:sz w:val="20"/>
                <w:szCs w:val="20"/>
                <w:color w:val="auto"/>
              </w:rPr>
            </w:pPr>
            <w:r>
              <w:rPr>
                <w:rFonts w:ascii="Calibri" w:cs="Calibri" w:eastAsia="Calibri" w:hAnsi="Calibri"/>
                <w:sz w:val="18"/>
                <w:szCs w:val="18"/>
                <w:color w:val="auto"/>
              </w:rPr>
              <w:t>2028</w:t>
            </w:r>
          </w:p>
        </w:tc>
        <w:tc>
          <w:tcPr>
            <w:tcW w:w="18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line="217" w:lineRule="exact"/>
              <w:rPr>
                <w:sz w:val="20"/>
                <w:szCs w:val="20"/>
                <w:color w:val="auto"/>
              </w:rPr>
            </w:pPr>
            <w:r>
              <w:rPr>
                <w:rFonts w:ascii="Calibri" w:cs="Calibri" w:eastAsia="Calibri" w:hAnsi="Calibri"/>
                <w:sz w:val="18"/>
                <w:szCs w:val="18"/>
                <w:color w:val="auto"/>
              </w:rPr>
              <w:t>129</w:t>
            </w:r>
          </w:p>
        </w:tc>
        <w:tc>
          <w:tcPr>
            <w:tcW w:w="0" w:type="dxa"/>
            <w:vAlign w:val="bottom"/>
          </w:tcPr>
          <w:p>
            <w:pPr>
              <w:spacing w:after="0"/>
              <w:rPr>
                <w:sz w:val="1"/>
                <w:szCs w:val="1"/>
                <w:color w:val="auto"/>
              </w:rPr>
            </w:pPr>
          </w:p>
        </w:tc>
      </w:tr>
      <w:tr>
        <w:trPr>
          <w:trHeight w:val="224"/>
        </w:trPr>
        <w:tc>
          <w:tcPr>
            <w:tcW w:w="9480" w:type="dxa"/>
            <w:vAlign w:val="bottom"/>
          </w:tcPr>
          <w:p>
            <w:pPr>
              <w:ind w:left="140"/>
              <w:spacing w:after="0"/>
              <w:rPr>
                <w:sz w:val="20"/>
                <w:szCs w:val="20"/>
                <w:color w:val="auto"/>
              </w:rPr>
            </w:pPr>
            <w:r>
              <w:rPr>
                <w:rFonts w:ascii="Calibri" w:cs="Calibri" w:eastAsia="Calibri" w:hAnsi="Calibri"/>
                <w:sz w:val="18"/>
                <w:szCs w:val="18"/>
                <w:color w:val="auto"/>
              </w:rPr>
              <w:t>Total</w:t>
            </w:r>
          </w:p>
        </w:tc>
        <w:tc>
          <w:tcPr>
            <w:tcW w:w="180" w:type="dxa"/>
            <w:vAlign w:val="bottom"/>
            <w:tcBorders>
              <w:bottom w:val="single" w:sz="8" w:color="auto"/>
            </w:tcBorders>
          </w:tcPr>
          <w:p>
            <w:pPr>
              <w:jc w:val="right"/>
              <w:spacing w:after="0" w:line="210" w:lineRule="exact"/>
              <w:rPr>
                <w:sz w:val="20"/>
                <w:szCs w:val="20"/>
                <w:color w:val="auto"/>
              </w:rPr>
            </w:pPr>
            <w:r>
              <w:rPr>
                <w:rFonts w:ascii="Calibri" w:cs="Calibri" w:eastAsia="Calibri" w:hAnsi="Calibri"/>
                <w:sz w:val="18"/>
                <w:szCs w:val="18"/>
                <w:color w:val="auto"/>
              </w:rPr>
              <w:t>$</w:t>
            </w:r>
          </w:p>
        </w:tc>
        <w:tc>
          <w:tcPr>
            <w:tcW w:w="1580" w:type="dxa"/>
            <w:vAlign w:val="bottom"/>
            <w:tcBorders>
              <w:bottom w:val="single" w:sz="8" w:color="auto"/>
            </w:tcBorders>
          </w:tcPr>
          <w:p>
            <w:pPr>
              <w:jc w:val="right"/>
              <w:spacing w:after="0" w:line="210" w:lineRule="exact"/>
              <w:rPr>
                <w:sz w:val="20"/>
                <w:szCs w:val="20"/>
                <w:color w:val="auto"/>
              </w:rPr>
            </w:pPr>
            <w:r>
              <w:rPr>
                <w:rFonts w:ascii="Calibri" w:cs="Calibri" w:eastAsia="Calibri" w:hAnsi="Calibri"/>
                <w:sz w:val="18"/>
                <w:szCs w:val="18"/>
                <w:color w:val="auto"/>
              </w:rPr>
              <w:t>6,375</w:t>
            </w:r>
          </w:p>
        </w:tc>
        <w:tc>
          <w:tcPr>
            <w:tcW w:w="0" w:type="dxa"/>
            <w:vAlign w:val="bottom"/>
          </w:tcPr>
          <w:p>
            <w:pPr>
              <w:spacing w:after="0"/>
              <w:rPr>
                <w:sz w:val="1"/>
                <w:szCs w:val="1"/>
                <w:color w:val="auto"/>
              </w:rPr>
            </w:pPr>
          </w:p>
        </w:tc>
      </w:tr>
      <w:tr>
        <w:trPr>
          <w:trHeight w:val="20"/>
        </w:trPr>
        <w:tc>
          <w:tcPr>
            <w:tcW w:w="94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7" w:lineRule="exact"/>
        <w:rPr>
          <w:sz w:val="20"/>
          <w:szCs w:val="20"/>
          <w:color w:val="auto"/>
        </w:rPr>
      </w:pPr>
    </w:p>
    <w:p>
      <w:pPr>
        <w:ind w:right="60" w:firstLine="396"/>
        <w:spacing w:after="0" w:line="230" w:lineRule="auto"/>
        <w:rPr>
          <w:sz w:val="20"/>
          <w:szCs w:val="20"/>
          <w:color w:val="auto"/>
        </w:rPr>
      </w:pPr>
      <w:r>
        <w:rPr>
          <w:rFonts w:ascii="Calibri" w:cs="Calibri" w:eastAsia="Calibri" w:hAnsi="Calibri"/>
          <w:sz w:val="18"/>
          <w:szCs w:val="18"/>
          <w:color w:val="auto"/>
        </w:rPr>
        <w:t>During the frst quarter of fscal year ended November 3, 2019 (“fscal year 2019”), our Compensaton Commitee approved a broad-based program of mult-year equity grants of tme- and market-based RSUs (the “Mult-Year Equity Awards”) in lieu of our annual employee equity awards historically granted on March 15 of each year. Each Mult-Year Equity Award vests on the same basis as four annual grants made on March 15 of each year, beginning in fscal year 2019, with successive four-year vestng periods. We recognize stock-based compensaton expense related to the Mult-Year Equity Awards from the grant date through their respectve vestng date, ranging from 4 years to 7 years.</w:t>
      </w:r>
    </w:p>
    <w:p>
      <w:pPr>
        <w:spacing w:after="0" w:line="99"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Segment Operatng Results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700" w:type="dxa"/>
            <w:vAlign w:val="bottom"/>
            <w:gridSpan w:val="5"/>
          </w:tcPr>
          <w:p>
            <w:pPr>
              <w:ind w:left="720"/>
              <w:spacing w:after="0"/>
              <w:rPr>
                <w:sz w:val="20"/>
                <w:szCs w:val="20"/>
                <w:color w:val="auto"/>
              </w:rPr>
            </w:pPr>
            <w:r>
              <w:rPr>
                <w:rFonts w:ascii="Calibri" w:cs="Calibri" w:eastAsia="Calibri" w:hAnsi="Calibri"/>
                <w:sz w:val="14"/>
                <w:szCs w:val="14"/>
                <w:b w:val="1"/>
                <w:bCs w:val="1"/>
                <w:color w:val="auto"/>
              </w:rPr>
              <w:t>Fiscal Year Ended</w:t>
            </w:r>
          </w:p>
        </w:tc>
        <w:tc>
          <w:tcPr>
            <w:tcW w:w="2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5520" w:type="dxa"/>
            <w:vAlign w:val="bottom"/>
            <w:gridSpan w:val="2"/>
            <w:vMerge w:val="restart"/>
          </w:tcPr>
          <w:p>
            <w:pPr>
              <w:ind w:left="20"/>
              <w:spacing w:after="0"/>
              <w:rPr>
                <w:sz w:val="20"/>
                <w:szCs w:val="20"/>
                <w:color w:val="auto"/>
              </w:rPr>
            </w:pPr>
            <w:r>
              <w:rPr>
                <w:rFonts w:ascii="Calibri" w:cs="Calibri" w:eastAsia="Calibri" w:hAnsi="Calibri"/>
                <w:sz w:val="14"/>
                <w:szCs w:val="14"/>
                <w:b w:val="1"/>
                <w:bCs w:val="1"/>
                <w:color w:val="auto"/>
              </w:rPr>
              <w:t>Operatng Income by Segment</w:t>
            </w:r>
          </w:p>
        </w:tc>
        <w:tc>
          <w:tcPr>
            <w:tcW w:w="14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gridSpan w:val="2"/>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20" w:type="dxa"/>
            <w:vAlign w:val="bottom"/>
            <w:vMerge w:val="restart"/>
          </w:tcPr>
          <w:p>
            <w:pPr>
              <w:spacing w:after="0"/>
              <w:rPr>
                <w:sz w:val="3"/>
                <w:szCs w:val="3"/>
                <w:color w:val="auto"/>
              </w:rPr>
            </w:pPr>
          </w:p>
        </w:tc>
        <w:tc>
          <w:tcPr>
            <w:tcW w:w="240" w:type="dxa"/>
            <w:vAlign w:val="bottom"/>
          </w:tcPr>
          <w:p>
            <w:pPr>
              <w:spacing w:after="0"/>
              <w:rPr>
                <w:sz w:val="3"/>
                <w:szCs w:val="3"/>
                <w:color w:val="auto"/>
              </w:rPr>
            </w:pPr>
          </w:p>
        </w:tc>
        <w:tc>
          <w:tcPr>
            <w:tcW w:w="1060" w:type="dxa"/>
            <w:vAlign w:val="bottom"/>
            <w:vMerge w:val="restart"/>
          </w:tcPr>
          <w:p>
            <w:pPr>
              <w:jc w:val="right"/>
              <w:ind w:right="296"/>
              <w:spacing w:after="0"/>
              <w:rPr>
                <w:sz w:val="20"/>
                <w:szCs w:val="20"/>
                <w:color w:val="auto"/>
              </w:rPr>
            </w:pPr>
            <w:r>
              <w:rPr>
                <w:rFonts w:ascii="Calibri" w:cs="Calibri" w:eastAsia="Calibri" w:hAnsi="Calibri"/>
                <w:sz w:val="14"/>
                <w:szCs w:val="14"/>
                <w:b w:val="1"/>
                <w:bCs w:val="1"/>
                <w:color w:val="auto"/>
              </w:rPr>
              <w:t>$ Change</w:t>
            </w:r>
          </w:p>
        </w:tc>
        <w:tc>
          <w:tcPr>
            <w:tcW w:w="100" w:type="dxa"/>
            <w:vAlign w:val="bottom"/>
          </w:tcPr>
          <w:p>
            <w:pPr>
              <w:spacing w:after="0"/>
              <w:rPr>
                <w:sz w:val="3"/>
                <w:szCs w:val="3"/>
                <w:color w:val="auto"/>
              </w:rPr>
            </w:pPr>
          </w:p>
        </w:tc>
        <w:tc>
          <w:tcPr>
            <w:tcW w:w="1420" w:type="dxa"/>
            <w:vAlign w:val="bottom"/>
            <w:vMerge w:val="restart"/>
          </w:tcPr>
          <w:p>
            <w:pPr>
              <w:jc w:val="right"/>
              <w:ind w:right="350"/>
              <w:spacing w:after="0"/>
              <w:rPr>
                <w:sz w:val="20"/>
                <w:szCs w:val="20"/>
                <w:color w:val="auto"/>
              </w:rPr>
            </w:pPr>
            <w:r>
              <w:rPr>
                <w:rFonts w:ascii="Calibri" w:cs="Calibri" w:eastAsia="Calibri" w:hAnsi="Calibri"/>
                <w:sz w:val="14"/>
                <w:szCs w:val="14"/>
                <w:b w:val="1"/>
                <w:bCs w:val="1"/>
                <w:color w:val="auto"/>
              </w:rPr>
              <w:t>% Change</w:t>
            </w:r>
          </w:p>
        </w:tc>
        <w:tc>
          <w:tcPr>
            <w:tcW w:w="0" w:type="dxa"/>
            <w:vAlign w:val="bottom"/>
          </w:tcPr>
          <w:p>
            <w:pPr>
              <w:spacing w:after="0"/>
              <w:rPr>
                <w:sz w:val="1"/>
                <w:szCs w:val="1"/>
                <w:color w:val="auto"/>
              </w:rPr>
            </w:pPr>
          </w:p>
        </w:tc>
      </w:tr>
      <w:tr>
        <w:trPr>
          <w:trHeight w:val="161"/>
        </w:trPr>
        <w:tc>
          <w:tcPr>
            <w:tcW w:w="552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1280" w:type="dxa"/>
            <w:vAlign w:val="bottom"/>
            <w:gridSpan w:val="2"/>
          </w:tcPr>
          <w:p>
            <w:pPr>
              <w:ind w:left="20"/>
              <w:spacing w:after="0" w:line="161" w:lineRule="exact"/>
              <w:rPr>
                <w:sz w:val="20"/>
                <w:szCs w:val="20"/>
                <w:color w:val="auto"/>
              </w:rPr>
            </w:pPr>
            <w:r>
              <w:rPr>
                <w:rFonts w:ascii="Calibri" w:cs="Calibri" w:eastAsia="Calibri" w:hAnsi="Calibri"/>
                <w:sz w:val="14"/>
                <w:szCs w:val="14"/>
                <w:b w:val="1"/>
                <w:bCs w:val="1"/>
                <w:color w:val="auto"/>
              </w:rPr>
              <w:t>October 29, 2023</w:t>
            </w:r>
          </w:p>
        </w:tc>
        <w:tc>
          <w:tcPr>
            <w:tcW w:w="120" w:type="dxa"/>
            <w:vAlign w:val="bottom"/>
          </w:tcPr>
          <w:p>
            <w:pPr>
              <w:spacing w:after="0"/>
              <w:rPr>
                <w:sz w:val="13"/>
                <w:szCs w:val="13"/>
                <w:color w:val="auto"/>
              </w:rPr>
            </w:pPr>
          </w:p>
        </w:tc>
        <w:tc>
          <w:tcPr>
            <w:tcW w:w="1180" w:type="dxa"/>
            <w:vAlign w:val="bottom"/>
          </w:tcPr>
          <w:p>
            <w:pPr>
              <w:jc w:val="right"/>
              <w:ind w:right="58"/>
              <w:spacing w:after="0" w:line="161" w:lineRule="exact"/>
              <w:rPr>
                <w:sz w:val="20"/>
                <w:szCs w:val="20"/>
                <w:color w:val="auto"/>
              </w:rPr>
            </w:pPr>
            <w:r>
              <w:rPr>
                <w:rFonts w:ascii="Calibri" w:cs="Calibri" w:eastAsia="Calibri" w:hAnsi="Calibri"/>
                <w:sz w:val="14"/>
                <w:szCs w:val="14"/>
                <w:b w:val="1"/>
                <w:bCs w:val="1"/>
                <w:color w:val="auto"/>
              </w:rPr>
              <w:t>October 30, 2022</w:t>
            </w:r>
          </w:p>
        </w:tc>
        <w:tc>
          <w:tcPr>
            <w:tcW w:w="12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106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4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30"/>
        </w:trPr>
        <w:tc>
          <w:tcPr>
            <w:tcW w:w="5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5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0" w:type="dxa"/>
            <w:vAlign w:val="bottom"/>
            <w:gridSpan w:val="4"/>
          </w:tcPr>
          <w:p>
            <w:pPr>
              <w:jc w:val="right"/>
              <w:ind w:right="276"/>
              <w:spacing w:after="0"/>
              <w:rPr>
                <w:sz w:val="20"/>
                <w:szCs w:val="20"/>
                <w:color w:val="auto"/>
              </w:rPr>
            </w:pPr>
            <w:r>
              <w:rPr>
                <w:rFonts w:ascii="Calibri" w:cs="Calibri" w:eastAsia="Calibri" w:hAnsi="Calibri"/>
                <w:sz w:val="14"/>
                <w:szCs w:val="14"/>
                <w:b w:val="1"/>
                <w:bCs w:val="1"/>
                <w:color w:val="auto"/>
              </w:rPr>
              <w:t>(In millions, except percentages)</w:t>
            </w: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54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4"/>
        </w:trPr>
        <w:tc>
          <w:tcPr>
            <w:tcW w:w="5520" w:type="dxa"/>
            <w:vAlign w:val="bottom"/>
            <w:gridSpan w:val="2"/>
            <w:shd w:val="clear" w:color="auto" w:fill="CCEEFF"/>
          </w:tcPr>
          <w:p>
            <w:pPr>
              <w:ind w:left="20"/>
              <w:spacing w:after="0" w:line="210" w:lineRule="exact"/>
              <w:rPr>
                <w:sz w:val="20"/>
                <w:szCs w:val="20"/>
                <w:color w:val="auto"/>
              </w:rPr>
            </w:pPr>
            <w:r>
              <w:rPr>
                <w:rFonts w:ascii="Calibri" w:cs="Calibri" w:eastAsia="Calibri" w:hAnsi="Calibri"/>
                <w:sz w:val="18"/>
                <w:szCs w:val="18"/>
                <w:color w:val="auto"/>
              </w:rPr>
              <w:t>Semiconductor solutons</w:t>
            </w:r>
          </w:p>
        </w:tc>
        <w:tc>
          <w:tcPr>
            <w:tcW w:w="140" w:type="dxa"/>
            <w:vAlign w:val="bottom"/>
            <w:shd w:val="clear" w:color="auto" w:fill="CCEEFF"/>
          </w:tcPr>
          <w:p>
            <w:pPr>
              <w:jc w:val="right"/>
              <w:spacing w:after="0" w:line="210" w:lineRule="exact"/>
              <w:rPr>
                <w:sz w:val="20"/>
                <w:szCs w:val="20"/>
                <w:color w:val="auto"/>
              </w:rPr>
            </w:pPr>
            <w:r>
              <w:rPr>
                <w:rFonts w:ascii="Calibri" w:cs="Calibri" w:eastAsia="Calibri" w:hAnsi="Calibri"/>
                <w:sz w:val="18"/>
                <w:szCs w:val="18"/>
                <w:color w:val="auto"/>
              </w:rPr>
              <w:t>$</w:t>
            </w:r>
          </w:p>
        </w:tc>
        <w:tc>
          <w:tcPr>
            <w:tcW w:w="1180" w:type="dxa"/>
            <w:vAlign w:val="bottom"/>
            <w:shd w:val="clear" w:color="auto" w:fill="CCEEFF"/>
          </w:tcPr>
          <w:p>
            <w:pPr>
              <w:jc w:val="right"/>
              <w:spacing w:after="0" w:line="210" w:lineRule="exact"/>
              <w:rPr>
                <w:sz w:val="20"/>
                <w:szCs w:val="20"/>
                <w:color w:val="auto"/>
              </w:rPr>
            </w:pPr>
            <w:r>
              <w:rPr>
                <w:rFonts w:ascii="Calibri" w:cs="Calibri" w:eastAsia="Calibri" w:hAnsi="Calibri"/>
                <w:sz w:val="18"/>
                <w:szCs w:val="18"/>
                <w:color w:val="auto"/>
              </w:rPr>
              <w:t>16,486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line="210" w:lineRule="exact"/>
              <w:rPr>
                <w:sz w:val="20"/>
                <w:szCs w:val="20"/>
                <w:color w:val="auto"/>
              </w:rPr>
            </w:pPr>
            <w:r>
              <w:rPr>
                <w:rFonts w:ascii="Calibri" w:cs="Calibri" w:eastAsia="Calibri" w:hAnsi="Calibri"/>
                <w:sz w:val="18"/>
                <w:szCs w:val="18"/>
                <w:color w:val="auto"/>
                <w:w w:val="87"/>
              </w:rPr>
              <w:t>$</w:t>
            </w:r>
          </w:p>
        </w:tc>
        <w:tc>
          <w:tcPr>
            <w:tcW w:w="1180" w:type="dxa"/>
            <w:vAlign w:val="bottom"/>
            <w:shd w:val="clear" w:color="auto" w:fill="CCEEFF"/>
          </w:tcPr>
          <w:p>
            <w:pPr>
              <w:jc w:val="right"/>
              <w:spacing w:after="0" w:line="210" w:lineRule="exact"/>
              <w:rPr>
                <w:sz w:val="20"/>
                <w:szCs w:val="20"/>
                <w:color w:val="auto"/>
              </w:rPr>
            </w:pPr>
            <w:r>
              <w:rPr>
                <w:rFonts w:ascii="Calibri" w:cs="Calibri" w:eastAsia="Calibri" w:hAnsi="Calibri"/>
                <w:sz w:val="18"/>
                <w:szCs w:val="18"/>
                <w:color w:val="auto"/>
              </w:rPr>
              <w:t>15,075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2"/>
              <w:spacing w:after="0" w:line="210" w:lineRule="exact"/>
              <w:rPr>
                <w:sz w:val="20"/>
                <w:szCs w:val="20"/>
                <w:color w:val="auto"/>
              </w:rPr>
            </w:pPr>
            <w:r>
              <w:rPr>
                <w:rFonts w:ascii="Calibri" w:cs="Calibri" w:eastAsia="Calibri" w:hAnsi="Calibri"/>
                <w:sz w:val="18"/>
                <w:szCs w:val="18"/>
                <w:color w:val="auto"/>
                <w:w w:val="87"/>
              </w:rPr>
              <w:t>$</w:t>
            </w:r>
          </w:p>
        </w:tc>
        <w:tc>
          <w:tcPr>
            <w:tcW w:w="1060" w:type="dxa"/>
            <w:vAlign w:val="bottom"/>
            <w:shd w:val="clear" w:color="auto" w:fill="CCEEFF"/>
          </w:tcPr>
          <w:p>
            <w:pPr>
              <w:jc w:val="right"/>
              <w:spacing w:after="0" w:line="210" w:lineRule="exact"/>
              <w:rPr>
                <w:sz w:val="20"/>
                <w:szCs w:val="20"/>
                <w:color w:val="auto"/>
              </w:rPr>
            </w:pPr>
            <w:r>
              <w:rPr>
                <w:rFonts w:ascii="Calibri" w:cs="Calibri" w:eastAsia="Calibri" w:hAnsi="Calibri"/>
                <w:sz w:val="18"/>
                <w:szCs w:val="18"/>
                <w:color w:val="auto"/>
              </w:rPr>
              <w:t>1,411</w:t>
            </w:r>
          </w:p>
        </w:tc>
        <w:tc>
          <w:tcPr>
            <w:tcW w:w="1520" w:type="dxa"/>
            <w:vAlign w:val="bottom"/>
            <w:gridSpan w:val="2"/>
            <w:shd w:val="clear" w:color="auto" w:fill="CCEEFF"/>
          </w:tcPr>
          <w:p>
            <w:pPr>
              <w:jc w:val="right"/>
              <w:spacing w:after="0" w:line="210" w:lineRule="exact"/>
              <w:rPr>
                <w:sz w:val="20"/>
                <w:szCs w:val="20"/>
                <w:color w:val="auto"/>
              </w:rPr>
            </w:pPr>
            <w:r>
              <w:rPr>
                <w:rFonts w:ascii="Calibri" w:cs="Calibri" w:eastAsia="Calibri" w:hAnsi="Calibri"/>
                <w:sz w:val="18"/>
                <w:szCs w:val="18"/>
                <w:color w:val="auto"/>
              </w:rPr>
              <w:t>9 %</w:t>
            </w:r>
          </w:p>
        </w:tc>
        <w:tc>
          <w:tcPr>
            <w:tcW w:w="0" w:type="dxa"/>
            <w:vAlign w:val="bottom"/>
          </w:tcPr>
          <w:p>
            <w:pPr>
              <w:spacing w:after="0"/>
              <w:rPr>
                <w:sz w:val="1"/>
                <w:szCs w:val="1"/>
                <w:color w:val="auto"/>
              </w:rPr>
            </w:pPr>
          </w:p>
        </w:tc>
      </w:tr>
      <w:tr>
        <w:trPr>
          <w:trHeight w:val="217"/>
        </w:trPr>
        <w:tc>
          <w:tcPr>
            <w:tcW w:w="5520" w:type="dxa"/>
            <w:vAlign w:val="bottom"/>
            <w:gridSpan w:val="2"/>
          </w:tcPr>
          <w:p>
            <w:pPr>
              <w:ind w:left="20"/>
              <w:spacing w:after="0" w:line="210" w:lineRule="exact"/>
              <w:rPr>
                <w:sz w:val="20"/>
                <w:szCs w:val="20"/>
                <w:color w:val="auto"/>
              </w:rPr>
            </w:pPr>
            <w:r>
              <w:rPr>
                <w:rFonts w:ascii="Calibri" w:cs="Calibri" w:eastAsia="Calibri" w:hAnsi="Calibri"/>
                <w:sz w:val="18"/>
                <w:szCs w:val="18"/>
                <w:color w:val="auto"/>
              </w:rPr>
              <w:t>Infrastructure sofware</w:t>
            </w:r>
          </w:p>
        </w:tc>
        <w:tc>
          <w:tcPr>
            <w:tcW w:w="140" w:type="dxa"/>
            <w:vAlign w:val="bottom"/>
          </w:tcPr>
          <w:p>
            <w:pPr>
              <w:spacing w:after="0"/>
              <w:rPr>
                <w:sz w:val="18"/>
                <w:szCs w:val="18"/>
                <w:color w:val="auto"/>
              </w:rPr>
            </w:pPr>
          </w:p>
        </w:tc>
        <w:tc>
          <w:tcPr>
            <w:tcW w:w="1180" w:type="dxa"/>
            <w:vAlign w:val="bottom"/>
          </w:tcPr>
          <w:p>
            <w:pPr>
              <w:jc w:val="right"/>
              <w:spacing w:after="0" w:line="210" w:lineRule="exact"/>
              <w:rPr>
                <w:sz w:val="20"/>
                <w:szCs w:val="20"/>
                <w:color w:val="auto"/>
              </w:rPr>
            </w:pPr>
            <w:r>
              <w:rPr>
                <w:rFonts w:ascii="Calibri" w:cs="Calibri" w:eastAsia="Calibri" w:hAnsi="Calibri"/>
                <w:sz w:val="18"/>
                <w:szCs w:val="18"/>
                <w:color w:val="auto"/>
              </w:rPr>
              <w:t>5,639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spacing w:after="0" w:line="210" w:lineRule="exact"/>
              <w:rPr>
                <w:sz w:val="20"/>
                <w:szCs w:val="20"/>
                <w:color w:val="auto"/>
              </w:rPr>
            </w:pPr>
            <w:r>
              <w:rPr>
                <w:rFonts w:ascii="Calibri" w:cs="Calibri" w:eastAsia="Calibri" w:hAnsi="Calibri"/>
                <w:sz w:val="18"/>
                <w:szCs w:val="18"/>
                <w:color w:val="auto"/>
              </w:rPr>
              <w:t>5,219</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jc w:val="right"/>
              <w:spacing w:after="0" w:line="210" w:lineRule="exact"/>
              <w:rPr>
                <w:sz w:val="20"/>
                <w:szCs w:val="20"/>
                <w:color w:val="auto"/>
              </w:rPr>
            </w:pPr>
            <w:r>
              <w:rPr>
                <w:rFonts w:ascii="Calibri" w:cs="Calibri" w:eastAsia="Calibri" w:hAnsi="Calibri"/>
                <w:sz w:val="18"/>
                <w:szCs w:val="18"/>
                <w:color w:val="auto"/>
              </w:rPr>
              <w:t>420</w:t>
            </w:r>
          </w:p>
        </w:tc>
        <w:tc>
          <w:tcPr>
            <w:tcW w:w="1520" w:type="dxa"/>
            <w:vAlign w:val="bottom"/>
            <w:gridSpan w:val="2"/>
          </w:tcPr>
          <w:p>
            <w:pPr>
              <w:jc w:val="right"/>
              <w:spacing w:after="0" w:line="210" w:lineRule="exact"/>
              <w:rPr>
                <w:sz w:val="20"/>
                <w:szCs w:val="20"/>
                <w:color w:val="auto"/>
              </w:rPr>
            </w:pPr>
            <w:r>
              <w:rPr>
                <w:rFonts w:ascii="Calibri" w:cs="Calibri" w:eastAsia="Calibri" w:hAnsi="Calibri"/>
                <w:sz w:val="18"/>
                <w:szCs w:val="18"/>
                <w:color w:val="auto"/>
              </w:rPr>
              <w:t>8 %</w:t>
            </w:r>
          </w:p>
        </w:tc>
        <w:tc>
          <w:tcPr>
            <w:tcW w:w="0" w:type="dxa"/>
            <w:vAlign w:val="bottom"/>
          </w:tcPr>
          <w:p>
            <w:pPr>
              <w:spacing w:after="0"/>
              <w:rPr>
                <w:sz w:val="1"/>
                <w:szCs w:val="1"/>
                <w:color w:val="auto"/>
              </w:rPr>
            </w:pPr>
          </w:p>
        </w:tc>
      </w:tr>
      <w:tr>
        <w:trPr>
          <w:trHeight w:val="225"/>
        </w:trPr>
        <w:tc>
          <w:tcPr>
            <w:tcW w:w="5520" w:type="dxa"/>
            <w:vAlign w:val="bottom"/>
            <w:gridSpan w:val="2"/>
            <w:shd w:val="clear" w:color="auto" w:fill="CCEEFF"/>
          </w:tcPr>
          <w:p>
            <w:pPr>
              <w:ind w:left="20"/>
              <w:spacing w:after="0" w:line="217" w:lineRule="exact"/>
              <w:rPr>
                <w:sz w:val="20"/>
                <w:szCs w:val="20"/>
                <w:color w:val="auto"/>
              </w:rPr>
            </w:pPr>
            <w:r>
              <w:rPr>
                <w:rFonts w:ascii="Calibri" w:cs="Calibri" w:eastAsia="Calibri" w:hAnsi="Calibri"/>
                <w:sz w:val="18"/>
                <w:szCs w:val="18"/>
                <w:color w:val="auto"/>
              </w:rPr>
              <w:t>Unallocated expenses</w:t>
            </w:r>
          </w:p>
        </w:tc>
        <w:tc>
          <w:tcPr>
            <w:tcW w:w="1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line="217" w:lineRule="exact"/>
              <w:rPr>
                <w:sz w:val="20"/>
                <w:szCs w:val="20"/>
                <w:color w:val="auto"/>
              </w:rPr>
            </w:pPr>
            <w:r>
              <w:rPr>
                <w:rFonts w:ascii="Calibri" w:cs="Calibri" w:eastAsia="Calibri" w:hAnsi="Calibri"/>
                <w:sz w:val="18"/>
                <w:szCs w:val="18"/>
                <w:color w:val="auto"/>
              </w:rPr>
              <w:t>(5,918)</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line="217" w:lineRule="exact"/>
              <w:rPr>
                <w:sz w:val="20"/>
                <w:szCs w:val="20"/>
                <w:color w:val="auto"/>
              </w:rPr>
            </w:pPr>
            <w:r>
              <w:rPr>
                <w:rFonts w:ascii="Calibri" w:cs="Calibri" w:eastAsia="Calibri" w:hAnsi="Calibri"/>
                <w:sz w:val="18"/>
                <w:szCs w:val="18"/>
                <w:color w:val="auto"/>
              </w:rPr>
              <w:t>(6,069)</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line="217" w:lineRule="exact"/>
              <w:rPr>
                <w:sz w:val="20"/>
                <w:szCs w:val="20"/>
                <w:color w:val="auto"/>
              </w:rPr>
            </w:pPr>
            <w:r>
              <w:rPr>
                <w:rFonts w:ascii="Calibri" w:cs="Calibri" w:eastAsia="Calibri" w:hAnsi="Calibri"/>
                <w:sz w:val="18"/>
                <w:szCs w:val="18"/>
                <w:color w:val="auto"/>
              </w:rPr>
              <w:t>151</w:t>
            </w:r>
          </w:p>
        </w:tc>
        <w:tc>
          <w:tcPr>
            <w:tcW w:w="1520" w:type="dxa"/>
            <w:vAlign w:val="bottom"/>
            <w:gridSpan w:val="2"/>
            <w:shd w:val="clear" w:color="auto" w:fill="CCEEFF"/>
          </w:tcPr>
          <w:p>
            <w:pPr>
              <w:jc w:val="right"/>
              <w:spacing w:after="0" w:line="217" w:lineRule="exact"/>
              <w:rPr>
                <w:sz w:val="20"/>
                <w:szCs w:val="20"/>
                <w:color w:val="auto"/>
              </w:rPr>
            </w:pPr>
            <w:r>
              <w:rPr>
                <w:rFonts w:ascii="Calibri" w:cs="Calibri" w:eastAsia="Calibri" w:hAnsi="Calibri"/>
                <w:sz w:val="18"/>
                <w:szCs w:val="18"/>
                <w:color w:val="auto"/>
              </w:rPr>
              <w:t>(2)%</w:t>
            </w:r>
          </w:p>
        </w:tc>
        <w:tc>
          <w:tcPr>
            <w:tcW w:w="0" w:type="dxa"/>
            <w:vAlign w:val="bottom"/>
          </w:tcPr>
          <w:p>
            <w:pPr>
              <w:spacing w:after="0"/>
              <w:rPr>
                <w:sz w:val="1"/>
                <w:szCs w:val="1"/>
                <w:color w:val="auto"/>
              </w:rPr>
            </w:pPr>
          </w:p>
        </w:tc>
      </w:tr>
      <w:tr>
        <w:trPr>
          <w:trHeight w:val="224"/>
        </w:trPr>
        <w:tc>
          <w:tcPr>
            <w:tcW w:w="5520" w:type="dxa"/>
            <w:vAlign w:val="bottom"/>
            <w:gridSpan w:val="2"/>
          </w:tcPr>
          <w:p>
            <w:pPr>
              <w:ind w:left="140"/>
              <w:spacing w:after="0"/>
              <w:rPr>
                <w:sz w:val="20"/>
                <w:szCs w:val="20"/>
                <w:color w:val="auto"/>
              </w:rPr>
            </w:pPr>
            <w:r>
              <w:rPr>
                <w:rFonts w:ascii="Calibri" w:cs="Calibri" w:eastAsia="Calibri" w:hAnsi="Calibri"/>
                <w:sz w:val="18"/>
                <w:szCs w:val="18"/>
                <w:color w:val="auto"/>
              </w:rPr>
              <w:t>Total operatng income</w:t>
            </w:r>
          </w:p>
        </w:tc>
        <w:tc>
          <w:tcPr>
            <w:tcW w:w="140" w:type="dxa"/>
            <w:vAlign w:val="bottom"/>
            <w:tcBorders>
              <w:bottom w:val="single" w:sz="8" w:color="auto"/>
            </w:tcBorders>
          </w:tcPr>
          <w:p>
            <w:pPr>
              <w:jc w:val="right"/>
              <w:spacing w:after="0" w:line="210" w:lineRule="exact"/>
              <w:rPr>
                <w:sz w:val="20"/>
                <w:szCs w:val="20"/>
                <w:color w:val="auto"/>
              </w:rPr>
            </w:pPr>
            <w:r>
              <w:rPr>
                <w:rFonts w:ascii="Calibri" w:cs="Calibri" w:eastAsia="Calibri" w:hAnsi="Calibri"/>
                <w:sz w:val="18"/>
                <w:szCs w:val="18"/>
                <w:color w:val="auto"/>
              </w:rPr>
              <w:t>$</w:t>
            </w:r>
          </w:p>
        </w:tc>
        <w:tc>
          <w:tcPr>
            <w:tcW w:w="1180" w:type="dxa"/>
            <w:vAlign w:val="bottom"/>
            <w:tcBorders>
              <w:bottom w:val="single" w:sz="8" w:color="auto"/>
            </w:tcBorders>
          </w:tcPr>
          <w:p>
            <w:pPr>
              <w:jc w:val="right"/>
              <w:spacing w:after="0" w:line="210" w:lineRule="exact"/>
              <w:rPr>
                <w:sz w:val="20"/>
                <w:szCs w:val="20"/>
                <w:color w:val="auto"/>
              </w:rPr>
            </w:pPr>
            <w:r>
              <w:rPr>
                <w:rFonts w:ascii="Calibri" w:cs="Calibri" w:eastAsia="Calibri" w:hAnsi="Calibri"/>
                <w:sz w:val="18"/>
                <w:szCs w:val="18"/>
                <w:color w:val="auto"/>
              </w:rPr>
              <w:t>16,207</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line="210" w:lineRule="exact"/>
              <w:rPr>
                <w:sz w:val="20"/>
                <w:szCs w:val="20"/>
                <w:color w:val="auto"/>
              </w:rPr>
            </w:pPr>
            <w:r>
              <w:rPr>
                <w:rFonts w:ascii="Calibri" w:cs="Calibri" w:eastAsia="Calibri" w:hAnsi="Calibri"/>
                <w:sz w:val="18"/>
                <w:szCs w:val="18"/>
                <w:color w:val="auto"/>
                <w:w w:val="87"/>
              </w:rPr>
              <w:t>$</w:t>
            </w:r>
          </w:p>
        </w:tc>
        <w:tc>
          <w:tcPr>
            <w:tcW w:w="1180" w:type="dxa"/>
            <w:vAlign w:val="bottom"/>
            <w:tcBorders>
              <w:bottom w:val="single" w:sz="8" w:color="auto"/>
            </w:tcBorders>
          </w:tcPr>
          <w:p>
            <w:pPr>
              <w:jc w:val="right"/>
              <w:spacing w:after="0" w:line="210" w:lineRule="exact"/>
              <w:rPr>
                <w:sz w:val="20"/>
                <w:szCs w:val="20"/>
                <w:color w:val="auto"/>
              </w:rPr>
            </w:pPr>
            <w:r>
              <w:rPr>
                <w:rFonts w:ascii="Calibri" w:cs="Calibri" w:eastAsia="Calibri" w:hAnsi="Calibri"/>
                <w:sz w:val="18"/>
                <w:szCs w:val="18"/>
                <w:color w:val="auto"/>
              </w:rPr>
              <w:t>14,225</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2"/>
              <w:spacing w:after="0" w:line="210" w:lineRule="exact"/>
              <w:rPr>
                <w:sz w:val="20"/>
                <w:szCs w:val="20"/>
                <w:color w:val="auto"/>
              </w:rPr>
            </w:pPr>
            <w:r>
              <w:rPr>
                <w:rFonts w:ascii="Calibri" w:cs="Calibri" w:eastAsia="Calibri" w:hAnsi="Calibri"/>
                <w:sz w:val="18"/>
                <w:szCs w:val="18"/>
                <w:color w:val="auto"/>
                <w:w w:val="87"/>
              </w:rPr>
              <w:t>$</w:t>
            </w:r>
          </w:p>
        </w:tc>
        <w:tc>
          <w:tcPr>
            <w:tcW w:w="1060" w:type="dxa"/>
            <w:vAlign w:val="bottom"/>
            <w:tcBorders>
              <w:bottom w:val="single" w:sz="8" w:color="auto"/>
            </w:tcBorders>
          </w:tcPr>
          <w:p>
            <w:pPr>
              <w:jc w:val="right"/>
              <w:spacing w:after="0" w:line="210" w:lineRule="exact"/>
              <w:rPr>
                <w:sz w:val="20"/>
                <w:szCs w:val="20"/>
                <w:color w:val="auto"/>
              </w:rPr>
            </w:pPr>
            <w:r>
              <w:rPr>
                <w:rFonts w:ascii="Calibri" w:cs="Calibri" w:eastAsia="Calibri" w:hAnsi="Calibri"/>
                <w:sz w:val="18"/>
                <w:szCs w:val="18"/>
                <w:color w:val="auto"/>
              </w:rPr>
              <w:t>1,982</w:t>
            </w:r>
          </w:p>
        </w:tc>
        <w:tc>
          <w:tcPr>
            <w:tcW w:w="1520" w:type="dxa"/>
            <w:vAlign w:val="bottom"/>
            <w:gridSpan w:val="2"/>
          </w:tcPr>
          <w:p>
            <w:pPr>
              <w:jc w:val="right"/>
              <w:spacing w:after="0"/>
              <w:rPr>
                <w:sz w:val="20"/>
                <w:szCs w:val="20"/>
                <w:color w:val="auto"/>
              </w:rPr>
            </w:pPr>
            <w:r>
              <w:rPr>
                <w:rFonts w:ascii="Calibri" w:cs="Calibri" w:eastAsia="Calibri" w:hAnsi="Calibri"/>
                <w:sz w:val="18"/>
                <w:szCs w:val="18"/>
                <w:color w:val="auto"/>
              </w:rPr>
              <w:t>14 %</w:t>
            </w:r>
          </w:p>
        </w:tc>
        <w:tc>
          <w:tcPr>
            <w:tcW w:w="0" w:type="dxa"/>
            <w:vAlign w:val="bottom"/>
          </w:tcPr>
          <w:p>
            <w:pPr>
              <w:spacing w:after="0"/>
              <w:rPr>
                <w:sz w:val="1"/>
                <w:szCs w:val="1"/>
                <w:color w:val="auto"/>
              </w:rPr>
            </w:pPr>
          </w:p>
        </w:tc>
      </w:tr>
      <w:tr>
        <w:trPr>
          <w:trHeight w:val="20"/>
        </w:trPr>
        <w:tc>
          <w:tcPr>
            <w:tcW w:w="5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4" w:lineRule="exact"/>
        <w:rPr>
          <w:sz w:val="20"/>
          <w:szCs w:val="20"/>
          <w:color w:val="auto"/>
        </w:rPr>
      </w:pPr>
    </w:p>
    <w:p>
      <w:pPr>
        <w:ind w:right="160" w:firstLine="396"/>
        <w:spacing w:after="0" w:line="230" w:lineRule="auto"/>
        <w:rPr>
          <w:sz w:val="20"/>
          <w:szCs w:val="20"/>
          <w:color w:val="auto"/>
        </w:rPr>
      </w:pPr>
      <w:r>
        <w:rPr>
          <w:rFonts w:ascii="Calibri" w:cs="Calibri" w:eastAsia="Calibri" w:hAnsi="Calibri"/>
          <w:sz w:val="18"/>
          <w:szCs w:val="18"/>
          <w:color w:val="auto"/>
        </w:rPr>
        <w:t>Operatng income from our semiconductor solutons segment increased primarily due to higher net revenue from networking, server storage, and broadband products. Operatng income from our infrastructure sofware segment increased primarily due to higher net revenue from our mainframe solutons, partally ofset by lower net revenue from our FC SAN products.</w:t>
      </w:r>
    </w:p>
    <w:p>
      <w:pPr>
        <w:spacing w:after="0" w:line="108" w:lineRule="exact"/>
        <w:rPr>
          <w:sz w:val="20"/>
          <w:szCs w:val="20"/>
          <w:color w:val="auto"/>
        </w:rPr>
      </w:pPr>
    </w:p>
    <w:p>
      <w:pPr>
        <w:ind w:right="240" w:firstLine="396"/>
        <w:spacing w:after="0" w:line="230" w:lineRule="auto"/>
        <w:rPr>
          <w:sz w:val="20"/>
          <w:szCs w:val="20"/>
          <w:color w:val="auto"/>
        </w:rPr>
      </w:pPr>
      <w:r>
        <w:rPr>
          <w:rFonts w:ascii="Calibri" w:cs="Calibri" w:eastAsia="Calibri" w:hAnsi="Calibri"/>
          <w:sz w:val="18"/>
          <w:szCs w:val="18"/>
          <w:color w:val="auto"/>
        </w:rPr>
        <w:t>Unallocated expenses include amortzaton of acquisiton-related intangible assets; stock-based compensaton expense; restructuring and other charges; acquisiton-related costs; and other costs that are not used in evaluatng the results of, or in allocatng resources to, our segments. Unallocated expenses decreased 2% in fscal year 2023, compared to the prior fscal year, primarily due to lower amortzaton of acquisiton-related intangible assets, substantally ofset by higher stock-based compensaton expense, non-recurring charges related to IP litgaton, and acquisiton-related costs.</w:t>
      </w:r>
    </w:p>
    <w:p>
      <w:pPr>
        <w:spacing w:after="0" w:line="99"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Non-Operatng Income and Expenses</w:t>
      </w:r>
    </w:p>
    <w:p>
      <w:pPr>
        <w:spacing w:after="0" w:line="107" w:lineRule="exact"/>
        <w:rPr>
          <w:sz w:val="20"/>
          <w:szCs w:val="20"/>
          <w:color w:val="auto"/>
        </w:rPr>
      </w:pPr>
    </w:p>
    <w:p>
      <w:pPr>
        <w:jc w:val="both"/>
        <w:ind w:right="280" w:firstLine="396"/>
        <w:spacing w:after="0" w:line="230" w:lineRule="auto"/>
        <w:rPr>
          <w:sz w:val="20"/>
          <w:szCs w:val="20"/>
          <w:color w:val="auto"/>
        </w:rPr>
      </w:pPr>
      <w:r>
        <w:rPr>
          <w:rFonts w:ascii="Calibri" w:cs="Calibri" w:eastAsia="Calibri" w:hAnsi="Calibri"/>
          <w:sz w:val="18"/>
          <w:szCs w:val="18"/>
          <w:i w:val="1"/>
          <w:iCs w:val="1"/>
          <w:color w:val="auto"/>
        </w:rPr>
        <w:t xml:space="preserve">Interest expense. </w:t>
      </w:r>
      <w:r>
        <w:rPr>
          <w:rFonts w:ascii="Calibri" w:cs="Calibri" w:eastAsia="Calibri" w:hAnsi="Calibri"/>
          <w:sz w:val="18"/>
          <w:szCs w:val="18"/>
          <w:color w:val="auto"/>
        </w:rPr>
        <w:t>Interest expense was $1,622 million and $1,737 million for fscal years 2023 and 2022, respectvely. The decrease was due to losses on</w:t>
      </w:r>
      <w:r>
        <w:rPr>
          <w:rFonts w:ascii="Calibri" w:cs="Calibri" w:eastAsia="Calibri" w:hAnsi="Calibri"/>
          <w:sz w:val="18"/>
          <w:szCs w:val="18"/>
          <w:i w:val="1"/>
          <w:iCs w:val="1"/>
          <w:color w:val="auto"/>
        </w:rPr>
        <w:t xml:space="preserve"> </w:t>
      </w:r>
      <w:r>
        <w:rPr>
          <w:rFonts w:ascii="Calibri" w:cs="Calibri" w:eastAsia="Calibri" w:hAnsi="Calibri"/>
          <w:sz w:val="18"/>
          <w:szCs w:val="18"/>
          <w:color w:val="auto"/>
        </w:rPr>
        <w:t>extnguishment of debt related to debt transactons incurred in fscal year 2022. We expect to incur additonal interest expense in future periods as a result of indebtedness associated with the VMware Merger.</w:t>
      </w:r>
    </w:p>
    <w:p>
      <w:pPr>
        <w:spacing w:after="0" w:line="108" w:lineRule="exact"/>
        <w:rPr>
          <w:sz w:val="20"/>
          <w:szCs w:val="20"/>
          <w:color w:val="auto"/>
        </w:rPr>
      </w:pPr>
    </w:p>
    <w:p>
      <w:pPr>
        <w:ind w:right="200" w:firstLine="396"/>
        <w:spacing w:after="0" w:line="245" w:lineRule="auto"/>
        <w:rPr>
          <w:sz w:val="20"/>
          <w:szCs w:val="20"/>
          <w:color w:val="auto"/>
        </w:rPr>
      </w:pPr>
      <w:r>
        <w:rPr>
          <w:rFonts w:ascii="Calibri" w:cs="Calibri" w:eastAsia="Calibri" w:hAnsi="Calibri"/>
          <w:sz w:val="17"/>
          <w:szCs w:val="17"/>
          <w:i w:val="1"/>
          <w:iCs w:val="1"/>
          <w:color w:val="auto"/>
        </w:rPr>
        <w:t xml:space="preserve">Other income (expense), net. </w:t>
      </w:r>
      <w:r>
        <w:rPr>
          <w:rFonts w:ascii="Calibri" w:cs="Calibri" w:eastAsia="Calibri" w:hAnsi="Calibri"/>
          <w:sz w:val="17"/>
          <w:szCs w:val="17"/>
          <w:color w:val="auto"/>
        </w:rPr>
        <w:t>Other income (expense), net includes interest income, gains or losses on investments, foreign currency remeasurement and</w:t>
      </w:r>
      <w:r>
        <w:rPr>
          <w:rFonts w:ascii="Calibri" w:cs="Calibri" w:eastAsia="Calibri" w:hAnsi="Calibri"/>
          <w:sz w:val="17"/>
          <w:szCs w:val="17"/>
          <w:i w:val="1"/>
          <w:iCs w:val="1"/>
          <w:color w:val="auto"/>
        </w:rPr>
        <w:t xml:space="preserve"> </w:t>
      </w:r>
      <w:r>
        <w:rPr>
          <w:rFonts w:ascii="Calibri" w:cs="Calibri" w:eastAsia="Calibri" w:hAnsi="Calibri"/>
          <w:sz w:val="17"/>
          <w:szCs w:val="17"/>
          <w:color w:val="auto"/>
        </w:rPr>
        <w:t>other miscellaneous items. Other income, net, was $512 million for fscal year 2023, compared to other expense, net, of $54 million for fscal year 2022. The change was primarily due to higher interest income as a result of higher interest rates and changes in investment gains or losses.</w:t>
      </w:r>
    </w:p>
    <w:p>
      <w:pPr>
        <w:spacing w:after="0" w:line="104" w:lineRule="exact"/>
        <w:rPr>
          <w:sz w:val="20"/>
          <w:szCs w:val="20"/>
          <w:color w:val="auto"/>
        </w:rPr>
      </w:pPr>
    </w:p>
    <w:p>
      <w:pPr>
        <w:ind w:right="20" w:firstLine="396"/>
        <w:spacing w:after="0" w:line="230" w:lineRule="auto"/>
        <w:rPr>
          <w:sz w:val="20"/>
          <w:szCs w:val="20"/>
          <w:color w:val="auto"/>
        </w:rPr>
      </w:pPr>
      <w:r>
        <w:rPr>
          <w:rFonts w:ascii="Calibri" w:cs="Calibri" w:eastAsia="Calibri" w:hAnsi="Calibri"/>
          <w:sz w:val="18"/>
          <w:szCs w:val="18"/>
          <w:i w:val="1"/>
          <w:iCs w:val="1"/>
          <w:color w:val="auto"/>
        </w:rPr>
        <w:t xml:space="preserve">Provision for income taxes. </w:t>
      </w:r>
      <w:r>
        <w:rPr>
          <w:rFonts w:ascii="Calibri" w:cs="Calibri" w:eastAsia="Calibri" w:hAnsi="Calibri"/>
          <w:sz w:val="18"/>
          <w:szCs w:val="18"/>
          <w:color w:val="auto"/>
        </w:rPr>
        <w:t>The provision for income taxes was $1,015 million and $939 million for fscal years 2023 and 2022, respectvely. The increase</w:t>
      </w:r>
      <w:r>
        <w:rPr>
          <w:rFonts w:ascii="Calibri" w:cs="Calibri" w:eastAsia="Calibri" w:hAnsi="Calibri"/>
          <w:sz w:val="18"/>
          <w:szCs w:val="18"/>
          <w:i w:val="1"/>
          <w:iCs w:val="1"/>
          <w:color w:val="auto"/>
        </w:rPr>
        <w:t xml:space="preserve"> </w:t>
      </w:r>
      <w:r>
        <w:rPr>
          <w:rFonts w:ascii="Calibri" w:cs="Calibri" w:eastAsia="Calibri" w:hAnsi="Calibri"/>
          <w:sz w:val="18"/>
          <w:szCs w:val="18"/>
          <w:color w:val="auto"/>
        </w:rPr>
        <w:t>was primarily due to higher income before income taxes, partally ofset by an increase in the recogniton of uncertain tax benefts as a result of lapses of statutes of limitatons.</w:t>
      </w: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9" w:right="339" w:bottom="1440" w:gutter="0" w:footer="0" w:header="0"/>
        </w:sectPr>
      </w:pPr>
    </w:p>
    <w:bookmarkStart w:id="45" w:name="page46"/>
    <w:bookmarkEnd w:id="45"/>
    <w:p>
      <w:pPr>
        <w:spacing w:after="0"/>
        <w:rPr>
          <w:sz w:val="20"/>
          <w:szCs w:val="20"/>
          <w:color w:val="auto"/>
        </w:rPr>
      </w:pPr>
      <w:r>
        <w:rPr>
          <w:rFonts w:ascii="Calibri" w:cs="Calibri" w:eastAsia="Calibri" w:hAnsi="Calibri"/>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Liquidity and Capital Resources</w:t>
      </w:r>
    </w:p>
    <w:p>
      <w:pPr>
        <w:spacing w:after="0" w:line="107" w:lineRule="exact"/>
        <w:rPr>
          <w:sz w:val="20"/>
          <w:szCs w:val="20"/>
          <w:color w:val="auto"/>
        </w:rPr>
      </w:pPr>
    </w:p>
    <w:p>
      <w:pPr>
        <w:ind w:firstLine="396"/>
        <w:spacing w:after="0" w:line="230" w:lineRule="auto"/>
        <w:rPr>
          <w:sz w:val="20"/>
          <w:szCs w:val="20"/>
          <w:color w:val="auto"/>
        </w:rPr>
      </w:pPr>
      <w:r>
        <w:rPr>
          <w:rFonts w:ascii="Calibri" w:cs="Calibri" w:eastAsia="Calibri" w:hAnsi="Calibri"/>
          <w:sz w:val="18"/>
          <w:szCs w:val="18"/>
          <w:color w:val="auto"/>
        </w:rPr>
        <w:t>The following secton discusses our principal liquidity and capital resources as well as our primary liquidity requirements and uses of cash. Our cash and cash equivalents are maintained in highly liquid investments with remaining maturites of 90 days or less at the tme of purchase. We believe our cash equivalents are liquid and accessible.</w:t>
      </w:r>
    </w:p>
    <w:p>
      <w:pPr>
        <w:spacing w:after="0" w:line="108" w:lineRule="exact"/>
        <w:rPr>
          <w:sz w:val="20"/>
          <w:szCs w:val="20"/>
          <w:color w:val="auto"/>
        </w:rPr>
      </w:pPr>
    </w:p>
    <w:p>
      <w:pPr>
        <w:ind w:right="60" w:firstLine="396"/>
        <w:spacing w:after="0" w:line="230" w:lineRule="auto"/>
        <w:rPr>
          <w:sz w:val="20"/>
          <w:szCs w:val="20"/>
          <w:color w:val="auto"/>
        </w:rPr>
      </w:pPr>
      <w:r>
        <w:rPr>
          <w:rFonts w:ascii="Calibri" w:cs="Calibri" w:eastAsia="Calibri" w:hAnsi="Calibri"/>
          <w:sz w:val="18"/>
          <w:szCs w:val="18"/>
          <w:color w:val="auto"/>
        </w:rPr>
        <w:t>Our primary sources of liquidity as of October 29, 2023 consisted of: (i) $14,189 million in cash and cash equivalents, (ii) cash we expect to generate from operatons and (iii) available capacity under our $7.5 billion unsecured revolving credit facility. In additon, we may also generate cash from the sale of assets and debt or equity fnancings from tme to tme.</w:t>
      </w:r>
    </w:p>
    <w:p>
      <w:pPr>
        <w:spacing w:after="0" w:line="108" w:lineRule="exact"/>
        <w:rPr>
          <w:sz w:val="20"/>
          <w:szCs w:val="20"/>
          <w:color w:val="auto"/>
        </w:rPr>
      </w:pPr>
    </w:p>
    <w:p>
      <w:pPr>
        <w:ind w:firstLine="396"/>
        <w:spacing w:after="0" w:line="244" w:lineRule="auto"/>
        <w:rPr>
          <w:sz w:val="20"/>
          <w:szCs w:val="20"/>
          <w:color w:val="auto"/>
        </w:rPr>
      </w:pPr>
      <w:r>
        <w:rPr>
          <w:rFonts w:ascii="Calibri" w:cs="Calibri" w:eastAsia="Calibri" w:hAnsi="Calibri"/>
          <w:sz w:val="17"/>
          <w:szCs w:val="17"/>
          <w:color w:val="auto"/>
        </w:rPr>
        <w:t>Our short-term and long-term liquidity requirements primarily arise from: (i) business acquisitons and investments we may make from tme to tme, (ii) working capital requirements, (iii) research and development and capital expenditure needs, (iv) cash dividend payments (if and when declared by our Board of Directors), (v) interest and principal payments related to our $40,815 million of outstanding indebtedness, (vi) share repurchases, and (vii) payment of income taxes. Our ability to fund these requirements will depend, in part, on our future cash fows, which are determined by our future operatng performance and, therefore, subject to prevailing global macroeconomic conditons and fnancial, business and other factors, some of which are beyond our control. We expect capital expenditures to be higher in fscal year 2024 as compared to fscal year 2023. Our debt and liquidity needs increased as a result of completng the VMware Merger. We funded the cash porton of the consideraton with net proceeds from the issuance of $30,390 million in term loans under the 2023 Credit Agreement, as well as cash on hand. We also assumed $8,250 million of VMware’s outstanding senior unsecured notes.</w:t>
      </w:r>
    </w:p>
    <w:p>
      <w:pPr>
        <w:spacing w:after="0" w:line="108" w:lineRule="exact"/>
        <w:rPr>
          <w:sz w:val="20"/>
          <w:szCs w:val="20"/>
          <w:color w:val="auto"/>
        </w:rPr>
      </w:pPr>
    </w:p>
    <w:p>
      <w:pPr>
        <w:ind w:right="100" w:firstLine="396"/>
        <w:spacing w:after="0" w:line="230" w:lineRule="auto"/>
        <w:rPr>
          <w:sz w:val="20"/>
          <w:szCs w:val="20"/>
          <w:color w:val="auto"/>
        </w:rPr>
      </w:pPr>
      <w:r>
        <w:rPr>
          <w:rFonts w:ascii="Calibri" w:cs="Calibri" w:eastAsia="Calibri" w:hAnsi="Calibri"/>
          <w:sz w:val="18"/>
          <w:szCs w:val="18"/>
          <w:color w:val="auto"/>
        </w:rPr>
        <w:t>We believe that our cash and cash equivalents on hand, cash fows from operatons, and the revolving credit facility will provide sufcient liquidity to operate our business and fund our current and assumed obligatons for at least the next 12 months. For additonal informaton regarding our cash requirement from contractual obligatons, indebtedness and lease obligatons, see Note 13. “Commitments and Contngencies”, Note 9. “Borrowings” and Note 5. “Leases” in Part II, Item 8 of this Annual Report on Form 10-K.</w:t>
      </w:r>
    </w:p>
    <w:p>
      <w:pPr>
        <w:spacing w:after="0" w:line="108" w:lineRule="exact"/>
        <w:rPr>
          <w:sz w:val="20"/>
          <w:szCs w:val="20"/>
          <w:color w:val="auto"/>
        </w:rPr>
      </w:pPr>
    </w:p>
    <w:p>
      <w:pPr>
        <w:ind w:right="80" w:firstLine="396"/>
        <w:spacing w:after="0" w:line="230" w:lineRule="auto"/>
        <w:rPr>
          <w:sz w:val="20"/>
          <w:szCs w:val="20"/>
          <w:color w:val="auto"/>
        </w:rPr>
      </w:pPr>
      <w:r>
        <w:rPr>
          <w:rFonts w:ascii="Calibri" w:cs="Calibri" w:eastAsia="Calibri" w:hAnsi="Calibri"/>
          <w:sz w:val="18"/>
          <w:szCs w:val="18"/>
          <w:color w:val="auto"/>
        </w:rPr>
        <w:t>From tme to tme, we engage in discussions with third partes regarding potental acquisitons of, or investments in, businesses, technologies and product lines. Any such transacton, or evaluaton of potental transactons, could require signifcant use of our cash and cash equivalents, or require us to increase our borrowings to fund such transactons. If we do not have sufcient cash to fund our operatons or fnance growth opportunites, including acquisitons, or unantcipated capital expenditures, our business and fnancial conditon could sufer. In such circumstances, we may seek to obtain new debt or equity fnancing. However, we cannot assure you that such additonal fnancing will be available on terms acceptable to us or at all. Our ability to service our senior unsecured notes, the term loans we issued to fund the VMware Merger, and any other indebtedness we may incur will depend on our ability to generate cash in the future. We may also elect to sell additonal debt or equity securites for reasons other than those specifed above.</w:t>
      </w:r>
    </w:p>
    <w:p>
      <w:pPr>
        <w:spacing w:after="0" w:line="110" w:lineRule="exact"/>
        <w:rPr>
          <w:sz w:val="20"/>
          <w:szCs w:val="20"/>
          <w:color w:val="auto"/>
        </w:rPr>
      </w:pPr>
    </w:p>
    <w:p>
      <w:pPr>
        <w:ind w:right="160" w:firstLine="396"/>
        <w:spacing w:after="0" w:line="230" w:lineRule="auto"/>
        <w:rPr>
          <w:sz w:val="20"/>
          <w:szCs w:val="20"/>
          <w:color w:val="auto"/>
        </w:rPr>
      </w:pPr>
      <w:r>
        <w:rPr>
          <w:rFonts w:ascii="Calibri" w:cs="Calibri" w:eastAsia="Calibri" w:hAnsi="Calibri"/>
          <w:sz w:val="18"/>
          <w:szCs w:val="18"/>
          <w:color w:val="auto"/>
        </w:rPr>
        <w:t>In additon, we may, at any tme and from tme to tme, seek to retre or purchase our outstanding debt through cash tenders and/or exchanges for equity or debt, in open-market purchases, privately negotated transactons or otherwise. Such tenders, exchanges or purchases, if any, will be upon such terms and at such prices as we may determine, and will depend on prevailing market conditons, our liquidity requirements, contractual restrictons and other factors. The amounts involved may be material.</w:t>
      </w:r>
    </w:p>
    <w:p>
      <w:pPr>
        <w:spacing w:after="0" w:line="99"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Working Capital</w:t>
      </w:r>
    </w:p>
    <w:p>
      <w:pPr>
        <w:spacing w:after="0" w:line="107" w:lineRule="exact"/>
        <w:rPr>
          <w:sz w:val="20"/>
          <w:szCs w:val="20"/>
          <w:color w:val="auto"/>
        </w:rPr>
      </w:pPr>
    </w:p>
    <w:p>
      <w:pPr>
        <w:ind w:left="400"/>
        <w:spacing w:after="0"/>
        <w:rPr>
          <w:sz w:val="20"/>
          <w:szCs w:val="20"/>
          <w:color w:val="auto"/>
        </w:rPr>
      </w:pPr>
      <w:r>
        <w:rPr>
          <w:rFonts w:ascii="Calibri" w:cs="Calibri" w:eastAsia="Calibri" w:hAnsi="Calibri"/>
          <w:sz w:val="17"/>
          <w:szCs w:val="17"/>
          <w:color w:val="auto"/>
        </w:rPr>
        <w:t>Working capital increased to $13,442 million at October 29, 2023 from $11,452 million at October 30, 2022. The increase was atributable to the following:</w:t>
      </w:r>
    </w:p>
    <w:p>
      <w:pPr>
        <w:spacing w:after="0" w:line="109" w:lineRule="exact"/>
        <w:rPr>
          <w:sz w:val="20"/>
          <w:szCs w:val="20"/>
          <w:color w:val="auto"/>
        </w:rPr>
      </w:pPr>
    </w:p>
    <w:p>
      <w:pPr>
        <w:ind w:left="640" w:right="120" w:hanging="238"/>
        <w:spacing w:after="0" w:line="230" w:lineRule="auto"/>
        <w:tabs>
          <w:tab w:leader="none" w:pos="633" w:val="left"/>
        </w:tabs>
        <w:numPr>
          <w:ilvl w:val="0"/>
          <w:numId w:val="25"/>
        </w:numPr>
        <w:rPr>
          <w:rFonts w:ascii="Calibri" w:cs="Calibri" w:eastAsia="Calibri" w:hAnsi="Calibri"/>
          <w:sz w:val="18"/>
          <w:szCs w:val="18"/>
          <w:color w:val="auto"/>
        </w:rPr>
      </w:pPr>
      <w:r>
        <w:rPr>
          <w:rFonts w:ascii="Calibri" w:cs="Calibri" w:eastAsia="Calibri" w:hAnsi="Calibri"/>
          <w:sz w:val="18"/>
          <w:szCs w:val="18"/>
          <w:color w:val="auto"/>
        </w:rPr>
        <w:t>Cash and cash equivalents increased to $14,189 million at October 29, 2023 from $12,416 million at October 30, 2022, primarily due to $18,085 million in net cash provided by operatng actvites, partally ofset by $7,645 million of dividend payments, $5,824 million of common stock repurchases, and $1,861 million of employee withholding tax payments related to net setled equity awards.</w:t>
      </w:r>
    </w:p>
    <w:p>
      <w:pPr>
        <w:spacing w:after="0" w:line="107" w:lineRule="exact"/>
        <w:rPr>
          <w:rFonts w:ascii="Calibri" w:cs="Calibri" w:eastAsia="Calibri" w:hAnsi="Calibri"/>
          <w:sz w:val="18"/>
          <w:szCs w:val="18"/>
          <w:color w:val="auto"/>
        </w:rPr>
      </w:pPr>
    </w:p>
    <w:p>
      <w:pPr>
        <w:ind w:left="640" w:right="60" w:hanging="238"/>
        <w:spacing w:after="0" w:line="230" w:lineRule="auto"/>
        <w:tabs>
          <w:tab w:leader="none" w:pos="633" w:val="left"/>
        </w:tabs>
        <w:numPr>
          <w:ilvl w:val="0"/>
          <w:numId w:val="25"/>
        </w:numPr>
        <w:rPr>
          <w:rFonts w:ascii="Calibri" w:cs="Calibri" w:eastAsia="Calibri" w:hAnsi="Calibri"/>
          <w:sz w:val="18"/>
          <w:szCs w:val="18"/>
          <w:color w:val="auto"/>
        </w:rPr>
      </w:pPr>
      <w:r>
        <w:rPr>
          <w:rFonts w:ascii="Calibri" w:cs="Calibri" w:eastAsia="Calibri" w:hAnsi="Calibri"/>
          <w:sz w:val="18"/>
          <w:szCs w:val="18"/>
          <w:color w:val="auto"/>
        </w:rPr>
        <w:t>Other current liabilites decreased to $3,652 million at October 29, 2023 from $4,412 million at October 30, 2022, primarily due to decreases in contract liabilites and income taxes payable.</w:t>
      </w:r>
    </w:p>
    <w:p>
      <w:pPr>
        <w:spacing w:after="0" w:line="107" w:lineRule="exact"/>
        <w:rPr>
          <w:rFonts w:ascii="Calibri" w:cs="Calibri" w:eastAsia="Calibri" w:hAnsi="Calibri"/>
          <w:sz w:val="18"/>
          <w:szCs w:val="18"/>
          <w:color w:val="auto"/>
        </w:rPr>
      </w:pPr>
    </w:p>
    <w:p>
      <w:pPr>
        <w:ind w:left="640" w:right="200" w:hanging="238"/>
        <w:spacing w:after="0" w:line="230" w:lineRule="auto"/>
        <w:tabs>
          <w:tab w:leader="none" w:pos="633" w:val="left"/>
        </w:tabs>
        <w:numPr>
          <w:ilvl w:val="0"/>
          <w:numId w:val="25"/>
        </w:numPr>
        <w:rPr>
          <w:rFonts w:ascii="Calibri" w:cs="Calibri" w:eastAsia="Calibri" w:hAnsi="Calibri"/>
          <w:sz w:val="18"/>
          <w:szCs w:val="18"/>
          <w:color w:val="auto"/>
        </w:rPr>
      </w:pPr>
      <w:r>
        <w:rPr>
          <w:rFonts w:ascii="Calibri" w:cs="Calibri" w:eastAsia="Calibri" w:hAnsi="Calibri"/>
          <w:sz w:val="18"/>
          <w:szCs w:val="18"/>
          <w:color w:val="auto"/>
        </w:rPr>
        <w:t>Other current assets increased to $1,606 million at October 29, 2023 from $1,205 million at October 30, 2022, primarily due to an increase in contract assets, ofset in part by a decrease in prepaid income taxes.</w:t>
      </w:r>
    </w:p>
    <w:p>
      <w:pPr>
        <w:spacing w:after="0" w:line="107" w:lineRule="exact"/>
        <w:rPr>
          <w:rFonts w:ascii="Calibri" w:cs="Calibri" w:eastAsia="Calibri" w:hAnsi="Calibri"/>
          <w:sz w:val="18"/>
          <w:szCs w:val="18"/>
          <w:color w:val="auto"/>
        </w:rPr>
      </w:pPr>
    </w:p>
    <w:p>
      <w:pPr>
        <w:ind w:left="640" w:right="260" w:hanging="238"/>
        <w:spacing w:after="0" w:line="230" w:lineRule="auto"/>
        <w:tabs>
          <w:tab w:leader="none" w:pos="633" w:val="left"/>
        </w:tabs>
        <w:numPr>
          <w:ilvl w:val="0"/>
          <w:numId w:val="25"/>
        </w:numPr>
        <w:rPr>
          <w:rFonts w:ascii="Calibri" w:cs="Calibri" w:eastAsia="Calibri" w:hAnsi="Calibri"/>
          <w:sz w:val="18"/>
          <w:szCs w:val="18"/>
          <w:color w:val="auto"/>
        </w:rPr>
      </w:pPr>
      <w:r>
        <w:rPr>
          <w:rFonts w:ascii="Calibri" w:cs="Calibri" w:eastAsia="Calibri" w:hAnsi="Calibri"/>
          <w:sz w:val="18"/>
          <w:szCs w:val="18"/>
          <w:color w:val="auto"/>
        </w:rPr>
        <w:t>Employee compensaton and benefts decreased to $935 million at October 29, 2023 from $1,202 million at October 30, 2022, primarily due to lower variable compensaton.</w:t>
      </w:r>
    </w:p>
    <w:p>
      <w:pPr>
        <w:spacing w:after="0" w:line="107" w:lineRule="exact"/>
        <w:rPr>
          <w:rFonts w:ascii="Calibri" w:cs="Calibri" w:eastAsia="Calibri" w:hAnsi="Calibri"/>
          <w:sz w:val="18"/>
          <w:szCs w:val="18"/>
          <w:color w:val="auto"/>
        </w:rPr>
      </w:pPr>
    </w:p>
    <w:p>
      <w:pPr>
        <w:ind w:left="640" w:right="160" w:hanging="238"/>
        <w:spacing w:after="0" w:line="230" w:lineRule="auto"/>
        <w:tabs>
          <w:tab w:leader="none" w:pos="633" w:val="left"/>
        </w:tabs>
        <w:numPr>
          <w:ilvl w:val="0"/>
          <w:numId w:val="25"/>
        </w:numPr>
        <w:rPr>
          <w:rFonts w:ascii="Calibri" w:cs="Calibri" w:eastAsia="Calibri" w:hAnsi="Calibri"/>
          <w:sz w:val="18"/>
          <w:szCs w:val="18"/>
          <w:color w:val="auto"/>
        </w:rPr>
      </w:pPr>
      <w:r>
        <w:rPr>
          <w:rFonts w:ascii="Calibri" w:cs="Calibri" w:eastAsia="Calibri" w:hAnsi="Calibri"/>
          <w:sz w:val="18"/>
          <w:szCs w:val="18"/>
          <w:color w:val="auto"/>
        </w:rPr>
        <w:t>Accounts receivable increased to $3,154 million at October 29, 2023 from $2,958 million at October 30, 2022, primarily due to revenue linearity, ofset in part by additonal receivables sold through factoring arrangements.</w:t>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9" w:right="339" w:bottom="1440" w:gutter="0" w:footer="0" w:header="0"/>
        </w:sectPr>
      </w:pPr>
    </w:p>
    <w:bookmarkStart w:id="46" w:name="page47"/>
    <w:bookmarkEnd w:id="46"/>
    <w:p>
      <w:pPr>
        <w:spacing w:after="0"/>
        <w:rPr>
          <w:sz w:val="20"/>
          <w:szCs w:val="20"/>
          <w:color w:val="auto"/>
        </w:rPr>
      </w:pPr>
      <w:r>
        <w:rPr>
          <w:rFonts w:ascii="Calibri" w:cs="Calibri" w:eastAsia="Calibri" w:hAnsi="Calibri"/>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400"/>
        <w:spacing w:after="0"/>
        <w:rPr>
          <w:sz w:val="20"/>
          <w:szCs w:val="20"/>
          <w:color w:val="auto"/>
        </w:rPr>
      </w:pPr>
      <w:r>
        <w:rPr>
          <w:rFonts w:ascii="Calibri" w:cs="Calibri" w:eastAsia="Calibri" w:hAnsi="Calibri"/>
          <w:sz w:val="18"/>
          <w:szCs w:val="18"/>
          <w:color w:val="auto"/>
        </w:rPr>
        <w:t>These increases in working capital were ofset in part by the following:</w:t>
      </w:r>
    </w:p>
    <w:p>
      <w:pPr>
        <w:spacing w:after="0" w:line="107" w:lineRule="exact"/>
        <w:rPr>
          <w:sz w:val="20"/>
          <w:szCs w:val="20"/>
          <w:color w:val="auto"/>
        </w:rPr>
      </w:pPr>
    </w:p>
    <w:p>
      <w:pPr>
        <w:ind w:left="640" w:right="120" w:hanging="238"/>
        <w:spacing w:after="0" w:line="230" w:lineRule="auto"/>
        <w:tabs>
          <w:tab w:leader="none" w:pos="633" w:val="left"/>
        </w:tabs>
        <w:numPr>
          <w:ilvl w:val="0"/>
          <w:numId w:val="26"/>
        </w:numPr>
        <w:rPr>
          <w:rFonts w:ascii="Calibri" w:cs="Calibri" w:eastAsia="Calibri" w:hAnsi="Calibri"/>
          <w:sz w:val="18"/>
          <w:szCs w:val="18"/>
          <w:color w:val="auto"/>
        </w:rPr>
      </w:pPr>
      <w:r>
        <w:rPr>
          <w:rFonts w:ascii="Calibri" w:cs="Calibri" w:eastAsia="Calibri" w:hAnsi="Calibri"/>
          <w:sz w:val="18"/>
          <w:szCs w:val="18"/>
          <w:color w:val="auto"/>
        </w:rPr>
        <w:t>Current porton of long-term debt increased to $1,608 million at October 29, 2023 from $440 million at October 30, 2022, primarily due to certain debt instruments becoming due within the next twelve months, ofset in part by repayments.</w:t>
      </w:r>
    </w:p>
    <w:p>
      <w:pPr>
        <w:spacing w:after="0" w:line="107" w:lineRule="exact"/>
        <w:rPr>
          <w:rFonts w:ascii="Calibri" w:cs="Calibri" w:eastAsia="Calibri" w:hAnsi="Calibri"/>
          <w:sz w:val="18"/>
          <w:szCs w:val="18"/>
          <w:color w:val="auto"/>
        </w:rPr>
      </w:pPr>
    </w:p>
    <w:p>
      <w:pPr>
        <w:ind w:left="640" w:right="680" w:hanging="238"/>
        <w:spacing w:after="0" w:line="230" w:lineRule="auto"/>
        <w:tabs>
          <w:tab w:leader="none" w:pos="633" w:val="left"/>
        </w:tabs>
        <w:numPr>
          <w:ilvl w:val="0"/>
          <w:numId w:val="26"/>
        </w:numPr>
        <w:rPr>
          <w:rFonts w:ascii="Calibri" w:cs="Calibri" w:eastAsia="Calibri" w:hAnsi="Calibri"/>
          <w:sz w:val="18"/>
          <w:szCs w:val="18"/>
          <w:color w:val="auto"/>
        </w:rPr>
      </w:pPr>
      <w:r>
        <w:rPr>
          <w:rFonts w:ascii="Calibri" w:cs="Calibri" w:eastAsia="Calibri" w:hAnsi="Calibri"/>
          <w:sz w:val="18"/>
          <w:szCs w:val="18"/>
          <w:color w:val="auto"/>
        </w:rPr>
        <w:t>Accounts payable increased to $1,210 million at October 29, 2023 from $998 million at October 30, 2022, primarily due to the tming of vendor payments.</w:t>
      </w:r>
    </w:p>
    <w:p>
      <w:pPr>
        <w:spacing w:after="0" w:line="97"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Capital Returns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0" w:type="dxa"/>
            <w:vAlign w:val="bottom"/>
            <w:gridSpan w:val="4"/>
          </w:tcPr>
          <w:p>
            <w:pPr>
              <w:jc w:val="right"/>
              <w:ind w:right="776"/>
              <w:spacing w:after="0"/>
              <w:rPr>
                <w:sz w:val="20"/>
                <w:szCs w:val="20"/>
                <w:color w:val="auto"/>
              </w:rPr>
            </w:pPr>
            <w:r>
              <w:rPr>
                <w:rFonts w:ascii="Calibri" w:cs="Calibri" w:eastAsia="Calibri" w:hAnsi="Calibri"/>
                <w:sz w:val="14"/>
                <w:szCs w:val="14"/>
                <w:b w:val="1"/>
                <w:bCs w:val="1"/>
                <w:color w:val="auto"/>
              </w:rPr>
              <w:t>Fiscal Year Ended</w:t>
            </w:r>
          </w:p>
        </w:tc>
        <w:tc>
          <w:tcPr>
            <w:tcW w:w="0" w:type="dxa"/>
            <w:vAlign w:val="bottom"/>
          </w:tcPr>
          <w:p>
            <w:pPr>
              <w:spacing w:after="0"/>
              <w:rPr>
                <w:sz w:val="1"/>
                <w:szCs w:val="1"/>
                <w:color w:val="auto"/>
              </w:rPr>
            </w:pPr>
          </w:p>
        </w:tc>
      </w:tr>
      <w:tr>
        <w:trPr>
          <w:trHeight w:val="45"/>
        </w:trPr>
        <w:tc>
          <w:tcPr>
            <w:tcW w:w="8520" w:type="dxa"/>
            <w:vAlign w:val="bottom"/>
            <w:gridSpan w:val="2"/>
            <w:vMerge w:val="restart"/>
          </w:tcPr>
          <w:p>
            <w:pPr>
              <w:ind w:left="20"/>
              <w:spacing w:after="0"/>
              <w:rPr>
                <w:sz w:val="20"/>
                <w:szCs w:val="20"/>
                <w:color w:val="auto"/>
              </w:rPr>
            </w:pPr>
            <w:r>
              <w:rPr>
                <w:rFonts w:ascii="Calibri" w:cs="Calibri" w:eastAsia="Calibri" w:hAnsi="Calibri"/>
                <w:sz w:val="14"/>
                <w:szCs w:val="14"/>
                <w:b w:val="1"/>
                <w:bCs w:val="1"/>
                <w:color w:val="auto"/>
              </w:rPr>
              <w:t>Cash Dividends Declared and Paid</w:t>
            </w:r>
          </w:p>
        </w:tc>
        <w:tc>
          <w:tcPr>
            <w:tcW w:w="12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gridSpan w:val="2"/>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1"/>
        </w:trPr>
        <w:tc>
          <w:tcPr>
            <w:tcW w:w="852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gridSpan w:val="2"/>
          </w:tcPr>
          <w:p>
            <w:pPr>
              <w:ind w:left="20"/>
              <w:spacing w:after="0" w:line="161" w:lineRule="exact"/>
              <w:rPr>
                <w:sz w:val="20"/>
                <w:szCs w:val="20"/>
                <w:color w:val="auto"/>
              </w:rPr>
            </w:pPr>
            <w:r>
              <w:rPr>
                <w:rFonts w:ascii="Calibri" w:cs="Calibri" w:eastAsia="Calibri" w:hAnsi="Calibri"/>
                <w:sz w:val="14"/>
                <w:szCs w:val="14"/>
                <w:b w:val="1"/>
                <w:bCs w:val="1"/>
                <w:color w:val="auto"/>
              </w:rPr>
              <w:t>October 29, 2023</w:t>
            </w:r>
          </w:p>
        </w:tc>
        <w:tc>
          <w:tcPr>
            <w:tcW w:w="140" w:type="dxa"/>
            <w:vAlign w:val="bottom"/>
          </w:tcPr>
          <w:p>
            <w:pPr>
              <w:spacing w:after="0"/>
              <w:rPr>
                <w:sz w:val="13"/>
                <w:szCs w:val="13"/>
                <w:color w:val="auto"/>
              </w:rPr>
            </w:pPr>
          </w:p>
        </w:tc>
        <w:tc>
          <w:tcPr>
            <w:tcW w:w="1180" w:type="dxa"/>
            <w:vAlign w:val="bottom"/>
          </w:tcPr>
          <w:p>
            <w:pPr>
              <w:jc w:val="right"/>
              <w:ind w:right="76"/>
              <w:spacing w:after="0" w:line="161" w:lineRule="exact"/>
              <w:rPr>
                <w:sz w:val="20"/>
                <w:szCs w:val="20"/>
                <w:color w:val="auto"/>
              </w:rPr>
            </w:pPr>
            <w:r>
              <w:rPr>
                <w:rFonts w:ascii="Calibri" w:cs="Calibri" w:eastAsia="Calibri" w:hAnsi="Calibri"/>
                <w:sz w:val="14"/>
                <w:szCs w:val="14"/>
                <w:b w:val="1"/>
                <w:bCs w:val="1"/>
                <w:color w:val="auto"/>
              </w:rPr>
              <w:t>October 30, 2022</w:t>
            </w:r>
          </w:p>
        </w:tc>
        <w:tc>
          <w:tcPr>
            <w:tcW w:w="0" w:type="dxa"/>
            <w:vAlign w:val="bottom"/>
          </w:tcPr>
          <w:p>
            <w:pPr>
              <w:spacing w:after="0"/>
              <w:rPr>
                <w:sz w:val="1"/>
                <w:szCs w:val="1"/>
                <w:color w:val="auto"/>
              </w:rPr>
            </w:pPr>
          </w:p>
        </w:tc>
      </w:tr>
      <w:tr>
        <w:trPr>
          <w:trHeight w:val="30"/>
        </w:trPr>
        <w:tc>
          <w:tcPr>
            <w:tcW w:w="8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8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0" w:type="dxa"/>
            <w:vAlign w:val="bottom"/>
            <w:gridSpan w:val="4"/>
          </w:tcPr>
          <w:p>
            <w:pPr>
              <w:jc w:val="right"/>
              <w:ind w:right="256"/>
              <w:spacing w:after="0"/>
              <w:rPr>
                <w:sz w:val="20"/>
                <w:szCs w:val="20"/>
                <w:color w:val="auto"/>
              </w:rPr>
            </w:pPr>
            <w:r>
              <w:rPr>
                <w:rFonts w:ascii="Calibri" w:cs="Calibri" w:eastAsia="Calibri" w:hAnsi="Calibri"/>
                <w:sz w:val="14"/>
                <w:szCs w:val="14"/>
                <w:b w:val="1"/>
                <w:bCs w:val="1"/>
                <w:color w:val="auto"/>
              </w:rPr>
              <w:t>(In millions, except per share data)</w:t>
            </w:r>
          </w:p>
        </w:tc>
        <w:tc>
          <w:tcPr>
            <w:tcW w:w="0" w:type="dxa"/>
            <w:vAlign w:val="bottom"/>
          </w:tcPr>
          <w:p>
            <w:pPr>
              <w:spacing w:after="0"/>
              <w:rPr>
                <w:sz w:val="1"/>
                <w:szCs w:val="1"/>
                <w:color w:val="auto"/>
              </w:rPr>
            </w:pPr>
          </w:p>
        </w:tc>
      </w:tr>
      <w:tr>
        <w:trPr>
          <w:trHeight w:val="45"/>
        </w:trPr>
        <w:tc>
          <w:tcPr>
            <w:tcW w:w="84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4"/>
        </w:trPr>
        <w:tc>
          <w:tcPr>
            <w:tcW w:w="8520" w:type="dxa"/>
            <w:vAlign w:val="bottom"/>
            <w:gridSpan w:val="2"/>
            <w:shd w:val="clear" w:color="auto" w:fill="CCEEFF"/>
          </w:tcPr>
          <w:p>
            <w:pPr>
              <w:ind w:left="20"/>
              <w:spacing w:after="0" w:line="210" w:lineRule="exact"/>
              <w:rPr>
                <w:sz w:val="20"/>
                <w:szCs w:val="20"/>
                <w:color w:val="auto"/>
              </w:rPr>
            </w:pPr>
            <w:r>
              <w:rPr>
                <w:rFonts w:ascii="Calibri" w:cs="Calibri" w:eastAsia="Calibri" w:hAnsi="Calibri"/>
                <w:sz w:val="18"/>
                <w:szCs w:val="18"/>
                <w:color w:val="auto"/>
              </w:rPr>
              <w:t>Dividends per share to common stockholders</w:t>
            </w:r>
          </w:p>
        </w:tc>
        <w:tc>
          <w:tcPr>
            <w:tcW w:w="120" w:type="dxa"/>
            <w:vAlign w:val="bottom"/>
            <w:shd w:val="clear" w:color="auto" w:fill="CCEEFF"/>
          </w:tcPr>
          <w:p>
            <w:pPr>
              <w:jc w:val="right"/>
              <w:spacing w:after="0" w:line="210" w:lineRule="exact"/>
              <w:rPr>
                <w:sz w:val="20"/>
                <w:szCs w:val="20"/>
                <w:color w:val="auto"/>
              </w:rPr>
            </w:pPr>
            <w:r>
              <w:rPr>
                <w:rFonts w:ascii="Calibri" w:cs="Calibri" w:eastAsia="Calibri" w:hAnsi="Calibri"/>
                <w:sz w:val="18"/>
                <w:szCs w:val="18"/>
                <w:color w:val="auto"/>
                <w:w w:val="87"/>
              </w:rPr>
              <w:t>$</w:t>
            </w:r>
          </w:p>
        </w:tc>
        <w:tc>
          <w:tcPr>
            <w:tcW w:w="1180" w:type="dxa"/>
            <w:vAlign w:val="bottom"/>
            <w:shd w:val="clear" w:color="auto" w:fill="CCEEFF"/>
          </w:tcPr>
          <w:p>
            <w:pPr>
              <w:jc w:val="right"/>
              <w:spacing w:after="0" w:line="210" w:lineRule="exact"/>
              <w:rPr>
                <w:sz w:val="20"/>
                <w:szCs w:val="20"/>
                <w:color w:val="auto"/>
              </w:rPr>
            </w:pPr>
            <w:r>
              <w:rPr>
                <w:rFonts w:ascii="Calibri" w:cs="Calibri" w:eastAsia="Calibri" w:hAnsi="Calibri"/>
                <w:sz w:val="18"/>
                <w:szCs w:val="18"/>
                <w:color w:val="auto"/>
              </w:rPr>
              <w:t>18.40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line="210" w:lineRule="exact"/>
              <w:rPr>
                <w:sz w:val="20"/>
                <w:szCs w:val="20"/>
                <w:color w:val="auto"/>
              </w:rPr>
            </w:pPr>
            <w:r>
              <w:rPr>
                <w:rFonts w:ascii="Calibri" w:cs="Calibri" w:eastAsia="Calibri" w:hAnsi="Calibri"/>
                <w:sz w:val="18"/>
                <w:szCs w:val="18"/>
                <w:color w:val="auto"/>
                <w:w w:val="87"/>
              </w:rPr>
              <w:t>$</w:t>
            </w:r>
          </w:p>
        </w:tc>
        <w:tc>
          <w:tcPr>
            <w:tcW w:w="1180" w:type="dxa"/>
            <w:vAlign w:val="bottom"/>
            <w:shd w:val="clear" w:color="auto" w:fill="CCEEFF"/>
          </w:tcPr>
          <w:p>
            <w:pPr>
              <w:jc w:val="right"/>
              <w:spacing w:after="0" w:line="210" w:lineRule="exact"/>
              <w:rPr>
                <w:sz w:val="20"/>
                <w:szCs w:val="20"/>
                <w:color w:val="auto"/>
              </w:rPr>
            </w:pPr>
            <w:r>
              <w:rPr>
                <w:rFonts w:ascii="Calibri" w:cs="Calibri" w:eastAsia="Calibri" w:hAnsi="Calibri"/>
                <w:sz w:val="18"/>
                <w:szCs w:val="18"/>
                <w:color w:val="auto"/>
              </w:rPr>
              <w:t>16.40</w:t>
            </w:r>
          </w:p>
        </w:tc>
        <w:tc>
          <w:tcPr>
            <w:tcW w:w="0" w:type="dxa"/>
            <w:vAlign w:val="bottom"/>
          </w:tcPr>
          <w:p>
            <w:pPr>
              <w:spacing w:after="0"/>
              <w:rPr>
                <w:sz w:val="1"/>
                <w:szCs w:val="1"/>
                <w:color w:val="auto"/>
              </w:rPr>
            </w:pPr>
          </w:p>
        </w:tc>
      </w:tr>
      <w:tr>
        <w:trPr>
          <w:trHeight w:val="217"/>
        </w:trPr>
        <w:tc>
          <w:tcPr>
            <w:tcW w:w="8520" w:type="dxa"/>
            <w:vAlign w:val="bottom"/>
            <w:gridSpan w:val="2"/>
          </w:tcPr>
          <w:p>
            <w:pPr>
              <w:ind w:left="20"/>
              <w:spacing w:after="0" w:line="210" w:lineRule="exact"/>
              <w:rPr>
                <w:sz w:val="20"/>
                <w:szCs w:val="20"/>
                <w:color w:val="auto"/>
              </w:rPr>
            </w:pPr>
            <w:r>
              <w:rPr>
                <w:rFonts w:ascii="Calibri" w:cs="Calibri" w:eastAsia="Calibri" w:hAnsi="Calibri"/>
                <w:sz w:val="18"/>
                <w:szCs w:val="18"/>
                <w:color w:val="auto"/>
              </w:rPr>
              <w:t>Dividends to common stockholders</w:t>
            </w:r>
          </w:p>
        </w:tc>
        <w:tc>
          <w:tcPr>
            <w:tcW w:w="120" w:type="dxa"/>
            <w:vAlign w:val="bottom"/>
          </w:tcPr>
          <w:p>
            <w:pPr>
              <w:jc w:val="right"/>
              <w:spacing w:after="0" w:line="210" w:lineRule="exact"/>
              <w:rPr>
                <w:sz w:val="20"/>
                <w:szCs w:val="20"/>
                <w:color w:val="auto"/>
              </w:rPr>
            </w:pPr>
            <w:r>
              <w:rPr>
                <w:rFonts w:ascii="Calibri" w:cs="Calibri" w:eastAsia="Calibri" w:hAnsi="Calibri"/>
                <w:sz w:val="18"/>
                <w:szCs w:val="18"/>
                <w:color w:val="auto"/>
                <w:w w:val="87"/>
              </w:rPr>
              <w:t>$</w:t>
            </w:r>
          </w:p>
        </w:tc>
        <w:tc>
          <w:tcPr>
            <w:tcW w:w="1180" w:type="dxa"/>
            <w:vAlign w:val="bottom"/>
          </w:tcPr>
          <w:p>
            <w:pPr>
              <w:jc w:val="right"/>
              <w:spacing w:after="0" w:line="210" w:lineRule="exact"/>
              <w:rPr>
                <w:sz w:val="20"/>
                <w:szCs w:val="20"/>
                <w:color w:val="auto"/>
              </w:rPr>
            </w:pPr>
            <w:r>
              <w:rPr>
                <w:rFonts w:ascii="Calibri" w:cs="Calibri" w:eastAsia="Calibri" w:hAnsi="Calibri"/>
                <w:sz w:val="18"/>
                <w:szCs w:val="18"/>
                <w:color w:val="auto"/>
              </w:rPr>
              <w:t>7,645</w:t>
            </w:r>
          </w:p>
        </w:tc>
        <w:tc>
          <w:tcPr>
            <w:tcW w:w="100" w:type="dxa"/>
            <w:vAlign w:val="bottom"/>
          </w:tcPr>
          <w:p>
            <w:pPr>
              <w:spacing w:after="0"/>
              <w:rPr>
                <w:sz w:val="18"/>
                <w:szCs w:val="18"/>
                <w:color w:val="auto"/>
              </w:rPr>
            </w:pPr>
          </w:p>
        </w:tc>
        <w:tc>
          <w:tcPr>
            <w:tcW w:w="140" w:type="dxa"/>
            <w:vAlign w:val="bottom"/>
          </w:tcPr>
          <w:p>
            <w:pPr>
              <w:jc w:val="right"/>
              <w:spacing w:after="0" w:line="210" w:lineRule="exact"/>
              <w:rPr>
                <w:sz w:val="20"/>
                <w:szCs w:val="20"/>
                <w:color w:val="auto"/>
              </w:rPr>
            </w:pPr>
            <w:r>
              <w:rPr>
                <w:rFonts w:ascii="Calibri" w:cs="Calibri" w:eastAsia="Calibri" w:hAnsi="Calibri"/>
                <w:sz w:val="18"/>
                <w:szCs w:val="18"/>
                <w:color w:val="auto"/>
                <w:w w:val="87"/>
              </w:rPr>
              <w:t>$</w:t>
            </w:r>
          </w:p>
        </w:tc>
        <w:tc>
          <w:tcPr>
            <w:tcW w:w="1180" w:type="dxa"/>
            <w:vAlign w:val="bottom"/>
          </w:tcPr>
          <w:p>
            <w:pPr>
              <w:jc w:val="right"/>
              <w:spacing w:after="0" w:line="210" w:lineRule="exact"/>
              <w:rPr>
                <w:sz w:val="20"/>
                <w:szCs w:val="20"/>
                <w:color w:val="auto"/>
              </w:rPr>
            </w:pPr>
            <w:r>
              <w:rPr>
                <w:rFonts w:ascii="Calibri" w:cs="Calibri" w:eastAsia="Calibri" w:hAnsi="Calibri"/>
                <w:sz w:val="18"/>
                <w:szCs w:val="18"/>
                <w:color w:val="auto"/>
              </w:rPr>
              <w:t>6,733</w:t>
            </w:r>
          </w:p>
        </w:tc>
        <w:tc>
          <w:tcPr>
            <w:tcW w:w="0" w:type="dxa"/>
            <w:vAlign w:val="bottom"/>
          </w:tcPr>
          <w:p>
            <w:pPr>
              <w:spacing w:after="0"/>
              <w:rPr>
                <w:sz w:val="1"/>
                <w:szCs w:val="1"/>
                <w:color w:val="auto"/>
              </w:rPr>
            </w:pPr>
          </w:p>
        </w:tc>
      </w:tr>
      <w:tr>
        <w:trPr>
          <w:trHeight w:val="232"/>
        </w:trPr>
        <w:tc>
          <w:tcPr>
            <w:tcW w:w="8520" w:type="dxa"/>
            <w:vAlign w:val="bottom"/>
            <w:gridSpan w:val="2"/>
            <w:shd w:val="clear" w:color="auto" w:fill="CCEEFF"/>
          </w:tcPr>
          <w:p>
            <w:pPr>
              <w:ind w:left="20"/>
              <w:spacing w:after="0" w:line="217" w:lineRule="exact"/>
              <w:rPr>
                <w:sz w:val="20"/>
                <w:szCs w:val="20"/>
                <w:color w:val="auto"/>
              </w:rPr>
            </w:pPr>
            <w:r>
              <w:rPr>
                <w:rFonts w:ascii="Calibri" w:cs="Calibri" w:eastAsia="Calibri" w:hAnsi="Calibri"/>
                <w:sz w:val="18"/>
                <w:szCs w:val="18"/>
                <w:color w:val="auto"/>
              </w:rPr>
              <w:t>Dividends per share to preferred stockholders</w:t>
            </w:r>
          </w:p>
        </w:tc>
        <w:tc>
          <w:tcPr>
            <w:tcW w:w="120" w:type="dxa"/>
            <w:vAlign w:val="bottom"/>
            <w:shd w:val="clear" w:color="auto" w:fill="CCEEFF"/>
          </w:tcPr>
          <w:p>
            <w:pPr>
              <w:jc w:val="right"/>
              <w:spacing w:after="0" w:line="217" w:lineRule="exact"/>
              <w:rPr>
                <w:sz w:val="20"/>
                <w:szCs w:val="20"/>
                <w:color w:val="auto"/>
              </w:rPr>
            </w:pPr>
            <w:r>
              <w:rPr>
                <w:rFonts w:ascii="Calibri" w:cs="Calibri" w:eastAsia="Calibri" w:hAnsi="Calibri"/>
                <w:sz w:val="18"/>
                <w:szCs w:val="18"/>
                <w:color w:val="auto"/>
                <w:w w:val="87"/>
              </w:rPr>
              <w:t>$</w:t>
            </w:r>
          </w:p>
        </w:tc>
        <w:tc>
          <w:tcPr>
            <w:tcW w:w="1280" w:type="dxa"/>
            <w:vAlign w:val="bottom"/>
            <w:gridSpan w:val="2"/>
            <w:shd w:val="clear" w:color="auto" w:fill="CCEEFF"/>
          </w:tcPr>
          <w:p>
            <w:pPr>
              <w:jc w:val="right"/>
              <w:ind w:right="160"/>
              <w:spacing w:after="0" w:line="217" w:lineRule="exact"/>
              <w:rPr>
                <w:sz w:val="20"/>
                <w:szCs w:val="20"/>
                <w:color w:val="auto"/>
              </w:rPr>
            </w:pPr>
            <w:r>
              <w:rPr>
                <w:rFonts w:ascii="Calibri" w:cs="Calibri" w:eastAsia="Calibri" w:hAnsi="Calibri"/>
                <w:sz w:val="18"/>
                <w:szCs w:val="18"/>
                <w:color w:val="auto"/>
              </w:rPr>
              <w:t>—</w:t>
            </w:r>
          </w:p>
        </w:tc>
        <w:tc>
          <w:tcPr>
            <w:tcW w:w="140" w:type="dxa"/>
            <w:vAlign w:val="bottom"/>
            <w:shd w:val="clear" w:color="auto" w:fill="CCEEFF"/>
          </w:tcPr>
          <w:p>
            <w:pPr>
              <w:jc w:val="right"/>
              <w:spacing w:after="0" w:line="217" w:lineRule="exact"/>
              <w:rPr>
                <w:sz w:val="20"/>
                <w:szCs w:val="20"/>
                <w:color w:val="auto"/>
              </w:rPr>
            </w:pPr>
            <w:r>
              <w:rPr>
                <w:rFonts w:ascii="Calibri" w:cs="Calibri" w:eastAsia="Calibri" w:hAnsi="Calibri"/>
                <w:sz w:val="18"/>
                <w:szCs w:val="18"/>
                <w:color w:val="auto"/>
                <w:w w:val="87"/>
              </w:rPr>
              <w:t>$</w:t>
            </w:r>
          </w:p>
        </w:tc>
        <w:tc>
          <w:tcPr>
            <w:tcW w:w="1180" w:type="dxa"/>
            <w:vAlign w:val="bottom"/>
            <w:shd w:val="clear" w:color="auto" w:fill="CCEEFF"/>
          </w:tcPr>
          <w:p>
            <w:pPr>
              <w:jc w:val="right"/>
              <w:spacing w:after="0" w:line="217" w:lineRule="exact"/>
              <w:rPr>
                <w:sz w:val="20"/>
                <w:szCs w:val="20"/>
                <w:color w:val="auto"/>
              </w:rPr>
            </w:pPr>
            <w:r>
              <w:rPr>
                <w:rFonts w:ascii="Calibri" w:cs="Calibri" w:eastAsia="Calibri" w:hAnsi="Calibri"/>
                <w:sz w:val="18"/>
                <w:szCs w:val="18"/>
                <w:color w:val="auto"/>
              </w:rPr>
              <w:t>80.00</w:t>
            </w:r>
          </w:p>
        </w:tc>
        <w:tc>
          <w:tcPr>
            <w:tcW w:w="0" w:type="dxa"/>
            <w:vAlign w:val="bottom"/>
          </w:tcPr>
          <w:p>
            <w:pPr>
              <w:spacing w:after="0"/>
              <w:rPr>
                <w:sz w:val="1"/>
                <w:szCs w:val="1"/>
                <w:color w:val="auto"/>
              </w:rPr>
            </w:pPr>
          </w:p>
        </w:tc>
      </w:tr>
      <w:tr>
        <w:trPr>
          <w:trHeight w:val="210"/>
        </w:trPr>
        <w:tc>
          <w:tcPr>
            <w:tcW w:w="8520" w:type="dxa"/>
            <w:vAlign w:val="bottom"/>
            <w:gridSpan w:val="2"/>
          </w:tcPr>
          <w:p>
            <w:pPr>
              <w:ind w:left="20"/>
              <w:spacing w:after="0" w:line="210" w:lineRule="exact"/>
              <w:rPr>
                <w:sz w:val="20"/>
                <w:szCs w:val="20"/>
                <w:color w:val="auto"/>
              </w:rPr>
            </w:pPr>
            <w:r>
              <w:rPr>
                <w:rFonts w:ascii="Calibri" w:cs="Calibri" w:eastAsia="Calibri" w:hAnsi="Calibri"/>
                <w:sz w:val="18"/>
                <w:szCs w:val="18"/>
                <w:color w:val="auto"/>
              </w:rPr>
              <w:t>Dividends to preferred stockholders</w:t>
            </w:r>
          </w:p>
        </w:tc>
        <w:tc>
          <w:tcPr>
            <w:tcW w:w="120" w:type="dxa"/>
            <w:vAlign w:val="bottom"/>
          </w:tcPr>
          <w:p>
            <w:pPr>
              <w:jc w:val="right"/>
              <w:spacing w:after="0" w:line="210" w:lineRule="exact"/>
              <w:rPr>
                <w:sz w:val="20"/>
                <w:szCs w:val="20"/>
                <w:color w:val="auto"/>
              </w:rPr>
            </w:pPr>
            <w:r>
              <w:rPr>
                <w:rFonts w:ascii="Calibri" w:cs="Calibri" w:eastAsia="Calibri" w:hAnsi="Calibri"/>
                <w:sz w:val="18"/>
                <w:szCs w:val="18"/>
                <w:color w:val="auto"/>
                <w:w w:val="87"/>
              </w:rPr>
              <w:t>$</w:t>
            </w:r>
          </w:p>
        </w:tc>
        <w:tc>
          <w:tcPr>
            <w:tcW w:w="1280" w:type="dxa"/>
            <w:vAlign w:val="bottom"/>
            <w:gridSpan w:val="2"/>
          </w:tcPr>
          <w:p>
            <w:pPr>
              <w:jc w:val="right"/>
              <w:ind w:right="160"/>
              <w:spacing w:after="0" w:line="210" w:lineRule="exact"/>
              <w:rPr>
                <w:sz w:val="20"/>
                <w:szCs w:val="20"/>
                <w:color w:val="auto"/>
              </w:rPr>
            </w:pPr>
            <w:r>
              <w:rPr>
                <w:rFonts w:ascii="Calibri" w:cs="Calibri" w:eastAsia="Calibri" w:hAnsi="Calibri"/>
                <w:sz w:val="18"/>
                <w:szCs w:val="18"/>
                <w:color w:val="auto"/>
              </w:rPr>
              <w:t>—</w:t>
            </w:r>
          </w:p>
        </w:tc>
        <w:tc>
          <w:tcPr>
            <w:tcW w:w="140" w:type="dxa"/>
            <w:vAlign w:val="bottom"/>
          </w:tcPr>
          <w:p>
            <w:pPr>
              <w:jc w:val="right"/>
              <w:spacing w:after="0" w:line="210" w:lineRule="exact"/>
              <w:rPr>
                <w:sz w:val="20"/>
                <w:szCs w:val="20"/>
                <w:color w:val="auto"/>
              </w:rPr>
            </w:pPr>
            <w:r>
              <w:rPr>
                <w:rFonts w:ascii="Calibri" w:cs="Calibri" w:eastAsia="Calibri" w:hAnsi="Calibri"/>
                <w:sz w:val="18"/>
                <w:szCs w:val="18"/>
                <w:color w:val="auto"/>
                <w:w w:val="87"/>
              </w:rPr>
              <w:t>$</w:t>
            </w:r>
          </w:p>
        </w:tc>
        <w:tc>
          <w:tcPr>
            <w:tcW w:w="1180" w:type="dxa"/>
            <w:vAlign w:val="bottom"/>
          </w:tcPr>
          <w:p>
            <w:pPr>
              <w:jc w:val="right"/>
              <w:spacing w:after="0" w:line="210" w:lineRule="exact"/>
              <w:rPr>
                <w:sz w:val="20"/>
                <w:szCs w:val="20"/>
                <w:color w:val="auto"/>
              </w:rPr>
            </w:pPr>
            <w:r>
              <w:rPr>
                <w:rFonts w:ascii="Calibri" w:cs="Calibri" w:eastAsia="Calibri" w:hAnsi="Calibri"/>
                <w:sz w:val="18"/>
                <w:szCs w:val="18"/>
                <w:color w:val="auto"/>
              </w:rPr>
              <w:t>299</w:t>
            </w:r>
          </w:p>
        </w:tc>
        <w:tc>
          <w:tcPr>
            <w:tcW w:w="0" w:type="dxa"/>
            <w:vAlign w:val="bottom"/>
          </w:tcPr>
          <w:p>
            <w:pPr>
              <w:spacing w:after="0"/>
              <w:rPr>
                <w:sz w:val="1"/>
                <w:szCs w:val="1"/>
                <w:color w:val="auto"/>
              </w:rPr>
            </w:pPr>
          </w:p>
        </w:tc>
      </w:tr>
    </w:tbl>
    <w:p>
      <w:pPr>
        <w:spacing w:after="0" w:line="192" w:lineRule="exact"/>
        <w:rPr>
          <w:sz w:val="20"/>
          <w:szCs w:val="20"/>
          <w:color w:val="auto"/>
        </w:rPr>
      </w:pPr>
    </w:p>
    <w:p>
      <w:pPr>
        <w:ind w:left="400"/>
        <w:spacing w:after="0"/>
        <w:rPr>
          <w:sz w:val="20"/>
          <w:szCs w:val="20"/>
          <w:color w:val="auto"/>
        </w:rPr>
      </w:pPr>
      <w:r>
        <w:rPr>
          <w:rFonts w:ascii="Calibri" w:cs="Calibri" w:eastAsia="Calibri" w:hAnsi="Calibri"/>
          <w:sz w:val="17"/>
          <w:szCs w:val="17"/>
          <w:color w:val="auto"/>
        </w:rPr>
        <w:t>On September 30, 2019, we issued approximately 4 million shares of 8.00% Mandatory Convertble Preferred Stock, Series A, $0.001 par value per share.</w:t>
      </w:r>
    </w:p>
    <w:p>
      <w:pPr>
        <w:spacing w:after="0" w:line="233" w:lineRule="auto"/>
        <w:rPr>
          <w:sz w:val="20"/>
          <w:szCs w:val="20"/>
          <w:color w:val="auto"/>
        </w:rPr>
      </w:pPr>
      <w:r>
        <w:rPr>
          <w:rFonts w:ascii="Calibri" w:cs="Calibri" w:eastAsia="Calibri" w:hAnsi="Calibri"/>
          <w:sz w:val="18"/>
          <w:szCs w:val="18"/>
          <w:color w:val="auto"/>
        </w:rPr>
        <w:t>These shares were converted into shares of our common stock during fscal year 2022.</w:t>
      </w:r>
    </w:p>
    <w:p>
      <w:pPr>
        <w:spacing w:after="0" w:line="107" w:lineRule="exact"/>
        <w:rPr>
          <w:sz w:val="20"/>
          <w:szCs w:val="20"/>
          <w:color w:val="auto"/>
        </w:rPr>
      </w:pPr>
    </w:p>
    <w:p>
      <w:pPr>
        <w:ind w:right="80" w:firstLine="396"/>
        <w:spacing w:after="0" w:line="230" w:lineRule="auto"/>
        <w:rPr>
          <w:sz w:val="20"/>
          <w:szCs w:val="20"/>
          <w:color w:val="auto"/>
        </w:rPr>
      </w:pPr>
      <w:r>
        <w:rPr>
          <w:rFonts w:ascii="Calibri" w:cs="Calibri" w:eastAsia="Calibri" w:hAnsi="Calibri"/>
          <w:sz w:val="18"/>
          <w:szCs w:val="18"/>
          <w:color w:val="auto"/>
        </w:rPr>
        <w:t>In December 2021, our Board of Directors authorized a stock repurchase program to repurchase up to $10 billion of our common stock from tme to tme on or prior to December 31, 2022, which was subsequently extended through December 31, 2023. In May 2022, our Board of Directors authorized another stock repurchase program to repurchase up to an additonal $10 billion of our common stock from tme to tme through December 31, 2023. As of October 29, 2023, $7,176 million of the authorized amount remained available for repurchases.</w:t>
      </w:r>
    </w:p>
    <w:p>
      <w:pPr>
        <w:spacing w:after="0" w:line="108" w:lineRule="exact"/>
        <w:rPr>
          <w:sz w:val="20"/>
          <w:szCs w:val="20"/>
          <w:color w:val="auto"/>
        </w:rPr>
      </w:pPr>
    </w:p>
    <w:p>
      <w:pPr>
        <w:ind w:right="220" w:firstLine="396"/>
        <w:spacing w:after="0" w:line="230" w:lineRule="auto"/>
        <w:rPr>
          <w:sz w:val="20"/>
          <w:szCs w:val="20"/>
          <w:color w:val="auto"/>
        </w:rPr>
      </w:pPr>
      <w:r>
        <w:rPr>
          <w:rFonts w:ascii="Calibri" w:cs="Calibri" w:eastAsia="Calibri" w:hAnsi="Calibri"/>
          <w:sz w:val="18"/>
          <w:szCs w:val="18"/>
          <w:color w:val="auto"/>
        </w:rPr>
        <w:t>During fscal years 2023 and 2022, we repurchased and retred approximately 9 million and 12 million shares of our common stock for $5,824 million and $7,000 million, respectvely, under these stock repurchase programs.</w:t>
      </w:r>
    </w:p>
    <w:p>
      <w:pPr>
        <w:spacing w:after="0" w:line="107" w:lineRule="exact"/>
        <w:rPr>
          <w:sz w:val="20"/>
          <w:szCs w:val="20"/>
          <w:color w:val="auto"/>
        </w:rPr>
      </w:pPr>
    </w:p>
    <w:p>
      <w:pPr>
        <w:ind w:right="40" w:firstLine="396"/>
        <w:spacing w:after="0" w:line="230" w:lineRule="auto"/>
        <w:rPr>
          <w:sz w:val="20"/>
          <w:szCs w:val="20"/>
          <w:color w:val="auto"/>
        </w:rPr>
      </w:pPr>
      <w:r>
        <w:rPr>
          <w:rFonts w:ascii="Calibri" w:cs="Calibri" w:eastAsia="Calibri" w:hAnsi="Calibri"/>
          <w:sz w:val="18"/>
          <w:szCs w:val="18"/>
          <w:color w:val="auto"/>
        </w:rPr>
        <w:t>Repurchases under our stock repurchase programs may be efected through a variety of methods, including open market or privately negotated purchases. The tming and amount of shares repurchased will depend on the stock price, business and market conditons, corporate and regulatory requirements, alternatve investment opportunites, acquisiton opportunites, and other factors. We are not obligated to repurchase any specifc amount of shares of common stock, and the stock repurchase programs may be suspended or terminated at any tme.</w:t>
      </w:r>
    </w:p>
    <w:p>
      <w:pPr>
        <w:spacing w:after="0" w:line="108" w:lineRule="exact"/>
        <w:rPr>
          <w:sz w:val="20"/>
          <w:szCs w:val="20"/>
          <w:color w:val="auto"/>
        </w:rPr>
      </w:pPr>
    </w:p>
    <w:p>
      <w:pPr>
        <w:ind w:right="400" w:firstLine="396"/>
        <w:spacing w:after="0" w:line="230" w:lineRule="auto"/>
        <w:rPr>
          <w:sz w:val="20"/>
          <w:szCs w:val="20"/>
          <w:color w:val="auto"/>
        </w:rPr>
      </w:pPr>
      <w:r>
        <w:rPr>
          <w:rFonts w:ascii="Calibri" w:cs="Calibri" w:eastAsia="Calibri" w:hAnsi="Calibri"/>
          <w:sz w:val="18"/>
          <w:szCs w:val="18"/>
          <w:color w:val="auto"/>
        </w:rPr>
        <w:t>During fscal years 2023 and 2022, we paid approximately $1,861 million and $1,455 million, respectvely, in employee withholding taxes due upon the vestng of net setled equity awards. We withheld approximately 3 million shares of common stock from employees in connecton with such net share setlements during each of fscal years 2023 and 2022.</w:t>
      </w:r>
    </w:p>
    <w:p>
      <w:pPr>
        <w:spacing w:after="0" w:line="98"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Cash Flows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20" w:type="dxa"/>
            <w:vAlign w:val="bottom"/>
            <w:gridSpan w:val="4"/>
          </w:tcPr>
          <w:p>
            <w:pPr>
              <w:jc w:val="right"/>
              <w:ind w:right="796"/>
              <w:spacing w:after="0"/>
              <w:rPr>
                <w:sz w:val="20"/>
                <w:szCs w:val="20"/>
                <w:color w:val="auto"/>
              </w:rPr>
            </w:pPr>
            <w:r>
              <w:rPr>
                <w:rFonts w:ascii="Calibri" w:cs="Calibri" w:eastAsia="Calibri" w:hAnsi="Calibri"/>
                <w:sz w:val="14"/>
                <w:szCs w:val="14"/>
                <w:b w:val="1"/>
                <w:bCs w:val="1"/>
                <w:color w:val="auto"/>
              </w:rPr>
              <w:t>Fiscal Year Ended</w:t>
            </w:r>
          </w:p>
        </w:tc>
      </w:tr>
      <w:tr>
        <w:trPr>
          <w:trHeight w:val="45"/>
        </w:trPr>
        <w:tc>
          <w:tcPr>
            <w:tcW w:w="850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gridSpan w:val="2"/>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r>
      <w:tr>
        <w:trPr>
          <w:trHeight w:val="161"/>
        </w:trPr>
        <w:tc>
          <w:tcPr>
            <w:tcW w:w="8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gridSpan w:val="2"/>
          </w:tcPr>
          <w:p>
            <w:pPr>
              <w:ind w:left="40"/>
              <w:spacing w:after="0" w:line="161" w:lineRule="exact"/>
              <w:rPr>
                <w:sz w:val="20"/>
                <w:szCs w:val="20"/>
                <w:color w:val="auto"/>
              </w:rPr>
            </w:pPr>
            <w:r>
              <w:rPr>
                <w:rFonts w:ascii="Calibri" w:cs="Calibri" w:eastAsia="Calibri" w:hAnsi="Calibri"/>
                <w:sz w:val="14"/>
                <w:szCs w:val="14"/>
                <w:b w:val="1"/>
                <w:bCs w:val="1"/>
                <w:color w:val="auto"/>
              </w:rPr>
              <w:t>October 29, 2023</w:t>
            </w:r>
          </w:p>
        </w:tc>
        <w:tc>
          <w:tcPr>
            <w:tcW w:w="140" w:type="dxa"/>
            <w:vAlign w:val="bottom"/>
          </w:tcPr>
          <w:p>
            <w:pPr>
              <w:spacing w:after="0"/>
              <w:rPr>
                <w:sz w:val="13"/>
                <w:szCs w:val="13"/>
                <w:color w:val="auto"/>
              </w:rPr>
            </w:pPr>
          </w:p>
        </w:tc>
        <w:tc>
          <w:tcPr>
            <w:tcW w:w="1180" w:type="dxa"/>
            <w:vAlign w:val="bottom"/>
          </w:tcPr>
          <w:p>
            <w:pPr>
              <w:jc w:val="right"/>
              <w:ind w:right="76"/>
              <w:spacing w:after="0" w:line="161" w:lineRule="exact"/>
              <w:rPr>
                <w:sz w:val="20"/>
                <w:szCs w:val="20"/>
                <w:color w:val="auto"/>
              </w:rPr>
            </w:pPr>
            <w:r>
              <w:rPr>
                <w:rFonts w:ascii="Calibri" w:cs="Calibri" w:eastAsia="Calibri" w:hAnsi="Calibri"/>
                <w:sz w:val="14"/>
                <w:szCs w:val="14"/>
                <w:b w:val="1"/>
                <w:bCs w:val="1"/>
                <w:color w:val="auto"/>
              </w:rPr>
              <w:t>October 30, 2022</w:t>
            </w:r>
          </w:p>
        </w:tc>
      </w:tr>
      <w:tr>
        <w:trPr>
          <w:trHeight w:val="30"/>
        </w:trPr>
        <w:tc>
          <w:tcPr>
            <w:tcW w:w="85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r>
      <w:tr>
        <w:trPr>
          <w:trHeight w:val="186"/>
        </w:trPr>
        <w:tc>
          <w:tcPr>
            <w:tcW w:w="8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20" w:type="dxa"/>
            <w:vAlign w:val="bottom"/>
            <w:gridSpan w:val="4"/>
          </w:tcPr>
          <w:p>
            <w:pPr>
              <w:jc w:val="right"/>
              <w:ind w:right="936"/>
              <w:spacing w:after="0"/>
              <w:rPr>
                <w:sz w:val="20"/>
                <w:szCs w:val="20"/>
                <w:color w:val="auto"/>
              </w:rPr>
            </w:pPr>
            <w:r>
              <w:rPr>
                <w:rFonts w:ascii="Calibri" w:cs="Calibri" w:eastAsia="Calibri" w:hAnsi="Calibri"/>
                <w:sz w:val="14"/>
                <w:szCs w:val="14"/>
                <w:b w:val="1"/>
                <w:bCs w:val="1"/>
                <w:color w:val="auto"/>
              </w:rPr>
              <w:t>(In millions)</w:t>
            </w:r>
          </w:p>
        </w:tc>
      </w:tr>
      <w:tr>
        <w:trPr>
          <w:trHeight w:val="45"/>
        </w:trPr>
        <w:tc>
          <w:tcPr>
            <w:tcW w:w="8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80" w:type="dxa"/>
            <w:vAlign w:val="bottom"/>
          </w:tcPr>
          <w:p>
            <w:pPr>
              <w:spacing w:after="0"/>
              <w:rPr>
                <w:sz w:val="3"/>
                <w:szCs w:val="3"/>
                <w:color w:val="auto"/>
              </w:rPr>
            </w:pPr>
          </w:p>
        </w:tc>
      </w:tr>
      <w:tr>
        <w:trPr>
          <w:trHeight w:val="224"/>
        </w:trPr>
        <w:tc>
          <w:tcPr>
            <w:tcW w:w="8500" w:type="dxa"/>
            <w:vAlign w:val="bottom"/>
            <w:shd w:val="clear" w:color="auto" w:fill="CCEEFF"/>
          </w:tcPr>
          <w:p>
            <w:pPr>
              <w:ind w:left="20"/>
              <w:spacing w:after="0" w:line="210" w:lineRule="exact"/>
              <w:rPr>
                <w:sz w:val="20"/>
                <w:szCs w:val="20"/>
                <w:color w:val="auto"/>
              </w:rPr>
            </w:pPr>
            <w:r>
              <w:rPr>
                <w:rFonts w:ascii="Calibri" w:cs="Calibri" w:eastAsia="Calibri" w:hAnsi="Calibri"/>
                <w:sz w:val="18"/>
                <w:szCs w:val="18"/>
                <w:color w:val="auto"/>
              </w:rPr>
              <w:t>Net cash provided by operatng actvites</w:t>
            </w:r>
          </w:p>
        </w:tc>
        <w:tc>
          <w:tcPr>
            <w:tcW w:w="120" w:type="dxa"/>
            <w:vAlign w:val="bottom"/>
            <w:shd w:val="clear" w:color="auto" w:fill="CCEEFF"/>
          </w:tcPr>
          <w:p>
            <w:pPr>
              <w:jc w:val="right"/>
              <w:spacing w:after="0" w:line="210" w:lineRule="exact"/>
              <w:rPr>
                <w:sz w:val="20"/>
                <w:szCs w:val="20"/>
                <w:color w:val="auto"/>
              </w:rPr>
            </w:pPr>
            <w:r>
              <w:rPr>
                <w:rFonts w:ascii="Calibri" w:cs="Calibri" w:eastAsia="Calibri" w:hAnsi="Calibri"/>
                <w:sz w:val="18"/>
                <w:szCs w:val="18"/>
                <w:color w:val="auto"/>
                <w:w w:val="87"/>
              </w:rPr>
              <w:t>$</w:t>
            </w:r>
          </w:p>
        </w:tc>
        <w:tc>
          <w:tcPr>
            <w:tcW w:w="1200" w:type="dxa"/>
            <w:vAlign w:val="bottom"/>
            <w:shd w:val="clear" w:color="auto" w:fill="CCEEFF"/>
          </w:tcPr>
          <w:p>
            <w:pPr>
              <w:jc w:val="right"/>
              <w:spacing w:after="0" w:line="210" w:lineRule="exact"/>
              <w:rPr>
                <w:sz w:val="20"/>
                <w:szCs w:val="20"/>
                <w:color w:val="auto"/>
              </w:rPr>
            </w:pPr>
            <w:r>
              <w:rPr>
                <w:rFonts w:ascii="Calibri" w:cs="Calibri" w:eastAsia="Calibri" w:hAnsi="Calibri"/>
                <w:sz w:val="18"/>
                <w:szCs w:val="18"/>
                <w:color w:val="auto"/>
              </w:rPr>
              <w:t>18,085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line="210" w:lineRule="exact"/>
              <w:rPr>
                <w:sz w:val="20"/>
                <w:szCs w:val="20"/>
                <w:color w:val="auto"/>
              </w:rPr>
            </w:pPr>
            <w:r>
              <w:rPr>
                <w:rFonts w:ascii="Calibri" w:cs="Calibri" w:eastAsia="Calibri" w:hAnsi="Calibri"/>
                <w:sz w:val="18"/>
                <w:szCs w:val="18"/>
                <w:color w:val="auto"/>
                <w:w w:val="87"/>
              </w:rPr>
              <w:t>$</w:t>
            </w:r>
          </w:p>
        </w:tc>
        <w:tc>
          <w:tcPr>
            <w:tcW w:w="1180" w:type="dxa"/>
            <w:vAlign w:val="bottom"/>
            <w:shd w:val="clear" w:color="auto" w:fill="CCEEFF"/>
          </w:tcPr>
          <w:p>
            <w:pPr>
              <w:jc w:val="right"/>
              <w:spacing w:after="0" w:line="210" w:lineRule="exact"/>
              <w:rPr>
                <w:sz w:val="20"/>
                <w:szCs w:val="20"/>
                <w:color w:val="auto"/>
              </w:rPr>
            </w:pPr>
            <w:r>
              <w:rPr>
                <w:rFonts w:ascii="Calibri" w:cs="Calibri" w:eastAsia="Calibri" w:hAnsi="Calibri"/>
                <w:sz w:val="18"/>
                <w:szCs w:val="18"/>
                <w:color w:val="auto"/>
              </w:rPr>
              <w:t>16,736</w:t>
            </w:r>
          </w:p>
        </w:tc>
      </w:tr>
      <w:tr>
        <w:trPr>
          <w:trHeight w:val="217"/>
        </w:trPr>
        <w:tc>
          <w:tcPr>
            <w:tcW w:w="8500" w:type="dxa"/>
            <w:vAlign w:val="bottom"/>
          </w:tcPr>
          <w:p>
            <w:pPr>
              <w:ind w:left="20"/>
              <w:spacing w:after="0" w:line="210" w:lineRule="exact"/>
              <w:rPr>
                <w:sz w:val="20"/>
                <w:szCs w:val="20"/>
                <w:color w:val="auto"/>
              </w:rPr>
            </w:pPr>
            <w:r>
              <w:rPr>
                <w:rFonts w:ascii="Calibri" w:cs="Calibri" w:eastAsia="Calibri" w:hAnsi="Calibri"/>
                <w:sz w:val="18"/>
                <w:szCs w:val="18"/>
                <w:color w:val="auto"/>
              </w:rPr>
              <w:t>Net cash used in investng actvites</w:t>
            </w:r>
          </w:p>
        </w:tc>
        <w:tc>
          <w:tcPr>
            <w:tcW w:w="120" w:type="dxa"/>
            <w:vAlign w:val="bottom"/>
          </w:tcPr>
          <w:p>
            <w:pPr>
              <w:spacing w:after="0"/>
              <w:rPr>
                <w:sz w:val="18"/>
                <w:szCs w:val="18"/>
                <w:color w:val="auto"/>
              </w:rPr>
            </w:pPr>
          </w:p>
        </w:tc>
        <w:tc>
          <w:tcPr>
            <w:tcW w:w="1200" w:type="dxa"/>
            <w:vAlign w:val="bottom"/>
          </w:tcPr>
          <w:p>
            <w:pPr>
              <w:jc w:val="right"/>
              <w:spacing w:after="0" w:line="210" w:lineRule="exact"/>
              <w:rPr>
                <w:sz w:val="20"/>
                <w:szCs w:val="20"/>
                <w:color w:val="auto"/>
              </w:rPr>
            </w:pPr>
            <w:r>
              <w:rPr>
                <w:rFonts w:ascii="Calibri" w:cs="Calibri" w:eastAsia="Calibri" w:hAnsi="Calibri"/>
                <w:sz w:val="18"/>
                <w:szCs w:val="18"/>
                <w:color w:val="auto"/>
              </w:rPr>
              <w:t>(689)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line="210" w:lineRule="exact"/>
              <w:rPr>
                <w:sz w:val="20"/>
                <w:szCs w:val="20"/>
                <w:color w:val="auto"/>
              </w:rPr>
            </w:pPr>
            <w:r>
              <w:rPr>
                <w:rFonts w:ascii="Calibri" w:cs="Calibri" w:eastAsia="Calibri" w:hAnsi="Calibri"/>
                <w:sz w:val="18"/>
                <w:szCs w:val="18"/>
                <w:color w:val="auto"/>
              </w:rPr>
              <w:t>(667)</w:t>
            </w:r>
          </w:p>
        </w:tc>
      </w:tr>
      <w:tr>
        <w:trPr>
          <w:trHeight w:val="225"/>
        </w:trPr>
        <w:tc>
          <w:tcPr>
            <w:tcW w:w="8500" w:type="dxa"/>
            <w:vAlign w:val="bottom"/>
            <w:shd w:val="clear" w:color="auto" w:fill="CCEEFF"/>
          </w:tcPr>
          <w:p>
            <w:pPr>
              <w:ind w:left="20"/>
              <w:spacing w:after="0" w:line="217" w:lineRule="exact"/>
              <w:rPr>
                <w:sz w:val="20"/>
                <w:szCs w:val="20"/>
                <w:color w:val="auto"/>
              </w:rPr>
            </w:pPr>
            <w:r>
              <w:rPr>
                <w:rFonts w:ascii="Calibri" w:cs="Calibri" w:eastAsia="Calibri" w:hAnsi="Calibri"/>
                <w:sz w:val="18"/>
                <w:szCs w:val="18"/>
                <w:color w:val="auto"/>
              </w:rPr>
              <w:t>Net cash used in fnancing actvites</w:t>
            </w:r>
          </w:p>
        </w:tc>
        <w:tc>
          <w:tcPr>
            <w:tcW w:w="1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line="217" w:lineRule="exact"/>
              <w:rPr>
                <w:sz w:val="20"/>
                <w:szCs w:val="20"/>
                <w:color w:val="auto"/>
              </w:rPr>
            </w:pPr>
            <w:r>
              <w:rPr>
                <w:rFonts w:ascii="Calibri" w:cs="Calibri" w:eastAsia="Calibri" w:hAnsi="Calibri"/>
                <w:sz w:val="18"/>
                <w:szCs w:val="18"/>
                <w:color w:val="auto"/>
              </w:rPr>
              <w:t>(15,623)</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line="217" w:lineRule="exact"/>
              <w:rPr>
                <w:sz w:val="20"/>
                <w:szCs w:val="20"/>
                <w:color w:val="auto"/>
              </w:rPr>
            </w:pPr>
            <w:r>
              <w:rPr>
                <w:rFonts w:ascii="Calibri" w:cs="Calibri" w:eastAsia="Calibri" w:hAnsi="Calibri"/>
                <w:sz w:val="18"/>
                <w:szCs w:val="18"/>
                <w:color w:val="auto"/>
              </w:rPr>
              <w:t>(15,816)</w:t>
            </w:r>
          </w:p>
        </w:tc>
      </w:tr>
      <w:tr>
        <w:trPr>
          <w:trHeight w:val="224"/>
        </w:trPr>
        <w:tc>
          <w:tcPr>
            <w:tcW w:w="8500" w:type="dxa"/>
            <w:vAlign w:val="bottom"/>
          </w:tcPr>
          <w:p>
            <w:pPr>
              <w:ind w:left="120"/>
              <w:spacing w:after="0"/>
              <w:rPr>
                <w:sz w:val="20"/>
                <w:szCs w:val="20"/>
                <w:color w:val="auto"/>
              </w:rPr>
            </w:pPr>
            <w:r>
              <w:rPr>
                <w:rFonts w:ascii="Calibri" w:cs="Calibri" w:eastAsia="Calibri" w:hAnsi="Calibri"/>
                <w:sz w:val="18"/>
                <w:szCs w:val="18"/>
                <w:color w:val="auto"/>
              </w:rPr>
              <w:t>Net change in cash and cash equivalents</w:t>
            </w:r>
          </w:p>
        </w:tc>
        <w:tc>
          <w:tcPr>
            <w:tcW w:w="120" w:type="dxa"/>
            <w:vAlign w:val="bottom"/>
            <w:tcBorders>
              <w:bottom w:val="single" w:sz="8" w:color="auto"/>
            </w:tcBorders>
          </w:tcPr>
          <w:p>
            <w:pPr>
              <w:jc w:val="right"/>
              <w:spacing w:after="0" w:line="210" w:lineRule="exact"/>
              <w:rPr>
                <w:sz w:val="20"/>
                <w:szCs w:val="20"/>
                <w:color w:val="auto"/>
              </w:rPr>
            </w:pPr>
            <w:r>
              <w:rPr>
                <w:rFonts w:ascii="Calibri" w:cs="Calibri" w:eastAsia="Calibri" w:hAnsi="Calibri"/>
                <w:sz w:val="18"/>
                <w:szCs w:val="18"/>
                <w:color w:val="auto"/>
                <w:w w:val="87"/>
              </w:rPr>
              <w:t>$</w:t>
            </w:r>
          </w:p>
        </w:tc>
        <w:tc>
          <w:tcPr>
            <w:tcW w:w="1200" w:type="dxa"/>
            <w:vAlign w:val="bottom"/>
            <w:tcBorders>
              <w:bottom w:val="single" w:sz="8" w:color="auto"/>
            </w:tcBorders>
          </w:tcPr>
          <w:p>
            <w:pPr>
              <w:jc w:val="right"/>
              <w:spacing w:after="0" w:line="210" w:lineRule="exact"/>
              <w:rPr>
                <w:sz w:val="20"/>
                <w:szCs w:val="20"/>
                <w:color w:val="auto"/>
              </w:rPr>
            </w:pPr>
            <w:r>
              <w:rPr>
                <w:rFonts w:ascii="Calibri" w:cs="Calibri" w:eastAsia="Calibri" w:hAnsi="Calibri"/>
                <w:sz w:val="18"/>
                <w:szCs w:val="18"/>
                <w:color w:val="auto"/>
              </w:rPr>
              <w:t>1,773</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line="210" w:lineRule="exact"/>
              <w:rPr>
                <w:sz w:val="20"/>
                <w:szCs w:val="20"/>
                <w:color w:val="auto"/>
              </w:rPr>
            </w:pPr>
            <w:r>
              <w:rPr>
                <w:rFonts w:ascii="Calibri" w:cs="Calibri" w:eastAsia="Calibri" w:hAnsi="Calibri"/>
                <w:sz w:val="18"/>
                <w:szCs w:val="18"/>
                <w:color w:val="auto"/>
                <w:w w:val="87"/>
              </w:rPr>
              <w:t>$</w:t>
            </w:r>
          </w:p>
        </w:tc>
        <w:tc>
          <w:tcPr>
            <w:tcW w:w="1180" w:type="dxa"/>
            <w:vAlign w:val="bottom"/>
            <w:tcBorders>
              <w:bottom w:val="single" w:sz="8" w:color="auto"/>
            </w:tcBorders>
          </w:tcPr>
          <w:p>
            <w:pPr>
              <w:jc w:val="right"/>
              <w:spacing w:after="0" w:line="210" w:lineRule="exact"/>
              <w:rPr>
                <w:sz w:val="20"/>
                <w:szCs w:val="20"/>
                <w:color w:val="auto"/>
              </w:rPr>
            </w:pPr>
            <w:r>
              <w:rPr>
                <w:rFonts w:ascii="Calibri" w:cs="Calibri" w:eastAsia="Calibri" w:hAnsi="Calibri"/>
                <w:sz w:val="18"/>
                <w:szCs w:val="18"/>
                <w:color w:val="auto"/>
              </w:rPr>
              <w:t>253</w:t>
            </w:r>
          </w:p>
        </w:tc>
      </w:tr>
      <w:tr>
        <w:trPr>
          <w:trHeight w:val="20"/>
        </w:trPr>
        <w:tc>
          <w:tcPr>
            <w:tcW w:w="85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54" w:lineRule="exact"/>
        <w:rPr>
          <w:sz w:val="20"/>
          <w:szCs w:val="20"/>
          <w:color w:val="auto"/>
        </w:rPr>
      </w:pPr>
    </w:p>
    <w:p>
      <w:pPr>
        <w:ind w:left="400"/>
        <w:spacing w:after="0"/>
        <w:rPr>
          <w:sz w:val="20"/>
          <w:szCs w:val="20"/>
          <w:color w:val="auto"/>
        </w:rPr>
      </w:pPr>
      <w:r>
        <w:rPr>
          <w:rFonts w:ascii="Calibri" w:cs="Calibri" w:eastAsia="Calibri" w:hAnsi="Calibri"/>
          <w:sz w:val="18"/>
          <w:szCs w:val="18"/>
          <w:b w:val="1"/>
          <w:bCs w:val="1"/>
          <w:i w:val="1"/>
          <w:iCs w:val="1"/>
          <w:color w:val="auto"/>
        </w:rPr>
        <w:t>Operatng Actvites</w:t>
      </w:r>
    </w:p>
    <w:p>
      <w:pPr>
        <w:spacing w:after="0" w:line="107" w:lineRule="exact"/>
        <w:rPr>
          <w:sz w:val="20"/>
          <w:szCs w:val="20"/>
          <w:color w:val="auto"/>
        </w:rPr>
      </w:pPr>
    </w:p>
    <w:p>
      <w:pPr>
        <w:jc w:val="both"/>
        <w:ind w:firstLine="396"/>
        <w:spacing w:after="0" w:line="230" w:lineRule="auto"/>
        <w:rPr>
          <w:sz w:val="20"/>
          <w:szCs w:val="20"/>
          <w:color w:val="auto"/>
        </w:rPr>
      </w:pPr>
      <w:r>
        <w:rPr>
          <w:rFonts w:ascii="Calibri" w:cs="Calibri" w:eastAsia="Calibri" w:hAnsi="Calibri"/>
          <w:sz w:val="18"/>
          <w:szCs w:val="18"/>
          <w:color w:val="auto"/>
        </w:rPr>
        <w:t>Cash fows from operatng actvites consisted of net income adjusted for certain non-cash and other items and changes in assets and liabilites. The $1,349 million increase in cash provided by operatons during fscal year 2023 compared to fscal year 2022 was due to $2,587 million higher net income, ofset in part by $1,249 million lower non-cash adjustments primarily from lower amortzaton of intangible assets.</w:t>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9" w:right="339" w:bottom="1440" w:gutter="0" w:footer="0" w:header="0"/>
        </w:sectPr>
      </w:pPr>
    </w:p>
    <w:bookmarkStart w:id="47" w:name="page48"/>
    <w:bookmarkEnd w:id="47"/>
    <w:p>
      <w:pPr>
        <w:spacing w:after="0"/>
        <w:rPr>
          <w:sz w:val="20"/>
          <w:szCs w:val="20"/>
          <w:color w:val="auto"/>
        </w:rPr>
      </w:pPr>
      <w:r>
        <w:rPr>
          <w:rFonts w:ascii="Calibri" w:cs="Calibri" w:eastAsia="Calibri" w:hAnsi="Calibri"/>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400"/>
        <w:spacing w:after="0"/>
        <w:rPr>
          <w:sz w:val="20"/>
          <w:szCs w:val="20"/>
          <w:color w:val="auto"/>
        </w:rPr>
      </w:pPr>
      <w:r>
        <w:rPr>
          <w:rFonts w:ascii="Calibri" w:cs="Calibri" w:eastAsia="Calibri" w:hAnsi="Calibri"/>
          <w:sz w:val="18"/>
          <w:szCs w:val="18"/>
          <w:b w:val="1"/>
          <w:bCs w:val="1"/>
          <w:i w:val="1"/>
          <w:iCs w:val="1"/>
          <w:color w:val="auto"/>
        </w:rPr>
        <w:t>Investng Actvites</w:t>
      </w:r>
    </w:p>
    <w:p>
      <w:pPr>
        <w:spacing w:after="0" w:line="107" w:lineRule="exact"/>
        <w:rPr>
          <w:sz w:val="20"/>
          <w:szCs w:val="20"/>
          <w:color w:val="auto"/>
        </w:rPr>
      </w:pPr>
    </w:p>
    <w:p>
      <w:pPr>
        <w:ind w:right="20" w:firstLine="396"/>
        <w:spacing w:after="0" w:line="230" w:lineRule="auto"/>
        <w:rPr>
          <w:sz w:val="20"/>
          <w:szCs w:val="20"/>
          <w:color w:val="auto"/>
        </w:rPr>
      </w:pPr>
      <w:r>
        <w:rPr>
          <w:rFonts w:ascii="Calibri" w:cs="Calibri" w:eastAsia="Calibri" w:hAnsi="Calibri"/>
          <w:sz w:val="18"/>
          <w:szCs w:val="18"/>
          <w:color w:val="auto"/>
        </w:rPr>
        <w:t>Cash fows from investng actvites primarily consisted of capital expenditures, sales and purchases of investments, and cash used for acquisitons. The $22 million increase in cash used in investng actvites for fscal year 2023 compared to fscal year 2022 was primarily due to a $118 million increase in purchases of investments, net of proceeds from sales of investments, ofset by a $193 million decrease in cash paid for acquisitons.</w:t>
      </w:r>
    </w:p>
    <w:p>
      <w:pPr>
        <w:spacing w:after="0" w:line="98" w:lineRule="exact"/>
        <w:rPr>
          <w:sz w:val="20"/>
          <w:szCs w:val="20"/>
          <w:color w:val="auto"/>
        </w:rPr>
      </w:pPr>
    </w:p>
    <w:p>
      <w:pPr>
        <w:ind w:left="400"/>
        <w:spacing w:after="0"/>
        <w:rPr>
          <w:sz w:val="20"/>
          <w:szCs w:val="20"/>
          <w:color w:val="auto"/>
        </w:rPr>
      </w:pPr>
      <w:r>
        <w:rPr>
          <w:rFonts w:ascii="Calibri" w:cs="Calibri" w:eastAsia="Calibri" w:hAnsi="Calibri"/>
          <w:sz w:val="18"/>
          <w:szCs w:val="18"/>
          <w:b w:val="1"/>
          <w:bCs w:val="1"/>
          <w:i w:val="1"/>
          <w:iCs w:val="1"/>
          <w:color w:val="auto"/>
        </w:rPr>
        <w:t>Financing Actvites</w:t>
      </w:r>
    </w:p>
    <w:p>
      <w:pPr>
        <w:spacing w:after="0" w:line="107" w:lineRule="exact"/>
        <w:rPr>
          <w:sz w:val="20"/>
          <w:szCs w:val="20"/>
          <w:color w:val="auto"/>
        </w:rPr>
      </w:pPr>
    </w:p>
    <w:p>
      <w:pPr>
        <w:ind w:right="40" w:firstLine="396"/>
        <w:spacing w:after="0" w:line="230" w:lineRule="auto"/>
        <w:rPr>
          <w:sz w:val="20"/>
          <w:szCs w:val="20"/>
          <w:color w:val="auto"/>
        </w:rPr>
      </w:pPr>
      <w:r>
        <w:rPr>
          <w:rFonts w:ascii="Calibri" w:cs="Calibri" w:eastAsia="Calibri" w:hAnsi="Calibri"/>
          <w:sz w:val="18"/>
          <w:szCs w:val="18"/>
          <w:color w:val="auto"/>
        </w:rPr>
        <w:t>Cash fows from fnancing actvites primarily consisted of dividend payments, stock repurchases, proceeds and payments related to our long-term borrowings, and employee withholding tax payments related to net setled equity awards. The $193 million decrease in cash used in fnancing actvites for fscal year 2023 compared to fscal year 2022 was primarily due to a $1,958 million decrease in payments on debt obligatons and a $1,176 million decrease in stock repurchases, ofset by a $1,935 million decrease in proceeds from long-term borrowings, a $613 million increase in dividend payments and a $406 million increase in employee withholding tax payments related to net setled equity awards.</w:t>
      </w:r>
    </w:p>
    <w:p>
      <w:pPr>
        <w:spacing w:after="0" w:line="109" w:lineRule="exact"/>
        <w:rPr>
          <w:sz w:val="20"/>
          <w:szCs w:val="20"/>
          <w:color w:val="auto"/>
        </w:rPr>
      </w:pPr>
    </w:p>
    <w:p>
      <w:pPr>
        <w:ind w:right="5400"/>
        <w:spacing w:after="0" w:line="335" w:lineRule="auto"/>
        <w:rPr>
          <w:sz w:val="20"/>
          <w:szCs w:val="20"/>
          <w:color w:val="auto"/>
        </w:rPr>
      </w:pPr>
      <w:r>
        <w:rPr>
          <w:rFonts w:ascii="Calibri" w:cs="Calibri" w:eastAsia="Calibri" w:hAnsi="Calibri"/>
          <w:sz w:val="18"/>
          <w:szCs w:val="18"/>
          <w:b w:val="1"/>
          <w:bCs w:val="1"/>
          <w:color w:val="auto"/>
        </w:rPr>
        <w:t xml:space="preserve">ITEM 7A. QUANTITATIVE AND QUALITATIVE DISCLOSURES ABOUT MARKET RISK </w:t>
      </w:r>
      <w:r>
        <w:rPr>
          <w:rFonts w:ascii="Calibri" w:cs="Calibri" w:eastAsia="Calibri" w:hAnsi="Calibri"/>
          <w:sz w:val="18"/>
          <w:szCs w:val="18"/>
          <w:b w:val="1"/>
          <w:bCs w:val="1"/>
          <w:i w:val="1"/>
          <w:iCs w:val="1"/>
          <w:color w:val="auto"/>
        </w:rPr>
        <w:t>Foreign Currency Exchange Risk</w:t>
      </w:r>
    </w:p>
    <w:p>
      <w:pPr>
        <w:spacing w:after="0" w:line="20" w:lineRule="exact"/>
        <w:rPr>
          <w:sz w:val="20"/>
          <w:szCs w:val="20"/>
          <w:color w:val="auto"/>
        </w:rPr>
      </w:pPr>
    </w:p>
    <w:p>
      <w:pPr>
        <w:ind w:right="200" w:firstLine="396"/>
        <w:spacing w:after="0" w:line="245" w:lineRule="auto"/>
        <w:rPr>
          <w:sz w:val="20"/>
          <w:szCs w:val="20"/>
          <w:color w:val="auto"/>
        </w:rPr>
      </w:pPr>
      <w:r>
        <w:rPr>
          <w:rFonts w:ascii="Calibri" w:cs="Calibri" w:eastAsia="Calibri" w:hAnsi="Calibri"/>
          <w:sz w:val="17"/>
          <w:szCs w:val="17"/>
          <w:color w:val="auto"/>
        </w:rPr>
        <w:t>From tme to tme, we use foreign exchange forward contracts to hedge a porton of our exposures to changes in currency exchange rates, which result from our global operatng and fnancing actvites. We do not use derivatve fnancial instruments for trading or speculatve purposes. Neither gains and losses from foreign currency transactons nor foreign exchange forward contracts were signifcant for any period presented in the consolidated fnancial statements included in this Form 10-K. We did not have any outstanding foreign exchange forward contracts as of October 29, 2023 or October 30, 2022.</w:t>
      </w:r>
    </w:p>
    <w:p>
      <w:pPr>
        <w:spacing w:after="0" w:line="94"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Interest Rate Risk</w:t>
      </w:r>
    </w:p>
    <w:p>
      <w:pPr>
        <w:spacing w:after="0" w:line="107" w:lineRule="exact"/>
        <w:rPr>
          <w:sz w:val="20"/>
          <w:szCs w:val="20"/>
          <w:color w:val="auto"/>
        </w:rPr>
      </w:pPr>
    </w:p>
    <w:p>
      <w:pPr>
        <w:ind w:firstLine="396"/>
        <w:spacing w:after="0" w:line="230" w:lineRule="auto"/>
        <w:rPr>
          <w:sz w:val="20"/>
          <w:szCs w:val="20"/>
          <w:color w:val="auto"/>
        </w:rPr>
      </w:pPr>
      <w:r>
        <w:rPr>
          <w:rFonts w:ascii="Calibri" w:cs="Calibri" w:eastAsia="Calibri" w:hAnsi="Calibri"/>
          <w:sz w:val="18"/>
          <w:szCs w:val="18"/>
          <w:color w:val="auto"/>
        </w:rPr>
        <w:t>Changes in interest rates afect the fair value of our outstanding debt. As of October 29, 2023 and October 30, 2022, we had $40.8 billion and $41.2 billion in principal amount of debt outstanding, and the estmated aggregate fair value of debt was $33.2 billion and $33.0 billion, respectvely. As of October 29, 2023 and October 30, 2022, a hypothetcal 50 basis points increase or decrease in market interest rates would change the fair value of debt by a decrease or increase of approximately $1.4 billion and $1.6 billion, respectvely. However, this hypothetcal change in interest rates would not impact the interest expense on our debt as we only had fxed rate senior notes outstanding. To hedge variability of cash fows due to changes in the benchmark interest rate of antcipated future debt issuances, we have entered, and in the future may enter, into treasury rate lock contracts.</w:t>
      </w:r>
    </w:p>
    <w:p>
      <w:pPr>
        <w:spacing w:after="0" w:line="200" w:lineRule="exact"/>
        <w:rPr>
          <w:sz w:val="20"/>
          <w:szCs w:val="20"/>
          <w:color w:val="auto"/>
        </w:rPr>
      </w:pPr>
    </w:p>
    <w:p>
      <w:pPr>
        <w:spacing w:after="0" w:line="375" w:lineRule="exact"/>
        <w:rPr>
          <w:sz w:val="20"/>
          <w:szCs w:val="20"/>
          <w:color w:val="auto"/>
        </w:rPr>
      </w:pPr>
    </w:p>
    <w:p>
      <w:pPr>
        <w:jc w:val="center"/>
        <w:ind w:right="-59"/>
        <w:spacing w:after="0"/>
        <w:rPr>
          <w:sz w:val="20"/>
          <w:szCs w:val="20"/>
          <w:color w:val="auto"/>
        </w:rPr>
      </w:pPr>
      <w:r>
        <w:rPr>
          <w:rFonts w:ascii="Calibri" w:cs="Calibri" w:eastAsia="Calibri" w:hAnsi="Calibri"/>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180"/>
          </w:cols>
          <w:pgMar w:left="320" w:top="109" w:right="399" w:bottom="1440" w:gutter="0" w:footer="0" w:header="0"/>
        </w:sectPr>
      </w:pPr>
    </w:p>
    <w:bookmarkStart w:id="48" w:name="page49"/>
    <w:bookmarkEnd w:id="48"/>
    <w:p>
      <w:pPr>
        <w:spacing w:after="0"/>
        <w:rPr>
          <w:sz w:val="20"/>
          <w:szCs w:val="20"/>
          <w:color w:val="auto"/>
        </w:rPr>
      </w:pPr>
      <w:r>
        <w:rPr>
          <w:rFonts w:ascii="Calibri" w:cs="Calibri" w:eastAsia="Calibri" w:hAnsi="Calibri"/>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tabs>
          <w:tab w:leader="none" w:pos="720" w:val="left"/>
        </w:tabs>
        <w:rPr>
          <w:sz w:val="20"/>
          <w:szCs w:val="20"/>
          <w:color w:val="auto"/>
        </w:rPr>
      </w:pPr>
      <w:r>
        <w:rPr>
          <w:rFonts w:ascii="Calibri" w:cs="Calibri" w:eastAsia="Calibri" w:hAnsi="Calibri"/>
          <w:sz w:val="18"/>
          <w:szCs w:val="18"/>
          <w:b w:val="1"/>
          <w:bCs w:val="1"/>
          <w:color w:val="auto"/>
        </w:rPr>
        <w:t>ITEM 8.</w:t>
      </w:r>
      <w:r>
        <w:rPr>
          <w:sz w:val="20"/>
          <w:szCs w:val="20"/>
          <w:color w:val="auto"/>
        </w:rPr>
        <w:tab/>
      </w:r>
      <w:r>
        <w:rPr>
          <w:rFonts w:ascii="Calibri" w:cs="Calibri" w:eastAsia="Calibri" w:hAnsi="Calibri"/>
          <w:sz w:val="15"/>
          <w:szCs w:val="15"/>
          <w:b w:val="1"/>
          <w:bCs w:val="1"/>
          <w:color w:val="auto"/>
        </w:rPr>
        <w:t>FINANCIAL STATEMENTS AND SUPPLEMENTARY DATA</w:t>
      </w:r>
    </w:p>
    <w:p>
      <w:pPr>
        <w:spacing w:after="0" w:line="97" w:lineRule="exact"/>
        <w:rPr>
          <w:sz w:val="20"/>
          <w:szCs w:val="20"/>
          <w:color w:val="auto"/>
        </w:rPr>
      </w:pPr>
    </w:p>
    <w:p>
      <w:pPr>
        <w:jc w:val="center"/>
        <w:spacing w:after="0"/>
        <w:rPr>
          <w:sz w:val="20"/>
          <w:szCs w:val="20"/>
          <w:color w:val="auto"/>
        </w:rPr>
      </w:pPr>
      <w:r>
        <w:rPr>
          <w:rFonts w:ascii="Calibri" w:cs="Calibri" w:eastAsia="Calibri" w:hAnsi="Calibri"/>
          <w:sz w:val="18"/>
          <w:szCs w:val="18"/>
          <w:b w:val="1"/>
          <w:bCs w:val="1"/>
          <w:color w:val="auto"/>
        </w:rPr>
        <w:t>BROADCOM INC.</w:t>
      </w:r>
    </w:p>
    <w:p>
      <w:pPr>
        <w:jc w:val="center"/>
        <w:ind w:right="-19"/>
        <w:spacing w:after="0" w:line="230" w:lineRule="auto"/>
        <w:rPr>
          <w:sz w:val="20"/>
          <w:szCs w:val="20"/>
          <w:color w:val="auto"/>
        </w:rPr>
      </w:pPr>
      <w:r>
        <w:rPr>
          <w:rFonts w:ascii="Calibri" w:cs="Calibri" w:eastAsia="Calibri" w:hAnsi="Calibri"/>
          <w:sz w:val="18"/>
          <w:szCs w:val="18"/>
          <w:b w:val="1"/>
          <w:bCs w:val="1"/>
          <w:color w:val="auto"/>
        </w:rPr>
        <w:t>INDEX TO CONSOLIDATED FINANCIAL STATEMENTS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1340" w:type="dxa"/>
            <w:vAlign w:val="bottom"/>
            <w:gridSpan w:val="4"/>
          </w:tcPr>
          <w:p>
            <w:pPr>
              <w:jc w:val="center"/>
              <w:spacing w:after="0"/>
              <w:rPr>
                <w:sz w:val="20"/>
                <w:szCs w:val="20"/>
                <w:color w:val="auto"/>
              </w:rPr>
            </w:pPr>
            <w:r>
              <w:rPr>
                <w:rFonts w:ascii="Calibri" w:cs="Calibri" w:eastAsia="Calibri" w:hAnsi="Calibri"/>
                <w:sz w:val="14"/>
                <w:szCs w:val="14"/>
                <w:b w:val="1"/>
                <w:bCs w:val="1"/>
                <w:color w:val="auto"/>
                <w:w w:val="92"/>
              </w:rPr>
              <w:t>Page</w:t>
            </w:r>
          </w:p>
        </w:tc>
      </w:tr>
      <w:tr>
        <w:trPr>
          <w:trHeight w:val="45"/>
        </w:trPr>
        <w:tc>
          <w:tcPr>
            <w:tcW w:w="40" w:type="dxa"/>
            <w:vAlign w:val="bottom"/>
          </w:tcPr>
          <w:p>
            <w:pPr>
              <w:spacing w:after="0"/>
              <w:rPr>
                <w:sz w:val="3"/>
                <w:szCs w:val="3"/>
                <w:color w:val="auto"/>
              </w:rPr>
            </w:pPr>
          </w:p>
        </w:tc>
        <w:tc>
          <w:tcPr>
            <w:tcW w:w="2000" w:type="dxa"/>
            <w:vAlign w:val="bottom"/>
            <w:tcBorders>
              <w:bottom w:val="single" w:sz="8" w:color="CCEEFF"/>
            </w:tcBorders>
          </w:tcPr>
          <w:p>
            <w:pPr>
              <w:spacing w:after="0"/>
              <w:rPr>
                <w:sz w:val="3"/>
                <w:szCs w:val="3"/>
                <w:color w:val="auto"/>
              </w:rPr>
            </w:pPr>
          </w:p>
        </w:tc>
        <w:tc>
          <w:tcPr>
            <w:tcW w:w="720" w:type="dxa"/>
            <w:vAlign w:val="bottom"/>
            <w:tcBorders>
              <w:bottom w:val="single" w:sz="8" w:color="CCEEFF"/>
            </w:tcBorders>
          </w:tcPr>
          <w:p>
            <w:pPr>
              <w:spacing w:after="0"/>
              <w:rPr>
                <w:sz w:val="3"/>
                <w:szCs w:val="3"/>
                <w:color w:val="auto"/>
              </w:rPr>
            </w:pPr>
          </w:p>
        </w:tc>
        <w:tc>
          <w:tcPr>
            <w:tcW w:w="300" w:type="dxa"/>
            <w:vAlign w:val="bottom"/>
            <w:tcBorders>
              <w:bottom w:val="single" w:sz="8" w:color="CCEEFF"/>
            </w:tcBorders>
          </w:tcPr>
          <w:p>
            <w:pPr>
              <w:spacing w:after="0"/>
              <w:rPr>
                <w:sz w:val="3"/>
                <w:szCs w:val="3"/>
                <w:color w:val="auto"/>
              </w:rPr>
            </w:pPr>
          </w:p>
        </w:tc>
        <w:tc>
          <w:tcPr>
            <w:tcW w:w="340" w:type="dxa"/>
            <w:vAlign w:val="bottom"/>
            <w:tcBorders>
              <w:bottom w:val="single" w:sz="8" w:color="CCEEFF"/>
            </w:tcBorders>
          </w:tcPr>
          <w:p>
            <w:pPr>
              <w:spacing w:after="0"/>
              <w:rPr>
                <w:sz w:val="3"/>
                <w:szCs w:val="3"/>
                <w:color w:val="auto"/>
              </w:rPr>
            </w:pPr>
          </w:p>
        </w:tc>
        <w:tc>
          <w:tcPr>
            <w:tcW w:w="240" w:type="dxa"/>
            <w:vAlign w:val="bottom"/>
            <w:tcBorders>
              <w:bottom w:val="single" w:sz="8" w:color="CCEEFF"/>
            </w:tcBorders>
          </w:tcPr>
          <w:p>
            <w:pPr>
              <w:spacing w:after="0"/>
              <w:rPr>
                <w:sz w:val="3"/>
                <w:szCs w:val="3"/>
                <w:color w:val="auto"/>
              </w:rPr>
            </w:pPr>
          </w:p>
        </w:tc>
        <w:tc>
          <w:tcPr>
            <w:tcW w:w="400" w:type="dxa"/>
            <w:vAlign w:val="bottom"/>
            <w:tcBorders>
              <w:bottom w:val="single" w:sz="8" w:color="CCEEFF"/>
            </w:tcBorders>
          </w:tcPr>
          <w:p>
            <w:pPr>
              <w:spacing w:after="0"/>
              <w:rPr>
                <w:sz w:val="3"/>
                <w:szCs w:val="3"/>
                <w:color w:val="auto"/>
              </w:rPr>
            </w:pPr>
          </w:p>
        </w:tc>
        <w:tc>
          <w:tcPr>
            <w:tcW w:w="1300" w:type="dxa"/>
            <w:vAlign w:val="bottom"/>
            <w:tcBorders>
              <w:bottom w:val="single" w:sz="8" w:color="CCEEFF"/>
            </w:tcBorders>
          </w:tcPr>
          <w:p>
            <w:pPr>
              <w:spacing w:after="0"/>
              <w:rPr>
                <w:sz w:val="3"/>
                <w:szCs w:val="3"/>
                <w:color w:val="auto"/>
              </w:rPr>
            </w:pPr>
          </w:p>
        </w:tc>
        <w:tc>
          <w:tcPr>
            <w:tcW w:w="4560" w:type="dxa"/>
            <w:vAlign w:val="bottom"/>
            <w:tcBorders>
              <w:bottom w:val="single" w:sz="8" w:color="CCEEFF"/>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r>
      <w:tr>
        <w:trPr>
          <w:trHeight w:val="198"/>
        </w:trPr>
        <w:tc>
          <w:tcPr>
            <w:tcW w:w="40" w:type="dxa"/>
            <w:vAlign w:val="bottom"/>
            <w:tcBorders>
              <w:right w:val="single" w:sz="8" w:color="CCEEFF"/>
            </w:tcBorders>
          </w:tcPr>
          <w:p>
            <w:pPr>
              <w:spacing w:after="0"/>
              <w:rPr>
                <w:sz w:val="17"/>
                <w:szCs w:val="17"/>
                <w:color w:val="auto"/>
              </w:rPr>
            </w:pPr>
          </w:p>
        </w:tc>
        <w:tc>
          <w:tcPr>
            <w:tcW w:w="5300" w:type="dxa"/>
            <w:vAlign w:val="bottom"/>
            <w:gridSpan w:val="7"/>
            <w:shd w:val="clear" w:color="auto" w:fill="CCEEFF"/>
          </w:tcPr>
          <w:p>
            <w:pPr>
              <w:spacing w:after="0" w:line="165" w:lineRule="exact"/>
              <w:rPr>
                <w:sz w:val="20"/>
                <w:szCs w:val="20"/>
                <w:color w:val="auto"/>
              </w:rPr>
            </w:pPr>
            <w:r>
              <w:rPr>
                <w:rFonts w:ascii="Calibri" w:cs="Calibri" w:eastAsia="Calibri" w:hAnsi="Calibri"/>
                <w:sz w:val="18"/>
                <w:szCs w:val="18"/>
                <w:color w:val="0000FF"/>
                <w:w w:val="98"/>
              </w:rPr>
              <w:t xml:space="preserve">Report of Independent Registered Public Accountng Firm </w:t>
            </w:r>
            <w:r>
              <w:rPr>
                <w:rFonts w:ascii="Calibri" w:cs="Calibri" w:eastAsia="Calibri" w:hAnsi="Calibri"/>
                <w:sz w:val="18"/>
                <w:szCs w:val="18"/>
                <w:color w:val="000000"/>
                <w:w w:val="98"/>
              </w:rPr>
              <w:t>(PCAOB ID 238)</w:t>
            </w:r>
          </w:p>
        </w:tc>
        <w:tc>
          <w:tcPr>
            <w:tcW w:w="4560" w:type="dxa"/>
            <w:vAlign w:val="bottom"/>
            <w:shd w:val="clear" w:color="auto" w:fill="CCEEFF"/>
          </w:tcPr>
          <w:p>
            <w:pPr>
              <w:spacing w:after="0"/>
              <w:rPr>
                <w:sz w:val="17"/>
                <w:szCs w:val="17"/>
                <w:color w:val="auto"/>
              </w:rPr>
            </w:pPr>
          </w:p>
        </w:tc>
        <w:tc>
          <w:tcPr>
            <w:tcW w:w="1320" w:type="dxa"/>
            <w:vAlign w:val="bottom"/>
            <w:gridSpan w:val="3"/>
            <w:shd w:val="clear" w:color="auto" w:fill="CCEEFF"/>
          </w:tcPr>
          <w:p>
            <w:pPr>
              <w:jc w:val="center"/>
              <w:spacing w:after="0" w:line="165" w:lineRule="exact"/>
              <w:rPr>
                <w:sz w:val="20"/>
                <w:szCs w:val="20"/>
                <w:color w:val="auto"/>
              </w:rPr>
            </w:pPr>
            <w:r>
              <w:rPr>
                <w:rFonts w:ascii="Calibri" w:cs="Calibri" w:eastAsia="Calibri" w:hAnsi="Calibri"/>
                <w:sz w:val="18"/>
                <w:szCs w:val="18"/>
                <w:color w:val="0000FF"/>
                <w:w w:val="98"/>
              </w:rPr>
              <w:t>49</w:t>
            </w:r>
          </w:p>
        </w:tc>
        <w:tc>
          <w:tcPr>
            <w:tcW w:w="20" w:type="dxa"/>
            <w:vAlign w:val="bottom"/>
          </w:tcPr>
          <w:p>
            <w:pPr>
              <w:spacing w:after="0"/>
              <w:rPr>
                <w:sz w:val="17"/>
                <w:szCs w:val="17"/>
                <w:color w:val="auto"/>
              </w:rPr>
            </w:pPr>
          </w:p>
        </w:tc>
      </w:tr>
      <w:tr>
        <w:trPr>
          <w:trHeight w:val="172"/>
        </w:trPr>
        <w:tc>
          <w:tcPr>
            <w:tcW w:w="40" w:type="dxa"/>
            <w:vAlign w:val="bottom"/>
          </w:tcPr>
          <w:p>
            <w:pPr>
              <w:spacing w:after="0"/>
              <w:rPr>
                <w:sz w:val="14"/>
                <w:szCs w:val="14"/>
                <w:color w:val="auto"/>
              </w:rPr>
            </w:pPr>
          </w:p>
        </w:tc>
        <w:tc>
          <w:tcPr>
            <w:tcW w:w="4000" w:type="dxa"/>
            <w:vAlign w:val="bottom"/>
            <w:tcBorders>
              <w:top w:val="single" w:sz="8" w:color="0000FF"/>
            </w:tcBorders>
            <w:gridSpan w:val="6"/>
          </w:tcPr>
          <w:p>
            <w:pPr>
              <w:spacing w:after="0" w:line="172" w:lineRule="exact"/>
              <w:rPr>
                <w:sz w:val="20"/>
                <w:szCs w:val="20"/>
                <w:color w:val="auto"/>
              </w:rPr>
            </w:pPr>
            <w:r>
              <w:rPr>
                <w:rFonts w:ascii="Calibri" w:cs="Calibri" w:eastAsia="Calibri" w:hAnsi="Calibri"/>
                <w:sz w:val="18"/>
                <w:szCs w:val="18"/>
                <w:color w:val="0000FF"/>
              </w:rPr>
              <w:t>Consolidated Balance Sheets</w:t>
            </w:r>
          </w:p>
        </w:tc>
        <w:tc>
          <w:tcPr>
            <w:tcW w:w="1300" w:type="dxa"/>
            <w:vAlign w:val="bottom"/>
            <w:tcBorders>
              <w:top w:val="single" w:sz="8" w:color="CCEEFF"/>
            </w:tcBorders>
          </w:tcPr>
          <w:p>
            <w:pPr>
              <w:spacing w:after="0"/>
              <w:rPr>
                <w:sz w:val="14"/>
                <w:szCs w:val="14"/>
                <w:color w:val="auto"/>
              </w:rPr>
            </w:pPr>
          </w:p>
        </w:tc>
        <w:tc>
          <w:tcPr>
            <w:tcW w:w="5140" w:type="dxa"/>
            <w:vAlign w:val="bottom"/>
            <w:tcBorders>
              <w:top w:val="single" w:sz="8" w:color="CCEEFF"/>
            </w:tcBorders>
            <w:gridSpan w:val="2"/>
          </w:tcPr>
          <w:p>
            <w:pPr>
              <w:spacing w:after="0"/>
              <w:rPr>
                <w:sz w:val="14"/>
                <w:szCs w:val="14"/>
                <w:color w:val="auto"/>
              </w:rPr>
            </w:pPr>
          </w:p>
        </w:tc>
        <w:tc>
          <w:tcPr>
            <w:tcW w:w="180" w:type="dxa"/>
            <w:vAlign w:val="bottom"/>
            <w:tcBorders>
              <w:top w:val="single" w:sz="8" w:color="0000FF"/>
            </w:tcBorders>
          </w:tcPr>
          <w:p>
            <w:pPr>
              <w:jc w:val="center"/>
              <w:spacing w:after="0" w:line="172" w:lineRule="exact"/>
              <w:rPr>
                <w:sz w:val="20"/>
                <w:szCs w:val="20"/>
                <w:color w:val="auto"/>
              </w:rPr>
            </w:pPr>
            <w:r>
              <w:rPr>
                <w:rFonts w:ascii="Calibri" w:cs="Calibri" w:eastAsia="Calibri" w:hAnsi="Calibri"/>
                <w:sz w:val="18"/>
                <w:szCs w:val="18"/>
                <w:color w:val="0000FF"/>
                <w:w w:val="98"/>
              </w:rPr>
              <w:t>50</w:t>
            </w:r>
          </w:p>
        </w:tc>
        <w:tc>
          <w:tcPr>
            <w:tcW w:w="560" w:type="dxa"/>
            <w:vAlign w:val="bottom"/>
            <w:tcBorders>
              <w:top w:val="single" w:sz="8" w:color="CCEEFF"/>
            </w:tcBorders>
          </w:tcPr>
          <w:p>
            <w:pPr>
              <w:spacing w:after="0"/>
              <w:rPr>
                <w:sz w:val="14"/>
                <w:szCs w:val="14"/>
                <w:color w:val="auto"/>
              </w:rPr>
            </w:pPr>
          </w:p>
        </w:tc>
        <w:tc>
          <w:tcPr>
            <w:tcW w:w="20" w:type="dxa"/>
            <w:vAlign w:val="bottom"/>
          </w:tcPr>
          <w:p>
            <w:pPr>
              <w:spacing w:after="0"/>
              <w:rPr>
                <w:sz w:val="14"/>
                <w:szCs w:val="14"/>
                <w:color w:val="auto"/>
              </w:rPr>
            </w:pPr>
          </w:p>
        </w:tc>
      </w:tr>
      <w:tr>
        <w:trPr>
          <w:trHeight w:val="33"/>
        </w:trPr>
        <w:tc>
          <w:tcPr>
            <w:tcW w:w="40" w:type="dxa"/>
            <w:vAlign w:val="bottom"/>
          </w:tcPr>
          <w:p>
            <w:pPr>
              <w:spacing w:after="0"/>
              <w:rPr>
                <w:sz w:val="2"/>
                <w:szCs w:val="2"/>
                <w:color w:val="auto"/>
              </w:rPr>
            </w:pPr>
          </w:p>
        </w:tc>
        <w:tc>
          <w:tcPr>
            <w:tcW w:w="2000" w:type="dxa"/>
            <w:vAlign w:val="bottom"/>
            <w:tcBorders>
              <w:top w:val="single" w:sz="8" w:color="0000FF"/>
            </w:tcBorders>
          </w:tcPr>
          <w:p>
            <w:pPr>
              <w:spacing w:after="0"/>
              <w:rPr>
                <w:sz w:val="2"/>
                <w:szCs w:val="2"/>
                <w:color w:val="auto"/>
              </w:rPr>
            </w:pPr>
          </w:p>
        </w:tc>
        <w:tc>
          <w:tcPr>
            <w:tcW w:w="720" w:type="dxa"/>
            <w:vAlign w:val="bottom"/>
          </w:tcPr>
          <w:p>
            <w:pPr>
              <w:spacing w:after="0"/>
              <w:rPr>
                <w:sz w:val="2"/>
                <w:szCs w:val="2"/>
                <w:color w:val="auto"/>
              </w:rPr>
            </w:pPr>
          </w:p>
        </w:tc>
        <w:tc>
          <w:tcPr>
            <w:tcW w:w="3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5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5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72"/>
        </w:trPr>
        <w:tc>
          <w:tcPr>
            <w:tcW w:w="40" w:type="dxa"/>
            <w:vAlign w:val="bottom"/>
            <w:tcBorders>
              <w:right w:val="single" w:sz="8" w:color="CCEEFF"/>
            </w:tcBorders>
          </w:tcPr>
          <w:p>
            <w:pPr>
              <w:spacing w:after="0"/>
              <w:rPr>
                <w:sz w:val="14"/>
                <w:szCs w:val="14"/>
                <w:color w:val="auto"/>
              </w:rPr>
            </w:pPr>
          </w:p>
        </w:tc>
        <w:tc>
          <w:tcPr>
            <w:tcW w:w="5300" w:type="dxa"/>
            <w:vAlign w:val="bottom"/>
            <w:gridSpan w:val="7"/>
            <w:shd w:val="clear" w:color="auto" w:fill="CCEEFF"/>
          </w:tcPr>
          <w:p>
            <w:pPr>
              <w:spacing w:after="0" w:line="172" w:lineRule="exact"/>
              <w:rPr>
                <w:sz w:val="20"/>
                <w:szCs w:val="20"/>
                <w:color w:val="auto"/>
              </w:rPr>
            </w:pPr>
            <w:r>
              <w:rPr>
                <w:rFonts w:ascii="Calibri" w:cs="Calibri" w:eastAsia="Calibri" w:hAnsi="Calibri"/>
                <w:sz w:val="18"/>
                <w:szCs w:val="18"/>
                <w:color w:val="0000FF"/>
              </w:rPr>
              <w:t>Consolidated Statements of Operatons</w:t>
            </w:r>
          </w:p>
        </w:tc>
        <w:tc>
          <w:tcPr>
            <w:tcW w:w="5880" w:type="dxa"/>
            <w:vAlign w:val="bottom"/>
            <w:gridSpan w:val="4"/>
            <w:shd w:val="clear" w:color="auto" w:fill="CCEEFF"/>
          </w:tcPr>
          <w:p>
            <w:pPr>
              <w:jc w:val="center"/>
              <w:ind w:left="4492"/>
              <w:spacing w:after="0" w:line="172" w:lineRule="exact"/>
              <w:rPr>
                <w:sz w:val="20"/>
                <w:szCs w:val="20"/>
                <w:color w:val="auto"/>
              </w:rPr>
            </w:pPr>
            <w:r>
              <w:rPr>
                <w:rFonts w:ascii="Calibri" w:cs="Calibri" w:eastAsia="Calibri" w:hAnsi="Calibri"/>
                <w:sz w:val="18"/>
                <w:szCs w:val="18"/>
                <w:color w:val="0000FF"/>
                <w:w w:val="98"/>
              </w:rPr>
              <w:t>51</w:t>
            </w:r>
          </w:p>
        </w:tc>
        <w:tc>
          <w:tcPr>
            <w:tcW w:w="20" w:type="dxa"/>
            <w:vAlign w:val="bottom"/>
          </w:tcPr>
          <w:p>
            <w:pPr>
              <w:spacing w:after="0"/>
              <w:rPr>
                <w:sz w:val="14"/>
                <w:szCs w:val="14"/>
                <w:color w:val="auto"/>
              </w:rPr>
            </w:pPr>
          </w:p>
        </w:tc>
      </w:tr>
      <w:tr>
        <w:trPr>
          <w:trHeight w:val="33"/>
        </w:trPr>
        <w:tc>
          <w:tcPr>
            <w:tcW w:w="40" w:type="dxa"/>
            <w:vAlign w:val="bottom"/>
            <w:tcBorders>
              <w:right w:val="single" w:sz="8" w:color="CCEEFF"/>
            </w:tcBorders>
          </w:tcPr>
          <w:p>
            <w:pPr>
              <w:spacing w:after="0"/>
              <w:rPr>
                <w:sz w:val="2"/>
                <w:szCs w:val="2"/>
                <w:color w:val="auto"/>
              </w:rPr>
            </w:pPr>
          </w:p>
        </w:tc>
        <w:tc>
          <w:tcPr>
            <w:tcW w:w="2000" w:type="dxa"/>
            <w:vAlign w:val="bottom"/>
            <w:tcBorders>
              <w:top w:val="single" w:sz="8" w:color="0000FF"/>
            </w:tcBorders>
            <w:shd w:val="clear" w:color="auto" w:fill="CCEEFF"/>
          </w:tcPr>
          <w:p>
            <w:pPr>
              <w:spacing w:after="0"/>
              <w:rPr>
                <w:sz w:val="2"/>
                <w:szCs w:val="2"/>
                <w:color w:val="auto"/>
              </w:rPr>
            </w:pPr>
          </w:p>
        </w:tc>
        <w:tc>
          <w:tcPr>
            <w:tcW w:w="720" w:type="dxa"/>
            <w:vAlign w:val="bottom"/>
            <w:tcBorders>
              <w:top w:val="single" w:sz="8" w:color="0000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1300" w:type="dxa"/>
            <w:vAlign w:val="bottom"/>
            <w:tcBorders>
              <w:top w:val="single" w:sz="8" w:color="CCEEFF"/>
            </w:tcBorders>
            <w:shd w:val="clear" w:color="auto" w:fill="CCEEFF"/>
          </w:tcPr>
          <w:p>
            <w:pPr>
              <w:spacing w:after="0"/>
              <w:rPr>
                <w:sz w:val="2"/>
                <w:szCs w:val="2"/>
                <w:color w:val="auto"/>
              </w:rPr>
            </w:pPr>
          </w:p>
        </w:tc>
        <w:tc>
          <w:tcPr>
            <w:tcW w:w="4560" w:type="dxa"/>
            <w:vAlign w:val="bottom"/>
            <w:tcBorders>
              <w:top w:val="single" w:sz="8" w:color="CCEEFF"/>
            </w:tcBorders>
            <w:shd w:val="clear" w:color="auto" w:fill="CCEEFF"/>
          </w:tcPr>
          <w:p>
            <w:pPr>
              <w:spacing w:after="0"/>
              <w:rPr>
                <w:sz w:val="2"/>
                <w:szCs w:val="2"/>
                <w:color w:val="auto"/>
              </w:rPr>
            </w:pPr>
          </w:p>
        </w:tc>
        <w:tc>
          <w:tcPr>
            <w:tcW w:w="5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0000FF"/>
            </w:tcBorders>
            <w:shd w:val="clear" w:color="auto" w:fill="CCEEFF"/>
          </w:tcPr>
          <w:p>
            <w:pPr>
              <w:spacing w:after="0"/>
              <w:rPr>
                <w:sz w:val="2"/>
                <w:szCs w:val="2"/>
                <w:color w:val="auto"/>
              </w:rPr>
            </w:pPr>
          </w:p>
        </w:tc>
        <w:tc>
          <w:tcPr>
            <w:tcW w:w="560" w:type="dxa"/>
            <w:vAlign w:val="bottom"/>
            <w:tcBorders>
              <w:top w:val="single" w:sz="8" w:color="CCEEFF"/>
            </w:tcBorders>
            <w:shd w:val="clear" w:color="auto" w:fill="CCEEFF"/>
          </w:tcPr>
          <w:p>
            <w:pPr>
              <w:spacing w:after="0"/>
              <w:rPr>
                <w:sz w:val="2"/>
                <w:szCs w:val="2"/>
                <w:color w:val="auto"/>
              </w:rPr>
            </w:pPr>
          </w:p>
        </w:tc>
        <w:tc>
          <w:tcPr>
            <w:tcW w:w="20" w:type="dxa"/>
            <w:vAlign w:val="bottom"/>
          </w:tcPr>
          <w:p>
            <w:pPr>
              <w:spacing w:after="0"/>
              <w:rPr>
                <w:sz w:val="2"/>
                <w:szCs w:val="2"/>
                <w:color w:val="auto"/>
              </w:rPr>
            </w:pPr>
          </w:p>
        </w:tc>
      </w:tr>
      <w:tr>
        <w:trPr>
          <w:trHeight w:val="172"/>
        </w:trPr>
        <w:tc>
          <w:tcPr>
            <w:tcW w:w="40" w:type="dxa"/>
            <w:vAlign w:val="bottom"/>
          </w:tcPr>
          <w:p>
            <w:pPr>
              <w:spacing w:after="0"/>
              <w:rPr>
                <w:sz w:val="14"/>
                <w:szCs w:val="14"/>
                <w:color w:val="auto"/>
              </w:rPr>
            </w:pPr>
          </w:p>
        </w:tc>
        <w:tc>
          <w:tcPr>
            <w:tcW w:w="5300" w:type="dxa"/>
            <w:vAlign w:val="bottom"/>
            <w:gridSpan w:val="7"/>
          </w:tcPr>
          <w:p>
            <w:pPr>
              <w:spacing w:after="0" w:line="172" w:lineRule="exact"/>
              <w:rPr>
                <w:sz w:val="20"/>
                <w:szCs w:val="20"/>
                <w:color w:val="auto"/>
              </w:rPr>
            </w:pPr>
            <w:r>
              <w:rPr>
                <w:rFonts w:ascii="Calibri" w:cs="Calibri" w:eastAsia="Calibri" w:hAnsi="Calibri"/>
                <w:sz w:val="18"/>
                <w:szCs w:val="18"/>
                <w:color w:val="0000FF"/>
              </w:rPr>
              <w:t>Consolidated Statements of Comprehensive Income</w:t>
            </w:r>
          </w:p>
        </w:tc>
        <w:tc>
          <w:tcPr>
            <w:tcW w:w="5880" w:type="dxa"/>
            <w:vAlign w:val="bottom"/>
            <w:gridSpan w:val="4"/>
          </w:tcPr>
          <w:p>
            <w:pPr>
              <w:jc w:val="center"/>
              <w:ind w:left="4492"/>
              <w:spacing w:after="0" w:line="172" w:lineRule="exact"/>
              <w:rPr>
                <w:sz w:val="20"/>
                <w:szCs w:val="20"/>
                <w:color w:val="auto"/>
              </w:rPr>
            </w:pPr>
            <w:r>
              <w:rPr>
                <w:rFonts w:ascii="Calibri" w:cs="Calibri" w:eastAsia="Calibri" w:hAnsi="Calibri"/>
                <w:sz w:val="18"/>
                <w:szCs w:val="18"/>
                <w:color w:val="0000FF"/>
                <w:w w:val="98"/>
              </w:rPr>
              <w:t>52</w:t>
            </w:r>
          </w:p>
        </w:tc>
        <w:tc>
          <w:tcPr>
            <w:tcW w:w="20" w:type="dxa"/>
            <w:vAlign w:val="bottom"/>
          </w:tcPr>
          <w:p>
            <w:pPr>
              <w:spacing w:after="0"/>
              <w:rPr>
                <w:sz w:val="14"/>
                <w:szCs w:val="14"/>
                <w:color w:val="auto"/>
              </w:rPr>
            </w:pPr>
          </w:p>
        </w:tc>
      </w:tr>
      <w:tr>
        <w:trPr>
          <w:trHeight w:val="33"/>
        </w:trPr>
        <w:tc>
          <w:tcPr>
            <w:tcW w:w="40" w:type="dxa"/>
            <w:vAlign w:val="bottom"/>
          </w:tcPr>
          <w:p>
            <w:pPr>
              <w:spacing w:after="0"/>
              <w:rPr>
                <w:sz w:val="2"/>
                <w:szCs w:val="2"/>
                <w:color w:val="auto"/>
              </w:rPr>
            </w:pPr>
          </w:p>
        </w:tc>
        <w:tc>
          <w:tcPr>
            <w:tcW w:w="2000" w:type="dxa"/>
            <w:vAlign w:val="bottom"/>
            <w:tcBorders>
              <w:top w:val="single" w:sz="8" w:color="0000FF"/>
            </w:tcBorders>
          </w:tcPr>
          <w:p>
            <w:pPr>
              <w:spacing w:after="0"/>
              <w:rPr>
                <w:sz w:val="2"/>
                <w:szCs w:val="2"/>
                <w:color w:val="auto"/>
              </w:rPr>
            </w:pPr>
          </w:p>
        </w:tc>
        <w:tc>
          <w:tcPr>
            <w:tcW w:w="720" w:type="dxa"/>
            <w:vAlign w:val="bottom"/>
            <w:tcBorders>
              <w:top w:val="single" w:sz="8" w:color="0000FF"/>
            </w:tcBorders>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34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5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5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72"/>
        </w:trPr>
        <w:tc>
          <w:tcPr>
            <w:tcW w:w="40" w:type="dxa"/>
            <w:vAlign w:val="bottom"/>
            <w:tcBorders>
              <w:right w:val="single" w:sz="8" w:color="CCEEFF"/>
            </w:tcBorders>
          </w:tcPr>
          <w:p>
            <w:pPr>
              <w:spacing w:after="0"/>
              <w:rPr>
                <w:sz w:val="14"/>
                <w:szCs w:val="14"/>
                <w:color w:val="auto"/>
              </w:rPr>
            </w:pPr>
          </w:p>
        </w:tc>
        <w:tc>
          <w:tcPr>
            <w:tcW w:w="5300" w:type="dxa"/>
            <w:vAlign w:val="bottom"/>
            <w:gridSpan w:val="7"/>
            <w:shd w:val="clear" w:color="auto" w:fill="CCEEFF"/>
          </w:tcPr>
          <w:p>
            <w:pPr>
              <w:spacing w:after="0" w:line="172" w:lineRule="exact"/>
              <w:rPr>
                <w:sz w:val="20"/>
                <w:szCs w:val="20"/>
                <w:color w:val="auto"/>
              </w:rPr>
            </w:pPr>
            <w:r>
              <w:rPr>
                <w:rFonts w:ascii="Calibri" w:cs="Calibri" w:eastAsia="Calibri" w:hAnsi="Calibri"/>
                <w:sz w:val="18"/>
                <w:szCs w:val="18"/>
                <w:color w:val="0000FF"/>
              </w:rPr>
              <w:t>Consolidated Statements of Cash Flows</w:t>
            </w:r>
          </w:p>
        </w:tc>
        <w:tc>
          <w:tcPr>
            <w:tcW w:w="5880" w:type="dxa"/>
            <w:vAlign w:val="bottom"/>
            <w:gridSpan w:val="4"/>
            <w:shd w:val="clear" w:color="auto" w:fill="CCEEFF"/>
          </w:tcPr>
          <w:p>
            <w:pPr>
              <w:jc w:val="center"/>
              <w:ind w:left="4492"/>
              <w:spacing w:after="0" w:line="172" w:lineRule="exact"/>
              <w:rPr>
                <w:sz w:val="20"/>
                <w:szCs w:val="20"/>
                <w:color w:val="auto"/>
              </w:rPr>
            </w:pPr>
            <w:r>
              <w:rPr>
                <w:rFonts w:ascii="Calibri" w:cs="Calibri" w:eastAsia="Calibri" w:hAnsi="Calibri"/>
                <w:sz w:val="18"/>
                <w:szCs w:val="18"/>
                <w:color w:val="0000FF"/>
                <w:w w:val="98"/>
              </w:rPr>
              <w:t>53</w:t>
            </w:r>
          </w:p>
        </w:tc>
        <w:tc>
          <w:tcPr>
            <w:tcW w:w="20" w:type="dxa"/>
            <w:vAlign w:val="bottom"/>
          </w:tcPr>
          <w:p>
            <w:pPr>
              <w:spacing w:after="0"/>
              <w:rPr>
                <w:sz w:val="14"/>
                <w:szCs w:val="14"/>
                <w:color w:val="auto"/>
              </w:rPr>
            </w:pPr>
          </w:p>
        </w:tc>
      </w:tr>
      <w:tr>
        <w:trPr>
          <w:trHeight w:val="33"/>
        </w:trPr>
        <w:tc>
          <w:tcPr>
            <w:tcW w:w="40" w:type="dxa"/>
            <w:vAlign w:val="bottom"/>
            <w:tcBorders>
              <w:right w:val="single" w:sz="8" w:color="CCEEFF"/>
            </w:tcBorders>
          </w:tcPr>
          <w:p>
            <w:pPr>
              <w:spacing w:after="0"/>
              <w:rPr>
                <w:sz w:val="2"/>
                <w:szCs w:val="2"/>
                <w:color w:val="auto"/>
              </w:rPr>
            </w:pPr>
          </w:p>
        </w:tc>
        <w:tc>
          <w:tcPr>
            <w:tcW w:w="2000" w:type="dxa"/>
            <w:vAlign w:val="bottom"/>
            <w:tcBorders>
              <w:top w:val="single" w:sz="8" w:color="0000FF"/>
            </w:tcBorders>
            <w:shd w:val="clear" w:color="auto" w:fill="CCEEFF"/>
          </w:tcPr>
          <w:p>
            <w:pPr>
              <w:spacing w:after="0"/>
              <w:rPr>
                <w:sz w:val="2"/>
                <w:szCs w:val="2"/>
                <w:color w:val="auto"/>
              </w:rPr>
            </w:pPr>
          </w:p>
        </w:tc>
        <w:tc>
          <w:tcPr>
            <w:tcW w:w="720" w:type="dxa"/>
            <w:vAlign w:val="bottom"/>
            <w:tcBorders>
              <w:top w:val="single" w:sz="8" w:color="0000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1300" w:type="dxa"/>
            <w:vAlign w:val="bottom"/>
            <w:tcBorders>
              <w:top w:val="single" w:sz="8" w:color="CCEEFF"/>
            </w:tcBorders>
            <w:shd w:val="clear" w:color="auto" w:fill="CCEEFF"/>
          </w:tcPr>
          <w:p>
            <w:pPr>
              <w:spacing w:after="0"/>
              <w:rPr>
                <w:sz w:val="2"/>
                <w:szCs w:val="2"/>
                <w:color w:val="auto"/>
              </w:rPr>
            </w:pPr>
          </w:p>
        </w:tc>
        <w:tc>
          <w:tcPr>
            <w:tcW w:w="4560" w:type="dxa"/>
            <w:vAlign w:val="bottom"/>
            <w:tcBorders>
              <w:top w:val="single" w:sz="8" w:color="CCEEFF"/>
            </w:tcBorders>
            <w:shd w:val="clear" w:color="auto" w:fill="CCEEFF"/>
          </w:tcPr>
          <w:p>
            <w:pPr>
              <w:spacing w:after="0"/>
              <w:rPr>
                <w:sz w:val="2"/>
                <w:szCs w:val="2"/>
                <w:color w:val="auto"/>
              </w:rPr>
            </w:pPr>
          </w:p>
        </w:tc>
        <w:tc>
          <w:tcPr>
            <w:tcW w:w="5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0000FF"/>
            </w:tcBorders>
            <w:shd w:val="clear" w:color="auto" w:fill="CCEEFF"/>
          </w:tcPr>
          <w:p>
            <w:pPr>
              <w:spacing w:after="0"/>
              <w:rPr>
                <w:sz w:val="2"/>
                <w:szCs w:val="2"/>
                <w:color w:val="auto"/>
              </w:rPr>
            </w:pPr>
          </w:p>
        </w:tc>
        <w:tc>
          <w:tcPr>
            <w:tcW w:w="560" w:type="dxa"/>
            <w:vAlign w:val="bottom"/>
            <w:tcBorders>
              <w:top w:val="single" w:sz="8" w:color="CCEEFF"/>
            </w:tcBorders>
            <w:shd w:val="clear" w:color="auto" w:fill="CCEEFF"/>
          </w:tcPr>
          <w:p>
            <w:pPr>
              <w:spacing w:after="0"/>
              <w:rPr>
                <w:sz w:val="2"/>
                <w:szCs w:val="2"/>
                <w:color w:val="auto"/>
              </w:rPr>
            </w:pPr>
          </w:p>
        </w:tc>
        <w:tc>
          <w:tcPr>
            <w:tcW w:w="20" w:type="dxa"/>
            <w:vAlign w:val="bottom"/>
          </w:tcPr>
          <w:p>
            <w:pPr>
              <w:spacing w:after="0"/>
              <w:rPr>
                <w:sz w:val="2"/>
                <w:szCs w:val="2"/>
                <w:color w:val="auto"/>
              </w:rPr>
            </w:pPr>
          </w:p>
        </w:tc>
      </w:tr>
      <w:tr>
        <w:trPr>
          <w:trHeight w:val="172"/>
        </w:trPr>
        <w:tc>
          <w:tcPr>
            <w:tcW w:w="40" w:type="dxa"/>
            <w:vAlign w:val="bottom"/>
          </w:tcPr>
          <w:p>
            <w:pPr>
              <w:spacing w:after="0"/>
              <w:rPr>
                <w:sz w:val="14"/>
                <w:szCs w:val="14"/>
                <w:color w:val="auto"/>
              </w:rPr>
            </w:pPr>
          </w:p>
        </w:tc>
        <w:tc>
          <w:tcPr>
            <w:tcW w:w="5300" w:type="dxa"/>
            <w:vAlign w:val="bottom"/>
            <w:gridSpan w:val="7"/>
          </w:tcPr>
          <w:p>
            <w:pPr>
              <w:spacing w:after="0" w:line="172" w:lineRule="exact"/>
              <w:rPr>
                <w:sz w:val="20"/>
                <w:szCs w:val="20"/>
                <w:color w:val="auto"/>
              </w:rPr>
            </w:pPr>
            <w:r>
              <w:rPr>
                <w:rFonts w:ascii="Calibri" w:cs="Calibri" w:eastAsia="Calibri" w:hAnsi="Calibri"/>
                <w:sz w:val="18"/>
                <w:szCs w:val="18"/>
                <w:color w:val="0000FF"/>
              </w:rPr>
              <w:t>Consolidated Statements of Stockholders' Equity</w:t>
            </w:r>
          </w:p>
        </w:tc>
        <w:tc>
          <w:tcPr>
            <w:tcW w:w="5880" w:type="dxa"/>
            <w:vAlign w:val="bottom"/>
            <w:gridSpan w:val="4"/>
          </w:tcPr>
          <w:p>
            <w:pPr>
              <w:jc w:val="center"/>
              <w:ind w:left="4492"/>
              <w:spacing w:after="0" w:line="172" w:lineRule="exact"/>
              <w:rPr>
                <w:sz w:val="20"/>
                <w:szCs w:val="20"/>
                <w:color w:val="auto"/>
              </w:rPr>
            </w:pPr>
            <w:r>
              <w:rPr>
                <w:rFonts w:ascii="Calibri" w:cs="Calibri" w:eastAsia="Calibri" w:hAnsi="Calibri"/>
                <w:sz w:val="18"/>
                <w:szCs w:val="18"/>
                <w:color w:val="0000FF"/>
                <w:w w:val="98"/>
              </w:rPr>
              <w:t>54</w:t>
            </w:r>
          </w:p>
        </w:tc>
        <w:tc>
          <w:tcPr>
            <w:tcW w:w="20" w:type="dxa"/>
            <w:vAlign w:val="bottom"/>
          </w:tcPr>
          <w:p>
            <w:pPr>
              <w:spacing w:after="0"/>
              <w:rPr>
                <w:sz w:val="14"/>
                <w:szCs w:val="14"/>
                <w:color w:val="auto"/>
              </w:rPr>
            </w:pPr>
          </w:p>
        </w:tc>
      </w:tr>
      <w:tr>
        <w:trPr>
          <w:trHeight w:val="33"/>
        </w:trPr>
        <w:tc>
          <w:tcPr>
            <w:tcW w:w="40" w:type="dxa"/>
            <w:vAlign w:val="bottom"/>
          </w:tcPr>
          <w:p>
            <w:pPr>
              <w:spacing w:after="0"/>
              <w:rPr>
                <w:sz w:val="2"/>
                <w:szCs w:val="2"/>
                <w:color w:val="auto"/>
              </w:rPr>
            </w:pPr>
          </w:p>
        </w:tc>
        <w:tc>
          <w:tcPr>
            <w:tcW w:w="2000" w:type="dxa"/>
            <w:vAlign w:val="bottom"/>
            <w:tcBorders>
              <w:top w:val="single" w:sz="8" w:color="0000FF"/>
            </w:tcBorders>
          </w:tcPr>
          <w:p>
            <w:pPr>
              <w:spacing w:after="0"/>
              <w:rPr>
                <w:sz w:val="2"/>
                <w:szCs w:val="2"/>
                <w:color w:val="auto"/>
              </w:rPr>
            </w:pPr>
          </w:p>
        </w:tc>
        <w:tc>
          <w:tcPr>
            <w:tcW w:w="720" w:type="dxa"/>
            <w:vAlign w:val="bottom"/>
            <w:tcBorders>
              <w:top w:val="single" w:sz="8" w:color="0000FF"/>
            </w:tcBorders>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340" w:type="dxa"/>
            <w:vAlign w:val="bottom"/>
            <w:tcBorders>
              <w:top w:val="single" w:sz="8" w:color="0000FF"/>
            </w:tcBorders>
          </w:tcPr>
          <w:p>
            <w:pPr>
              <w:spacing w:after="0"/>
              <w:rPr>
                <w:sz w:val="2"/>
                <w:szCs w:val="2"/>
                <w:color w:val="auto"/>
              </w:rPr>
            </w:pPr>
          </w:p>
        </w:tc>
        <w:tc>
          <w:tcPr>
            <w:tcW w:w="2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5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5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72"/>
        </w:trPr>
        <w:tc>
          <w:tcPr>
            <w:tcW w:w="40" w:type="dxa"/>
            <w:vAlign w:val="bottom"/>
            <w:tcBorders>
              <w:right w:val="single" w:sz="8" w:color="CCEEFF"/>
            </w:tcBorders>
          </w:tcPr>
          <w:p>
            <w:pPr>
              <w:spacing w:after="0"/>
              <w:rPr>
                <w:sz w:val="14"/>
                <w:szCs w:val="14"/>
                <w:color w:val="auto"/>
              </w:rPr>
            </w:pPr>
          </w:p>
        </w:tc>
        <w:tc>
          <w:tcPr>
            <w:tcW w:w="5300" w:type="dxa"/>
            <w:vAlign w:val="bottom"/>
            <w:gridSpan w:val="7"/>
            <w:shd w:val="clear" w:color="auto" w:fill="CCEEFF"/>
          </w:tcPr>
          <w:p>
            <w:pPr>
              <w:spacing w:after="0" w:line="172" w:lineRule="exact"/>
              <w:rPr>
                <w:sz w:val="20"/>
                <w:szCs w:val="20"/>
                <w:color w:val="auto"/>
              </w:rPr>
            </w:pPr>
            <w:r>
              <w:rPr>
                <w:rFonts w:ascii="Calibri" w:cs="Calibri" w:eastAsia="Calibri" w:hAnsi="Calibri"/>
                <w:sz w:val="18"/>
                <w:szCs w:val="18"/>
                <w:color w:val="0000FF"/>
              </w:rPr>
              <w:t>Notes to Consolidated Financial Statements</w:t>
            </w:r>
          </w:p>
        </w:tc>
        <w:tc>
          <w:tcPr>
            <w:tcW w:w="5880" w:type="dxa"/>
            <w:vAlign w:val="bottom"/>
            <w:gridSpan w:val="4"/>
            <w:shd w:val="clear" w:color="auto" w:fill="CCEEFF"/>
          </w:tcPr>
          <w:p>
            <w:pPr>
              <w:jc w:val="center"/>
              <w:ind w:left="4492"/>
              <w:spacing w:after="0" w:line="172" w:lineRule="exact"/>
              <w:rPr>
                <w:sz w:val="20"/>
                <w:szCs w:val="20"/>
                <w:color w:val="auto"/>
              </w:rPr>
            </w:pPr>
            <w:r>
              <w:rPr>
                <w:rFonts w:ascii="Calibri" w:cs="Calibri" w:eastAsia="Calibri" w:hAnsi="Calibri"/>
                <w:sz w:val="18"/>
                <w:szCs w:val="18"/>
                <w:color w:val="0000FF"/>
                <w:w w:val="98"/>
              </w:rPr>
              <w:t>55</w:t>
            </w:r>
          </w:p>
        </w:tc>
        <w:tc>
          <w:tcPr>
            <w:tcW w:w="20" w:type="dxa"/>
            <w:vAlign w:val="bottom"/>
          </w:tcPr>
          <w:p>
            <w:pPr>
              <w:spacing w:after="0"/>
              <w:rPr>
                <w:sz w:val="14"/>
                <w:szCs w:val="14"/>
                <w:color w:val="auto"/>
              </w:rPr>
            </w:pPr>
          </w:p>
        </w:tc>
      </w:tr>
      <w:tr>
        <w:trPr>
          <w:trHeight w:val="33"/>
        </w:trPr>
        <w:tc>
          <w:tcPr>
            <w:tcW w:w="40" w:type="dxa"/>
            <w:vAlign w:val="bottom"/>
            <w:tcBorders>
              <w:right w:val="single" w:sz="8" w:color="CCEEFF"/>
            </w:tcBorders>
          </w:tcPr>
          <w:p>
            <w:pPr>
              <w:spacing w:after="0"/>
              <w:rPr>
                <w:sz w:val="2"/>
                <w:szCs w:val="2"/>
                <w:color w:val="auto"/>
              </w:rPr>
            </w:pPr>
          </w:p>
        </w:tc>
        <w:tc>
          <w:tcPr>
            <w:tcW w:w="2000" w:type="dxa"/>
            <w:vAlign w:val="bottom"/>
            <w:tcBorders>
              <w:top w:val="single" w:sz="8" w:color="0000FF"/>
            </w:tcBorders>
            <w:shd w:val="clear" w:color="auto" w:fill="CCEEFF"/>
          </w:tcPr>
          <w:p>
            <w:pPr>
              <w:spacing w:after="0"/>
              <w:rPr>
                <w:sz w:val="2"/>
                <w:szCs w:val="2"/>
                <w:color w:val="auto"/>
              </w:rPr>
            </w:pPr>
          </w:p>
        </w:tc>
        <w:tc>
          <w:tcPr>
            <w:tcW w:w="720" w:type="dxa"/>
            <w:vAlign w:val="bottom"/>
            <w:tcBorders>
              <w:top w:val="single" w:sz="8" w:color="0000FF"/>
            </w:tcBorders>
            <w:shd w:val="clear" w:color="auto" w:fill="CCEEFF"/>
          </w:tcPr>
          <w:p>
            <w:pPr>
              <w:spacing w:after="0"/>
              <w:rPr>
                <w:sz w:val="2"/>
                <w:szCs w:val="2"/>
                <w:color w:val="auto"/>
              </w:rPr>
            </w:pPr>
          </w:p>
        </w:tc>
        <w:tc>
          <w:tcPr>
            <w:tcW w:w="300" w:type="dxa"/>
            <w:vAlign w:val="bottom"/>
            <w:tcBorders>
              <w:top w:val="single" w:sz="8" w:color="0000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1300" w:type="dxa"/>
            <w:vAlign w:val="bottom"/>
            <w:tcBorders>
              <w:top w:val="single" w:sz="8" w:color="CCEEFF"/>
            </w:tcBorders>
            <w:shd w:val="clear" w:color="auto" w:fill="CCEEFF"/>
          </w:tcPr>
          <w:p>
            <w:pPr>
              <w:spacing w:after="0"/>
              <w:rPr>
                <w:sz w:val="2"/>
                <w:szCs w:val="2"/>
                <w:color w:val="auto"/>
              </w:rPr>
            </w:pPr>
          </w:p>
        </w:tc>
        <w:tc>
          <w:tcPr>
            <w:tcW w:w="4560" w:type="dxa"/>
            <w:vAlign w:val="bottom"/>
            <w:tcBorders>
              <w:top w:val="single" w:sz="8" w:color="CCEEFF"/>
            </w:tcBorders>
            <w:shd w:val="clear" w:color="auto" w:fill="CCEEFF"/>
          </w:tcPr>
          <w:p>
            <w:pPr>
              <w:spacing w:after="0"/>
              <w:rPr>
                <w:sz w:val="2"/>
                <w:szCs w:val="2"/>
                <w:color w:val="auto"/>
              </w:rPr>
            </w:pPr>
          </w:p>
        </w:tc>
        <w:tc>
          <w:tcPr>
            <w:tcW w:w="5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0000FF"/>
            </w:tcBorders>
            <w:shd w:val="clear" w:color="auto" w:fill="CCEEFF"/>
          </w:tcPr>
          <w:p>
            <w:pPr>
              <w:spacing w:after="0"/>
              <w:rPr>
                <w:sz w:val="2"/>
                <w:szCs w:val="2"/>
                <w:color w:val="auto"/>
              </w:rPr>
            </w:pPr>
          </w:p>
        </w:tc>
        <w:tc>
          <w:tcPr>
            <w:tcW w:w="560" w:type="dxa"/>
            <w:vAlign w:val="bottom"/>
            <w:tcBorders>
              <w:top w:val="single" w:sz="8" w:color="CCEEFF"/>
            </w:tcBorders>
            <w:shd w:val="clear" w:color="auto" w:fill="CCEEFF"/>
          </w:tcPr>
          <w:p>
            <w:pPr>
              <w:spacing w:after="0"/>
              <w:rPr>
                <w:sz w:val="2"/>
                <w:szCs w:val="2"/>
                <w:color w:val="auto"/>
              </w:rPr>
            </w:pPr>
          </w:p>
        </w:tc>
        <w:tc>
          <w:tcPr>
            <w:tcW w:w="20" w:type="dxa"/>
            <w:vAlign w:val="bottom"/>
          </w:tcPr>
          <w:p>
            <w:pPr>
              <w:spacing w:after="0"/>
              <w:rPr>
                <w:sz w:val="2"/>
                <w:szCs w:val="2"/>
                <w:color w:val="auto"/>
              </w:rPr>
            </w:pPr>
          </w:p>
        </w:tc>
      </w:tr>
      <w:tr>
        <w:trPr>
          <w:trHeight w:val="191"/>
        </w:trPr>
        <w:tc>
          <w:tcPr>
            <w:tcW w:w="40" w:type="dxa"/>
            <w:vAlign w:val="bottom"/>
          </w:tcPr>
          <w:p>
            <w:pPr>
              <w:spacing w:after="0"/>
              <w:rPr>
                <w:sz w:val="16"/>
                <w:szCs w:val="16"/>
                <w:color w:val="auto"/>
              </w:rPr>
            </w:pPr>
          </w:p>
        </w:tc>
        <w:tc>
          <w:tcPr>
            <w:tcW w:w="5300" w:type="dxa"/>
            <w:vAlign w:val="bottom"/>
            <w:gridSpan w:val="7"/>
          </w:tcPr>
          <w:p>
            <w:pPr>
              <w:spacing w:after="0" w:line="165" w:lineRule="exact"/>
              <w:rPr>
                <w:sz w:val="20"/>
                <w:szCs w:val="20"/>
                <w:color w:val="auto"/>
              </w:rPr>
            </w:pPr>
            <w:r>
              <w:rPr>
                <w:rFonts w:ascii="Calibri" w:cs="Calibri" w:eastAsia="Calibri" w:hAnsi="Calibri"/>
                <w:sz w:val="18"/>
                <w:szCs w:val="18"/>
                <w:color w:val="0000FF"/>
              </w:rPr>
              <w:t>Schedule II — Valuaton and Qualifying Accounts</w:t>
            </w:r>
          </w:p>
        </w:tc>
        <w:tc>
          <w:tcPr>
            <w:tcW w:w="5880" w:type="dxa"/>
            <w:vAlign w:val="bottom"/>
            <w:gridSpan w:val="4"/>
          </w:tcPr>
          <w:p>
            <w:pPr>
              <w:jc w:val="center"/>
              <w:ind w:left="4492"/>
              <w:spacing w:after="0" w:line="165" w:lineRule="exact"/>
              <w:rPr>
                <w:sz w:val="20"/>
                <w:szCs w:val="20"/>
                <w:color w:val="auto"/>
              </w:rPr>
            </w:pPr>
            <w:r>
              <w:rPr>
                <w:rFonts w:ascii="Calibri" w:cs="Calibri" w:eastAsia="Calibri" w:hAnsi="Calibri"/>
                <w:sz w:val="18"/>
                <w:szCs w:val="18"/>
                <w:color w:val="0000FF"/>
                <w:w w:val="98"/>
              </w:rPr>
              <w:t>88</w:t>
            </w:r>
          </w:p>
        </w:tc>
        <w:tc>
          <w:tcPr>
            <w:tcW w:w="20" w:type="dxa"/>
            <w:vAlign w:val="bottom"/>
          </w:tcPr>
          <w:p>
            <w:pPr>
              <w:spacing w:after="0"/>
              <w:rPr>
                <w:sz w:val="16"/>
                <w:szCs w:val="16"/>
                <w:color w:val="auto"/>
              </w:rPr>
            </w:pPr>
          </w:p>
        </w:tc>
      </w:tr>
      <w:tr>
        <w:trPr>
          <w:trHeight w:val="1140"/>
        </w:trPr>
        <w:tc>
          <w:tcPr>
            <w:tcW w:w="40" w:type="dxa"/>
            <w:vAlign w:val="bottom"/>
          </w:tcPr>
          <w:p>
            <w:pPr>
              <w:spacing w:after="0"/>
              <w:rPr>
                <w:sz w:val="24"/>
                <w:szCs w:val="24"/>
                <w:color w:val="auto"/>
              </w:rPr>
            </w:pPr>
          </w:p>
        </w:tc>
        <w:tc>
          <w:tcPr>
            <w:tcW w:w="2000" w:type="dxa"/>
            <w:vAlign w:val="bottom"/>
            <w:tcBorders>
              <w:top w:val="single" w:sz="8" w:color="0000FF"/>
            </w:tcBorders>
          </w:tcPr>
          <w:p>
            <w:pPr>
              <w:spacing w:after="0"/>
              <w:rPr>
                <w:sz w:val="24"/>
                <w:szCs w:val="24"/>
                <w:color w:val="auto"/>
              </w:rPr>
            </w:pPr>
          </w:p>
        </w:tc>
        <w:tc>
          <w:tcPr>
            <w:tcW w:w="72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340" w:type="dxa"/>
            <w:vAlign w:val="bottom"/>
            <w:tcBorders>
              <w:top w:val="single" w:sz="8" w:color="0000FF"/>
            </w:tcBorders>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560" w:type="dxa"/>
            <w:vAlign w:val="bottom"/>
          </w:tcPr>
          <w:p>
            <w:pPr>
              <w:jc w:val="right"/>
              <w:ind w:right="4092"/>
              <w:spacing w:after="0"/>
              <w:rPr>
                <w:sz w:val="20"/>
                <w:szCs w:val="20"/>
                <w:color w:val="auto"/>
              </w:rPr>
            </w:pPr>
            <w:r>
              <w:rPr>
                <w:rFonts w:ascii="Calibri" w:cs="Calibri" w:eastAsia="Calibri" w:hAnsi="Calibri"/>
                <w:sz w:val="18"/>
                <w:szCs w:val="18"/>
                <w:color w:val="auto"/>
              </w:rPr>
              <w:t>48</w:t>
            </w:r>
          </w:p>
        </w:tc>
        <w:tc>
          <w:tcPr>
            <w:tcW w:w="580" w:type="dxa"/>
            <w:vAlign w:val="bottom"/>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34"/>
        </w:trPr>
        <w:tc>
          <w:tcPr>
            <w:tcW w:w="40" w:type="dxa"/>
            <w:vAlign w:val="bottom"/>
            <w:tcBorders>
              <w:bottom w:val="single" w:sz="8" w:color="9A9A9A"/>
            </w:tcBorders>
          </w:tcPr>
          <w:p>
            <w:pPr>
              <w:spacing w:after="0"/>
              <w:rPr>
                <w:sz w:val="11"/>
                <w:szCs w:val="11"/>
                <w:color w:val="auto"/>
              </w:rPr>
            </w:pPr>
          </w:p>
        </w:tc>
        <w:tc>
          <w:tcPr>
            <w:tcW w:w="2000" w:type="dxa"/>
            <w:vAlign w:val="bottom"/>
            <w:tcBorders>
              <w:bottom w:val="single" w:sz="8" w:color="9A9A9A"/>
            </w:tcBorders>
          </w:tcPr>
          <w:p>
            <w:pPr>
              <w:spacing w:after="0"/>
              <w:rPr>
                <w:sz w:val="11"/>
                <w:szCs w:val="11"/>
                <w:color w:val="auto"/>
              </w:rPr>
            </w:pPr>
          </w:p>
        </w:tc>
        <w:tc>
          <w:tcPr>
            <w:tcW w:w="720" w:type="dxa"/>
            <w:vAlign w:val="bottom"/>
            <w:tcBorders>
              <w:bottom w:val="single" w:sz="8" w:color="9A9A9A"/>
            </w:tcBorders>
          </w:tcPr>
          <w:p>
            <w:pPr>
              <w:spacing w:after="0"/>
              <w:rPr>
                <w:sz w:val="11"/>
                <w:szCs w:val="11"/>
                <w:color w:val="auto"/>
              </w:rPr>
            </w:pPr>
          </w:p>
        </w:tc>
        <w:tc>
          <w:tcPr>
            <w:tcW w:w="300" w:type="dxa"/>
            <w:vAlign w:val="bottom"/>
            <w:tcBorders>
              <w:bottom w:val="single" w:sz="8" w:color="9A9A9A"/>
            </w:tcBorders>
          </w:tcPr>
          <w:p>
            <w:pPr>
              <w:spacing w:after="0"/>
              <w:rPr>
                <w:sz w:val="11"/>
                <w:szCs w:val="11"/>
                <w:color w:val="auto"/>
              </w:rPr>
            </w:pPr>
          </w:p>
        </w:tc>
        <w:tc>
          <w:tcPr>
            <w:tcW w:w="340" w:type="dxa"/>
            <w:vAlign w:val="bottom"/>
            <w:tcBorders>
              <w:bottom w:val="single" w:sz="8" w:color="9A9A9A"/>
            </w:tcBorders>
          </w:tcPr>
          <w:p>
            <w:pPr>
              <w:spacing w:after="0"/>
              <w:rPr>
                <w:sz w:val="11"/>
                <w:szCs w:val="11"/>
                <w:color w:val="auto"/>
              </w:rPr>
            </w:pPr>
          </w:p>
        </w:tc>
        <w:tc>
          <w:tcPr>
            <w:tcW w:w="240" w:type="dxa"/>
            <w:vAlign w:val="bottom"/>
            <w:tcBorders>
              <w:bottom w:val="single" w:sz="8" w:color="9A9A9A"/>
            </w:tcBorders>
          </w:tcPr>
          <w:p>
            <w:pPr>
              <w:spacing w:after="0"/>
              <w:rPr>
                <w:sz w:val="11"/>
                <w:szCs w:val="11"/>
                <w:color w:val="auto"/>
              </w:rPr>
            </w:pPr>
          </w:p>
        </w:tc>
        <w:tc>
          <w:tcPr>
            <w:tcW w:w="400" w:type="dxa"/>
            <w:vAlign w:val="bottom"/>
            <w:tcBorders>
              <w:bottom w:val="single" w:sz="8" w:color="9A9A9A"/>
            </w:tcBorders>
          </w:tcPr>
          <w:p>
            <w:pPr>
              <w:spacing w:after="0"/>
              <w:rPr>
                <w:sz w:val="11"/>
                <w:szCs w:val="11"/>
                <w:color w:val="auto"/>
              </w:rPr>
            </w:pPr>
          </w:p>
        </w:tc>
        <w:tc>
          <w:tcPr>
            <w:tcW w:w="1300" w:type="dxa"/>
            <w:vAlign w:val="bottom"/>
            <w:tcBorders>
              <w:bottom w:val="single" w:sz="8" w:color="9A9A9A"/>
            </w:tcBorders>
          </w:tcPr>
          <w:p>
            <w:pPr>
              <w:spacing w:after="0"/>
              <w:rPr>
                <w:sz w:val="11"/>
                <w:szCs w:val="11"/>
                <w:color w:val="auto"/>
              </w:rPr>
            </w:pPr>
          </w:p>
        </w:tc>
        <w:tc>
          <w:tcPr>
            <w:tcW w:w="4560" w:type="dxa"/>
            <w:vAlign w:val="bottom"/>
            <w:tcBorders>
              <w:bottom w:val="single" w:sz="8" w:color="9A9A9A"/>
            </w:tcBorders>
          </w:tcPr>
          <w:p>
            <w:pPr>
              <w:spacing w:after="0"/>
              <w:rPr>
                <w:sz w:val="11"/>
                <w:szCs w:val="11"/>
                <w:color w:val="auto"/>
              </w:rPr>
            </w:pPr>
          </w:p>
        </w:tc>
        <w:tc>
          <w:tcPr>
            <w:tcW w:w="580" w:type="dxa"/>
            <w:vAlign w:val="bottom"/>
            <w:tcBorders>
              <w:bottom w:val="single" w:sz="8" w:color="9A9A9A"/>
            </w:tcBorders>
          </w:tcPr>
          <w:p>
            <w:pPr>
              <w:spacing w:after="0"/>
              <w:rPr>
                <w:sz w:val="11"/>
                <w:szCs w:val="11"/>
                <w:color w:val="auto"/>
              </w:rPr>
            </w:pPr>
          </w:p>
        </w:tc>
        <w:tc>
          <w:tcPr>
            <w:tcW w:w="180" w:type="dxa"/>
            <w:vAlign w:val="bottom"/>
            <w:tcBorders>
              <w:bottom w:val="single" w:sz="8" w:color="9A9A9A"/>
            </w:tcBorders>
          </w:tcPr>
          <w:p>
            <w:pPr>
              <w:spacing w:after="0"/>
              <w:rPr>
                <w:sz w:val="11"/>
                <w:szCs w:val="11"/>
                <w:color w:val="auto"/>
              </w:rPr>
            </w:pPr>
          </w:p>
        </w:tc>
        <w:tc>
          <w:tcPr>
            <w:tcW w:w="560" w:type="dxa"/>
            <w:vAlign w:val="bottom"/>
            <w:tcBorders>
              <w:bottom w:val="single" w:sz="8" w:color="9A9A9A"/>
            </w:tcBorders>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-28575</wp:posOffset>
            </wp:positionV>
            <wp:extent cx="33655"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-28575</wp:posOffset>
            </wp:positionV>
            <wp:extent cx="33655"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09" w:right="339" w:bottom="1440" w:gutter="0" w:footer="0" w:header="0"/>
        </w:sectPr>
      </w:pPr>
    </w:p>
    <w:bookmarkStart w:id="49" w:name="page50"/>
    <w:bookmarkEnd w:id="49"/>
    <w:p>
      <w:pPr>
        <w:spacing w:after="0"/>
        <w:rPr>
          <w:sz w:val="20"/>
          <w:szCs w:val="20"/>
          <w:color w:val="auto"/>
        </w:rPr>
      </w:pPr>
      <w:r>
        <w:rPr>
          <w:rFonts w:ascii="Calibri" w:cs="Calibri" w:eastAsia="Calibri" w:hAnsi="Calibri"/>
          <w:sz w:val="18"/>
          <w:szCs w:val="18"/>
          <w:u w:val="single" w:color="auto"/>
          <w:color w:val="0000FF"/>
        </w:rPr>
        <w:t>Table of Contents</w:t>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Calibri" w:cs="Calibri" w:eastAsia="Calibri" w:hAnsi="Calibri"/>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Calibri" w:cs="Calibri" w:eastAsia="Calibri" w:hAnsi="Calibri"/>
          <w:sz w:val="18"/>
          <w:szCs w:val="18"/>
          <w:color w:val="auto"/>
        </w:rPr>
        <w:t>To the Board of Directors and Stockholders of Broadcom Inc.</w:t>
      </w:r>
    </w:p>
    <w:p>
      <w:pPr>
        <w:spacing w:after="0" w:line="97"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Opinions on the Financial Statements and Internal Control over Financial Reportng</w:t>
      </w:r>
    </w:p>
    <w:p>
      <w:pPr>
        <w:spacing w:after="0" w:line="239" w:lineRule="exact"/>
        <w:rPr>
          <w:sz w:val="20"/>
          <w:szCs w:val="20"/>
          <w:color w:val="auto"/>
        </w:rPr>
      </w:pPr>
    </w:p>
    <w:p>
      <w:pPr>
        <w:ind w:right="160"/>
        <w:spacing w:after="0" w:line="230" w:lineRule="auto"/>
        <w:rPr>
          <w:sz w:val="20"/>
          <w:szCs w:val="20"/>
          <w:color w:val="auto"/>
        </w:rPr>
      </w:pPr>
      <w:r>
        <w:rPr>
          <w:rFonts w:ascii="Calibri" w:cs="Calibri" w:eastAsia="Calibri" w:hAnsi="Calibri"/>
          <w:sz w:val="18"/>
          <w:szCs w:val="18"/>
          <w:color w:val="auto"/>
        </w:rPr>
        <w:t xml:space="preserve">We have audited the accompanying consolidated balance sheets of Broadcom Inc. and its subsidiaries (the “Company”) as of October 29, 2023 and October 30, 2022, and the related consolidated statements of operatons, of comprehensive income, of stockholders’ equity and of cash fows for each of the three years in the period ended October 29, 2023, including the related notes and fnancial statement schedule listed in the index appearing under Item 15(a)(2) (collectvely referred to as the “consolidated fnancial statements”). We also have audited the Company's internal control over fnancial reportng as of October 29, 2023, based on criteria established in </w:t>
      </w:r>
      <w:r>
        <w:rPr>
          <w:rFonts w:ascii="Calibri" w:cs="Calibri" w:eastAsia="Calibri" w:hAnsi="Calibri"/>
          <w:sz w:val="18"/>
          <w:szCs w:val="18"/>
          <w:i w:val="1"/>
          <w:iCs w:val="1"/>
          <w:color w:val="auto"/>
        </w:rPr>
        <w:t>Internal Control - Integrated Framework</w:t>
      </w:r>
      <w:r>
        <w:rPr>
          <w:rFonts w:ascii="Calibri" w:cs="Calibri" w:eastAsia="Calibri" w:hAnsi="Calibri"/>
          <w:sz w:val="18"/>
          <w:szCs w:val="18"/>
          <w:color w:val="auto"/>
        </w:rPr>
        <w:t xml:space="preserve"> (2013) issued by the Commitee of Sponsoring Organizatons of the Treadway Commission (COSO).</w:t>
      </w:r>
    </w:p>
    <w:p>
      <w:pPr>
        <w:spacing w:after="0" w:line="242" w:lineRule="exact"/>
        <w:rPr>
          <w:sz w:val="20"/>
          <w:szCs w:val="20"/>
          <w:color w:val="auto"/>
        </w:rPr>
      </w:pPr>
    </w:p>
    <w:p>
      <w:pPr>
        <w:spacing w:after="0" w:line="230" w:lineRule="auto"/>
        <w:rPr>
          <w:sz w:val="20"/>
          <w:szCs w:val="20"/>
          <w:color w:val="auto"/>
        </w:rPr>
      </w:pPr>
      <w:r>
        <w:rPr>
          <w:rFonts w:ascii="Calibri" w:cs="Calibri" w:eastAsia="Calibri" w:hAnsi="Calibri"/>
          <w:sz w:val="18"/>
          <w:szCs w:val="18"/>
          <w:color w:val="auto"/>
        </w:rPr>
        <w:t xml:space="preserve">In our opinion, the consolidated fnancial statements referred to above present fairly, in all material respects, the fnancial positon of the Company as of October 29, 2023 and October 30, 2022, and the results of its operatons and its cash fows for each of the three years in the period ended October 29, 2023 in conformity with accountng principles generally accepted in the United States of America. Also in our opinion, the Company maintained, in all material respects, efectve internal control over fnancial reportng as of October 29, 2023, based on criteria established in </w:t>
      </w:r>
      <w:r>
        <w:rPr>
          <w:rFonts w:ascii="Calibri" w:cs="Calibri" w:eastAsia="Calibri" w:hAnsi="Calibri"/>
          <w:sz w:val="18"/>
          <w:szCs w:val="18"/>
          <w:i w:val="1"/>
          <w:iCs w:val="1"/>
          <w:color w:val="auto"/>
        </w:rPr>
        <w:t>Internal Control - Integrated Framework</w:t>
      </w:r>
      <w:r>
        <w:rPr>
          <w:rFonts w:ascii="Calibri" w:cs="Calibri" w:eastAsia="Calibri" w:hAnsi="Calibri"/>
          <w:sz w:val="18"/>
          <w:szCs w:val="18"/>
          <w:color w:val="auto"/>
        </w:rPr>
        <w:t xml:space="preserve"> (2013) issued by the COSO.</w:t>
      </w:r>
    </w:p>
    <w:p>
      <w:pPr>
        <w:spacing w:after="0" w:line="231"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Basis for Opinions</w:t>
      </w:r>
    </w:p>
    <w:p>
      <w:pPr>
        <w:spacing w:after="0" w:line="226" w:lineRule="exact"/>
        <w:rPr>
          <w:sz w:val="20"/>
          <w:szCs w:val="20"/>
          <w:color w:val="auto"/>
        </w:rPr>
      </w:pPr>
    </w:p>
    <w:p>
      <w:pPr>
        <w:ind w:right="60"/>
        <w:spacing w:after="0" w:line="230" w:lineRule="auto"/>
        <w:rPr>
          <w:sz w:val="20"/>
          <w:szCs w:val="20"/>
          <w:color w:val="auto"/>
        </w:rPr>
      </w:pPr>
      <w:r>
        <w:rPr>
          <w:rFonts w:ascii="Calibri" w:cs="Calibri" w:eastAsia="Calibri" w:hAnsi="Calibri"/>
          <w:sz w:val="18"/>
          <w:szCs w:val="18"/>
          <w:color w:val="auto"/>
        </w:rPr>
        <w:t>The Company's management is responsible for these consolidated fnancial statements, for maintaining efectve internal control over fnancial reportng, and for its assessment of the efectveness of internal control over fnancial reportng, included in Management’s Report on Internal Control over Financial Reportng appearing under Item 9A. Our responsibility is to express opinions on the Company’s consolidated fnancial statements and on the Company's internal control over fnancial reportng based on our audits. We are a public accountng frm registered with the Public Company Accountng Oversight Board (United States) (PCAOB) and are required to be independent with respect to the Company in accordance with the U.S. federal securites laws and the applicable rules and regulatons of the Securites and Exchange Commission and the PCAOB.</w:t>
      </w:r>
    </w:p>
    <w:p>
      <w:pPr>
        <w:spacing w:after="0" w:line="242" w:lineRule="exact"/>
        <w:rPr>
          <w:sz w:val="20"/>
          <w:szCs w:val="20"/>
          <w:color w:val="auto"/>
        </w:rPr>
      </w:pPr>
    </w:p>
    <w:p>
      <w:pPr>
        <w:ind w:right="100"/>
        <w:spacing w:after="0" w:line="230" w:lineRule="auto"/>
        <w:rPr>
          <w:sz w:val="20"/>
          <w:szCs w:val="20"/>
          <w:color w:val="auto"/>
        </w:rPr>
      </w:pPr>
      <w:r>
        <w:rPr>
          <w:rFonts w:ascii="Calibri" w:cs="Calibri" w:eastAsia="Calibri" w:hAnsi="Calibri"/>
          <w:sz w:val="18"/>
          <w:szCs w:val="18"/>
          <w:color w:val="auto"/>
        </w:rPr>
        <w:t>We conducted our audits in accordance with the standards of the PCAOB. Those standards require that we plan and perform the audits to obtain reasonable assurance about whether the consolidated fnancial statements are free of material misstatement, whether due to error or fraud, and whether efectve internal control over fnancial reportng was maintained in all material respects.</w:t>
      </w:r>
    </w:p>
    <w:p>
      <w:pPr>
        <w:spacing w:after="0" w:line="240" w:lineRule="exact"/>
        <w:rPr>
          <w:sz w:val="20"/>
          <w:szCs w:val="20"/>
          <w:color w:val="auto"/>
        </w:rPr>
      </w:pPr>
    </w:p>
    <w:p>
      <w:pPr>
        <w:spacing w:after="0" w:line="244" w:lineRule="auto"/>
        <w:rPr>
          <w:sz w:val="20"/>
          <w:szCs w:val="20"/>
          <w:color w:val="auto"/>
        </w:rPr>
      </w:pPr>
      <w:r>
        <w:rPr>
          <w:rFonts w:ascii="Calibri" w:cs="Calibri" w:eastAsia="Calibri" w:hAnsi="Calibri"/>
          <w:sz w:val="17"/>
          <w:szCs w:val="17"/>
          <w:color w:val="auto"/>
        </w:rPr>
        <w:t>Our audits of the consolidated fnancial statements included performing procedures to assess the risks of material misstatement of the consolidated fnancial statements, whether due to error or fraud, and performing procedures that respond to those risks. Such procedures included examining, on a test basis, evidence regarding the amounts and disclosures in the consolidated fnancial statements. Our audits also included evaluatng the accountng principles used and signifcant estmates made by management, as well as evaluatng the overall presentaton of the consolidated fnancial statements. Our audit of internal control over fnancial reportng included obtaining an understanding of internal control over fnancial reportng, assessing the risk that a material weakness exists, and testng and evaluatng the design and operatng efectveness of internal control based on the assessed risk. Our audits also included performing such other procedures as we considered necessary in the circumstances. We believe that our audits provide a reasonable basis for our opinions.</w:t>
      </w:r>
    </w:p>
    <w:p>
      <w:pPr>
        <w:spacing w:after="0" w:line="230"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Defniton and Limitatons of Internal Control over Financial Reportng</w:t>
      </w:r>
    </w:p>
    <w:p>
      <w:pPr>
        <w:spacing w:after="0" w:line="239" w:lineRule="exact"/>
        <w:rPr>
          <w:sz w:val="20"/>
          <w:szCs w:val="20"/>
          <w:color w:val="auto"/>
        </w:rPr>
      </w:pPr>
    </w:p>
    <w:p>
      <w:pPr>
        <w:spacing w:after="0" w:line="244" w:lineRule="auto"/>
        <w:rPr>
          <w:sz w:val="20"/>
          <w:szCs w:val="20"/>
          <w:color w:val="auto"/>
        </w:rPr>
      </w:pPr>
      <w:r>
        <w:rPr>
          <w:rFonts w:ascii="Calibri" w:cs="Calibri" w:eastAsia="Calibri" w:hAnsi="Calibri"/>
          <w:sz w:val="17"/>
          <w:szCs w:val="17"/>
          <w:color w:val="auto"/>
        </w:rPr>
        <w:t>A company’s internal control over fnancial reportng is a process designed to provide reasonable assurance regarding the reliability of fnancial reportng and the preparaton of fnancial statements for external purposes in accordance with generally accepted accountng principles. A company’s internal control over fnancial reportng includes those policies and procedures that (i) pertain to the maintenance of records that, in reasonable detail, accurately and fairly refect the transactons and dispositons of the assets of the company; (ii) provide reasonable assurance that transactons are recorded as necessary to permit preparaton of fnancial statements in accordance with generally accepted accountng principles, and that receipts and expenditures of the company are being made only in accordance with authorizatons of management and directors of the company; and (iii) provide reasonable assurance regarding preventon or tmely detecton of unauthorized acquisiton, use, or dispositon of the company’s assets that could have a material efect on the fnancial statements.</w:t>
      </w:r>
    </w:p>
    <w:p>
      <w:pPr>
        <w:spacing w:after="0" w:line="240" w:lineRule="exact"/>
        <w:rPr>
          <w:sz w:val="20"/>
          <w:szCs w:val="20"/>
          <w:color w:val="auto"/>
        </w:rPr>
      </w:pPr>
    </w:p>
    <w:p>
      <w:pPr>
        <w:ind w:right="180"/>
        <w:spacing w:after="0" w:line="230" w:lineRule="auto"/>
        <w:rPr>
          <w:sz w:val="20"/>
          <w:szCs w:val="20"/>
          <w:color w:val="auto"/>
        </w:rPr>
      </w:pPr>
      <w:r>
        <w:rPr>
          <w:rFonts w:ascii="Calibri" w:cs="Calibri" w:eastAsia="Calibri" w:hAnsi="Calibri"/>
          <w:sz w:val="18"/>
          <w:szCs w:val="18"/>
          <w:color w:val="auto"/>
        </w:rPr>
        <w:t>Because of its inherent limitatons, internal control over fnancial reportng may not prevent or detect misstatements. Also, projectons of any evaluaton of efectveness to future periods are subject to the risk that controls may become inadequate because of changes in conditons, or that the degree of compliance with the policies or procedures may deteriorate.</w:t>
      </w:r>
    </w:p>
    <w:p>
      <w:pPr>
        <w:spacing w:after="0" w:line="230"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Critcal Audit Maters</w:t>
      </w:r>
    </w:p>
    <w:p>
      <w:pPr>
        <w:spacing w:after="0" w:line="239" w:lineRule="exact"/>
        <w:rPr>
          <w:sz w:val="20"/>
          <w:szCs w:val="20"/>
          <w:color w:val="auto"/>
        </w:rPr>
      </w:pPr>
    </w:p>
    <w:p>
      <w:pPr>
        <w:ind w:right="120"/>
        <w:spacing w:after="0" w:line="230" w:lineRule="auto"/>
        <w:rPr>
          <w:sz w:val="20"/>
          <w:szCs w:val="20"/>
          <w:color w:val="auto"/>
        </w:rPr>
      </w:pPr>
      <w:r>
        <w:rPr>
          <w:rFonts w:ascii="Calibri" w:cs="Calibri" w:eastAsia="Calibri" w:hAnsi="Calibri"/>
          <w:sz w:val="18"/>
          <w:szCs w:val="18"/>
          <w:color w:val="auto"/>
        </w:rPr>
        <w:t>The critcal audit mater communicated below is a mater arising from the current period audit of the consolidated fnancial statements that was communicated or required to be communicated to the audit commitee and that (i) relates to accounts or disclosures that are material to the consolidated fnancial statements and (ii) involved our especially challenging, subjectve, or complex judgments. The communicaton of critcal audit maters does not alter in any way our opinion on the consolidated fnancial statements, taken as a whole, and we are not, by communicatng the critcal audit mater below, providing a separate opinion on the critcal audit mater or on the accounts or disclosures to which it relates.</w:t>
      </w:r>
    </w:p>
    <w:p>
      <w:pPr>
        <w:spacing w:after="0" w:line="231"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Uncertain Tax Positons (UTPs)</w:t>
      </w:r>
    </w:p>
    <w:p>
      <w:pPr>
        <w:spacing w:after="0" w:line="239" w:lineRule="exact"/>
        <w:rPr>
          <w:sz w:val="20"/>
          <w:szCs w:val="20"/>
          <w:color w:val="auto"/>
        </w:rPr>
      </w:pPr>
    </w:p>
    <w:p>
      <w:pPr>
        <w:ind w:right="140"/>
        <w:spacing w:after="0" w:line="245" w:lineRule="auto"/>
        <w:rPr>
          <w:sz w:val="20"/>
          <w:szCs w:val="20"/>
          <w:color w:val="auto"/>
        </w:rPr>
      </w:pPr>
      <w:r>
        <w:rPr>
          <w:rFonts w:ascii="Calibri" w:cs="Calibri" w:eastAsia="Calibri" w:hAnsi="Calibri"/>
          <w:sz w:val="17"/>
          <w:szCs w:val="17"/>
          <w:color w:val="auto"/>
        </w:rPr>
        <w:t>As described in Notes 2 and 11 to the consolidated fnancial statements, the gross unrecognized tax benefts balance was $4,655 million as of October 29, 2023. As management has disclosed, management evaluates the exposure associated with various tax fling positons and accrues an income tax liability when such positons do not meet the more-likely-than-not threshold for recogniton. A tax beneft from an UTP may be recognized when it is more-likely-than not that the positon will be sustained upon examinaton, including resoluton of any related appeals or litgaton processes, based on the technical merits.</w:t>
      </w:r>
    </w:p>
    <w:p>
      <w:pPr>
        <w:spacing w:after="0" w:line="235" w:lineRule="exact"/>
        <w:rPr>
          <w:sz w:val="20"/>
          <w:szCs w:val="20"/>
          <w:color w:val="auto"/>
        </w:rPr>
      </w:pPr>
    </w:p>
    <w:p>
      <w:pPr>
        <w:ind w:right="40"/>
        <w:spacing w:after="0" w:line="245" w:lineRule="auto"/>
        <w:rPr>
          <w:sz w:val="20"/>
          <w:szCs w:val="20"/>
          <w:color w:val="auto"/>
        </w:rPr>
      </w:pPr>
      <w:r>
        <w:rPr>
          <w:rFonts w:ascii="Calibri" w:cs="Calibri" w:eastAsia="Calibri" w:hAnsi="Calibri"/>
          <w:sz w:val="17"/>
          <w:szCs w:val="17"/>
          <w:color w:val="auto"/>
        </w:rPr>
        <w:t>The principal consideratons for our determinaton that performing procedures relatng to the UTPs is a critcal audit mater are (i) the signifcant judgment by management when evaluatng the technical merits of these tax positons, (ii) a high degree of auditor judgment, subjectvity, and efort in performing procedures and evaluatng the technical merits of the tax positons, and (iii) the audit efort involved the use of professionals with specialized skill and knowledge.</w:t>
      </w:r>
    </w:p>
    <w:p>
      <w:pPr>
        <w:sectPr>
          <w:pgSz w:w="11900" w:h="16838" w:orient="portrait"/>
          <w:cols w:equalWidth="0" w:num="1">
            <w:col w:w="11240"/>
          </w:cols>
          <w:pgMar w:left="320" w:top="109" w:right="339" w:bottom="0" w:gutter="0" w:footer="0" w:header="0"/>
        </w:sectPr>
      </w:pPr>
    </w:p>
    <w:bookmarkStart w:id="50" w:name="page51"/>
    <w:bookmarkEnd w:id="50"/>
    <w:p>
      <w:pPr>
        <w:spacing w:after="0" w:line="244" w:lineRule="auto"/>
        <w:rPr>
          <w:sz w:val="20"/>
          <w:szCs w:val="20"/>
          <w:color w:val="auto"/>
        </w:rPr>
      </w:pPr>
      <w:r>
        <w:rPr>
          <w:rFonts w:ascii="Calibri" w:cs="Calibri" w:eastAsia="Calibri" w:hAnsi="Calibri"/>
          <w:sz w:val="17"/>
          <w:szCs w:val="17"/>
          <w:color w:val="auto"/>
        </w:rPr>
        <w:t>Addressing the mater involved performing procedures and evaluatng audit evidence in connecton with forming our overall opinion on the consolidated fnancial statements. These procedures included testng the efectveness of controls relatng to the identfcaton and recogniton of the income tax liability for UTPs, including controls addressing the completeness of the UTPs and the measurement of the income tax liability. These procedures also included, among others, (i) testng management’s process for identfying potental new UTPs, (ii) for a selecton of UTPs, evaluatng possible outcomes, and (iii) for a selecton of UTPs, testng the calculaton of the income tax liability, including management’s assessment of the technical merits of tax positons and estmates of the amount of tax beneft expected to be sustained. Professionals with specialized skill and knowledge were used to assist in (i) the evaluaton of the completeness of management’s identfcaton of the UTPs and (ii) for a selecton of UTPs, the evaluaton of the reasonableness of management’s assessment of whether the tax positons are more-likely-than-not of being sustained, the amount of potental beneft to be realized, and the applicaton of relevant tax laws.</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Calibri" w:cs="Calibri" w:eastAsia="Calibri" w:hAnsi="Calibri"/>
          <w:sz w:val="18"/>
          <w:szCs w:val="18"/>
          <w:color w:val="auto"/>
        </w:rPr>
        <w:t>/s/ PricewaterhouseCoopers LLP</w:t>
      </w:r>
    </w:p>
    <w:p>
      <w:pPr>
        <w:spacing w:after="0" w:line="229" w:lineRule="exact"/>
        <w:rPr>
          <w:sz w:val="20"/>
          <w:szCs w:val="20"/>
          <w:color w:val="auto"/>
        </w:rPr>
      </w:pPr>
    </w:p>
    <w:p>
      <w:pPr>
        <w:spacing w:after="0"/>
        <w:rPr>
          <w:sz w:val="20"/>
          <w:szCs w:val="20"/>
          <w:color w:val="auto"/>
        </w:rPr>
      </w:pPr>
      <w:r>
        <w:rPr>
          <w:rFonts w:ascii="Calibri" w:cs="Calibri" w:eastAsia="Calibri" w:hAnsi="Calibri"/>
          <w:sz w:val="18"/>
          <w:szCs w:val="18"/>
          <w:color w:val="auto"/>
        </w:rPr>
        <w:t>San Jose, California</w:t>
      </w:r>
    </w:p>
    <w:p>
      <w:pPr>
        <w:spacing w:after="0" w:line="230" w:lineRule="auto"/>
        <w:rPr>
          <w:sz w:val="20"/>
          <w:szCs w:val="20"/>
          <w:color w:val="auto"/>
        </w:rPr>
      </w:pPr>
      <w:r>
        <w:rPr>
          <w:rFonts w:ascii="Calibri" w:cs="Calibri" w:eastAsia="Calibri" w:hAnsi="Calibri"/>
          <w:sz w:val="18"/>
          <w:szCs w:val="18"/>
          <w:color w:val="auto"/>
        </w:rPr>
        <w:t>December 14, 2023</w:t>
      </w:r>
    </w:p>
    <w:p>
      <w:pPr>
        <w:spacing w:after="0" w:line="203" w:lineRule="exact"/>
        <w:rPr>
          <w:sz w:val="20"/>
          <w:szCs w:val="20"/>
          <w:color w:val="auto"/>
        </w:rPr>
      </w:pPr>
    </w:p>
    <w:p>
      <w:pPr>
        <w:spacing w:after="0"/>
        <w:rPr>
          <w:sz w:val="20"/>
          <w:szCs w:val="20"/>
          <w:color w:val="auto"/>
        </w:rPr>
      </w:pPr>
      <w:r>
        <w:rPr>
          <w:rFonts w:ascii="Calibri" w:cs="Calibri" w:eastAsia="Calibri" w:hAnsi="Calibri"/>
          <w:sz w:val="18"/>
          <w:szCs w:val="18"/>
          <w:color w:val="auto"/>
        </w:rPr>
        <w:t>We have served as the Company’s auditor since 2006.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19"/>
        <w:spacing w:after="0"/>
        <w:rPr>
          <w:sz w:val="20"/>
          <w:szCs w:val="20"/>
          <w:color w:val="auto"/>
        </w:rPr>
      </w:pPr>
      <w:r>
        <w:rPr>
          <w:rFonts w:ascii="Calibri" w:cs="Calibri" w:eastAsia="Calibri" w:hAnsi="Calibri"/>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140"/>
          </w:cols>
          <w:pgMar w:left="320" w:top="119" w:right="439" w:bottom="1440" w:gutter="0" w:footer="0" w:header="0"/>
        </w:sectPr>
      </w:pPr>
    </w:p>
    <w:bookmarkStart w:id="51" w:name="page52"/>
    <w:bookmarkEnd w:id="51"/>
    <w:p>
      <w:pPr>
        <w:spacing w:after="0"/>
        <w:rPr>
          <w:sz w:val="20"/>
          <w:szCs w:val="20"/>
          <w:color w:val="auto"/>
        </w:rPr>
      </w:pPr>
      <w:r>
        <w:rPr>
          <w:rFonts w:ascii="Calibri" w:cs="Calibri" w:eastAsia="Calibri" w:hAnsi="Calibri"/>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Calibri" w:cs="Calibri" w:eastAsia="Calibri" w:hAnsi="Calibri"/>
          <w:sz w:val="18"/>
          <w:szCs w:val="18"/>
          <w:b w:val="1"/>
          <w:bCs w:val="1"/>
          <w:color w:val="auto"/>
        </w:rPr>
        <w:t>BROADCOM INC.</w:t>
      </w:r>
    </w:p>
    <w:p>
      <w:pPr>
        <w:jc w:val="center"/>
        <w:ind w:right="-19"/>
        <w:spacing w:after="0" w:line="230" w:lineRule="auto"/>
        <w:rPr>
          <w:sz w:val="20"/>
          <w:szCs w:val="20"/>
          <w:color w:val="auto"/>
        </w:rPr>
      </w:pPr>
      <w:r>
        <w:rPr>
          <w:rFonts w:ascii="Calibri" w:cs="Calibri" w:eastAsia="Calibri" w:hAnsi="Calibri"/>
          <w:sz w:val="18"/>
          <w:szCs w:val="18"/>
          <w:b w:val="1"/>
          <w:bCs w:val="1"/>
          <w:color w:val="auto"/>
        </w:rPr>
        <w:t>CONSOLIDATED BALANCE SHEETS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gridSpan w:val="2"/>
          </w:tcPr>
          <w:p>
            <w:pPr>
              <w:ind w:left="140"/>
              <w:spacing w:after="0"/>
              <w:rPr>
                <w:sz w:val="20"/>
                <w:szCs w:val="20"/>
                <w:color w:val="auto"/>
              </w:rPr>
            </w:pPr>
            <w:r>
              <w:rPr>
                <w:rFonts w:ascii="Calibri" w:cs="Calibri" w:eastAsia="Calibri" w:hAnsi="Calibri"/>
                <w:sz w:val="14"/>
                <w:szCs w:val="14"/>
                <w:b w:val="1"/>
                <w:bCs w:val="1"/>
                <w:color w:val="auto"/>
              </w:rPr>
              <w:t>October 29,</w:t>
            </w:r>
          </w:p>
        </w:tc>
        <w:tc>
          <w:tcPr>
            <w:tcW w:w="240" w:type="dxa"/>
            <w:vAlign w:val="bottom"/>
          </w:tcPr>
          <w:p>
            <w:pPr>
              <w:spacing w:after="0"/>
              <w:rPr>
                <w:sz w:val="14"/>
                <w:szCs w:val="14"/>
                <w:color w:val="auto"/>
              </w:rPr>
            </w:pPr>
          </w:p>
        </w:tc>
        <w:tc>
          <w:tcPr>
            <w:tcW w:w="1160" w:type="dxa"/>
            <w:vAlign w:val="bottom"/>
          </w:tcPr>
          <w:p>
            <w:pPr>
              <w:jc w:val="right"/>
              <w:ind w:right="273"/>
              <w:spacing w:after="0"/>
              <w:rPr>
                <w:sz w:val="20"/>
                <w:szCs w:val="20"/>
                <w:color w:val="auto"/>
              </w:rPr>
            </w:pPr>
            <w:r>
              <w:rPr>
                <w:rFonts w:ascii="Calibri" w:cs="Calibri" w:eastAsia="Calibri" w:hAnsi="Calibri"/>
                <w:sz w:val="14"/>
                <w:szCs w:val="14"/>
                <w:b w:val="1"/>
                <w:bCs w:val="1"/>
                <w:color w:val="auto"/>
              </w:rPr>
              <w:t>October 30,</w:t>
            </w:r>
          </w:p>
        </w:tc>
        <w:tc>
          <w:tcPr>
            <w:tcW w:w="0" w:type="dxa"/>
            <w:vAlign w:val="bottom"/>
          </w:tcPr>
          <w:p>
            <w:pPr>
              <w:spacing w:after="0"/>
              <w:rPr>
                <w:sz w:val="1"/>
                <w:szCs w:val="1"/>
                <w:color w:val="auto"/>
              </w:rPr>
            </w:pPr>
          </w:p>
        </w:tc>
      </w:tr>
      <w:tr>
        <w:trPr>
          <w:trHeight w:val="168"/>
        </w:trPr>
        <w:tc>
          <w:tcPr>
            <w:tcW w:w="8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tcPr>
          <w:p>
            <w:pPr>
              <w:jc w:val="right"/>
              <w:ind w:right="474"/>
              <w:spacing w:after="0" w:line="168" w:lineRule="exact"/>
              <w:rPr>
                <w:sz w:val="20"/>
                <w:szCs w:val="20"/>
                <w:color w:val="auto"/>
              </w:rPr>
            </w:pPr>
            <w:r>
              <w:rPr>
                <w:rFonts w:ascii="Calibri" w:cs="Calibri" w:eastAsia="Calibri" w:hAnsi="Calibri"/>
                <w:sz w:val="14"/>
                <w:szCs w:val="14"/>
                <w:b w:val="1"/>
                <w:bCs w:val="1"/>
                <w:color w:val="auto"/>
              </w:rPr>
              <w:t>2023</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tcPr>
          <w:p>
            <w:pPr>
              <w:jc w:val="right"/>
              <w:ind w:right="473"/>
              <w:spacing w:after="0" w:line="168" w:lineRule="exact"/>
              <w:rPr>
                <w:sz w:val="20"/>
                <w:szCs w:val="20"/>
                <w:color w:val="auto"/>
              </w:rPr>
            </w:pPr>
            <w:r>
              <w:rPr>
                <w:rFonts w:ascii="Calibri" w:cs="Calibri" w:eastAsia="Calibri" w:hAnsi="Calibri"/>
                <w:sz w:val="14"/>
                <w:szCs w:val="14"/>
                <w:b w:val="1"/>
                <w:bCs w:val="1"/>
                <w:color w:val="auto"/>
              </w:rPr>
              <w:t>2022</w:t>
            </w:r>
          </w:p>
        </w:tc>
        <w:tc>
          <w:tcPr>
            <w:tcW w:w="0" w:type="dxa"/>
            <w:vAlign w:val="bottom"/>
          </w:tcPr>
          <w:p>
            <w:pPr>
              <w:spacing w:after="0"/>
              <w:rPr>
                <w:sz w:val="1"/>
                <w:szCs w:val="1"/>
                <w:color w:val="auto"/>
              </w:rPr>
            </w:pPr>
          </w:p>
        </w:tc>
      </w:tr>
      <w:tr>
        <w:trPr>
          <w:trHeight w:val="32"/>
        </w:trPr>
        <w:tc>
          <w:tcPr>
            <w:tcW w:w="83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8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80" w:type="dxa"/>
            <w:vAlign w:val="bottom"/>
            <w:gridSpan w:val="4"/>
          </w:tcPr>
          <w:p>
            <w:pPr>
              <w:jc w:val="right"/>
              <w:ind w:right="513"/>
              <w:spacing w:after="0"/>
              <w:rPr>
                <w:sz w:val="20"/>
                <w:szCs w:val="20"/>
                <w:color w:val="auto"/>
              </w:rPr>
            </w:pPr>
            <w:r>
              <w:rPr>
                <w:rFonts w:ascii="Calibri" w:cs="Calibri" w:eastAsia="Calibri" w:hAnsi="Calibri"/>
                <w:sz w:val="14"/>
                <w:szCs w:val="14"/>
                <w:b w:val="1"/>
                <w:bCs w:val="1"/>
                <w:color w:val="auto"/>
              </w:rPr>
              <w:t>(In millions, except par value)</w:t>
            </w:r>
          </w:p>
        </w:tc>
        <w:tc>
          <w:tcPr>
            <w:tcW w:w="0" w:type="dxa"/>
            <w:vAlign w:val="bottom"/>
          </w:tcPr>
          <w:p>
            <w:pPr>
              <w:spacing w:after="0"/>
              <w:rPr>
                <w:sz w:val="1"/>
                <w:szCs w:val="1"/>
                <w:color w:val="auto"/>
              </w:rPr>
            </w:pPr>
          </w:p>
        </w:tc>
      </w:tr>
      <w:tr>
        <w:trPr>
          <w:trHeight w:val="45"/>
        </w:trPr>
        <w:tc>
          <w:tcPr>
            <w:tcW w:w="83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4"/>
        </w:trPr>
        <w:tc>
          <w:tcPr>
            <w:tcW w:w="8340" w:type="dxa"/>
            <w:vAlign w:val="bottom"/>
            <w:shd w:val="clear" w:color="auto" w:fill="CCEEFF"/>
          </w:tcPr>
          <w:p>
            <w:pPr>
              <w:ind w:left="20"/>
              <w:spacing w:after="0" w:line="210" w:lineRule="exact"/>
              <w:rPr>
                <w:sz w:val="20"/>
                <w:szCs w:val="20"/>
                <w:color w:val="auto"/>
              </w:rPr>
            </w:pPr>
            <w:r>
              <w:rPr>
                <w:rFonts w:ascii="Calibri" w:cs="Calibri" w:eastAsia="Calibri" w:hAnsi="Calibri"/>
                <w:sz w:val="18"/>
                <w:szCs w:val="18"/>
                <w:b w:val="1"/>
                <w:bCs w:val="1"/>
                <w:color w:val="auto"/>
              </w:rPr>
              <w:t>ASSETS</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8340" w:type="dxa"/>
            <w:vAlign w:val="bottom"/>
          </w:tcPr>
          <w:p>
            <w:pPr>
              <w:ind w:left="20"/>
              <w:spacing w:after="0" w:line="210" w:lineRule="exact"/>
              <w:rPr>
                <w:sz w:val="20"/>
                <w:szCs w:val="20"/>
                <w:color w:val="auto"/>
              </w:rPr>
            </w:pPr>
            <w:r>
              <w:rPr>
                <w:rFonts w:ascii="Calibri" w:cs="Calibri" w:eastAsia="Calibri" w:hAnsi="Calibri"/>
                <w:sz w:val="18"/>
                <w:szCs w:val="18"/>
                <w:color w:val="auto"/>
              </w:rPr>
              <w:t>Current assets:</w:t>
            </w: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8340" w:type="dxa"/>
            <w:vAlign w:val="bottom"/>
            <w:shd w:val="clear" w:color="auto" w:fill="CCEEFF"/>
          </w:tcPr>
          <w:p>
            <w:pPr>
              <w:ind w:left="140"/>
              <w:spacing w:after="0" w:line="217" w:lineRule="exact"/>
              <w:rPr>
                <w:sz w:val="20"/>
                <w:szCs w:val="20"/>
                <w:color w:val="auto"/>
              </w:rPr>
            </w:pPr>
            <w:r>
              <w:rPr>
                <w:rFonts w:ascii="Calibri" w:cs="Calibri" w:eastAsia="Calibri" w:hAnsi="Calibri"/>
                <w:sz w:val="18"/>
                <w:szCs w:val="18"/>
                <w:color w:val="auto"/>
              </w:rPr>
              <w:t>Cash and cash equivalents</w:t>
            </w:r>
          </w:p>
        </w:tc>
        <w:tc>
          <w:tcPr>
            <w:tcW w:w="220" w:type="dxa"/>
            <w:vAlign w:val="bottom"/>
            <w:shd w:val="clear" w:color="auto" w:fill="CCEEFF"/>
          </w:tcPr>
          <w:p>
            <w:pPr>
              <w:jc w:val="right"/>
              <w:ind w:right="32"/>
              <w:spacing w:after="0" w:line="217" w:lineRule="exact"/>
              <w:rPr>
                <w:sz w:val="20"/>
                <w:szCs w:val="20"/>
                <w:color w:val="auto"/>
              </w:rPr>
            </w:pPr>
            <w:r>
              <w:rPr>
                <w:rFonts w:ascii="Calibri" w:cs="Calibri" w:eastAsia="Calibri" w:hAnsi="Calibri"/>
                <w:sz w:val="18"/>
                <w:szCs w:val="18"/>
                <w:color w:val="auto"/>
                <w:w w:val="87"/>
              </w:rPr>
              <w:t>$</w:t>
            </w:r>
          </w:p>
        </w:tc>
        <w:tc>
          <w:tcPr>
            <w:tcW w:w="1180" w:type="dxa"/>
            <w:vAlign w:val="bottom"/>
            <w:shd w:val="clear" w:color="auto" w:fill="CCEEFF"/>
          </w:tcPr>
          <w:p>
            <w:pPr>
              <w:jc w:val="right"/>
              <w:spacing w:after="0" w:line="217" w:lineRule="exact"/>
              <w:rPr>
                <w:sz w:val="20"/>
                <w:szCs w:val="20"/>
                <w:color w:val="auto"/>
              </w:rPr>
            </w:pPr>
            <w:r>
              <w:rPr>
                <w:rFonts w:ascii="Calibri" w:cs="Calibri" w:eastAsia="Calibri" w:hAnsi="Calibri"/>
                <w:sz w:val="18"/>
                <w:szCs w:val="18"/>
                <w:color w:val="auto"/>
              </w:rPr>
              <w:t>14,189</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2"/>
              <w:spacing w:after="0" w:line="217" w:lineRule="exact"/>
              <w:rPr>
                <w:sz w:val="20"/>
                <w:szCs w:val="20"/>
                <w:color w:val="auto"/>
              </w:rPr>
            </w:pPr>
            <w:r>
              <w:rPr>
                <w:rFonts w:ascii="Calibri" w:cs="Calibri" w:eastAsia="Calibri" w:hAnsi="Calibri"/>
                <w:sz w:val="18"/>
                <w:szCs w:val="18"/>
                <w:color w:val="auto"/>
                <w:w w:val="87"/>
              </w:rPr>
              <w:t>$</w:t>
            </w:r>
          </w:p>
        </w:tc>
        <w:tc>
          <w:tcPr>
            <w:tcW w:w="1160" w:type="dxa"/>
            <w:vAlign w:val="bottom"/>
            <w:shd w:val="clear" w:color="auto" w:fill="CCEEFF"/>
          </w:tcPr>
          <w:p>
            <w:pPr>
              <w:jc w:val="right"/>
              <w:spacing w:after="0" w:line="217" w:lineRule="exact"/>
              <w:rPr>
                <w:sz w:val="20"/>
                <w:szCs w:val="20"/>
                <w:color w:val="auto"/>
              </w:rPr>
            </w:pPr>
            <w:r>
              <w:rPr>
                <w:rFonts w:ascii="Calibri" w:cs="Calibri" w:eastAsia="Calibri" w:hAnsi="Calibri"/>
                <w:sz w:val="18"/>
                <w:szCs w:val="18"/>
                <w:color w:val="auto"/>
              </w:rPr>
              <w:t>12,416</w:t>
            </w:r>
          </w:p>
        </w:tc>
        <w:tc>
          <w:tcPr>
            <w:tcW w:w="0" w:type="dxa"/>
            <w:vAlign w:val="bottom"/>
          </w:tcPr>
          <w:p>
            <w:pPr>
              <w:spacing w:after="0"/>
              <w:rPr>
                <w:sz w:val="1"/>
                <w:szCs w:val="1"/>
                <w:color w:val="auto"/>
              </w:rPr>
            </w:pPr>
          </w:p>
        </w:tc>
      </w:tr>
      <w:tr>
        <w:trPr>
          <w:trHeight w:val="217"/>
        </w:trPr>
        <w:tc>
          <w:tcPr>
            <w:tcW w:w="8340" w:type="dxa"/>
            <w:vAlign w:val="bottom"/>
          </w:tcPr>
          <w:p>
            <w:pPr>
              <w:ind w:left="140"/>
              <w:spacing w:after="0" w:line="210" w:lineRule="exact"/>
              <w:rPr>
                <w:sz w:val="20"/>
                <w:szCs w:val="20"/>
                <w:color w:val="auto"/>
              </w:rPr>
            </w:pPr>
            <w:r>
              <w:rPr>
                <w:rFonts w:ascii="Calibri" w:cs="Calibri" w:eastAsia="Calibri" w:hAnsi="Calibri"/>
                <w:sz w:val="18"/>
                <w:szCs w:val="18"/>
                <w:color w:val="auto"/>
              </w:rPr>
              <w:t>Trade accounts receivable, net</w:t>
            </w:r>
          </w:p>
        </w:tc>
        <w:tc>
          <w:tcPr>
            <w:tcW w:w="220" w:type="dxa"/>
            <w:vAlign w:val="bottom"/>
          </w:tcPr>
          <w:p>
            <w:pPr>
              <w:spacing w:after="0"/>
              <w:rPr>
                <w:sz w:val="18"/>
                <w:szCs w:val="18"/>
                <w:color w:val="auto"/>
              </w:rPr>
            </w:pPr>
          </w:p>
        </w:tc>
        <w:tc>
          <w:tcPr>
            <w:tcW w:w="1180" w:type="dxa"/>
            <w:vAlign w:val="bottom"/>
          </w:tcPr>
          <w:p>
            <w:pPr>
              <w:jc w:val="right"/>
              <w:spacing w:after="0" w:line="210" w:lineRule="exact"/>
              <w:rPr>
                <w:sz w:val="20"/>
                <w:szCs w:val="20"/>
                <w:color w:val="auto"/>
              </w:rPr>
            </w:pPr>
            <w:r>
              <w:rPr>
                <w:rFonts w:ascii="Calibri" w:cs="Calibri" w:eastAsia="Calibri" w:hAnsi="Calibri"/>
                <w:sz w:val="18"/>
                <w:szCs w:val="18"/>
                <w:color w:val="auto"/>
              </w:rPr>
              <w:t>3,154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jc w:val="right"/>
              <w:spacing w:after="0" w:line="210" w:lineRule="exact"/>
              <w:rPr>
                <w:sz w:val="20"/>
                <w:szCs w:val="20"/>
                <w:color w:val="auto"/>
              </w:rPr>
            </w:pPr>
            <w:r>
              <w:rPr>
                <w:rFonts w:ascii="Calibri" w:cs="Calibri" w:eastAsia="Calibri" w:hAnsi="Calibri"/>
                <w:sz w:val="18"/>
                <w:szCs w:val="18"/>
                <w:color w:val="auto"/>
              </w:rPr>
              <w:t>2,958</w:t>
            </w:r>
          </w:p>
        </w:tc>
        <w:tc>
          <w:tcPr>
            <w:tcW w:w="0" w:type="dxa"/>
            <w:vAlign w:val="bottom"/>
          </w:tcPr>
          <w:p>
            <w:pPr>
              <w:spacing w:after="0"/>
              <w:rPr>
                <w:sz w:val="1"/>
                <w:szCs w:val="1"/>
                <w:color w:val="auto"/>
              </w:rPr>
            </w:pPr>
          </w:p>
        </w:tc>
      </w:tr>
      <w:tr>
        <w:trPr>
          <w:trHeight w:val="232"/>
        </w:trPr>
        <w:tc>
          <w:tcPr>
            <w:tcW w:w="8340" w:type="dxa"/>
            <w:vAlign w:val="bottom"/>
            <w:shd w:val="clear" w:color="auto" w:fill="CCEEFF"/>
          </w:tcPr>
          <w:p>
            <w:pPr>
              <w:ind w:left="140"/>
              <w:spacing w:after="0" w:line="217" w:lineRule="exact"/>
              <w:rPr>
                <w:sz w:val="20"/>
                <w:szCs w:val="20"/>
                <w:color w:val="auto"/>
              </w:rPr>
            </w:pPr>
            <w:r>
              <w:rPr>
                <w:rFonts w:ascii="Calibri" w:cs="Calibri" w:eastAsia="Calibri" w:hAnsi="Calibri"/>
                <w:sz w:val="18"/>
                <w:szCs w:val="18"/>
                <w:color w:val="auto"/>
              </w:rPr>
              <w:t>Inventory</w:t>
            </w:r>
          </w:p>
        </w:tc>
        <w:tc>
          <w:tcPr>
            <w:tcW w:w="22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line="217" w:lineRule="exact"/>
              <w:rPr>
                <w:sz w:val="20"/>
                <w:szCs w:val="20"/>
                <w:color w:val="auto"/>
              </w:rPr>
            </w:pPr>
            <w:r>
              <w:rPr>
                <w:rFonts w:ascii="Calibri" w:cs="Calibri" w:eastAsia="Calibri" w:hAnsi="Calibri"/>
                <w:sz w:val="18"/>
                <w:szCs w:val="18"/>
                <w:color w:val="auto"/>
              </w:rPr>
              <w:t>1,898</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line="217" w:lineRule="exact"/>
              <w:rPr>
                <w:sz w:val="20"/>
                <w:szCs w:val="20"/>
                <w:color w:val="auto"/>
              </w:rPr>
            </w:pPr>
            <w:r>
              <w:rPr>
                <w:rFonts w:ascii="Calibri" w:cs="Calibri" w:eastAsia="Calibri" w:hAnsi="Calibri"/>
                <w:sz w:val="18"/>
                <w:szCs w:val="18"/>
                <w:color w:val="auto"/>
              </w:rPr>
              <w:t>1,925</w:t>
            </w:r>
          </w:p>
        </w:tc>
        <w:tc>
          <w:tcPr>
            <w:tcW w:w="0" w:type="dxa"/>
            <w:vAlign w:val="bottom"/>
          </w:tcPr>
          <w:p>
            <w:pPr>
              <w:spacing w:after="0"/>
              <w:rPr>
                <w:sz w:val="1"/>
                <w:szCs w:val="1"/>
                <w:color w:val="auto"/>
              </w:rPr>
            </w:pPr>
          </w:p>
        </w:tc>
      </w:tr>
      <w:tr>
        <w:trPr>
          <w:trHeight w:val="218"/>
        </w:trPr>
        <w:tc>
          <w:tcPr>
            <w:tcW w:w="8340" w:type="dxa"/>
            <w:vAlign w:val="bottom"/>
            <w:tcBorders>
              <w:bottom w:val="single" w:sz="8" w:color="CCEEFF"/>
            </w:tcBorders>
          </w:tcPr>
          <w:p>
            <w:pPr>
              <w:ind w:left="140"/>
              <w:spacing w:after="0" w:line="210" w:lineRule="exact"/>
              <w:rPr>
                <w:sz w:val="20"/>
                <w:szCs w:val="20"/>
                <w:color w:val="auto"/>
              </w:rPr>
            </w:pPr>
            <w:r>
              <w:rPr>
                <w:rFonts w:ascii="Calibri" w:cs="Calibri" w:eastAsia="Calibri" w:hAnsi="Calibri"/>
                <w:sz w:val="18"/>
                <w:szCs w:val="18"/>
                <w:color w:val="auto"/>
              </w:rPr>
              <w:t>Other current assets</w:t>
            </w:r>
          </w:p>
        </w:tc>
        <w:tc>
          <w:tcPr>
            <w:tcW w:w="2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line="210" w:lineRule="exact"/>
              <w:rPr>
                <w:sz w:val="20"/>
                <w:szCs w:val="20"/>
                <w:color w:val="auto"/>
              </w:rPr>
            </w:pPr>
            <w:r>
              <w:rPr>
                <w:rFonts w:ascii="Calibri" w:cs="Calibri" w:eastAsia="Calibri" w:hAnsi="Calibri"/>
                <w:sz w:val="18"/>
                <w:szCs w:val="18"/>
                <w:color w:val="auto"/>
              </w:rPr>
              <w:t>1,606</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line="210" w:lineRule="exact"/>
              <w:rPr>
                <w:sz w:val="20"/>
                <w:szCs w:val="20"/>
                <w:color w:val="auto"/>
              </w:rPr>
            </w:pPr>
            <w:r>
              <w:rPr>
                <w:rFonts w:ascii="Calibri" w:cs="Calibri" w:eastAsia="Calibri" w:hAnsi="Calibri"/>
                <w:sz w:val="18"/>
                <w:szCs w:val="18"/>
                <w:color w:val="auto"/>
              </w:rPr>
              <w:t>1,205</w:t>
            </w:r>
          </w:p>
        </w:tc>
        <w:tc>
          <w:tcPr>
            <w:tcW w:w="0" w:type="dxa"/>
            <w:vAlign w:val="bottom"/>
          </w:tcPr>
          <w:p>
            <w:pPr>
              <w:spacing w:after="0"/>
              <w:rPr>
                <w:sz w:val="1"/>
                <w:szCs w:val="1"/>
                <w:color w:val="auto"/>
              </w:rPr>
            </w:pPr>
          </w:p>
        </w:tc>
      </w:tr>
      <w:tr>
        <w:trPr>
          <w:trHeight w:val="224"/>
        </w:trPr>
        <w:tc>
          <w:tcPr>
            <w:tcW w:w="8340" w:type="dxa"/>
            <w:vAlign w:val="bottom"/>
            <w:shd w:val="clear" w:color="auto" w:fill="CCEEFF"/>
          </w:tcPr>
          <w:p>
            <w:pPr>
              <w:ind w:left="340"/>
              <w:spacing w:after="0" w:line="203" w:lineRule="exact"/>
              <w:rPr>
                <w:sz w:val="20"/>
                <w:szCs w:val="20"/>
                <w:color w:val="auto"/>
              </w:rPr>
            </w:pPr>
            <w:r>
              <w:rPr>
                <w:rFonts w:ascii="Calibri" w:cs="Calibri" w:eastAsia="Calibri" w:hAnsi="Calibri"/>
                <w:sz w:val="18"/>
                <w:szCs w:val="18"/>
                <w:color w:val="auto"/>
              </w:rPr>
              <w:t>Total current assets</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line="210" w:lineRule="exact"/>
              <w:rPr>
                <w:sz w:val="20"/>
                <w:szCs w:val="20"/>
                <w:color w:val="auto"/>
              </w:rPr>
            </w:pPr>
            <w:r>
              <w:rPr>
                <w:rFonts w:ascii="Calibri" w:cs="Calibri" w:eastAsia="Calibri" w:hAnsi="Calibri"/>
                <w:sz w:val="18"/>
                <w:szCs w:val="18"/>
                <w:color w:val="auto"/>
              </w:rPr>
              <w:t>20,847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line="210" w:lineRule="exact"/>
              <w:rPr>
                <w:sz w:val="20"/>
                <w:szCs w:val="20"/>
                <w:color w:val="auto"/>
              </w:rPr>
            </w:pPr>
            <w:r>
              <w:rPr>
                <w:rFonts w:ascii="Calibri" w:cs="Calibri" w:eastAsia="Calibri" w:hAnsi="Calibri"/>
                <w:sz w:val="18"/>
                <w:szCs w:val="18"/>
                <w:color w:val="auto"/>
              </w:rPr>
              <w:t>18,504</w:t>
            </w:r>
          </w:p>
        </w:tc>
        <w:tc>
          <w:tcPr>
            <w:tcW w:w="0" w:type="dxa"/>
            <w:vAlign w:val="bottom"/>
          </w:tcPr>
          <w:p>
            <w:pPr>
              <w:spacing w:after="0"/>
              <w:rPr>
                <w:sz w:val="1"/>
                <w:szCs w:val="1"/>
                <w:color w:val="auto"/>
              </w:rPr>
            </w:pPr>
          </w:p>
        </w:tc>
      </w:tr>
      <w:tr>
        <w:trPr>
          <w:trHeight w:val="217"/>
        </w:trPr>
        <w:tc>
          <w:tcPr>
            <w:tcW w:w="8340" w:type="dxa"/>
            <w:vAlign w:val="bottom"/>
          </w:tcPr>
          <w:p>
            <w:pPr>
              <w:ind w:left="20"/>
              <w:spacing w:after="0" w:line="210" w:lineRule="exact"/>
              <w:rPr>
                <w:sz w:val="20"/>
                <w:szCs w:val="20"/>
                <w:color w:val="auto"/>
              </w:rPr>
            </w:pPr>
            <w:r>
              <w:rPr>
                <w:rFonts w:ascii="Calibri" w:cs="Calibri" w:eastAsia="Calibri" w:hAnsi="Calibri"/>
                <w:sz w:val="18"/>
                <w:szCs w:val="18"/>
                <w:color w:val="auto"/>
              </w:rPr>
              <w:t>Long-term assets:</w:t>
            </w: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8340" w:type="dxa"/>
            <w:vAlign w:val="bottom"/>
            <w:shd w:val="clear" w:color="auto" w:fill="CCEEFF"/>
          </w:tcPr>
          <w:p>
            <w:pPr>
              <w:ind w:left="140"/>
              <w:spacing w:after="0" w:line="217" w:lineRule="exact"/>
              <w:rPr>
                <w:sz w:val="20"/>
                <w:szCs w:val="20"/>
                <w:color w:val="auto"/>
              </w:rPr>
            </w:pPr>
            <w:r>
              <w:rPr>
                <w:rFonts w:ascii="Calibri" w:cs="Calibri" w:eastAsia="Calibri" w:hAnsi="Calibri"/>
                <w:sz w:val="18"/>
                <w:szCs w:val="18"/>
                <w:color w:val="auto"/>
              </w:rPr>
              <w:t>Property, plant and equipment, net</w:t>
            </w:r>
          </w:p>
        </w:tc>
        <w:tc>
          <w:tcPr>
            <w:tcW w:w="22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line="217" w:lineRule="exact"/>
              <w:rPr>
                <w:sz w:val="20"/>
                <w:szCs w:val="20"/>
                <w:color w:val="auto"/>
              </w:rPr>
            </w:pPr>
            <w:r>
              <w:rPr>
                <w:rFonts w:ascii="Calibri" w:cs="Calibri" w:eastAsia="Calibri" w:hAnsi="Calibri"/>
                <w:sz w:val="18"/>
                <w:szCs w:val="18"/>
                <w:color w:val="auto"/>
              </w:rPr>
              <w:t>2,154</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line="217" w:lineRule="exact"/>
              <w:rPr>
                <w:sz w:val="20"/>
                <w:szCs w:val="20"/>
                <w:color w:val="auto"/>
              </w:rPr>
            </w:pPr>
            <w:r>
              <w:rPr>
                <w:rFonts w:ascii="Calibri" w:cs="Calibri" w:eastAsia="Calibri" w:hAnsi="Calibri"/>
                <w:sz w:val="18"/>
                <w:szCs w:val="18"/>
                <w:color w:val="auto"/>
              </w:rPr>
              <w:t>2,223</w:t>
            </w:r>
          </w:p>
        </w:tc>
        <w:tc>
          <w:tcPr>
            <w:tcW w:w="0" w:type="dxa"/>
            <w:vAlign w:val="bottom"/>
          </w:tcPr>
          <w:p>
            <w:pPr>
              <w:spacing w:after="0"/>
              <w:rPr>
                <w:sz w:val="1"/>
                <w:szCs w:val="1"/>
                <w:color w:val="auto"/>
              </w:rPr>
            </w:pPr>
          </w:p>
        </w:tc>
      </w:tr>
      <w:tr>
        <w:trPr>
          <w:trHeight w:val="217"/>
        </w:trPr>
        <w:tc>
          <w:tcPr>
            <w:tcW w:w="8340" w:type="dxa"/>
            <w:vAlign w:val="bottom"/>
          </w:tcPr>
          <w:p>
            <w:pPr>
              <w:ind w:left="140"/>
              <w:spacing w:after="0" w:line="210" w:lineRule="exact"/>
              <w:rPr>
                <w:sz w:val="20"/>
                <w:szCs w:val="20"/>
                <w:color w:val="auto"/>
              </w:rPr>
            </w:pPr>
            <w:r>
              <w:rPr>
                <w:rFonts w:ascii="Calibri" w:cs="Calibri" w:eastAsia="Calibri" w:hAnsi="Calibri"/>
                <w:sz w:val="18"/>
                <w:szCs w:val="18"/>
                <w:color w:val="auto"/>
              </w:rPr>
              <w:t>Goodwill</w:t>
            </w:r>
          </w:p>
        </w:tc>
        <w:tc>
          <w:tcPr>
            <w:tcW w:w="220" w:type="dxa"/>
            <w:vAlign w:val="bottom"/>
          </w:tcPr>
          <w:p>
            <w:pPr>
              <w:spacing w:after="0"/>
              <w:rPr>
                <w:sz w:val="18"/>
                <w:szCs w:val="18"/>
                <w:color w:val="auto"/>
              </w:rPr>
            </w:pPr>
          </w:p>
        </w:tc>
        <w:tc>
          <w:tcPr>
            <w:tcW w:w="1180" w:type="dxa"/>
            <w:vAlign w:val="bottom"/>
          </w:tcPr>
          <w:p>
            <w:pPr>
              <w:jc w:val="right"/>
              <w:spacing w:after="0" w:line="210" w:lineRule="exact"/>
              <w:rPr>
                <w:sz w:val="20"/>
                <w:szCs w:val="20"/>
                <w:color w:val="auto"/>
              </w:rPr>
            </w:pPr>
            <w:r>
              <w:rPr>
                <w:rFonts w:ascii="Calibri" w:cs="Calibri" w:eastAsia="Calibri" w:hAnsi="Calibri"/>
                <w:sz w:val="18"/>
                <w:szCs w:val="18"/>
                <w:color w:val="auto"/>
              </w:rPr>
              <w:t>43,653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jc w:val="right"/>
              <w:spacing w:after="0" w:line="210" w:lineRule="exact"/>
              <w:rPr>
                <w:sz w:val="20"/>
                <w:szCs w:val="20"/>
                <w:color w:val="auto"/>
              </w:rPr>
            </w:pPr>
            <w:r>
              <w:rPr>
                <w:rFonts w:ascii="Calibri" w:cs="Calibri" w:eastAsia="Calibri" w:hAnsi="Calibri"/>
                <w:sz w:val="18"/>
                <w:szCs w:val="18"/>
                <w:color w:val="auto"/>
              </w:rPr>
              <w:t>43,614</w:t>
            </w:r>
          </w:p>
        </w:tc>
        <w:tc>
          <w:tcPr>
            <w:tcW w:w="0" w:type="dxa"/>
            <w:vAlign w:val="bottom"/>
          </w:tcPr>
          <w:p>
            <w:pPr>
              <w:spacing w:after="0"/>
              <w:rPr>
                <w:sz w:val="1"/>
                <w:szCs w:val="1"/>
                <w:color w:val="auto"/>
              </w:rPr>
            </w:pPr>
          </w:p>
        </w:tc>
      </w:tr>
      <w:tr>
        <w:trPr>
          <w:trHeight w:val="232"/>
        </w:trPr>
        <w:tc>
          <w:tcPr>
            <w:tcW w:w="8340" w:type="dxa"/>
            <w:vAlign w:val="bottom"/>
            <w:shd w:val="clear" w:color="auto" w:fill="CCEEFF"/>
          </w:tcPr>
          <w:p>
            <w:pPr>
              <w:ind w:left="140"/>
              <w:spacing w:after="0" w:line="217" w:lineRule="exact"/>
              <w:rPr>
                <w:sz w:val="20"/>
                <w:szCs w:val="20"/>
                <w:color w:val="auto"/>
              </w:rPr>
            </w:pPr>
            <w:r>
              <w:rPr>
                <w:rFonts w:ascii="Calibri" w:cs="Calibri" w:eastAsia="Calibri" w:hAnsi="Calibri"/>
                <w:sz w:val="18"/>
                <w:szCs w:val="18"/>
                <w:color w:val="auto"/>
              </w:rPr>
              <w:t>Intangible assets, net</w:t>
            </w:r>
          </w:p>
        </w:tc>
        <w:tc>
          <w:tcPr>
            <w:tcW w:w="22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line="217" w:lineRule="exact"/>
              <w:rPr>
                <w:sz w:val="20"/>
                <w:szCs w:val="20"/>
                <w:color w:val="auto"/>
              </w:rPr>
            </w:pPr>
            <w:r>
              <w:rPr>
                <w:rFonts w:ascii="Calibri" w:cs="Calibri" w:eastAsia="Calibri" w:hAnsi="Calibri"/>
                <w:sz w:val="18"/>
                <w:szCs w:val="18"/>
                <w:color w:val="auto"/>
              </w:rPr>
              <w:t>3,867</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line="217" w:lineRule="exact"/>
              <w:rPr>
                <w:sz w:val="20"/>
                <w:szCs w:val="20"/>
                <w:color w:val="auto"/>
              </w:rPr>
            </w:pPr>
            <w:r>
              <w:rPr>
                <w:rFonts w:ascii="Calibri" w:cs="Calibri" w:eastAsia="Calibri" w:hAnsi="Calibri"/>
                <w:sz w:val="18"/>
                <w:szCs w:val="18"/>
                <w:color w:val="auto"/>
              </w:rPr>
              <w:t>7,111</w:t>
            </w:r>
          </w:p>
        </w:tc>
        <w:tc>
          <w:tcPr>
            <w:tcW w:w="0" w:type="dxa"/>
            <w:vAlign w:val="bottom"/>
          </w:tcPr>
          <w:p>
            <w:pPr>
              <w:spacing w:after="0"/>
              <w:rPr>
                <w:sz w:val="1"/>
                <w:szCs w:val="1"/>
                <w:color w:val="auto"/>
              </w:rPr>
            </w:pPr>
          </w:p>
        </w:tc>
      </w:tr>
      <w:tr>
        <w:trPr>
          <w:trHeight w:val="218"/>
        </w:trPr>
        <w:tc>
          <w:tcPr>
            <w:tcW w:w="8340" w:type="dxa"/>
            <w:vAlign w:val="bottom"/>
            <w:tcBorders>
              <w:bottom w:val="single" w:sz="8" w:color="CCEEFF"/>
            </w:tcBorders>
          </w:tcPr>
          <w:p>
            <w:pPr>
              <w:ind w:left="140"/>
              <w:spacing w:after="0" w:line="210" w:lineRule="exact"/>
              <w:rPr>
                <w:sz w:val="20"/>
                <w:szCs w:val="20"/>
                <w:color w:val="auto"/>
              </w:rPr>
            </w:pPr>
            <w:r>
              <w:rPr>
                <w:rFonts w:ascii="Calibri" w:cs="Calibri" w:eastAsia="Calibri" w:hAnsi="Calibri"/>
                <w:sz w:val="18"/>
                <w:szCs w:val="18"/>
                <w:color w:val="auto"/>
              </w:rPr>
              <w:t>Other long-term assets</w:t>
            </w:r>
          </w:p>
        </w:tc>
        <w:tc>
          <w:tcPr>
            <w:tcW w:w="2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line="210" w:lineRule="exact"/>
              <w:rPr>
                <w:sz w:val="20"/>
                <w:szCs w:val="20"/>
                <w:color w:val="auto"/>
              </w:rPr>
            </w:pPr>
            <w:r>
              <w:rPr>
                <w:rFonts w:ascii="Calibri" w:cs="Calibri" w:eastAsia="Calibri" w:hAnsi="Calibri"/>
                <w:sz w:val="18"/>
                <w:szCs w:val="18"/>
                <w:color w:val="auto"/>
              </w:rPr>
              <w:t>2,340</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line="210" w:lineRule="exact"/>
              <w:rPr>
                <w:sz w:val="20"/>
                <w:szCs w:val="20"/>
                <w:color w:val="auto"/>
              </w:rPr>
            </w:pPr>
            <w:r>
              <w:rPr>
                <w:rFonts w:ascii="Calibri" w:cs="Calibri" w:eastAsia="Calibri" w:hAnsi="Calibri"/>
                <w:sz w:val="18"/>
                <w:szCs w:val="18"/>
                <w:color w:val="auto"/>
              </w:rPr>
              <w:t>1,797</w:t>
            </w:r>
          </w:p>
        </w:tc>
        <w:tc>
          <w:tcPr>
            <w:tcW w:w="0" w:type="dxa"/>
            <w:vAlign w:val="bottom"/>
          </w:tcPr>
          <w:p>
            <w:pPr>
              <w:spacing w:after="0"/>
              <w:rPr>
                <w:sz w:val="1"/>
                <w:szCs w:val="1"/>
                <w:color w:val="auto"/>
              </w:rPr>
            </w:pPr>
          </w:p>
        </w:tc>
      </w:tr>
      <w:tr>
        <w:trPr>
          <w:trHeight w:val="249"/>
        </w:trPr>
        <w:tc>
          <w:tcPr>
            <w:tcW w:w="8340" w:type="dxa"/>
            <w:vAlign w:val="bottom"/>
            <w:tcBorders>
              <w:bottom w:val="single" w:sz="8" w:color="CCEEFF"/>
            </w:tcBorders>
            <w:shd w:val="clear" w:color="auto" w:fill="CCEEFF"/>
          </w:tcPr>
          <w:p>
            <w:pPr>
              <w:ind w:left="340"/>
              <w:spacing w:after="0"/>
              <w:rPr>
                <w:sz w:val="20"/>
                <w:szCs w:val="20"/>
                <w:color w:val="auto"/>
              </w:rPr>
            </w:pPr>
            <w:r>
              <w:rPr>
                <w:rFonts w:ascii="Calibri" w:cs="Calibri" w:eastAsia="Calibri" w:hAnsi="Calibri"/>
                <w:sz w:val="18"/>
                <w:szCs w:val="18"/>
                <w:color w:val="auto"/>
              </w:rPr>
              <w:t>Total assets</w:t>
            </w:r>
          </w:p>
        </w:tc>
        <w:tc>
          <w:tcPr>
            <w:tcW w:w="220" w:type="dxa"/>
            <w:vAlign w:val="bottom"/>
            <w:tcBorders>
              <w:bottom w:val="single" w:sz="8" w:color="auto"/>
            </w:tcBorders>
            <w:shd w:val="clear" w:color="auto" w:fill="CCEEFF"/>
          </w:tcPr>
          <w:p>
            <w:pPr>
              <w:jc w:val="right"/>
              <w:ind w:right="32"/>
              <w:spacing w:after="0" w:line="210" w:lineRule="exact"/>
              <w:rPr>
                <w:sz w:val="20"/>
                <w:szCs w:val="20"/>
                <w:color w:val="auto"/>
              </w:rPr>
            </w:pPr>
            <w:r>
              <w:rPr>
                <w:rFonts w:ascii="Calibri" w:cs="Calibri" w:eastAsia="Calibri" w:hAnsi="Calibri"/>
                <w:sz w:val="18"/>
                <w:szCs w:val="18"/>
                <w:color w:val="auto"/>
                <w:w w:val="87"/>
              </w:rPr>
              <w:t>$</w:t>
            </w:r>
          </w:p>
        </w:tc>
        <w:tc>
          <w:tcPr>
            <w:tcW w:w="1180" w:type="dxa"/>
            <w:vAlign w:val="bottom"/>
            <w:tcBorders>
              <w:bottom w:val="single" w:sz="8" w:color="auto"/>
            </w:tcBorders>
            <w:shd w:val="clear" w:color="auto" w:fill="CCEEFF"/>
          </w:tcPr>
          <w:p>
            <w:pPr>
              <w:jc w:val="right"/>
              <w:spacing w:after="0" w:line="210" w:lineRule="exact"/>
              <w:rPr>
                <w:sz w:val="20"/>
                <w:szCs w:val="20"/>
                <w:color w:val="auto"/>
              </w:rPr>
            </w:pPr>
            <w:r>
              <w:rPr>
                <w:rFonts w:ascii="Calibri" w:cs="Calibri" w:eastAsia="Calibri" w:hAnsi="Calibri"/>
                <w:sz w:val="18"/>
                <w:szCs w:val="18"/>
                <w:color w:val="auto"/>
              </w:rPr>
              <w:t>72,861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2"/>
              <w:spacing w:after="0" w:line="210" w:lineRule="exact"/>
              <w:rPr>
                <w:sz w:val="20"/>
                <w:szCs w:val="20"/>
                <w:color w:val="auto"/>
              </w:rPr>
            </w:pPr>
            <w:r>
              <w:rPr>
                <w:rFonts w:ascii="Calibri" w:cs="Calibri" w:eastAsia="Calibri" w:hAnsi="Calibri"/>
                <w:sz w:val="18"/>
                <w:szCs w:val="18"/>
                <w:color w:val="auto"/>
                <w:w w:val="87"/>
              </w:rPr>
              <w:t>$</w:t>
            </w:r>
          </w:p>
        </w:tc>
        <w:tc>
          <w:tcPr>
            <w:tcW w:w="1160" w:type="dxa"/>
            <w:vAlign w:val="bottom"/>
            <w:tcBorders>
              <w:bottom w:val="single" w:sz="8" w:color="auto"/>
            </w:tcBorders>
            <w:shd w:val="clear" w:color="auto" w:fill="CCEEFF"/>
          </w:tcPr>
          <w:p>
            <w:pPr>
              <w:jc w:val="right"/>
              <w:spacing w:after="0" w:line="210" w:lineRule="exact"/>
              <w:rPr>
                <w:sz w:val="20"/>
                <w:szCs w:val="20"/>
                <w:color w:val="auto"/>
              </w:rPr>
            </w:pPr>
            <w:r>
              <w:rPr>
                <w:rFonts w:ascii="Calibri" w:cs="Calibri" w:eastAsia="Calibri" w:hAnsi="Calibri"/>
                <w:sz w:val="18"/>
                <w:szCs w:val="18"/>
                <w:color w:val="auto"/>
              </w:rPr>
              <w:t>73,249</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bottom w:val="single" w:sz="8" w:color="CCEEFF"/>
            </w:tcBorders>
            <w:vMerge w:val="restart"/>
          </w:tcPr>
          <w:p>
            <w:pPr>
              <w:ind w:left="20"/>
              <w:spacing w:after="0" w:line="216" w:lineRule="exact"/>
              <w:rPr>
                <w:sz w:val="20"/>
                <w:szCs w:val="20"/>
                <w:color w:val="auto"/>
              </w:rPr>
            </w:pPr>
            <w:r>
              <w:rPr>
                <w:rFonts w:ascii="Calibri" w:cs="Calibri" w:eastAsia="Calibri" w:hAnsi="Calibri"/>
                <w:sz w:val="18"/>
                <w:szCs w:val="18"/>
                <w:b w:val="1"/>
                <w:bCs w:val="1"/>
                <w:color w:val="auto"/>
              </w:rPr>
              <w:t>LIABILITIES AND EQUITY</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834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8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8340" w:type="dxa"/>
            <w:vAlign w:val="bottom"/>
            <w:shd w:val="clear" w:color="auto" w:fill="CCEEFF"/>
          </w:tcPr>
          <w:p>
            <w:pPr>
              <w:ind w:left="20"/>
              <w:spacing w:after="0" w:line="210" w:lineRule="exact"/>
              <w:rPr>
                <w:sz w:val="20"/>
                <w:szCs w:val="20"/>
                <w:color w:val="auto"/>
              </w:rPr>
            </w:pPr>
            <w:r>
              <w:rPr>
                <w:rFonts w:ascii="Calibri" w:cs="Calibri" w:eastAsia="Calibri" w:hAnsi="Calibri"/>
                <w:sz w:val="18"/>
                <w:szCs w:val="18"/>
                <w:color w:val="auto"/>
              </w:rPr>
              <w:t>Current liabilites:</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8340" w:type="dxa"/>
            <w:vAlign w:val="bottom"/>
          </w:tcPr>
          <w:p>
            <w:pPr>
              <w:ind w:left="140"/>
              <w:spacing w:after="0" w:line="210" w:lineRule="exact"/>
              <w:rPr>
                <w:sz w:val="20"/>
                <w:szCs w:val="20"/>
                <w:color w:val="auto"/>
              </w:rPr>
            </w:pPr>
            <w:r>
              <w:rPr>
                <w:rFonts w:ascii="Calibri" w:cs="Calibri" w:eastAsia="Calibri" w:hAnsi="Calibri"/>
                <w:sz w:val="18"/>
                <w:szCs w:val="18"/>
                <w:color w:val="auto"/>
              </w:rPr>
              <w:t>Accounts payable</w:t>
            </w:r>
          </w:p>
        </w:tc>
        <w:tc>
          <w:tcPr>
            <w:tcW w:w="220" w:type="dxa"/>
            <w:vAlign w:val="bottom"/>
          </w:tcPr>
          <w:p>
            <w:pPr>
              <w:jc w:val="right"/>
              <w:ind w:right="32"/>
              <w:spacing w:after="0" w:line="210" w:lineRule="exact"/>
              <w:rPr>
                <w:sz w:val="20"/>
                <w:szCs w:val="20"/>
                <w:color w:val="auto"/>
              </w:rPr>
            </w:pPr>
            <w:r>
              <w:rPr>
                <w:rFonts w:ascii="Calibri" w:cs="Calibri" w:eastAsia="Calibri" w:hAnsi="Calibri"/>
                <w:sz w:val="18"/>
                <w:szCs w:val="18"/>
                <w:color w:val="auto"/>
                <w:w w:val="87"/>
              </w:rPr>
              <w:t>$</w:t>
            </w:r>
          </w:p>
        </w:tc>
        <w:tc>
          <w:tcPr>
            <w:tcW w:w="1180" w:type="dxa"/>
            <w:vAlign w:val="bottom"/>
          </w:tcPr>
          <w:p>
            <w:pPr>
              <w:jc w:val="right"/>
              <w:spacing w:after="0" w:line="210" w:lineRule="exact"/>
              <w:rPr>
                <w:sz w:val="20"/>
                <w:szCs w:val="20"/>
                <w:color w:val="auto"/>
              </w:rPr>
            </w:pPr>
            <w:r>
              <w:rPr>
                <w:rFonts w:ascii="Calibri" w:cs="Calibri" w:eastAsia="Calibri" w:hAnsi="Calibri"/>
                <w:sz w:val="18"/>
                <w:szCs w:val="18"/>
                <w:color w:val="auto"/>
              </w:rPr>
              <w:t>1,210</w:t>
            </w:r>
          </w:p>
        </w:tc>
        <w:tc>
          <w:tcPr>
            <w:tcW w:w="100" w:type="dxa"/>
            <w:vAlign w:val="bottom"/>
          </w:tcPr>
          <w:p>
            <w:pPr>
              <w:spacing w:after="0"/>
              <w:rPr>
                <w:sz w:val="18"/>
                <w:szCs w:val="18"/>
                <w:color w:val="auto"/>
              </w:rPr>
            </w:pPr>
          </w:p>
        </w:tc>
        <w:tc>
          <w:tcPr>
            <w:tcW w:w="240" w:type="dxa"/>
            <w:vAlign w:val="bottom"/>
          </w:tcPr>
          <w:p>
            <w:pPr>
              <w:jc w:val="right"/>
              <w:ind w:right="52"/>
              <w:spacing w:after="0" w:line="210" w:lineRule="exact"/>
              <w:rPr>
                <w:sz w:val="20"/>
                <w:szCs w:val="20"/>
                <w:color w:val="auto"/>
              </w:rPr>
            </w:pPr>
            <w:r>
              <w:rPr>
                <w:rFonts w:ascii="Calibri" w:cs="Calibri" w:eastAsia="Calibri" w:hAnsi="Calibri"/>
                <w:sz w:val="18"/>
                <w:szCs w:val="18"/>
                <w:color w:val="auto"/>
                <w:w w:val="87"/>
              </w:rPr>
              <w:t>$</w:t>
            </w:r>
          </w:p>
        </w:tc>
        <w:tc>
          <w:tcPr>
            <w:tcW w:w="1160" w:type="dxa"/>
            <w:vAlign w:val="bottom"/>
          </w:tcPr>
          <w:p>
            <w:pPr>
              <w:jc w:val="right"/>
              <w:spacing w:after="0" w:line="210" w:lineRule="exact"/>
              <w:rPr>
                <w:sz w:val="20"/>
                <w:szCs w:val="20"/>
                <w:color w:val="auto"/>
              </w:rPr>
            </w:pPr>
            <w:r>
              <w:rPr>
                <w:rFonts w:ascii="Calibri" w:cs="Calibri" w:eastAsia="Calibri" w:hAnsi="Calibri"/>
                <w:sz w:val="18"/>
                <w:szCs w:val="18"/>
                <w:color w:val="auto"/>
              </w:rPr>
              <w:t>998</w:t>
            </w:r>
          </w:p>
        </w:tc>
        <w:tc>
          <w:tcPr>
            <w:tcW w:w="0" w:type="dxa"/>
            <w:vAlign w:val="bottom"/>
          </w:tcPr>
          <w:p>
            <w:pPr>
              <w:spacing w:after="0"/>
              <w:rPr>
                <w:sz w:val="1"/>
                <w:szCs w:val="1"/>
                <w:color w:val="auto"/>
              </w:rPr>
            </w:pPr>
          </w:p>
        </w:tc>
      </w:tr>
      <w:tr>
        <w:trPr>
          <w:trHeight w:val="232"/>
        </w:trPr>
        <w:tc>
          <w:tcPr>
            <w:tcW w:w="8340" w:type="dxa"/>
            <w:vAlign w:val="bottom"/>
            <w:shd w:val="clear" w:color="auto" w:fill="CCEEFF"/>
          </w:tcPr>
          <w:p>
            <w:pPr>
              <w:ind w:left="140"/>
              <w:spacing w:after="0" w:line="217" w:lineRule="exact"/>
              <w:rPr>
                <w:sz w:val="20"/>
                <w:szCs w:val="20"/>
                <w:color w:val="auto"/>
              </w:rPr>
            </w:pPr>
            <w:r>
              <w:rPr>
                <w:rFonts w:ascii="Calibri" w:cs="Calibri" w:eastAsia="Calibri" w:hAnsi="Calibri"/>
                <w:sz w:val="18"/>
                <w:szCs w:val="18"/>
                <w:color w:val="auto"/>
              </w:rPr>
              <w:t>Employee compensaton and benefts</w:t>
            </w:r>
          </w:p>
        </w:tc>
        <w:tc>
          <w:tcPr>
            <w:tcW w:w="22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line="217" w:lineRule="exact"/>
              <w:rPr>
                <w:sz w:val="20"/>
                <w:szCs w:val="20"/>
                <w:color w:val="auto"/>
              </w:rPr>
            </w:pPr>
            <w:r>
              <w:rPr>
                <w:rFonts w:ascii="Calibri" w:cs="Calibri" w:eastAsia="Calibri" w:hAnsi="Calibri"/>
                <w:sz w:val="18"/>
                <w:szCs w:val="18"/>
                <w:color w:val="auto"/>
              </w:rPr>
              <w:t>935</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line="217" w:lineRule="exact"/>
              <w:rPr>
                <w:sz w:val="20"/>
                <w:szCs w:val="20"/>
                <w:color w:val="auto"/>
              </w:rPr>
            </w:pPr>
            <w:r>
              <w:rPr>
                <w:rFonts w:ascii="Calibri" w:cs="Calibri" w:eastAsia="Calibri" w:hAnsi="Calibri"/>
                <w:sz w:val="18"/>
                <w:szCs w:val="18"/>
                <w:color w:val="auto"/>
              </w:rPr>
              <w:t>1,202</w:t>
            </w:r>
          </w:p>
        </w:tc>
        <w:tc>
          <w:tcPr>
            <w:tcW w:w="0" w:type="dxa"/>
            <w:vAlign w:val="bottom"/>
          </w:tcPr>
          <w:p>
            <w:pPr>
              <w:spacing w:after="0"/>
              <w:rPr>
                <w:sz w:val="1"/>
                <w:szCs w:val="1"/>
                <w:color w:val="auto"/>
              </w:rPr>
            </w:pPr>
          </w:p>
        </w:tc>
      </w:tr>
      <w:tr>
        <w:trPr>
          <w:trHeight w:val="217"/>
        </w:trPr>
        <w:tc>
          <w:tcPr>
            <w:tcW w:w="8340" w:type="dxa"/>
            <w:vAlign w:val="bottom"/>
          </w:tcPr>
          <w:p>
            <w:pPr>
              <w:ind w:left="140"/>
              <w:spacing w:after="0" w:line="210" w:lineRule="exact"/>
              <w:rPr>
                <w:sz w:val="20"/>
                <w:szCs w:val="20"/>
                <w:color w:val="auto"/>
              </w:rPr>
            </w:pPr>
            <w:r>
              <w:rPr>
                <w:rFonts w:ascii="Calibri" w:cs="Calibri" w:eastAsia="Calibri" w:hAnsi="Calibri"/>
                <w:sz w:val="18"/>
                <w:szCs w:val="18"/>
                <w:color w:val="auto"/>
              </w:rPr>
              <w:t>Current porton of long-term debt</w:t>
            </w:r>
          </w:p>
        </w:tc>
        <w:tc>
          <w:tcPr>
            <w:tcW w:w="220" w:type="dxa"/>
            <w:vAlign w:val="bottom"/>
          </w:tcPr>
          <w:p>
            <w:pPr>
              <w:spacing w:after="0"/>
              <w:rPr>
                <w:sz w:val="18"/>
                <w:szCs w:val="18"/>
                <w:color w:val="auto"/>
              </w:rPr>
            </w:pPr>
          </w:p>
        </w:tc>
        <w:tc>
          <w:tcPr>
            <w:tcW w:w="1180" w:type="dxa"/>
            <w:vAlign w:val="bottom"/>
          </w:tcPr>
          <w:p>
            <w:pPr>
              <w:jc w:val="right"/>
              <w:spacing w:after="0" w:line="210" w:lineRule="exact"/>
              <w:rPr>
                <w:sz w:val="20"/>
                <w:szCs w:val="20"/>
                <w:color w:val="auto"/>
              </w:rPr>
            </w:pPr>
            <w:r>
              <w:rPr>
                <w:rFonts w:ascii="Calibri" w:cs="Calibri" w:eastAsia="Calibri" w:hAnsi="Calibri"/>
                <w:sz w:val="18"/>
                <w:szCs w:val="18"/>
                <w:color w:val="auto"/>
              </w:rPr>
              <w:t>1,608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jc w:val="right"/>
              <w:spacing w:after="0" w:line="210" w:lineRule="exact"/>
              <w:rPr>
                <w:sz w:val="20"/>
                <w:szCs w:val="20"/>
                <w:color w:val="auto"/>
              </w:rPr>
            </w:pPr>
            <w:r>
              <w:rPr>
                <w:rFonts w:ascii="Calibri" w:cs="Calibri" w:eastAsia="Calibri" w:hAnsi="Calibri"/>
                <w:sz w:val="18"/>
                <w:szCs w:val="18"/>
                <w:color w:val="auto"/>
              </w:rPr>
              <w:t>440</w:t>
            </w:r>
          </w:p>
        </w:tc>
        <w:tc>
          <w:tcPr>
            <w:tcW w:w="0" w:type="dxa"/>
            <w:vAlign w:val="bottom"/>
          </w:tcPr>
          <w:p>
            <w:pPr>
              <w:spacing w:after="0"/>
              <w:rPr>
                <w:sz w:val="1"/>
                <w:szCs w:val="1"/>
                <w:color w:val="auto"/>
              </w:rPr>
            </w:pPr>
          </w:p>
        </w:tc>
      </w:tr>
      <w:tr>
        <w:trPr>
          <w:trHeight w:val="232"/>
        </w:trPr>
        <w:tc>
          <w:tcPr>
            <w:tcW w:w="8340" w:type="dxa"/>
            <w:vAlign w:val="bottom"/>
            <w:shd w:val="clear" w:color="auto" w:fill="CCEEFF"/>
          </w:tcPr>
          <w:p>
            <w:pPr>
              <w:ind w:left="140"/>
              <w:spacing w:after="0" w:line="217" w:lineRule="exact"/>
              <w:rPr>
                <w:sz w:val="20"/>
                <w:szCs w:val="20"/>
                <w:color w:val="auto"/>
              </w:rPr>
            </w:pPr>
            <w:r>
              <w:rPr>
                <w:rFonts w:ascii="Calibri" w:cs="Calibri" w:eastAsia="Calibri" w:hAnsi="Calibri"/>
                <w:sz w:val="18"/>
                <w:szCs w:val="18"/>
                <w:color w:val="auto"/>
              </w:rPr>
              <w:t>Other current liabilites</w:t>
            </w:r>
          </w:p>
        </w:tc>
        <w:tc>
          <w:tcPr>
            <w:tcW w:w="22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line="217" w:lineRule="exact"/>
              <w:rPr>
                <w:sz w:val="20"/>
                <w:szCs w:val="20"/>
                <w:color w:val="auto"/>
              </w:rPr>
            </w:pPr>
            <w:r>
              <w:rPr>
                <w:rFonts w:ascii="Calibri" w:cs="Calibri" w:eastAsia="Calibri" w:hAnsi="Calibri"/>
                <w:sz w:val="18"/>
                <w:szCs w:val="18"/>
                <w:color w:val="auto"/>
              </w:rPr>
              <w:t>3,652</w:t>
            </w:r>
          </w:p>
        </w:tc>
        <w:tc>
          <w:tcPr>
            <w:tcW w:w="10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line="217" w:lineRule="exact"/>
              <w:rPr>
                <w:sz w:val="20"/>
                <w:szCs w:val="20"/>
                <w:color w:val="auto"/>
              </w:rPr>
            </w:pPr>
            <w:r>
              <w:rPr>
                <w:rFonts w:ascii="Calibri" w:cs="Calibri" w:eastAsia="Calibri" w:hAnsi="Calibri"/>
                <w:sz w:val="18"/>
                <w:szCs w:val="18"/>
                <w:color w:val="auto"/>
              </w:rPr>
              <w:t>4,412</w:t>
            </w:r>
          </w:p>
        </w:tc>
        <w:tc>
          <w:tcPr>
            <w:tcW w:w="0" w:type="dxa"/>
            <w:vAlign w:val="bottom"/>
          </w:tcPr>
          <w:p>
            <w:pPr>
              <w:spacing w:after="0"/>
              <w:rPr>
                <w:sz w:val="1"/>
                <w:szCs w:val="1"/>
                <w:color w:val="auto"/>
              </w:rPr>
            </w:pPr>
          </w:p>
        </w:tc>
      </w:tr>
      <w:tr>
        <w:trPr>
          <w:trHeight w:val="210"/>
        </w:trPr>
        <w:tc>
          <w:tcPr>
            <w:tcW w:w="8340" w:type="dxa"/>
            <w:vAlign w:val="bottom"/>
          </w:tcPr>
          <w:p>
            <w:pPr>
              <w:ind w:left="340"/>
              <w:spacing w:after="0" w:line="196" w:lineRule="exact"/>
              <w:rPr>
                <w:sz w:val="20"/>
                <w:szCs w:val="20"/>
                <w:color w:val="auto"/>
              </w:rPr>
            </w:pPr>
            <w:r>
              <w:rPr>
                <w:rFonts w:ascii="Calibri" w:cs="Calibri" w:eastAsia="Calibri" w:hAnsi="Calibri"/>
                <w:sz w:val="18"/>
                <w:szCs w:val="18"/>
                <w:color w:val="auto"/>
              </w:rPr>
              <w:t>Total current liabilites</w:t>
            </w:r>
          </w:p>
        </w:tc>
        <w:tc>
          <w:tcPr>
            <w:tcW w:w="220" w:type="dxa"/>
            <w:vAlign w:val="bottom"/>
          </w:tcPr>
          <w:p>
            <w:pPr>
              <w:spacing w:after="0"/>
              <w:rPr>
                <w:sz w:val="18"/>
                <w:szCs w:val="18"/>
                <w:color w:val="auto"/>
              </w:rPr>
            </w:pPr>
          </w:p>
        </w:tc>
        <w:tc>
          <w:tcPr>
            <w:tcW w:w="1180" w:type="dxa"/>
            <w:vAlign w:val="bottom"/>
          </w:tcPr>
          <w:p>
            <w:pPr>
              <w:jc w:val="right"/>
              <w:spacing w:after="0" w:line="210" w:lineRule="exact"/>
              <w:rPr>
                <w:sz w:val="20"/>
                <w:szCs w:val="20"/>
                <w:color w:val="auto"/>
              </w:rPr>
            </w:pPr>
            <w:r>
              <w:rPr>
                <w:rFonts w:ascii="Calibri" w:cs="Calibri" w:eastAsia="Calibri" w:hAnsi="Calibri"/>
                <w:sz w:val="18"/>
                <w:szCs w:val="18"/>
                <w:color w:val="auto"/>
              </w:rPr>
              <w:t>7,405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jc w:val="right"/>
              <w:spacing w:after="0" w:line="210" w:lineRule="exact"/>
              <w:rPr>
                <w:sz w:val="20"/>
                <w:szCs w:val="20"/>
                <w:color w:val="auto"/>
              </w:rPr>
            </w:pPr>
            <w:r>
              <w:rPr>
                <w:rFonts w:ascii="Calibri" w:cs="Calibri" w:eastAsia="Calibri" w:hAnsi="Calibri"/>
                <w:sz w:val="18"/>
                <w:szCs w:val="18"/>
                <w:color w:val="auto"/>
              </w:rPr>
              <w:t>7,052</w:t>
            </w:r>
          </w:p>
        </w:tc>
        <w:tc>
          <w:tcPr>
            <w:tcW w:w="0" w:type="dxa"/>
            <w:vAlign w:val="bottom"/>
          </w:tcPr>
          <w:p>
            <w:pPr>
              <w:spacing w:after="0"/>
              <w:rPr>
                <w:sz w:val="1"/>
                <w:szCs w:val="1"/>
                <w:color w:val="auto"/>
              </w:rPr>
            </w:pPr>
          </w:p>
        </w:tc>
      </w:tr>
      <w:tr>
        <w:trPr>
          <w:trHeight w:val="232"/>
        </w:trPr>
        <w:tc>
          <w:tcPr>
            <w:tcW w:w="8340" w:type="dxa"/>
            <w:vAlign w:val="bottom"/>
            <w:shd w:val="clear" w:color="auto" w:fill="CCEEFF"/>
          </w:tcPr>
          <w:p>
            <w:pPr>
              <w:ind w:left="20"/>
              <w:spacing w:after="0" w:line="217" w:lineRule="exact"/>
              <w:rPr>
                <w:sz w:val="20"/>
                <w:szCs w:val="20"/>
                <w:color w:val="auto"/>
              </w:rPr>
            </w:pPr>
            <w:r>
              <w:rPr>
                <w:rFonts w:ascii="Calibri" w:cs="Calibri" w:eastAsia="Calibri" w:hAnsi="Calibri"/>
                <w:sz w:val="18"/>
                <w:szCs w:val="18"/>
                <w:color w:val="auto"/>
              </w:rPr>
              <w:t>Long-term liabilites:</w:t>
            </w:r>
          </w:p>
        </w:tc>
        <w:tc>
          <w:tcPr>
            <w:tcW w:w="22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7"/>
        </w:trPr>
        <w:tc>
          <w:tcPr>
            <w:tcW w:w="8340" w:type="dxa"/>
            <w:vAlign w:val="bottom"/>
          </w:tcPr>
          <w:p>
            <w:pPr>
              <w:ind w:left="140"/>
              <w:spacing w:after="0" w:line="210" w:lineRule="exact"/>
              <w:rPr>
                <w:sz w:val="20"/>
                <w:szCs w:val="20"/>
                <w:color w:val="auto"/>
              </w:rPr>
            </w:pPr>
            <w:r>
              <w:rPr>
                <w:rFonts w:ascii="Calibri" w:cs="Calibri" w:eastAsia="Calibri" w:hAnsi="Calibri"/>
                <w:sz w:val="18"/>
                <w:szCs w:val="18"/>
                <w:color w:val="auto"/>
              </w:rPr>
              <w:t>Long-term debt</w:t>
            </w:r>
          </w:p>
        </w:tc>
        <w:tc>
          <w:tcPr>
            <w:tcW w:w="220" w:type="dxa"/>
            <w:vAlign w:val="bottom"/>
          </w:tcPr>
          <w:p>
            <w:pPr>
              <w:spacing w:after="0"/>
              <w:rPr>
                <w:sz w:val="18"/>
                <w:szCs w:val="18"/>
                <w:color w:val="auto"/>
              </w:rPr>
            </w:pPr>
          </w:p>
        </w:tc>
        <w:tc>
          <w:tcPr>
            <w:tcW w:w="1180" w:type="dxa"/>
            <w:vAlign w:val="bottom"/>
          </w:tcPr>
          <w:p>
            <w:pPr>
              <w:jc w:val="right"/>
              <w:spacing w:after="0" w:line="210" w:lineRule="exact"/>
              <w:rPr>
                <w:sz w:val="20"/>
                <w:szCs w:val="20"/>
                <w:color w:val="auto"/>
              </w:rPr>
            </w:pPr>
            <w:r>
              <w:rPr>
                <w:rFonts w:ascii="Calibri" w:cs="Calibri" w:eastAsia="Calibri" w:hAnsi="Calibri"/>
                <w:sz w:val="18"/>
                <w:szCs w:val="18"/>
                <w:color w:val="auto"/>
              </w:rPr>
              <w:t>37,621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jc w:val="right"/>
              <w:spacing w:after="0" w:line="210" w:lineRule="exact"/>
              <w:rPr>
                <w:sz w:val="20"/>
                <w:szCs w:val="20"/>
                <w:color w:val="auto"/>
              </w:rPr>
            </w:pPr>
            <w:r>
              <w:rPr>
                <w:rFonts w:ascii="Calibri" w:cs="Calibri" w:eastAsia="Calibri" w:hAnsi="Calibri"/>
                <w:sz w:val="18"/>
                <w:szCs w:val="18"/>
                <w:color w:val="auto"/>
              </w:rPr>
              <w:t>39,075</w:t>
            </w:r>
          </w:p>
        </w:tc>
        <w:tc>
          <w:tcPr>
            <w:tcW w:w="0" w:type="dxa"/>
            <w:vAlign w:val="bottom"/>
          </w:tcPr>
          <w:p>
            <w:pPr>
              <w:spacing w:after="0"/>
              <w:rPr>
                <w:sz w:val="1"/>
                <w:szCs w:val="1"/>
                <w:color w:val="auto"/>
              </w:rPr>
            </w:pPr>
          </w:p>
        </w:tc>
      </w:tr>
      <w:tr>
        <w:trPr>
          <w:trHeight w:val="232"/>
        </w:trPr>
        <w:tc>
          <w:tcPr>
            <w:tcW w:w="8340" w:type="dxa"/>
            <w:vAlign w:val="bottom"/>
            <w:shd w:val="clear" w:color="auto" w:fill="CCEEFF"/>
          </w:tcPr>
          <w:p>
            <w:pPr>
              <w:ind w:left="140"/>
              <w:spacing w:after="0" w:line="217" w:lineRule="exact"/>
              <w:rPr>
                <w:sz w:val="20"/>
                <w:szCs w:val="20"/>
                <w:color w:val="auto"/>
              </w:rPr>
            </w:pPr>
            <w:r>
              <w:rPr>
                <w:rFonts w:ascii="Calibri" w:cs="Calibri" w:eastAsia="Calibri" w:hAnsi="Calibri"/>
                <w:sz w:val="18"/>
                <w:szCs w:val="18"/>
                <w:color w:val="auto"/>
              </w:rPr>
              <w:t>Other long-term liabilites</w:t>
            </w:r>
          </w:p>
        </w:tc>
        <w:tc>
          <w:tcPr>
            <w:tcW w:w="22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line="217" w:lineRule="exact"/>
              <w:rPr>
                <w:sz w:val="20"/>
                <w:szCs w:val="20"/>
                <w:color w:val="auto"/>
              </w:rPr>
            </w:pPr>
            <w:r>
              <w:rPr>
                <w:rFonts w:ascii="Calibri" w:cs="Calibri" w:eastAsia="Calibri" w:hAnsi="Calibri"/>
                <w:sz w:val="18"/>
                <w:szCs w:val="18"/>
                <w:color w:val="auto"/>
              </w:rPr>
              <w:t>3,847</w:t>
            </w:r>
          </w:p>
        </w:tc>
        <w:tc>
          <w:tcPr>
            <w:tcW w:w="10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line="217" w:lineRule="exact"/>
              <w:rPr>
                <w:sz w:val="20"/>
                <w:szCs w:val="20"/>
                <w:color w:val="auto"/>
              </w:rPr>
            </w:pPr>
            <w:r>
              <w:rPr>
                <w:rFonts w:ascii="Calibri" w:cs="Calibri" w:eastAsia="Calibri" w:hAnsi="Calibri"/>
                <w:sz w:val="18"/>
                <w:szCs w:val="18"/>
                <w:color w:val="auto"/>
              </w:rPr>
              <w:t>4,413</w:t>
            </w:r>
          </w:p>
        </w:tc>
        <w:tc>
          <w:tcPr>
            <w:tcW w:w="0" w:type="dxa"/>
            <w:vAlign w:val="bottom"/>
          </w:tcPr>
          <w:p>
            <w:pPr>
              <w:spacing w:after="0"/>
              <w:rPr>
                <w:sz w:val="1"/>
                <w:szCs w:val="1"/>
                <w:color w:val="auto"/>
              </w:rPr>
            </w:pPr>
          </w:p>
        </w:tc>
      </w:tr>
      <w:tr>
        <w:trPr>
          <w:trHeight w:val="211"/>
        </w:trPr>
        <w:tc>
          <w:tcPr>
            <w:tcW w:w="8340" w:type="dxa"/>
            <w:vAlign w:val="bottom"/>
            <w:tcBorders>
              <w:bottom w:val="single" w:sz="8" w:color="CCEEFF"/>
            </w:tcBorders>
          </w:tcPr>
          <w:p>
            <w:pPr>
              <w:ind w:left="340"/>
              <w:spacing w:after="0" w:line="196" w:lineRule="exact"/>
              <w:rPr>
                <w:sz w:val="20"/>
                <w:szCs w:val="20"/>
                <w:color w:val="auto"/>
              </w:rPr>
            </w:pPr>
            <w:r>
              <w:rPr>
                <w:rFonts w:ascii="Calibri" w:cs="Calibri" w:eastAsia="Calibri" w:hAnsi="Calibri"/>
                <w:sz w:val="18"/>
                <w:szCs w:val="18"/>
                <w:color w:val="auto"/>
              </w:rPr>
              <w:t>Total liabilites</w:t>
            </w:r>
          </w:p>
        </w:tc>
        <w:tc>
          <w:tcPr>
            <w:tcW w:w="2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line="210" w:lineRule="exact"/>
              <w:rPr>
                <w:sz w:val="20"/>
                <w:szCs w:val="20"/>
                <w:color w:val="auto"/>
              </w:rPr>
            </w:pPr>
            <w:r>
              <w:rPr>
                <w:rFonts w:ascii="Calibri" w:cs="Calibri" w:eastAsia="Calibri" w:hAnsi="Calibri"/>
                <w:sz w:val="18"/>
                <w:szCs w:val="18"/>
                <w:color w:val="auto"/>
              </w:rPr>
              <w:t>48,873</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line="210" w:lineRule="exact"/>
              <w:rPr>
                <w:sz w:val="20"/>
                <w:szCs w:val="20"/>
                <w:color w:val="auto"/>
              </w:rPr>
            </w:pPr>
            <w:r>
              <w:rPr>
                <w:rFonts w:ascii="Calibri" w:cs="Calibri" w:eastAsia="Calibri" w:hAnsi="Calibri"/>
                <w:sz w:val="18"/>
                <w:szCs w:val="18"/>
                <w:color w:val="auto"/>
              </w:rPr>
              <w:t>50,540</w:t>
            </w:r>
          </w:p>
        </w:tc>
        <w:tc>
          <w:tcPr>
            <w:tcW w:w="0" w:type="dxa"/>
            <w:vAlign w:val="bottom"/>
          </w:tcPr>
          <w:p>
            <w:pPr>
              <w:spacing w:after="0"/>
              <w:rPr>
                <w:sz w:val="1"/>
                <w:szCs w:val="1"/>
                <w:color w:val="auto"/>
              </w:rPr>
            </w:pPr>
          </w:p>
        </w:tc>
      </w:tr>
      <w:tr>
        <w:trPr>
          <w:trHeight w:val="211"/>
        </w:trPr>
        <w:tc>
          <w:tcPr>
            <w:tcW w:w="8340" w:type="dxa"/>
            <w:vAlign w:val="bottom"/>
            <w:shd w:val="clear" w:color="auto" w:fill="CCEEFF"/>
          </w:tcPr>
          <w:p>
            <w:pPr>
              <w:ind w:left="20"/>
              <w:spacing w:after="0" w:line="196" w:lineRule="exact"/>
              <w:rPr>
                <w:sz w:val="20"/>
                <w:szCs w:val="20"/>
                <w:color w:val="auto"/>
              </w:rPr>
            </w:pPr>
            <w:r>
              <w:rPr>
                <w:rFonts w:ascii="Calibri" w:cs="Calibri" w:eastAsia="Calibri" w:hAnsi="Calibri"/>
                <w:sz w:val="18"/>
                <w:szCs w:val="18"/>
                <w:color w:val="auto"/>
              </w:rPr>
              <w:t>Commitments and contngencies (Note 13)</w:t>
            </w: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8340" w:type="dxa"/>
            <w:vAlign w:val="bottom"/>
          </w:tcPr>
          <w:p>
            <w:pPr>
              <w:ind w:left="20"/>
              <w:spacing w:after="0" w:line="210" w:lineRule="exact"/>
              <w:rPr>
                <w:sz w:val="20"/>
                <w:szCs w:val="20"/>
                <w:color w:val="auto"/>
              </w:rPr>
            </w:pPr>
            <w:r>
              <w:rPr>
                <w:rFonts w:ascii="Calibri" w:cs="Calibri" w:eastAsia="Calibri" w:hAnsi="Calibri"/>
                <w:sz w:val="18"/>
                <w:szCs w:val="18"/>
                <w:color w:val="auto"/>
              </w:rPr>
              <w:t>Stockholders’ equity:</w:t>
            </w: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8340" w:type="dxa"/>
            <w:vAlign w:val="bottom"/>
            <w:shd w:val="clear" w:color="auto" w:fill="CCEEFF"/>
          </w:tcPr>
          <w:p>
            <w:pPr>
              <w:ind w:left="140"/>
              <w:spacing w:after="0" w:line="217" w:lineRule="exact"/>
              <w:rPr>
                <w:sz w:val="20"/>
                <w:szCs w:val="20"/>
                <w:color w:val="auto"/>
              </w:rPr>
            </w:pPr>
            <w:r>
              <w:rPr>
                <w:rFonts w:ascii="Calibri" w:cs="Calibri" w:eastAsia="Calibri" w:hAnsi="Calibri"/>
                <w:sz w:val="18"/>
                <w:szCs w:val="18"/>
                <w:color w:val="auto"/>
              </w:rPr>
              <w:t>Preferred stock, $0.001 par value; 100 shares authorized; none issued and outstanding</w:t>
            </w:r>
          </w:p>
        </w:tc>
        <w:tc>
          <w:tcPr>
            <w:tcW w:w="22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160"/>
              <w:spacing w:after="0" w:line="217" w:lineRule="exact"/>
              <w:rPr>
                <w:sz w:val="20"/>
                <w:szCs w:val="20"/>
                <w:color w:val="auto"/>
              </w:rPr>
            </w:pPr>
            <w:r>
              <w:rPr>
                <w:rFonts w:ascii="Calibri" w:cs="Calibri" w:eastAsia="Calibri" w:hAnsi="Calibri"/>
                <w:sz w:val="18"/>
                <w:szCs w:val="18"/>
                <w:color w:val="auto"/>
              </w:rPr>
              <w:t>—</w:t>
            </w:r>
          </w:p>
        </w:tc>
        <w:tc>
          <w:tcPr>
            <w:tcW w:w="24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line="217" w:lineRule="exact"/>
              <w:rPr>
                <w:sz w:val="20"/>
                <w:szCs w:val="20"/>
                <w:color w:val="auto"/>
              </w:rPr>
            </w:pPr>
            <w:r>
              <w:rPr>
                <w:rFonts w:ascii="Calibri" w:cs="Calibri" w:eastAsia="Calibri" w:hAnsi="Calibri"/>
                <w:sz w:val="18"/>
                <w:szCs w:val="18"/>
                <w:color w:val="auto"/>
              </w:rPr>
              <w:t>—</w:t>
            </w:r>
          </w:p>
        </w:tc>
        <w:tc>
          <w:tcPr>
            <w:tcW w:w="0" w:type="dxa"/>
            <w:vAlign w:val="bottom"/>
          </w:tcPr>
          <w:p>
            <w:pPr>
              <w:spacing w:after="0"/>
              <w:rPr>
                <w:sz w:val="1"/>
                <w:szCs w:val="1"/>
                <w:color w:val="auto"/>
              </w:rPr>
            </w:pPr>
          </w:p>
        </w:tc>
      </w:tr>
      <w:tr>
        <w:trPr>
          <w:trHeight w:val="164"/>
        </w:trPr>
        <w:tc>
          <w:tcPr>
            <w:tcW w:w="8340" w:type="dxa"/>
            <w:vAlign w:val="bottom"/>
          </w:tcPr>
          <w:p>
            <w:pPr>
              <w:ind w:left="140"/>
              <w:spacing w:after="0" w:line="164" w:lineRule="exact"/>
              <w:rPr>
                <w:sz w:val="20"/>
                <w:szCs w:val="20"/>
                <w:color w:val="auto"/>
              </w:rPr>
            </w:pPr>
            <w:r>
              <w:rPr>
                <w:rFonts w:ascii="Calibri" w:cs="Calibri" w:eastAsia="Calibri" w:hAnsi="Calibri"/>
                <w:sz w:val="17"/>
                <w:szCs w:val="17"/>
                <w:color w:val="auto"/>
              </w:rPr>
              <w:t>Common stock, $0.001 par value; 2,900 shares authorized; 414 and 418 shares issued and outstanding as of</w:t>
            </w:r>
          </w:p>
        </w:tc>
        <w:tc>
          <w:tcPr>
            <w:tcW w:w="2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8340" w:type="dxa"/>
            <w:vAlign w:val="bottom"/>
          </w:tcPr>
          <w:p>
            <w:pPr>
              <w:ind w:left="300"/>
              <w:spacing w:after="0" w:line="210" w:lineRule="exact"/>
              <w:rPr>
                <w:sz w:val="20"/>
                <w:szCs w:val="20"/>
                <w:color w:val="auto"/>
              </w:rPr>
            </w:pPr>
            <w:r>
              <w:rPr>
                <w:rFonts w:ascii="Calibri" w:cs="Calibri" w:eastAsia="Calibri" w:hAnsi="Calibri"/>
                <w:sz w:val="18"/>
                <w:szCs w:val="18"/>
                <w:color w:val="auto"/>
              </w:rPr>
              <w:t>October 29, 2023 and October 30, 2022, respectvely</w:t>
            </w:r>
          </w:p>
        </w:tc>
        <w:tc>
          <w:tcPr>
            <w:tcW w:w="22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Calibri" w:cs="Calibri" w:eastAsia="Calibri" w:hAnsi="Calibri"/>
                <w:sz w:val="18"/>
                <w:szCs w:val="18"/>
                <w:color w:val="auto"/>
              </w:rPr>
              <w:t>—</w:t>
            </w: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Calibri" w:cs="Calibri" w:eastAsia="Calibri" w:hAnsi="Calibri"/>
                <w:sz w:val="18"/>
                <w:szCs w:val="18"/>
                <w:color w:val="auto"/>
              </w:rPr>
              <w:t>—</w:t>
            </w:r>
          </w:p>
        </w:tc>
        <w:tc>
          <w:tcPr>
            <w:tcW w:w="0" w:type="dxa"/>
            <w:vAlign w:val="bottom"/>
          </w:tcPr>
          <w:p>
            <w:pPr>
              <w:spacing w:after="0"/>
              <w:rPr>
                <w:sz w:val="1"/>
                <w:szCs w:val="1"/>
                <w:color w:val="auto"/>
              </w:rPr>
            </w:pPr>
          </w:p>
        </w:tc>
      </w:tr>
      <w:tr>
        <w:trPr>
          <w:trHeight w:val="22"/>
        </w:trPr>
        <w:tc>
          <w:tcPr>
            <w:tcW w:w="8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8340" w:type="dxa"/>
            <w:vAlign w:val="bottom"/>
            <w:shd w:val="clear" w:color="auto" w:fill="CCEEFF"/>
          </w:tcPr>
          <w:p>
            <w:pPr>
              <w:ind w:left="140"/>
              <w:spacing w:after="0" w:line="210" w:lineRule="exact"/>
              <w:rPr>
                <w:sz w:val="20"/>
                <w:szCs w:val="20"/>
                <w:color w:val="auto"/>
              </w:rPr>
            </w:pPr>
            <w:r>
              <w:rPr>
                <w:rFonts w:ascii="Calibri" w:cs="Calibri" w:eastAsia="Calibri" w:hAnsi="Calibri"/>
                <w:sz w:val="18"/>
                <w:szCs w:val="18"/>
                <w:color w:val="auto"/>
              </w:rPr>
              <w:t>Additonal paid-in capital</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line="210" w:lineRule="exact"/>
              <w:rPr>
                <w:sz w:val="20"/>
                <w:szCs w:val="20"/>
                <w:color w:val="auto"/>
              </w:rPr>
            </w:pPr>
            <w:r>
              <w:rPr>
                <w:rFonts w:ascii="Calibri" w:cs="Calibri" w:eastAsia="Calibri" w:hAnsi="Calibri"/>
                <w:sz w:val="18"/>
                <w:szCs w:val="18"/>
                <w:color w:val="auto"/>
              </w:rPr>
              <w:t>21,099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line="210" w:lineRule="exact"/>
              <w:rPr>
                <w:sz w:val="20"/>
                <w:szCs w:val="20"/>
                <w:color w:val="auto"/>
              </w:rPr>
            </w:pPr>
            <w:r>
              <w:rPr>
                <w:rFonts w:ascii="Calibri" w:cs="Calibri" w:eastAsia="Calibri" w:hAnsi="Calibri"/>
                <w:sz w:val="18"/>
                <w:szCs w:val="18"/>
                <w:color w:val="auto"/>
              </w:rPr>
              <w:t>21,159</w:t>
            </w:r>
          </w:p>
        </w:tc>
        <w:tc>
          <w:tcPr>
            <w:tcW w:w="0" w:type="dxa"/>
            <w:vAlign w:val="bottom"/>
          </w:tcPr>
          <w:p>
            <w:pPr>
              <w:spacing w:after="0"/>
              <w:rPr>
                <w:sz w:val="1"/>
                <w:szCs w:val="1"/>
                <w:color w:val="auto"/>
              </w:rPr>
            </w:pPr>
          </w:p>
        </w:tc>
      </w:tr>
      <w:tr>
        <w:trPr>
          <w:trHeight w:val="217"/>
        </w:trPr>
        <w:tc>
          <w:tcPr>
            <w:tcW w:w="8340" w:type="dxa"/>
            <w:vAlign w:val="bottom"/>
          </w:tcPr>
          <w:p>
            <w:pPr>
              <w:ind w:left="140"/>
              <w:spacing w:after="0" w:line="210" w:lineRule="exact"/>
              <w:rPr>
                <w:sz w:val="20"/>
                <w:szCs w:val="20"/>
                <w:color w:val="auto"/>
              </w:rPr>
            </w:pPr>
            <w:r>
              <w:rPr>
                <w:rFonts w:ascii="Calibri" w:cs="Calibri" w:eastAsia="Calibri" w:hAnsi="Calibri"/>
                <w:sz w:val="18"/>
                <w:szCs w:val="18"/>
                <w:color w:val="auto"/>
              </w:rPr>
              <w:t>Retained earnings</w:t>
            </w:r>
          </w:p>
        </w:tc>
        <w:tc>
          <w:tcPr>
            <w:tcW w:w="220" w:type="dxa"/>
            <w:vAlign w:val="bottom"/>
          </w:tcPr>
          <w:p>
            <w:pPr>
              <w:spacing w:after="0"/>
              <w:rPr>
                <w:sz w:val="18"/>
                <w:szCs w:val="18"/>
                <w:color w:val="auto"/>
              </w:rPr>
            </w:pPr>
          </w:p>
        </w:tc>
        <w:tc>
          <w:tcPr>
            <w:tcW w:w="1180" w:type="dxa"/>
            <w:vAlign w:val="bottom"/>
          </w:tcPr>
          <w:p>
            <w:pPr>
              <w:jc w:val="right"/>
              <w:spacing w:after="0" w:line="210" w:lineRule="exact"/>
              <w:rPr>
                <w:sz w:val="20"/>
                <w:szCs w:val="20"/>
                <w:color w:val="auto"/>
              </w:rPr>
            </w:pPr>
            <w:r>
              <w:rPr>
                <w:rFonts w:ascii="Calibri" w:cs="Calibri" w:eastAsia="Calibri" w:hAnsi="Calibri"/>
                <w:sz w:val="18"/>
                <w:szCs w:val="18"/>
                <w:color w:val="auto"/>
              </w:rPr>
              <w:t>2,682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jc w:val="right"/>
              <w:spacing w:after="0" w:line="210" w:lineRule="exact"/>
              <w:rPr>
                <w:sz w:val="20"/>
                <w:szCs w:val="20"/>
                <w:color w:val="auto"/>
              </w:rPr>
            </w:pPr>
            <w:r>
              <w:rPr>
                <w:rFonts w:ascii="Calibri" w:cs="Calibri" w:eastAsia="Calibri" w:hAnsi="Calibri"/>
                <w:sz w:val="18"/>
                <w:szCs w:val="18"/>
                <w:color w:val="auto"/>
              </w:rPr>
              <w:t>1,604</w:t>
            </w:r>
          </w:p>
        </w:tc>
        <w:tc>
          <w:tcPr>
            <w:tcW w:w="0" w:type="dxa"/>
            <w:vAlign w:val="bottom"/>
          </w:tcPr>
          <w:p>
            <w:pPr>
              <w:spacing w:after="0"/>
              <w:rPr>
                <w:sz w:val="1"/>
                <w:szCs w:val="1"/>
                <w:color w:val="auto"/>
              </w:rPr>
            </w:pPr>
          </w:p>
        </w:tc>
      </w:tr>
      <w:tr>
        <w:trPr>
          <w:trHeight w:val="232"/>
        </w:trPr>
        <w:tc>
          <w:tcPr>
            <w:tcW w:w="8340" w:type="dxa"/>
            <w:vAlign w:val="bottom"/>
            <w:shd w:val="clear" w:color="auto" w:fill="CCEEFF"/>
          </w:tcPr>
          <w:p>
            <w:pPr>
              <w:ind w:left="140"/>
              <w:spacing w:after="0" w:line="217" w:lineRule="exact"/>
              <w:rPr>
                <w:sz w:val="20"/>
                <w:szCs w:val="20"/>
                <w:color w:val="auto"/>
              </w:rPr>
            </w:pPr>
            <w:r>
              <w:rPr>
                <w:rFonts w:ascii="Calibri" w:cs="Calibri" w:eastAsia="Calibri" w:hAnsi="Calibri"/>
                <w:sz w:val="18"/>
                <w:szCs w:val="18"/>
                <w:color w:val="auto"/>
              </w:rPr>
              <w:t>Accumulated other comprehensive income (loss)</w:t>
            </w:r>
          </w:p>
        </w:tc>
        <w:tc>
          <w:tcPr>
            <w:tcW w:w="22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line="217" w:lineRule="exact"/>
              <w:rPr>
                <w:sz w:val="20"/>
                <w:szCs w:val="20"/>
                <w:color w:val="auto"/>
              </w:rPr>
            </w:pPr>
            <w:r>
              <w:rPr>
                <w:rFonts w:ascii="Calibri" w:cs="Calibri" w:eastAsia="Calibri" w:hAnsi="Calibri"/>
                <w:sz w:val="18"/>
                <w:szCs w:val="18"/>
                <w:color w:val="auto"/>
              </w:rPr>
              <w:t>207</w:t>
            </w:r>
          </w:p>
        </w:tc>
        <w:tc>
          <w:tcPr>
            <w:tcW w:w="10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line="217" w:lineRule="exact"/>
              <w:rPr>
                <w:sz w:val="20"/>
                <w:szCs w:val="20"/>
                <w:color w:val="auto"/>
              </w:rPr>
            </w:pPr>
            <w:r>
              <w:rPr>
                <w:rFonts w:ascii="Calibri" w:cs="Calibri" w:eastAsia="Calibri" w:hAnsi="Calibri"/>
                <w:sz w:val="18"/>
                <w:szCs w:val="18"/>
                <w:color w:val="auto"/>
              </w:rPr>
              <w:t>(54)</w:t>
            </w:r>
          </w:p>
        </w:tc>
        <w:tc>
          <w:tcPr>
            <w:tcW w:w="0" w:type="dxa"/>
            <w:vAlign w:val="bottom"/>
          </w:tcPr>
          <w:p>
            <w:pPr>
              <w:spacing w:after="0"/>
              <w:rPr>
                <w:sz w:val="1"/>
                <w:szCs w:val="1"/>
                <w:color w:val="auto"/>
              </w:rPr>
            </w:pPr>
          </w:p>
        </w:tc>
      </w:tr>
      <w:tr>
        <w:trPr>
          <w:trHeight w:val="211"/>
        </w:trPr>
        <w:tc>
          <w:tcPr>
            <w:tcW w:w="8340" w:type="dxa"/>
            <w:vAlign w:val="bottom"/>
            <w:tcBorders>
              <w:bottom w:val="single" w:sz="8" w:color="CCEEFF"/>
            </w:tcBorders>
          </w:tcPr>
          <w:p>
            <w:pPr>
              <w:ind w:left="340"/>
              <w:spacing w:after="0" w:line="196" w:lineRule="exact"/>
              <w:rPr>
                <w:sz w:val="20"/>
                <w:szCs w:val="20"/>
                <w:color w:val="auto"/>
              </w:rPr>
            </w:pPr>
            <w:r>
              <w:rPr>
                <w:rFonts w:ascii="Calibri" w:cs="Calibri" w:eastAsia="Calibri" w:hAnsi="Calibri"/>
                <w:sz w:val="18"/>
                <w:szCs w:val="18"/>
                <w:color w:val="auto"/>
              </w:rPr>
              <w:t>Total stockholders’ equity</w:t>
            </w:r>
          </w:p>
        </w:tc>
        <w:tc>
          <w:tcPr>
            <w:tcW w:w="2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line="210" w:lineRule="exact"/>
              <w:rPr>
                <w:sz w:val="20"/>
                <w:szCs w:val="20"/>
                <w:color w:val="auto"/>
              </w:rPr>
            </w:pPr>
            <w:r>
              <w:rPr>
                <w:rFonts w:ascii="Calibri" w:cs="Calibri" w:eastAsia="Calibri" w:hAnsi="Calibri"/>
                <w:sz w:val="18"/>
                <w:szCs w:val="18"/>
                <w:color w:val="auto"/>
              </w:rPr>
              <w:t>23,988</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line="210" w:lineRule="exact"/>
              <w:rPr>
                <w:sz w:val="20"/>
                <w:szCs w:val="20"/>
                <w:color w:val="auto"/>
              </w:rPr>
            </w:pPr>
            <w:r>
              <w:rPr>
                <w:rFonts w:ascii="Calibri" w:cs="Calibri" w:eastAsia="Calibri" w:hAnsi="Calibri"/>
                <w:sz w:val="18"/>
                <w:szCs w:val="18"/>
                <w:color w:val="auto"/>
              </w:rPr>
              <w:t>22,709</w:t>
            </w:r>
          </w:p>
        </w:tc>
        <w:tc>
          <w:tcPr>
            <w:tcW w:w="0" w:type="dxa"/>
            <w:vAlign w:val="bottom"/>
          </w:tcPr>
          <w:p>
            <w:pPr>
              <w:spacing w:after="0"/>
              <w:rPr>
                <w:sz w:val="1"/>
                <w:szCs w:val="1"/>
                <w:color w:val="auto"/>
              </w:rPr>
            </w:pPr>
          </w:p>
        </w:tc>
      </w:tr>
      <w:tr>
        <w:trPr>
          <w:trHeight w:val="249"/>
        </w:trPr>
        <w:tc>
          <w:tcPr>
            <w:tcW w:w="8340" w:type="dxa"/>
            <w:vAlign w:val="bottom"/>
            <w:tcBorders>
              <w:bottom w:val="single" w:sz="8" w:color="CCEEFF"/>
            </w:tcBorders>
            <w:shd w:val="clear" w:color="auto" w:fill="CCEEFF"/>
          </w:tcPr>
          <w:p>
            <w:pPr>
              <w:ind w:left="460"/>
              <w:spacing w:after="0"/>
              <w:rPr>
                <w:sz w:val="20"/>
                <w:szCs w:val="20"/>
                <w:color w:val="auto"/>
              </w:rPr>
            </w:pPr>
            <w:r>
              <w:rPr>
                <w:rFonts w:ascii="Calibri" w:cs="Calibri" w:eastAsia="Calibri" w:hAnsi="Calibri"/>
                <w:sz w:val="18"/>
                <w:szCs w:val="18"/>
                <w:color w:val="auto"/>
              </w:rPr>
              <w:t>Total liabilites and equity</w:t>
            </w:r>
          </w:p>
        </w:tc>
        <w:tc>
          <w:tcPr>
            <w:tcW w:w="220" w:type="dxa"/>
            <w:vAlign w:val="bottom"/>
            <w:tcBorders>
              <w:bottom w:val="single" w:sz="8" w:color="auto"/>
            </w:tcBorders>
            <w:shd w:val="clear" w:color="auto" w:fill="CCEEFF"/>
          </w:tcPr>
          <w:p>
            <w:pPr>
              <w:jc w:val="right"/>
              <w:ind w:right="32"/>
              <w:spacing w:after="0" w:line="210" w:lineRule="exact"/>
              <w:rPr>
                <w:sz w:val="20"/>
                <w:szCs w:val="20"/>
                <w:color w:val="auto"/>
              </w:rPr>
            </w:pPr>
            <w:r>
              <w:rPr>
                <w:rFonts w:ascii="Calibri" w:cs="Calibri" w:eastAsia="Calibri" w:hAnsi="Calibri"/>
                <w:sz w:val="18"/>
                <w:szCs w:val="18"/>
                <w:color w:val="auto"/>
                <w:w w:val="87"/>
              </w:rPr>
              <w:t>$</w:t>
            </w:r>
          </w:p>
        </w:tc>
        <w:tc>
          <w:tcPr>
            <w:tcW w:w="1180" w:type="dxa"/>
            <w:vAlign w:val="bottom"/>
            <w:tcBorders>
              <w:bottom w:val="single" w:sz="8" w:color="auto"/>
            </w:tcBorders>
            <w:shd w:val="clear" w:color="auto" w:fill="CCEEFF"/>
          </w:tcPr>
          <w:p>
            <w:pPr>
              <w:jc w:val="right"/>
              <w:spacing w:after="0" w:line="210" w:lineRule="exact"/>
              <w:rPr>
                <w:sz w:val="20"/>
                <w:szCs w:val="20"/>
                <w:color w:val="auto"/>
              </w:rPr>
            </w:pPr>
            <w:r>
              <w:rPr>
                <w:rFonts w:ascii="Calibri" w:cs="Calibri" w:eastAsia="Calibri" w:hAnsi="Calibri"/>
                <w:sz w:val="18"/>
                <w:szCs w:val="18"/>
                <w:color w:val="auto"/>
              </w:rPr>
              <w:t>72,861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2"/>
              <w:spacing w:after="0" w:line="210" w:lineRule="exact"/>
              <w:rPr>
                <w:sz w:val="20"/>
                <w:szCs w:val="20"/>
                <w:color w:val="auto"/>
              </w:rPr>
            </w:pPr>
            <w:r>
              <w:rPr>
                <w:rFonts w:ascii="Calibri" w:cs="Calibri" w:eastAsia="Calibri" w:hAnsi="Calibri"/>
                <w:sz w:val="18"/>
                <w:szCs w:val="18"/>
                <w:color w:val="auto"/>
                <w:w w:val="87"/>
              </w:rPr>
              <w:t>$</w:t>
            </w:r>
          </w:p>
        </w:tc>
        <w:tc>
          <w:tcPr>
            <w:tcW w:w="1160" w:type="dxa"/>
            <w:vAlign w:val="bottom"/>
            <w:tcBorders>
              <w:bottom w:val="single" w:sz="8" w:color="auto"/>
            </w:tcBorders>
            <w:shd w:val="clear" w:color="auto" w:fill="CCEEFF"/>
          </w:tcPr>
          <w:p>
            <w:pPr>
              <w:jc w:val="right"/>
              <w:spacing w:after="0" w:line="210" w:lineRule="exact"/>
              <w:rPr>
                <w:sz w:val="20"/>
                <w:szCs w:val="20"/>
                <w:color w:val="auto"/>
              </w:rPr>
            </w:pPr>
            <w:r>
              <w:rPr>
                <w:rFonts w:ascii="Calibri" w:cs="Calibri" w:eastAsia="Calibri" w:hAnsi="Calibri"/>
                <w:sz w:val="18"/>
                <w:szCs w:val="18"/>
                <w:color w:val="auto"/>
              </w:rPr>
              <w:t>73,249</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8"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The accompanying notes are an integral part of these consolidated fnancial statements.</w:t>
      </w: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9" w:right="339" w:bottom="1440" w:gutter="0" w:footer="0" w:header="0"/>
        </w:sectPr>
      </w:pPr>
    </w:p>
    <w:bookmarkStart w:id="52" w:name="page53"/>
    <w:bookmarkEnd w:id="52"/>
    <w:p>
      <w:pPr>
        <w:spacing w:after="0"/>
        <w:rPr>
          <w:sz w:val="20"/>
          <w:szCs w:val="20"/>
          <w:color w:val="auto"/>
        </w:rPr>
      </w:pPr>
      <w:r>
        <w:rPr>
          <w:rFonts w:ascii="Calibri" w:cs="Calibri" w:eastAsia="Calibri" w:hAnsi="Calibri"/>
          <w:sz w:val="18"/>
          <w:szCs w:val="18"/>
          <w:u w:val="single" w:color="auto"/>
          <w:color w:val="0000FF"/>
        </w:rPr>
        <w:t>Table of Contents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Calibri" w:cs="Calibri" w:eastAsia="Calibri" w:hAnsi="Calibri"/>
          <w:sz w:val="18"/>
          <w:szCs w:val="18"/>
          <w:b w:val="1"/>
          <w:bCs w:val="1"/>
          <w:color w:val="auto"/>
        </w:rPr>
        <w:t>BROADCOM INC.</w:t>
      </w:r>
    </w:p>
    <w:p>
      <w:pPr>
        <w:jc w:val="center"/>
        <w:ind w:right="-19"/>
        <w:spacing w:after="0" w:line="230" w:lineRule="auto"/>
        <w:rPr>
          <w:sz w:val="20"/>
          <w:szCs w:val="20"/>
          <w:color w:val="auto"/>
        </w:rPr>
      </w:pPr>
      <w:r>
        <w:rPr>
          <w:rFonts w:ascii="Calibri" w:cs="Calibri" w:eastAsia="Calibri" w:hAnsi="Calibri"/>
          <w:sz w:val="18"/>
          <w:szCs w:val="18"/>
          <w:b w:val="1"/>
          <w:bCs w:val="1"/>
          <w:color w:val="auto"/>
        </w:rPr>
        <w:t>CONSOLIDATED STATEMENTS OF OPERATIONS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gridSpan w:val="2"/>
          </w:tcPr>
          <w:p>
            <w:pPr>
              <w:jc w:val="center"/>
              <w:ind w:right="240"/>
              <w:spacing w:after="0"/>
              <w:rPr>
                <w:sz w:val="20"/>
                <w:szCs w:val="20"/>
                <w:color w:val="auto"/>
              </w:rPr>
            </w:pPr>
            <w:r>
              <w:rPr>
                <w:rFonts w:ascii="Calibri" w:cs="Calibri" w:eastAsia="Calibri" w:hAnsi="Calibri"/>
                <w:sz w:val="14"/>
                <w:szCs w:val="14"/>
                <w:b w:val="1"/>
                <w:bCs w:val="1"/>
                <w:color w:val="auto"/>
                <w:w w:val="99"/>
              </w:rPr>
              <w:t>Fiscal Year Ended</w:t>
            </w:r>
          </w:p>
        </w:tc>
        <w:tc>
          <w:tcPr>
            <w:tcW w:w="28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45"/>
        </w:trPr>
        <w:tc>
          <w:tcPr>
            <w:tcW w:w="696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gridSpan w:val="2"/>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gridSpan w:val="2"/>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r>
      <w:tr>
        <w:trPr>
          <w:trHeight w:val="124"/>
        </w:trPr>
        <w:tc>
          <w:tcPr>
            <w:tcW w:w="69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40" w:type="dxa"/>
            <w:vAlign w:val="bottom"/>
            <w:gridSpan w:val="2"/>
          </w:tcPr>
          <w:p>
            <w:pPr>
              <w:ind w:left="100"/>
              <w:spacing w:after="0" w:line="124" w:lineRule="exact"/>
              <w:rPr>
                <w:sz w:val="20"/>
                <w:szCs w:val="20"/>
                <w:color w:val="auto"/>
              </w:rPr>
            </w:pPr>
            <w:r>
              <w:rPr>
                <w:rFonts w:ascii="Calibri" w:cs="Calibri" w:eastAsia="Calibri" w:hAnsi="Calibri"/>
                <w:sz w:val="13"/>
                <w:szCs w:val="13"/>
                <w:b w:val="1"/>
                <w:bCs w:val="1"/>
                <w:color w:val="auto"/>
              </w:rPr>
              <w:t>October 29,</w:t>
            </w:r>
          </w:p>
        </w:tc>
        <w:tc>
          <w:tcPr>
            <w:tcW w:w="140" w:type="dxa"/>
            <w:vAlign w:val="bottom"/>
          </w:tcPr>
          <w:p>
            <w:pPr>
              <w:spacing w:after="0"/>
              <w:rPr>
                <w:sz w:val="10"/>
                <w:szCs w:val="10"/>
                <w:color w:val="auto"/>
              </w:rPr>
            </w:pPr>
          </w:p>
        </w:tc>
        <w:tc>
          <w:tcPr>
            <w:tcW w:w="1320" w:type="dxa"/>
            <w:vAlign w:val="bottom"/>
            <w:gridSpan w:val="2"/>
          </w:tcPr>
          <w:p>
            <w:pPr>
              <w:jc w:val="center"/>
              <w:ind w:right="240"/>
              <w:spacing w:after="0" w:line="124" w:lineRule="exact"/>
              <w:rPr>
                <w:sz w:val="20"/>
                <w:szCs w:val="20"/>
                <w:color w:val="auto"/>
              </w:rPr>
            </w:pPr>
            <w:r>
              <w:rPr>
                <w:rFonts w:ascii="Calibri" w:cs="Calibri" w:eastAsia="Calibri" w:hAnsi="Calibri"/>
                <w:sz w:val="13"/>
                <w:szCs w:val="13"/>
                <w:b w:val="1"/>
                <w:bCs w:val="1"/>
                <w:color w:val="auto"/>
              </w:rPr>
              <w:t>October 30,</w:t>
            </w:r>
          </w:p>
        </w:tc>
        <w:tc>
          <w:tcPr>
            <w:tcW w:w="280" w:type="dxa"/>
            <w:vAlign w:val="bottom"/>
          </w:tcPr>
          <w:p>
            <w:pPr>
              <w:spacing w:after="0"/>
              <w:rPr>
                <w:sz w:val="10"/>
                <w:szCs w:val="10"/>
                <w:color w:val="auto"/>
              </w:rPr>
            </w:pPr>
          </w:p>
        </w:tc>
        <w:tc>
          <w:tcPr>
            <w:tcW w:w="1080" w:type="dxa"/>
            <w:vAlign w:val="bottom"/>
          </w:tcPr>
          <w:p>
            <w:pPr>
              <w:jc w:val="right"/>
              <w:ind w:right="253"/>
              <w:spacing w:after="0" w:line="124" w:lineRule="exact"/>
              <w:rPr>
                <w:sz w:val="20"/>
                <w:szCs w:val="20"/>
                <w:color w:val="auto"/>
              </w:rPr>
            </w:pPr>
            <w:r>
              <w:rPr>
                <w:rFonts w:ascii="Calibri" w:cs="Calibri" w:eastAsia="Calibri" w:hAnsi="Calibri"/>
                <w:sz w:val="13"/>
                <w:szCs w:val="13"/>
                <w:b w:val="1"/>
                <w:bCs w:val="1"/>
                <w:color w:val="auto"/>
              </w:rPr>
              <w:t>October 31,</w:t>
            </w:r>
          </w:p>
        </w:tc>
      </w:tr>
      <w:tr>
        <w:trPr>
          <w:trHeight w:val="168"/>
        </w:trPr>
        <w:tc>
          <w:tcPr>
            <w:tcW w:w="6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jc w:val="right"/>
              <w:ind w:right="454"/>
              <w:spacing w:after="0" w:line="168" w:lineRule="exact"/>
              <w:rPr>
                <w:sz w:val="20"/>
                <w:szCs w:val="20"/>
                <w:color w:val="auto"/>
              </w:rPr>
            </w:pPr>
            <w:r>
              <w:rPr>
                <w:rFonts w:ascii="Calibri" w:cs="Calibri" w:eastAsia="Calibri" w:hAnsi="Calibri"/>
                <w:sz w:val="14"/>
                <w:szCs w:val="14"/>
                <w:b w:val="1"/>
                <w:bCs w:val="1"/>
                <w:color w:val="auto"/>
              </w:rPr>
              <w:t>2023</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jc w:val="center"/>
              <w:ind w:right="54"/>
              <w:spacing w:after="0" w:line="168" w:lineRule="exact"/>
              <w:rPr>
                <w:sz w:val="20"/>
                <w:szCs w:val="20"/>
                <w:color w:val="auto"/>
              </w:rPr>
            </w:pPr>
            <w:r>
              <w:rPr>
                <w:rFonts w:ascii="Calibri" w:cs="Calibri" w:eastAsia="Calibri" w:hAnsi="Calibri"/>
                <w:sz w:val="14"/>
                <w:szCs w:val="14"/>
                <w:b w:val="1"/>
                <w:bCs w:val="1"/>
                <w:color w:val="auto"/>
                <w:w w:val="98"/>
              </w:rPr>
              <w:t>2022</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tcPr>
          <w:p>
            <w:pPr>
              <w:jc w:val="right"/>
              <w:ind w:right="453"/>
              <w:spacing w:after="0" w:line="168" w:lineRule="exact"/>
              <w:rPr>
                <w:sz w:val="20"/>
                <w:szCs w:val="20"/>
                <w:color w:val="auto"/>
              </w:rPr>
            </w:pPr>
            <w:r>
              <w:rPr>
                <w:rFonts w:ascii="Calibri" w:cs="Calibri" w:eastAsia="Calibri" w:hAnsi="Calibri"/>
                <w:sz w:val="14"/>
                <w:szCs w:val="14"/>
                <w:b w:val="1"/>
                <w:bCs w:val="1"/>
                <w:color w:val="auto"/>
              </w:rPr>
              <w:t>2021</w:t>
            </w:r>
          </w:p>
        </w:tc>
      </w:tr>
      <w:tr>
        <w:trPr>
          <w:trHeight w:val="32"/>
        </w:trPr>
        <w:tc>
          <w:tcPr>
            <w:tcW w:w="69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86"/>
        </w:trPr>
        <w:tc>
          <w:tcPr>
            <w:tcW w:w="6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980" w:type="dxa"/>
            <w:vAlign w:val="bottom"/>
            <w:gridSpan w:val="6"/>
          </w:tcPr>
          <w:p>
            <w:pPr>
              <w:jc w:val="center"/>
              <w:ind w:left="754"/>
              <w:spacing w:after="0"/>
              <w:rPr>
                <w:sz w:val="20"/>
                <w:szCs w:val="20"/>
                <w:color w:val="auto"/>
              </w:rPr>
            </w:pPr>
            <w:r>
              <w:rPr>
                <w:rFonts w:ascii="Calibri" w:cs="Calibri" w:eastAsia="Calibri" w:hAnsi="Calibri"/>
                <w:sz w:val="14"/>
                <w:szCs w:val="14"/>
                <w:b w:val="1"/>
                <w:bCs w:val="1"/>
                <w:color w:val="auto"/>
              </w:rPr>
              <w:t>(In millions, except per share data)</w:t>
            </w:r>
          </w:p>
        </w:tc>
        <w:tc>
          <w:tcPr>
            <w:tcW w:w="1080" w:type="dxa"/>
            <w:vAlign w:val="bottom"/>
          </w:tcPr>
          <w:p>
            <w:pPr>
              <w:spacing w:after="0"/>
              <w:rPr>
                <w:sz w:val="16"/>
                <w:szCs w:val="16"/>
                <w:color w:val="auto"/>
              </w:rPr>
            </w:pPr>
          </w:p>
        </w:tc>
      </w:tr>
      <w:tr>
        <w:trPr>
          <w:trHeight w:val="45"/>
        </w:trPr>
        <w:tc>
          <w:tcPr>
            <w:tcW w:w="69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80" w:type="dxa"/>
            <w:vAlign w:val="bottom"/>
          </w:tcPr>
          <w:p>
            <w:pPr>
              <w:spacing w:after="0"/>
              <w:rPr>
                <w:sz w:val="3"/>
                <w:szCs w:val="3"/>
                <w:color w:val="auto"/>
              </w:rPr>
            </w:pPr>
          </w:p>
        </w:tc>
      </w:tr>
      <w:tr>
        <w:trPr>
          <w:trHeight w:val="224"/>
        </w:trPr>
        <w:tc>
          <w:tcPr>
            <w:tcW w:w="6960" w:type="dxa"/>
            <w:vAlign w:val="bottom"/>
            <w:shd w:val="clear" w:color="auto" w:fill="CCEEFF"/>
          </w:tcPr>
          <w:p>
            <w:pPr>
              <w:ind w:left="20"/>
              <w:spacing w:after="0" w:line="210" w:lineRule="exact"/>
              <w:rPr>
                <w:sz w:val="20"/>
                <w:szCs w:val="20"/>
                <w:color w:val="auto"/>
              </w:rPr>
            </w:pPr>
            <w:r>
              <w:rPr>
                <w:rFonts w:ascii="Calibri" w:cs="Calibri" w:eastAsia="Calibri" w:hAnsi="Calibri"/>
                <w:sz w:val="18"/>
                <w:szCs w:val="18"/>
                <w:color w:val="auto"/>
              </w:rPr>
              <w:t>Net revenue:</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17"/>
        </w:trPr>
        <w:tc>
          <w:tcPr>
            <w:tcW w:w="6960" w:type="dxa"/>
            <w:vAlign w:val="bottom"/>
          </w:tcPr>
          <w:p>
            <w:pPr>
              <w:ind w:left="140"/>
              <w:spacing w:after="0" w:line="210" w:lineRule="exact"/>
              <w:rPr>
                <w:sz w:val="20"/>
                <w:szCs w:val="20"/>
                <w:color w:val="auto"/>
              </w:rPr>
            </w:pPr>
            <w:r>
              <w:rPr>
                <w:rFonts w:ascii="Calibri" w:cs="Calibri" w:eastAsia="Calibri" w:hAnsi="Calibri"/>
                <w:sz w:val="18"/>
                <w:szCs w:val="18"/>
                <w:color w:val="auto"/>
              </w:rPr>
              <w:t>Products</w:t>
            </w:r>
          </w:p>
        </w:tc>
        <w:tc>
          <w:tcPr>
            <w:tcW w:w="220" w:type="dxa"/>
            <w:vAlign w:val="bottom"/>
          </w:tcPr>
          <w:p>
            <w:pPr>
              <w:jc w:val="right"/>
              <w:ind w:right="32"/>
              <w:spacing w:after="0" w:line="210" w:lineRule="exact"/>
              <w:rPr>
                <w:sz w:val="20"/>
                <w:szCs w:val="20"/>
                <w:color w:val="auto"/>
              </w:rPr>
            </w:pPr>
            <w:r>
              <w:rPr>
                <w:rFonts w:ascii="Calibri" w:cs="Calibri" w:eastAsia="Calibri" w:hAnsi="Calibri"/>
                <w:sz w:val="18"/>
                <w:szCs w:val="18"/>
                <w:color w:val="auto"/>
                <w:w w:val="87"/>
              </w:rPr>
              <w:t>$</w:t>
            </w:r>
          </w:p>
        </w:tc>
        <w:tc>
          <w:tcPr>
            <w:tcW w:w="1140" w:type="dxa"/>
            <w:vAlign w:val="bottom"/>
          </w:tcPr>
          <w:p>
            <w:pPr>
              <w:jc w:val="right"/>
              <w:spacing w:after="0" w:line="210" w:lineRule="exact"/>
              <w:rPr>
                <w:sz w:val="20"/>
                <w:szCs w:val="20"/>
                <w:color w:val="auto"/>
              </w:rPr>
            </w:pPr>
            <w:r>
              <w:rPr>
                <w:rFonts w:ascii="Calibri" w:cs="Calibri" w:eastAsia="Calibri" w:hAnsi="Calibri"/>
                <w:sz w:val="18"/>
                <w:szCs w:val="18"/>
                <w:color w:val="auto"/>
              </w:rPr>
              <w:t>27,891</w:t>
            </w:r>
          </w:p>
        </w:tc>
        <w:tc>
          <w:tcPr>
            <w:tcW w:w="100" w:type="dxa"/>
            <w:vAlign w:val="bottom"/>
          </w:tcPr>
          <w:p>
            <w:pPr>
              <w:spacing w:after="0"/>
              <w:rPr>
                <w:sz w:val="18"/>
                <w:szCs w:val="18"/>
                <w:color w:val="auto"/>
              </w:rPr>
            </w:pPr>
          </w:p>
        </w:tc>
        <w:tc>
          <w:tcPr>
            <w:tcW w:w="140" w:type="dxa"/>
            <w:vAlign w:val="bottom"/>
          </w:tcPr>
          <w:p>
            <w:pPr>
              <w:jc w:val="right"/>
              <w:spacing w:after="0" w:line="210" w:lineRule="exact"/>
              <w:rPr>
                <w:sz w:val="20"/>
                <w:szCs w:val="20"/>
                <w:color w:val="auto"/>
              </w:rPr>
            </w:pPr>
            <w:r>
              <w:rPr>
                <w:rFonts w:ascii="Calibri" w:cs="Calibri" w:eastAsia="Calibri" w:hAnsi="Calibri"/>
                <w:sz w:val="18"/>
                <w:szCs w:val="18"/>
                <w:color w:val="auto"/>
                <w:w w:val="87"/>
              </w:rPr>
              <w:t>$</w:t>
            </w:r>
          </w:p>
        </w:tc>
        <w:tc>
          <w:tcPr>
            <w:tcW w:w="1220" w:type="dxa"/>
            <w:vAlign w:val="bottom"/>
          </w:tcPr>
          <w:p>
            <w:pPr>
              <w:jc w:val="right"/>
              <w:spacing w:after="0" w:line="210" w:lineRule="exact"/>
              <w:rPr>
                <w:sz w:val="20"/>
                <w:szCs w:val="20"/>
                <w:color w:val="auto"/>
              </w:rPr>
            </w:pPr>
            <w:r>
              <w:rPr>
                <w:rFonts w:ascii="Calibri" w:cs="Calibri" w:eastAsia="Calibri" w:hAnsi="Calibri"/>
                <w:sz w:val="18"/>
                <w:szCs w:val="18"/>
                <w:color w:val="auto"/>
              </w:rPr>
              <w:t>26,277</w:t>
            </w:r>
          </w:p>
        </w:tc>
        <w:tc>
          <w:tcPr>
            <w:tcW w:w="100" w:type="dxa"/>
            <w:vAlign w:val="bottom"/>
          </w:tcPr>
          <w:p>
            <w:pPr>
              <w:spacing w:after="0"/>
              <w:rPr>
                <w:sz w:val="18"/>
                <w:szCs w:val="18"/>
                <w:color w:val="auto"/>
              </w:rPr>
            </w:pPr>
          </w:p>
        </w:tc>
        <w:tc>
          <w:tcPr>
            <w:tcW w:w="280" w:type="dxa"/>
            <w:vAlign w:val="bottom"/>
          </w:tcPr>
          <w:p>
            <w:pPr>
              <w:jc w:val="right"/>
              <w:ind w:right="92"/>
              <w:spacing w:after="0" w:line="210" w:lineRule="exact"/>
              <w:rPr>
                <w:sz w:val="20"/>
                <w:szCs w:val="20"/>
                <w:color w:val="auto"/>
              </w:rPr>
            </w:pPr>
            <w:r>
              <w:rPr>
                <w:rFonts w:ascii="Calibri" w:cs="Calibri" w:eastAsia="Calibri" w:hAnsi="Calibri"/>
                <w:sz w:val="18"/>
                <w:szCs w:val="18"/>
                <w:color w:val="auto"/>
                <w:w w:val="87"/>
              </w:rPr>
              <w:t>$</w:t>
            </w:r>
          </w:p>
        </w:tc>
        <w:tc>
          <w:tcPr>
            <w:tcW w:w="1080" w:type="dxa"/>
            <w:vAlign w:val="bottom"/>
          </w:tcPr>
          <w:p>
            <w:pPr>
              <w:jc w:val="right"/>
              <w:spacing w:after="0" w:line="210" w:lineRule="exact"/>
              <w:rPr>
                <w:sz w:val="20"/>
                <w:szCs w:val="20"/>
                <w:color w:val="auto"/>
              </w:rPr>
            </w:pPr>
            <w:r>
              <w:rPr>
                <w:rFonts w:ascii="Calibri" w:cs="Calibri" w:eastAsia="Calibri" w:hAnsi="Calibri"/>
                <w:sz w:val="18"/>
                <w:szCs w:val="18"/>
                <w:color w:val="auto"/>
              </w:rPr>
              <w:t>20,886</w:t>
            </w:r>
          </w:p>
        </w:tc>
      </w:tr>
      <w:tr>
        <w:trPr>
          <w:trHeight w:val="232"/>
        </w:trPr>
        <w:tc>
          <w:tcPr>
            <w:tcW w:w="6960" w:type="dxa"/>
            <w:vAlign w:val="bottom"/>
            <w:shd w:val="clear" w:color="auto" w:fill="CCEEFF"/>
          </w:tcPr>
          <w:p>
            <w:pPr>
              <w:ind w:left="140"/>
              <w:spacing w:after="0" w:line="217" w:lineRule="exact"/>
              <w:rPr>
                <w:sz w:val="20"/>
                <w:szCs w:val="20"/>
                <w:color w:val="auto"/>
              </w:rPr>
            </w:pPr>
            <w:r>
              <w:rPr>
                <w:rFonts w:ascii="Calibri" w:cs="Calibri" w:eastAsia="Calibri" w:hAnsi="Calibri"/>
                <w:sz w:val="18"/>
                <w:szCs w:val="18"/>
                <w:color w:val="auto"/>
              </w:rPr>
              <w:t>Subscriptons and services</w:t>
            </w:r>
          </w:p>
        </w:tc>
        <w:tc>
          <w:tcPr>
            <w:tcW w:w="22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line="217" w:lineRule="exact"/>
              <w:rPr>
                <w:sz w:val="20"/>
                <w:szCs w:val="20"/>
                <w:color w:val="auto"/>
              </w:rPr>
            </w:pPr>
            <w:r>
              <w:rPr>
                <w:rFonts w:ascii="Calibri" w:cs="Calibri" w:eastAsia="Calibri" w:hAnsi="Calibri"/>
                <w:sz w:val="18"/>
                <w:szCs w:val="18"/>
                <w:color w:val="auto"/>
              </w:rPr>
              <w:t>7,928</w:t>
            </w:r>
          </w:p>
        </w:tc>
        <w:tc>
          <w:tcPr>
            <w:tcW w:w="10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line="217" w:lineRule="exact"/>
              <w:rPr>
                <w:sz w:val="20"/>
                <w:szCs w:val="20"/>
                <w:color w:val="auto"/>
              </w:rPr>
            </w:pPr>
            <w:r>
              <w:rPr>
                <w:rFonts w:ascii="Calibri" w:cs="Calibri" w:eastAsia="Calibri" w:hAnsi="Calibri"/>
                <w:sz w:val="18"/>
                <w:szCs w:val="18"/>
                <w:color w:val="auto"/>
              </w:rPr>
              <w:t>6,926</w:t>
            </w:r>
          </w:p>
        </w:tc>
        <w:tc>
          <w:tcPr>
            <w:tcW w:w="100" w:type="dxa"/>
            <w:vAlign w:val="bottom"/>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line="217" w:lineRule="exact"/>
              <w:rPr>
                <w:sz w:val="20"/>
                <w:szCs w:val="20"/>
                <w:color w:val="auto"/>
              </w:rPr>
            </w:pPr>
            <w:r>
              <w:rPr>
                <w:rFonts w:ascii="Calibri" w:cs="Calibri" w:eastAsia="Calibri" w:hAnsi="Calibri"/>
                <w:sz w:val="18"/>
                <w:szCs w:val="18"/>
                <w:color w:val="auto"/>
              </w:rPr>
              <w:t>6,564</w:t>
            </w:r>
          </w:p>
        </w:tc>
      </w:tr>
      <w:tr>
        <w:trPr>
          <w:trHeight w:val="211"/>
        </w:trPr>
        <w:tc>
          <w:tcPr>
            <w:tcW w:w="6960" w:type="dxa"/>
            <w:vAlign w:val="bottom"/>
            <w:tcBorders>
              <w:bottom w:val="single" w:sz="8" w:color="CCEEFF"/>
            </w:tcBorders>
          </w:tcPr>
          <w:p>
            <w:pPr>
              <w:ind w:left="340"/>
              <w:spacing w:after="0" w:line="196" w:lineRule="exact"/>
              <w:rPr>
                <w:sz w:val="20"/>
                <w:szCs w:val="20"/>
                <w:color w:val="auto"/>
              </w:rPr>
            </w:pPr>
            <w:r>
              <w:rPr>
                <w:rFonts w:ascii="Calibri" w:cs="Calibri" w:eastAsia="Calibri" w:hAnsi="Calibri"/>
                <w:sz w:val="18"/>
                <w:szCs w:val="18"/>
                <w:color w:val="auto"/>
              </w:rPr>
              <w:t>Total net revenue</w:t>
            </w:r>
          </w:p>
        </w:tc>
        <w:tc>
          <w:tcPr>
            <w:tcW w:w="2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line="210" w:lineRule="exact"/>
              <w:rPr>
                <w:sz w:val="20"/>
                <w:szCs w:val="20"/>
                <w:color w:val="auto"/>
              </w:rPr>
            </w:pPr>
            <w:r>
              <w:rPr>
                <w:rFonts w:ascii="Calibri" w:cs="Calibri" w:eastAsia="Calibri" w:hAnsi="Calibri"/>
                <w:sz w:val="18"/>
                <w:szCs w:val="18"/>
                <w:color w:val="auto"/>
              </w:rPr>
              <w:t>35,819</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line="210" w:lineRule="exact"/>
              <w:rPr>
                <w:sz w:val="20"/>
                <w:szCs w:val="20"/>
                <w:color w:val="auto"/>
              </w:rPr>
            </w:pPr>
            <w:r>
              <w:rPr>
                <w:rFonts w:ascii="Calibri" w:cs="Calibri" w:eastAsia="Calibri" w:hAnsi="Calibri"/>
                <w:sz w:val="18"/>
                <w:szCs w:val="18"/>
                <w:color w:val="auto"/>
              </w:rPr>
              <w:t>33,203</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line="210" w:lineRule="exact"/>
              <w:rPr>
                <w:sz w:val="20"/>
                <w:szCs w:val="20"/>
                <w:color w:val="auto"/>
              </w:rPr>
            </w:pPr>
            <w:r>
              <w:rPr>
                <w:rFonts w:ascii="Calibri" w:cs="Calibri" w:eastAsia="Calibri" w:hAnsi="Calibri"/>
                <w:sz w:val="18"/>
                <w:szCs w:val="18"/>
                <w:color w:val="auto"/>
              </w:rPr>
              <w:t>27,450</w:t>
            </w:r>
          </w:p>
        </w:tc>
      </w:tr>
      <w:tr>
        <w:trPr>
          <w:trHeight w:val="204"/>
        </w:trPr>
        <w:tc>
          <w:tcPr>
            <w:tcW w:w="6960" w:type="dxa"/>
            <w:vAlign w:val="bottom"/>
            <w:tcBorders>
              <w:bottom w:val="single" w:sz="8" w:color="CCEEFF"/>
            </w:tcBorders>
            <w:shd w:val="clear" w:color="auto" w:fill="CCEEFF"/>
          </w:tcPr>
          <w:p>
            <w:pPr>
              <w:ind w:left="20"/>
              <w:spacing w:after="0" w:line="203" w:lineRule="exact"/>
              <w:rPr>
                <w:sz w:val="20"/>
                <w:szCs w:val="20"/>
                <w:color w:val="auto"/>
              </w:rPr>
            </w:pPr>
            <w:r>
              <w:rPr>
                <w:rFonts w:ascii="Calibri" w:cs="Calibri" w:eastAsia="Calibri" w:hAnsi="Calibri"/>
                <w:sz w:val="18"/>
                <w:szCs w:val="18"/>
                <w:color w:val="auto"/>
              </w:rPr>
              <w:t>Cost of revenue:</w:t>
            </w:r>
          </w:p>
        </w:tc>
        <w:tc>
          <w:tcPr>
            <w:tcW w:w="22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spacing w:after="0"/>
              <w:rPr>
                <w:sz w:val="17"/>
                <w:szCs w:val="17"/>
                <w:color w:val="auto"/>
              </w:rPr>
            </w:pPr>
          </w:p>
        </w:tc>
      </w:tr>
      <w:tr>
        <w:trPr>
          <w:trHeight w:val="217"/>
        </w:trPr>
        <w:tc>
          <w:tcPr>
            <w:tcW w:w="6960" w:type="dxa"/>
            <w:vAlign w:val="bottom"/>
          </w:tcPr>
          <w:p>
            <w:pPr>
              <w:ind w:left="140"/>
              <w:spacing w:after="0" w:line="210" w:lineRule="exact"/>
              <w:rPr>
                <w:sz w:val="20"/>
                <w:szCs w:val="20"/>
                <w:color w:val="auto"/>
              </w:rPr>
            </w:pPr>
            <w:r>
              <w:rPr>
                <w:rFonts w:ascii="Calibri" w:cs="Calibri" w:eastAsia="Calibri" w:hAnsi="Calibri"/>
                <w:sz w:val="18"/>
                <w:szCs w:val="18"/>
                <w:color w:val="auto"/>
              </w:rPr>
              <w:t>Cost of products sold</w:t>
            </w:r>
          </w:p>
        </w:tc>
        <w:tc>
          <w:tcPr>
            <w:tcW w:w="220" w:type="dxa"/>
            <w:vAlign w:val="bottom"/>
          </w:tcPr>
          <w:p>
            <w:pPr>
              <w:spacing w:after="0"/>
              <w:rPr>
                <w:sz w:val="18"/>
                <w:szCs w:val="18"/>
                <w:color w:val="auto"/>
              </w:rPr>
            </w:pPr>
          </w:p>
        </w:tc>
        <w:tc>
          <w:tcPr>
            <w:tcW w:w="1140" w:type="dxa"/>
            <w:vAlign w:val="bottom"/>
          </w:tcPr>
          <w:p>
            <w:pPr>
              <w:jc w:val="right"/>
              <w:spacing w:after="0" w:line="210" w:lineRule="exact"/>
              <w:rPr>
                <w:sz w:val="20"/>
                <w:szCs w:val="20"/>
                <w:color w:val="auto"/>
              </w:rPr>
            </w:pPr>
            <w:r>
              <w:rPr>
                <w:rFonts w:ascii="Calibri" w:cs="Calibri" w:eastAsia="Calibri" w:hAnsi="Calibri"/>
                <w:sz w:val="18"/>
                <w:szCs w:val="18"/>
                <w:color w:val="auto"/>
              </w:rPr>
              <w:t>8,636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spacing w:after="0" w:line="210" w:lineRule="exact"/>
              <w:rPr>
                <w:sz w:val="20"/>
                <w:szCs w:val="20"/>
                <w:color w:val="auto"/>
              </w:rPr>
            </w:pPr>
            <w:r>
              <w:rPr>
                <w:rFonts w:ascii="Calibri" w:cs="Calibri" w:eastAsia="Calibri" w:hAnsi="Calibri"/>
                <w:sz w:val="18"/>
                <w:szCs w:val="18"/>
                <w:color w:val="auto"/>
              </w:rPr>
              <w:t>7,629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spacing w:after="0" w:line="210" w:lineRule="exact"/>
              <w:rPr>
                <w:sz w:val="20"/>
                <w:szCs w:val="20"/>
                <w:color w:val="auto"/>
              </w:rPr>
            </w:pPr>
            <w:r>
              <w:rPr>
                <w:rFonts w:ascii="Calibri" w:cs="Calibri" w:eastAsia="Calibri" w:hAnsi="Calibri"/>
                <w:sz w:val="18"/>
                <w:szCs w:val="18"/>
                <w:color w:val="auto"/>
              </w:rPr>
              <w:t>6,555</w:t>
            </w:r>
          </w:p>
        </w:tc>
      </w:tr>
      <w:tr>
        <w:trPr>
          <w:trHeight w:val="232"/>
        </w:trPr>
        <w:tc>
          <w:tcPr>
            <w:tcW w:w="6960" w:type="dxa"/>
            <w:vAlign w:val="bottom"/>
            <w:shd w:val="clear" w:color="auto" w:fill="CCEEFF"/>
          </w:tcPr>
          <w:p>
            <w:pPr>
              <w:ind w:left="140"/>
              <w:spacing w:after="0" w:line="217" w:lineRule="exact"/>
              <w:rPr>
                <w:sz w:val="20"/>
                <w:szCs w:val="20"/>
                <w:color w:val="auto"/>
              </w:rPr>
            </w:pPr>
            <w:r>
              <w:rPr>
                <w:rFonts w:ascii="Calibri" w:cs="Calibri" w:eastAsia="Calibri" w:hAnsi="Calibri"/>
                <w:sz w:val="18"/>
                <w:szCs w:val="18"/>
                <w:color w:val="auto"/>
              </w:rPr>
              <w:t>Cost of subscriptons and services</w:t>
            </w:r>
          </w:p>
        </w:tc>
        <w:tc>
          <w:tcPr>
            <w:tcW w:w="22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line="217" w:lineRule="exact"/>
              <w:rPr>
                <w:sz w:val="20"/>
                <w:szCs w:val="20"/>
                <w:color w:val="auto"/>
              </w:rPr>
            </w:pPr>
            <w:r>
              <w:rPr>
                <w:rFonts w:ascii="Calibri" w:cs="Calibri" w:eastAsia="Calibri" w:hAnsi="Calibri"/>
                <w:sz w:val="18"/>
                <w:szCs w:val="18"/>
                <w:color w:val="auto"/>
              </w:rPr>
              <w:t>636</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line="217" w:lineRule="exact"/>
              <w:rPr>
                <w:sz w:val="20"/>
                <w:szCs w:val="20"/>
                <w:color w:val="auto"/>
              </w:rPr>
            </w:pPr>
            <w:r>
              <w:rPr>
                <w:rFonts w:ascii="Calibri" w:cs="Calibri" w:eastAsia="Calibri" w:hAnsi="Calibri"/>
                <w:sz w:val="18"/>
                <w:szCs w:val="18"/>
                <w:color w:val="auto"/>
              </w:rPr>
              <w:t>627</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line="217" w:lineRule="exact"/>
              <w:rPr>
                <w:sz w:val="20"/>
                <w:szCs w:val="20"/>
                <w:color w:val="auto"/>
              </w:rPr>
            </w:pPr>
            <w:r>
              <w:rPr>
                <w:rFonts w:ascii="Calibri" w:cs="Calibri" w:eastAsia="Calibri" w:hAnsi="Calibri"/>
                <w:sz w:val="18"/>
                <w:szCs w:val="18"/>
                <w:color w:val="auto"/>
              </w:rPr>
              <w:t>607</w:t>
            </w:r>
          </w:p>
        </w:tc>
      </w:tr>
      <w:tr>
        <w:trPr>
          <w:trHeight w:val="217"/>
        </w:trPr>
        <w:tc>
          <w:tcPr>
            <w:tcW w:w="6960" w:type="dxa"/>
            <w:vAlign w:val="bottom"/>
          </w:tcPr>
          <w:p>
            <w:pPr>
              <w:ind w:left="140"/>
              <w:spacing w:after="0" w:line="210" w:lineRule="exact"/>
              <w:rPr>
                <w:sz w:val="20"/>
                <w:szCs w:val="20"/>
                <w:color w:val="auto"/>
              </w:rPr>
            </w:pPr>
            <w:r>
              <w:rPr>
                <w:rFonts w:ascii="Calibri" w:cs="Calibri" w:eastAsia="Calibri" w:hAnsi="Calibri"/>
                <w:sz w:val="18"/>
                <w:szCs w:val="18"/>
                <w:color w:val="auto"/>
              </w:rPr>
              <w:t>Amortzaton of acquisiton-related intangible assets</w:t>
            </w:r>
          </w:p>
        </w:tc>
        <w:tc>
          <w:tcPr>
            <w:tcW w:w="220" w:type="dxa"/>
            <w:vAlign w:val="bottom"/>
          </w:tcPr>
          <w:p>
            <w:pPr>
              <w:spacing w:after="0"/>
              <w:rPr>
                <w:sz w:val="18"/>
                <w:szCs w:val="18"/>
                <w:color w:val="auto"/>
              </w:rPr>
            </w:pPr>
          </w:p>
        </w:tc>
        <w:tc>
          <w:tcPr>
            <w:tcW w:w="1140" w:type="dxa"/>
            <w:vAlign w:val="bottom"/>
          </w:tcPr>
          <w:p>
            <w:pPr>
              <w:jc w:val="right"/>
              <w:spacing w:after="0" w:line="210" w:lineRule="exact"/>
              <w:rPr>
                <w:sz w:val="20"/>
                <w:szCs w:val="20"/>
                <w:color w:val="auto"/>
              </w:rPr>
            </w:pPr>
            <w:r>
              <w:rPr>
                <w:rFonts w:ascii="Calibri" w:cs="Calibri" w:eastAsia="Calibri" w:hAnsi="Calibri"/>
                <w:sz w:val="18"/>
                <w:szCs w:val="18"/>
                <w:color w:val="auto"/>
              </w:rPr>
              <w:t>1,853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spacing w:after="0" w:line="210" w:lineRule="exact"/>
              <w:rPr>
                <w:sz w:val="20"/>
                <w:szCs w:val="20"/>
                <w:color w:val="auto"/>
              </w:rPr>
            </w:pPr>
            <w:r>
              <w:rPr>
                <w:rFonts w:ascii="Calibri" w:cs="Calibri" w:eastAsia="Calibri" w:hAnsi="Calibri"/>
                <w:sz w:val="18"/>
                <w:szCs w:val="18"/>
                <w:color w:val="auto"/>
              </w:rPr>
              <w:t>2,847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spacing w:after="0" w:line="210" w:lineRule="exact"/>
              <w:rPr>
                <w:sz w:val="20"/>
                <w:szCs w:val="20"/>
                <w:color w:val="auto"/>
              </w:rPr>
            </w:pPr>
            <w:r>
              <w:rPr>
                <w:rFonts w:ascii="Calibri" w:cs="Calibri" w:eastAsia="Calibri" w:hAnsi="Calibri"/>
                <w:sz w:val="18"/>
                <w:szCs w:val="18"/>
                <w:color w:val="auto"/>
              </w:rPr>
              <w:t>3,427</w:t>
            </w:r>
          </w:p>
        </w:tc>
      </w:tr>
      <w:tr>
        <w:trPr>
          <w:trHeight w:val="232"/>
        </w:trPr>
        <w:tc>
          <w:tcPr>
            <w:tcW w:w="6960" w:type="dxa"/>
            <w:vAlign w:val="bottom"/>
            <w:shd w:val="clear" w:color="auto" w:fill="CCEEFF"/>
          </w:tcPr>
          <w:p>
            <w:pPr>
              <w:ind w:left="140"/>
              <w:spacing w:after="0" w:line="217" w:lineRule="exact"/>
              <w:rPr>
                <w:sz w:val="20"/>
                <w:szCs w:val="20"/>
                <w:color w:val="auto"/>
              </w:rPr>
            </w:pPr>
            <w:r>
              <w:rPr>
                <w:rFonts w:ascii="Calibri" w:cs="Calibri" w:eastAsia="Calibri" w:hAnsi="Calibri"/>
                <w:sz w:val="18"/>
                <w:szCs w:val="18"/>
                <w:color w:val="auto"/>
              </w:rPr>
              <w:t>Restructuring charges</w:t>
            </w:r>
          </w:p>
        </w:tc>
        <w:tc>
          <w:tcPr>
            <w:tcW w:w="22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line="217" w:lineRule="exact"/>
              <w:rPr>
                <w:sz w:val="20"/>
                <w:szCs w:val="20"/>
                <w:color w:val="auto"/>
              </w:rPr>
            </w:pPr>
            <w:r>
              <w:rPr>
                <w:rFonts w:ascii="Calibri" w:cs="Calibri" w:eastAsia="Calibri" w:hAnsi="Calibri"/>
                <w:sz w:val="18"/>
                <w:szCs w:val="18"/>
                <w:color w:val="auto"/>
              </w:rPr>
              <w:t>4</w:t>
            </w:r>
          </w:p>
        </w:tc>
        <w:tc>
          <w:tcPr>
            <w:tcW w:w="10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line="217" w:lineRule="exact"/>
              <w:rPr>
                <w:sz w:val="20"/>
                <w:szCs w:val="20"/>
                <w:color w:val="auto"/>
              </w:rPr>
            </w:pPr>
            <w:r>
              <w:rPr>
                <w:rFonts w:ascii="Calibri" w:cs="Calibri" w:eastAsia="Calibri" w:hAnsi="Calibri"/>
                <w:sz w:val="18"/>
                <w:szCs w:val="18"/>
                <w:color w:val="auto"/>
              </w:rPr>
              <w:t>5</w:t>
            </w:r>
          </w:p>
        </w:tc>
        <w:tc>
          <w:tcPr>
            <w:tcW w:w="100" w:type="dxa"/>
            <w:vAlign w:val="bottom"/>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line="217" w:lineRule="exact"/>
              <w:rPr>
                <w:sz w:val="20"/>
                <w:szCs w:val="20"/>
                <w:color w:val="auto"/>
              </w:rPr>
            </w:pPr>
            <w:r>
              <w:rPr>
                <w:rFonts w:ascii="Calibri" w:cs="Calibri" w:eastAsia="Calibri" w:hAnsi="Calibri"/>
                <w:sz w:val="18"/>
                <w:szCs w:val="18"/>
                <w:color w:val="auto"/>
              </w:rPr>
              <w:t>17</w:t>
            </w:r>
          </w:p>
        </w:tc>
      </w:tr>
      <w:tr>
        <w:trPr>
          <w:trHeight w:val="211"/>
        </w:trPr>
        <w:tc>
          <w:tcPr>
            <w:tcW w:w="6960" w:type="dxa"/>
            <w:vAlign w:val="bottom"/>
            <w:tcBorders>
              <w:bottom w:val="single" w:sz="8" w:color="CCEEFF"/>
            </w:tcBorders>
          </w:tcPr>
          <w:p>
            <w:pPr>
              <w:ind w:left="340"/>
              <w:spacing w:after="0" w:line="196" w:lineRule="exact"/>
              <w:rPr>
                <w:sz w:val="20"/>
                <w:szCs w:val="20"/>
                <w:color w:val="auto"/>
              </w:rPr>
            </w:pPr>
            <w:r>
              <w:rPr>
                <w:rFonts w:ascii="Calibri" w:cs="Calibri" w:eastAsia="Calibri" w:hAnsi="Calibri"/>
                <w:sz w:val="18"/>
                <w:szCs w:val="18"/>
                <w:color w:val="auto"/>
              </w:rPr>
              <w:t>Total cost of revenue</w:t>
            </w:r>
          </w:p>
        </w:tc>
        <w:tc>
          <w:tcPr>
            <w:tcW w:w="2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line="210" w:lineRule="exact"/>
              <w:rPr>
                <w:sz w:val="20"/>
                <w:szCs w:val="20"/>
                <w:color w:val="auto"/>
              </w:rPr>
            </w:pPr>
            <w:r>
              <w:rPr>
                <w:rFonts w:ascii="Calibri" w:cs="Calibri" w:eastAsia="Calibri" w:hAnsi="Calibri"/>
                <w:sz w:val="18"/>
                <w:szCs w:val="18"/>
                <w:color w:val="auto"/>
              </w:rPr>
              <w:t>11,129</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line="210" w:lineRule="exact"/>
              <w:rPr>
                <w:sz w:val="20"/>
                <w:szCs w:val="20"/>
                <w:color w:val="auto"/>
              </w:rPr>
            </w:pPr>
            <w:r>
              <w:rPr>
                <w:rFonts w:ascii="Calibri" w:cs="Calibri" w:eastAsia="Calibri" w:hAnsi="Calibri"/>
                <w:sz w:val="18"/>
                <w:szCs w:val="18"/>
                <w:color w:val="auto"/>
              </w:rPr>
              <w:t>11,108</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line="210" w:lineRule="exact"/>
              <w:rPr>
                <w:sz w:val="20"/>
                <w:szCs w:val="20"/>
                <w:color w:val="auto"/>
              </w:rPr>
            </w:pPr>
            <w:r>
              <w:rPr>
                <w:rFonts w:ascii="Calibri" w:cs="Calibri" w:eastAsia="Calibri" w:hAnsi="Calibri"/>
                <w:sz w:val="18"/>
                <w:szCs w:val="18"/>
                <w:color w:val="auto"/>
              </w:rPr>
              <w:t>10,606</w:t>
            </w:r>
          </w:p>
        </w:tc>
      </w:tr>
      <w:tr>
        <w:trPr>
          <w:trHeight w:val="224"/>
        </w:trPr>
        <w:tc>
          <w:tcPr>
            <w:tcW w:w="6960" w:type="dxa"/>
            <w:vAlign w:val="bottom"/>
            <w:shd w:val="clear" w:color="auto" w:fill="CCEEFF"/>
          </w:tcPr>
          <w:p>
            <w:pPr>
              <w:ind w:left="20"/>
              <w:spacing w:after="0" w:line="203" w:lineRule="exact"/>
              <w:rPr>
                <w:sz w:val="20"/>
                <w:szCs w:val="20"/>
                <w:color w:val="auto"/>
              </w:rPr>
            </w:pPr>
            <w:r>
              <w:rPr>
                <w:rFonts w:ascii="Calibri" w:cs="Calibri" w:eastAsia="Calibri" w:hAnsi="Calibri"/>
                <w:sz w:val="18"/>
                <w:szCs w:val="18"/>
                <w:color w:val="auto"/>
              </w:rPr>
              <w:t>Gross margin</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line="210" w:lineRule="exact"/>
              <w:rPr>
                <w:sz w:val="20"/>
                <w:szCs w:val="20"/>
                <w:color w:val="auto"/>
              </w:rPr>
            </w:pPr>
            <w:r>
              <w:rPr>
                <w:rFonts w:ascii="Calibri" w:cs="Calibri" w:eastAsia="Calibri" w:hAnsi="Calibri"/>
                <w:sz w:val="18"/>
                <w:szCs w:val="18"/>
                <w:color w:val="auto"/>
              </w:rPr>
              <w:t>24,690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line="210" w:lineRule="exact"/>
              <w:rPr>
                <w:sz w:val="20"/>
                <w:szCs w:val="20"/>
                <w:color w:val="auto"/>
              </w:rPr>
            </w:pPr>
            <w:r>
              <w:rPr>
                <w:rFonts w:ascii="Calibri" w:cs="Calibri" w:eastAsia="Calibri" w:hAnsi="Calibri"/>
                <w:sz w:val="18"/>
                <w:szCs w:val="18"/>
                <w:color w:val="auto"/>
              </w:rPr>
              <w:t>22,095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line="210" w:lineRule="exact"/>
              <w:rPr>
                <w:sz w:val="20"/>
                <w:szCs w:val="20"/>
                <w:color w:val="auto"/>
              </w:rPr>
            </w:pPr>
            <w:r>
              <w:rPr>
                <w:rFonts w:ascii="Calibri" w:cs="Calibri" w:eastAsia="Calibri" w:hAnsi="Calibri"/>
                <w:sz w:val="18"/>
                <w:szCs w:val="18"/>
                <w:color w:val="auto"/>
              </w:rPr>
              <w:t>16,844</w:t>
            </w:r>
          </w:p>
        </w:tc>
      </w:tr>
      <w:tr>
        <w:trPr>
          <w:trHeight w:val="217"/>
        </w:trPr>
        <w:tc>
          <w:tcPr>
            <w:tcW w:w="6960" w:type="dxa"/>
            <w:vAlign w:val="bottom"/>
          </w:tcPr>
          <w:p>
            <w:pPr>
              <w:ind w:left="20"/>
              <w:spacing w:after="0" w:line="210" w:lineRule="exact"/>
              <w:rPr>
                <w:sz w:val="20"/>
                <w:szCs w:val="20"/>
                <w:color w:val="auto"/>
              </w:rPr>
            </w:pPr>
            <w:r>
              <w:rPr>
                <w:rFonts w:ascii="Calibri" w:cs="Calibri" w:eastAsia="Calibri" w:hAnsi="Calibri"/>
                <w:sz w:val="18"/>
                <w:szCs w:val="18"/>
                <w:color w:val="auto"/>
              </w:rPr>
              <w:t>Research and development</w:t>
            </w:r>
          </w:p>
        </w:tc>
        <w:tc>
          <w:tcPr>
            <w:tcW w:w="220" w:type="dxa"/>
            <w:vAlign w:val="bottom"/>
          </w:tcPr>
          <w:p>
            <w:pPr>
              <w:spacing w:after="0"/>
              <w:rPr>
                <w:sz w:val="18"/>
                <w:szCs w:val="18"/>
                <w:color w:val="auto"/>
              </w:rPr>
            </w:pPr>
          </w:p>
        </w:tc>
        <w:tc>
          <w:tcPr>
            <w:tcW w:w="1140" w:type="dxa"/>
            <w:vAlign w:val="bottom"/>
          </w:tcPr>
          <w:p>
            <w:pPr>
              <w:jc w:val="right"/>
              <w:spacing w:after="0" w:line="210" w:lineRule="exact"/>
              <w:rPr>
                <w:sz w:val="20"/>
                <w:szCs w:val="20"/>
                <w:color w:val="auto"/>
              </w:rPr>
            </w:pPr>
            <w:r>
              <w:rPr>
                <w:rFonts w:ascii="Calibri" w:cs="Calibri" w:eastAsia="Calibri" w:hAnsi="Calibri"/>
                <w:sz w:val="18"/>
                <w:szCs w:val="18"/>
                <w:color w:val="auto"/>
              </w:rPr>
              <w:t>5,253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spacing w:after="0" w:line="210" w:lineRule="exact"/>
              <w:rPr>
                <w:sz w:val="20"/>
                <w:szCs w:val="20"/>
                <w:color w:val="auto"/>
              </w:rPr>
            </w:pPr>
            <w:r>
              <w:rPr>
                <w:rFonts w:ascii="Calibri" w:cs="Calibri" w:eastAsia="Calibri" w:hAnsi="Calibri"/>
                <w:sz w:val="18"/>
                <w:szCs w:val="18"/>
                <w:color w:val="auto"/>
              </w:rPr>
              <w:t>4,919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spacing w:after="0" w:line="210" w:lineRule="exact"/>
              <w:rPr>
                <w:sz w:val="20"/>
                <w:szCs w:val="20"/>
                <w:color w:val="auto"/>
              </w:rPr>
            </w:pPr>
            <w:r>
              <w:rPr>
                <w:rFonts w:ascii="Calibri" w:cs="Calibri" w:eastAsia="Calibri" w:hAnsi="Calibri"/>
                <w:sz w:val="18"/>
                <w:szCs w:val="18"/>
                <w:color w:val="auto"/>
              </w:rPr>
              <w:t>4,854</w:t>
            </w:r>
          </w:p>
        </w:tc>
      </w:tr>
      <w:tr>
        <w:trPr>
          <w:trHeight w:val="232"/>
        </w:trPr>
        <w:tc>
          <w:tcPr>
            <w:tcW w:w="6960" w:type="dxa"/>
            <w:vAlign w:val="bottom"/>
            <w:shd w:val="clear" w:color="auto" w:fill="CCEEFF"/>
          </w:tcPr>
          <w:p>
            <w:pPr>
              <w:ind w:left="20"/>
              <w:spacing w:after="0" w:line="217" w:lineRule="exact"/>
              <w:rPr>
                <w:sz w:val="20"/>
                <w:szCs w:val="20"/>
                <w:color w:val="auto"/>
              </w:rPr>
            </w:pPr>
            <w:r>
              <w:rPr>
                <w:rFonts w:ascii="Calibri" w:cs="Calibri" w:eastAsia="Calibri" w:hAnsi="Calibri"/>
                <w:sz w:val="18"/>
                <w:szCs w:val="18"/>
                <w:color w:val="auto"/>
              </w:rPr>
              <w:t>Selling, general and administratve</w:t>
            </w:r>
          </w:p>
        </w:tc>
        <w:tc>
          <w:tcPr>
            <w:tcW w:w="22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line="217" w:lineRule="exact"/>
              <w:rPr>
                <w:sz w:val="20"/>
                <w:szCs w:val="20"/>
                <w:color w:val="auto"/>
              </w:rPr>
            </w:pPr>
            <w:r>
              <w:rPr>
                <w:rFonts w:ascii="Calibri" w:cs="Calibri" w:eastAsia="Calibri" w:hAnsi="Calibri"/>
                <w:sz w:val="18"/>
                <w:szCs w:val="18"/>
                <w:color w:val="auto"/>
              </w:rPr>
              <w:t>1,592</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line="217" w:lineRule="exact"/>
              <w:rPr>
                <w:sz w:val="20"/>
                <w:szCs w:val="20"/>
                <w:color w:val="auto"/>
              </w:rPr>
            </w:pPr>
            <w:r>
              <w:rPr>
                <w:rFonts w:ascii="Calibri" w:cs="Calibri" w:eastAsia="Calibri" w:hAnsi="Calibri"/>
                <w:sz w:val="18"/>
                <w:szCs w:val="18"/>
                <w:color w:val="auto"/>
              </w:rPr>
              <w:t>1,382</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line="217" w:lineRule="exact"/>
              <w:rPr>
                <w:sz w:val="20"/>
                <w:szCs w:val="20"/>
                <w:color w:val="auto"/>
              </w:rPr>
            </w:pPr>
            <w:r>
              <w:rPr>
                <w:rFonts w:ascii="Calibri" w:cs="Calibri" w:eastAsia="Calibri" w:hAnsi="Calibri"/>
                <w:sz w:val="18"/>
                <w:szCs w:val="18"/>
                <w:color w:val="auto"/>
              </w:rPr>
              <w:t>1,347</w:t>
            </w:r>
          </w:p>
        </w:tc>
      </w:tr>
      <w:tr>
        <w:trPr>
          <w:trHeight w:val="217"/>
        </w:trPr>
        <w:tc>
          <w:tcPr>
            <w:tcW w:w="6960" w:type="dxa"/>
            <w:vAlign w:val="bottom"/>
          </w:tcPr>
          <w:p>
            <w:pPr>
              <w:ind w:left="20"/>
              <w:spacing w:after="0" w:line="210" w:lineRule="exact"/>
              <w:rPr>
                <w:sz w:val="20"/>
                <w:szCs w:val="20"/>
                <w:color w:val="auto"/>
              </w:rPr>
            </w:pPr>
            <w:r>
              <w:rPr>
                <w:rFonts w:ascii="Calibri" w:cs="Calibri" w:eastAsia="Calibri" w:hAnsi="Calibri"/>
                <w:sz w:val="18"/>
                <w:szCs w:val="18"/>
                <w:color w:val="auto"/>
              </w:rPr>
              <w:t>Amortzaton of acquisiton-related intangible assets</w:t>
            </w:r>
          </w:p>
        </w:tc>
        <w:tc>
          <w:tcPr>
            <w:tcW w:w="220" w:type="dxa"/>
            <w:vAlign w:val="bottom"/>
          </w:tcPr>
          <w:p>
            <w:pPr>
              <w:spacing w:after="0"/>
              <w:rPr>
                <w:sz w:val="18"/>
                <w:szCs w:val="18"/>
                <w:color w:val="auto"/>
              </w:rPr>
            </w:pPr>
          </w:p>
        </w:tc>
        <w:tc>
          <w:tcPr>
            <w:tcW w:w="1140" w:type="dxa"/>
            <w:vAlign w:val="bottom"/>
          </w:tcPr>
          <w:p>
            <w:pPr>
              <w:jc w:val="right"/>
              <w:spacing w:after="0" w:line="210" w:lineRule="exact"/>
              <w:rPr>
                <w:sz w:val="20"/>
                <w:szCs w:val="20"/>
                <w:color w:val="auto"/>
              </w:rPr>
            </w:pPr>
            <w:r>
              <w:rPr>
                <w:rFonts w:ascii="Calibri" w:cs="Calibri" w:eastAsia="Calibri" w:hAnsi="Calibri"/>
                <w:sz w:val="18"/>
                <w:szCs w:val="18"/>
                <w:color w:val="auto"/>
              </w:rPr>
              <w:t>1,394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spacing w:after="0" w:line="210" w:lineRule="exact"/>
              <w:rPr>
                <w:sz w:val="20"/>
                <w:szCs w:val="20"/>
                <w:color w:val="auto"/>
              </w:rPr>
            </w:pPr>
            <w:r>
              <w:rPr>
                <w:rFonts w:ascii="Calibri" w:cs="Calibri" w:eastAsia="Calibri" w:hAnsi="Calibri"/>
                <w:sz w:val="18"/>
                <w:szCs w:val="18"/>
                <w:color w:val="auto"/>
              </w:rPr>
              <w:t>1,512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spacing w:after="0" w:line="210" w:lineRule="exact"/>
              <w:rPr>
                <w:sz w:val="20"/>
                <w:szCs w:val="20"/>
                <w:color w:val="auto"/>
              </w:rPr>
            </w:pPr>
            <w:r>
              <w:rPr>
                <w:rFonts w:ascii="Calibri" w:cs="Calibri" w:eastAsia="Calibri" w:hAnsi="Calibri"/>
                <w:sz w:val="18"/>
                <w:szCs w:val="18"/>
                <w:color w:val="auto"/>
              </w:rPr>
              <w:t>1,976</w:t>
            </w:r>
          </w:p>
        </w:tc>
      </w:tr>
      <w:tr>
        <w:trPr>
          <w:trHeight w:val="232"/>
        </w:trPr>
        <w:tc>
          <w:tcPr>
            <w:tcW w:w="6960" w:type="dxa"/>
            <w:vAlign w:val="bottom"/>
            <w:shd w:val="clear" w:color="auto" w:fill="CCEEFF"/>
          </w:tcPr>
          <w:p>
            <w:pPr>
              <w:ind w:left="20"/>
              <w:spacing w:after="0" w:line="217" w:lineRule="exact"/>
              <w:rPr>
                <w:sz w:val="20"/>
                <w:szCs w:val="20"/>
                <w:color w:val="auto"/>
              </w:rPr>
            </w:pPr>
            <w:r>
              <w:rPr>
                <w:rFonts w:ascii="Calibri" w:cs="Calibri" w:eastAsia="Calibri" w:hAnsi="Calibri"/>
                <w:sz w:val="18"/>
                <w:szCs w:val="18"/>
                <w:color w:val="auto"/>
              </w:rPr>
              <w:t>Restructuring and other charges</w:t>
            </w:r>
          </w:p>
        </w:tc>
        <w:tc>
          <w:tcPr>
            <w:tcW w:w="22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line="217" w:lineRule="exact"/>
              <w:rPr>
                <w:sz w:val="20"/>
                <w:szCs w:val="20"/>
                <w:color w:val="auto"/>
              </w:rPr>
            </w:pPr>
            <w:r>
              <w:rPr>
                <w:rFonts w:ascii="Calibri" w:cs="Calibri" w:eastAsia="Calibri" w:hAnsi="Calibri"/>
                <w:sz w:val="18"/>
                <w:szCs w:val="18"/>
                <w:color w:val="auto"/>
              </w:rPr>
              <w:t>244</w:t>
            </w:r>
          </w:p>
        </w:tc>
        <w:tc>
          <w:tcPr>
            <w:tcW w:w="10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line="217" w:lineRule="exact"/>
              <w:rPr>
                <w:sz w:val="20"/>
                <w:szCs w:val="20"/>
                <w:color w:val="auto"/>
              </w:rPr>
            </w:pPr>
            <w:r>
              <w:rPr>
                <w:rFonts w:ascii="Calibri" w:cs="Calibri" w:eastAsia="Calibri" w:hAnsi="Calibri"/>
                <w:sz w:val="18"/>
                <w:szCs w:val="18"/>
                <w:color w:val="auto"/>
              </w:rPr>
              <w:t>57</w:t>
            </w:r>
          </w:p>
        </w:tc>
        <w:tc>
          <w:tcPr>
            <w:tcW w:w="100" w:type="dxa"/>
            <w:vAlign w:val="bottom"/>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line="217" w:lineRule="exact"/>
              <w:rPr>
                <w:sz w:val="20"/>
                <w:szCs w:val="20"/>
                <w:color w:val="auto"/>
              </w:rPr>
            </w:pPr>
            <w:r>
              <w:rPr>
                <w:rFonts w:ascii="Calibri" w:cs="Calibri" w:eastAsia="Calibri" w:hAnsi="Calibri"/>
                <w:sz w:val="18"/>
                <w:szCs w:val="18"/>
                <w:color w:val="auto"/>
              </w:rPr>
              <w:t>148</w:t>
            </w:r>
          </w:p>
        </w:tc>
      </w:tr>
      <w:tr>
        <w:trPr>
          <w:trHeight w:val="211"/>
        </w:trPr>
        <w:tc>
          <w:tcPr>
            <w:tcW w:w="6960" w:type="dxa"/>
            <w:vAlign w:val="bottom"/>
            <w:tcBorders>
              <w:bottom w:val="single" w:sz="8" w:color="CCEEFF"/>
            </w:tcBorders>
          </w:tcPr>
          <w:p>
            <w:pPr>
              <w:ind w:left="340"/>
              <w:spacing w:after="0" w:line="196" w:lineRule="exact"/>
              <w:rPr>
                <w:sz w:val="20"/>
                <w:szCs w:val="20"/>
                <w:color w:val="auto"/>
              </w:rPr>
            </w:pPr>
            <w:r>
              <w:rPr>
                <w:rFonts w:ascii="Calibri" w:cs="Calibri" w:eastAsia="Calibri" w:hAnsi="Calibri"/>
                <w:sz w:val="18"/>
                <w:szCs w:val="18"/>
                <w:color w:val="auto"/>
              </w:rPr>
              <w:t>Total operatng expenses</w:t>
            </w:r>
          </w:p>
        </w:tc>
        <w:tc>
          <w:tcPr>
            <w:tcW w:w="2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line="210" w:lineRule="exact"/>
              <w:rPr>
                <w:sz w:val="20"/>
                <w:szCs w:val="20"/>
                <w:color w:val="auto"/>
              </w:rPr>
            </w:pPr>
            <w:r>
              <w:rPr>
                <w:rFonts w:ascii="Calibri" w:cs="Calibri" w:eastAsia="Calibri" w:hAnsi="Calibri"/>
                <w:sz w:val="18"/>
                <w:szCs w:val="18"/>
                <w:color w:val="auto"/>
              </w:rPr>
              <w:t>8,483</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line="210" w:lineRule="exact"/>
              <w:rPr>
                <w:sz w:val="20"/>
                <w:szCs w:val="20"/>
                <w:color w:val="auto"/>
              </w:rPr>
            </w:pPr>
            <w:r>
              <w:rPr>
                <w:rFonts w:ascii="Calibri" w:cs="Calibri" w:eastAsia="Calibri" w:hAnsi="Calibri"/>
                <w:sz w:val="18"/>
                <w:szCs w:val="18"/>
                <w:color w:val="auto"/>
              </w:rPr>
              <w:t>7,870</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line="210" w:lineRule="exact"/>
              <w:rPr>
                <w:sz w:val="20"/>
                <w:szCs w:val="20"/>
                <w:color w:val="auto"/>
              </w:rPr>
            </w:pPr>
            <w:r>
              <w:rPr>
                <w:rFonts w:ascii="Calibri" w:cs="Calibri" w:eastAsia="Calibri" w:hAnsi="Calibri"/>
                <w:sz w:val="18"/>
                <w:szCs w:val="18"/>
                <w:color w:val="auto"/>
              </w:rPr>
              <w:t>8,325</w:t>
            </w:r>
          </w:p>
        </w:tc>
      </w:tr>
      <w:tr>
        <w:trPr>
          <w:trHeight w:val="224"/>
        </w:trPr>
        <w:tc>
          <w:tcPr>
            <w:tcW w:w="6960" w:type="dxa"/>
            <w:vAlign w:val="bottom"/>
            <w:shd w:val="clear" w:color="auto" w:fill="CCEEFF"/>
          </w:tcPr>
          <w:p>
            <w:pPr>
              <w:ind w:left="20"/>
              <w:spacing w:after="0" w:line="203" w:lineRule="exact"/>
              <w:rPr>
                <w:sz w:val="20"/>
                <w:szCs w:val="20"/>
                <w:color w:val="auto"/>
              </w:rPr>
            </w:pPr>
            <w:r>
              <w:rPr>
                <w:rFonts w:ascii="Calibri" w:cs="Calibri" w:eastAsia="Calibri" w:hAnsi="Calibri"/>
                <w:sz w:val="18"/>
                <w:szCs w:val="18"/>
                <w:color w:val="auto"/>
              </w:rPr>
              <w:t>Operatng income</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line="210" w:lineRule="exact"/>
              <w:rPr>
                <w:sz w:val="20"/>
                <w:szCs w:val="20"/>
                <w:color w:val="auto"/>
              </w:rPr>
            </w:pPr>
            <w:r>
              <w:rPr>
                <w:rFonts w:ascii="Calibri" w:cs="Calibri" w:eastAsia="Calibri" w:hAnsi="Calibri"/>
                <w:sz w:val="18"/>
                <w:szCs w:val="18"/>
                <w:color w:val="auto"/>
              </w:rPr>
              <w:t>16,207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line="210" w:lineRule="exact"/>
              <w:rPr>
                <w:sz w:val="20"/>
                <w:szCs w:val="20"/>
                <w:color w:val="auto"/>
              </w:rPr>
            </w:pPr>
            <w:r>
              <w:rPr>
                <w:rFonts w:ascii="Calibri" w:cs="Calibri" w:eastAsia="Calibri" w:hAnsi="Calibri"/>
                <w:sz w:val="18"/>
                <w:szCs w:val="18"/>
                <w:color w:val="auto"/>
              </w:rPr>
              <w:t>14,225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line="210" w:lineRule="exact"/>
              <w:rPr>
                <w:sz w:val="20"/>
                <w:szCs w:val="20"/>
                <w:color w:val="auto"/>
              </w:rPr>
            </w:pPr>
            <w:r>
              <w:rPr>
                <w:rFonts w:ascii="Calibri" w:cs="Calibri" w:eastAsia="Calibri" w:hAnsi="Calibri"/>
                <w:sz w:val="18"/>
                <w:szCs w:val="18"/>
                <w:color w:val="auto"/>
              </w:rPr>
              <w:t>8,519</w:t>
            </w:r>
          </w:p>
        </w:tc>
      </w:tr>
      <w:tr>
        <w:trPr>
          <w:trHeight w:val="217"/>
        </w:trPr>
        <w:tc>
          <w:tcPr>
            <w:tcW w:w="6960" w:type="dxa"/>
            <w:vAlign w:val="bottom"/>
          </w:tcPr>
          <w:p>
            <w:pPr>
              <w:ind w:left="20"/>
              <w:spacing w:after="0" w:line="210" w:lineRule="exact"/>
              <w:rPr>
                <w:sz w:val="20"/>
                <w:szCs w:val="20"/>
                <w:color w:val="auto"/>
              </w:rPr>
            </w:pPr>
            <w:r>
              <w:rPr>
                <w:rFonts w:ascii="Calibri" w:cs="Calibri" w:eastAsia="Calibri" w:hAnsi="Calibri"/>
                <w:sz w:val="18"/>
                <w:szCs w:val="18"/>
                <w:color w:val="auto"/>
              </w:rPr>
              <w:t>Interest expense</w:t>
            </w:r>
          </w:p>
        </w:tc>
        <w:tc>
          <w:tcPr>
            <w:tcW w:w="220" w:type="dxa"/>
            <w:vAlign w:val="bottom"/>
          </w:tcPr>
          <w:p>
            <w:pPr>
              <w:spacing w:after="0"/>
              <w:rPr>
                <w:sz w:val="18"/>
                <w:szCs w:val="18"/>
                <w:color w:val="auto"/>
              </w:rPr>
            </w:pPr>
          </w:p>
        </w:tc>
        <w:tc>
          <w:tcPr>
            <w:tcW w:w="1140" w:type="dxa"/>
            <w:vAlign w:val="bottom"/>
          </w:tcPr>
          <w:p>
            <w:pPr>
              <w:jc w:val="right"/>
              <w:spacing w:after="0" w:line="210" w:lineRule="exact"/>
              <w:rPr>
                <w:sz w:val="20"/>
                <w:szCs w:val="20"/>
                <w:color w:val="auto"/>
              </w:rPr>
            </w:pPr>
            <w:r>
              <w:rPr>
                <w:rFonts w:ascii="Calibri" w:cs="Calibri" w:eastAsia="Calibri" w:hAnsi="Calibri"/>
                <w:sz w:val="18"/>
                <w:szCs w:val="18"/>
                <w:color w:val="auto"/>
              </w:rPr>
              <w:t>(1,622)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spacing w:after="0" w:line="210" w:lineRule="exact"/>
              <w:rPr>
                <w:sz w:val="20"/>
                <w:szCs w:val="20"/>
                <w:color w:val="auto"/>
              </w:rPr>
            </w:pPr>
            <w:r>
              <w:rPr>
                <w:rFonts w:ascii="Calibri" w:cs="Calibri" w:eastAsia="Calibri" w:hAnsi="Calibri"/>
                <w:sz w:val="18"/>
                <w:szCs w:val="18"/>
                <w:color w:val="auto"/>
              </w:rPr>
              <w:t>(1,737)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spacing w:after="0" w:line="210" w:lineRule="exact"/>
              <w:rPr>
                <w:sz w:val="20"/>
                <w:szCs w:val="20"/>
                <w:color w:val="auto"/>
              </w:rPr>
            </w:pPr>
            <w:r>
              <w:rPr>
                <w:rFonts w:ascii="Calibri" w:cs="Calibri" w:eastAsia="Calibri" w:hAnsi="Calibri"/>
                <w:sz w:val="18"/>
                <w:szCs w:val="18"/>
                <w:color w:val="auto"/>
              </w:rPr>
              <w:t>(1,885)</w:t>
            </w:r>
          </w:p>
        </w:tc>
      </w:tr>
      <w:tr>
        <w:trPr>
          <w:trHeight w:val="232"/>
        </w:trPr>
        <w:tc>
          <w:tcPr>
            <w:tcW w:w="6960" w:type="dxa"/>
            <w:vAlign w:val="bottom"/>
            <w:shd w:val="clear" w:color="auto" w:fill="CCEEFF"/>
          </w:tcPr>
          <w:p>
            <w:pPr>
              <w:ind w:left="20"/>
              <w:spacing w:after="0" w:line="217" w:lineRule="exact"/>
              <w:rPr>
                <w:sz w:val="20"/>
                <w:szCs w:val="20"/>
                <w:color w:val="auto"/>
              </w:rPr>
            </w:pPr>
            <w:r>
              <w:rPr>
                <w:rFonts w:ascii="Calibri" w:cs="Calibri" w:eastAsia="Calibri" w:hAnsi="Calibri"/>
                <w:sz w:val="18"/>
                <w:szCs w:val="18"/>
                <w:color w:val="auto"/>
              </w:rPr>
              <w:t>Other income (expense), net</w:t>
            </w:r>
          </w:p>
        </w:tc>
        <w:tc>
          <w:tcPr>
            <w:tcW w:w="22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line="217" w:lineRule="exact"/>
              <w:rPr>
                <w:sz w:val="20"/>
                <w:szCs w:val="20"/>
                <w:color w:val="auto"/>
              </w:rPr>
            </w:pPr>
            <w:r>
              <w:rPr>
                <w:rFonts w:ascii="Calibri" w:cs="Calibri" w:eastAsia="Calibri" w:hAnsi="Calibri"/>
                <w:sz w:val="18"/>
                <w:szCs w:val="18"/>
                <w:color w:val="auto"/>
              </w:rPr>
              <w:t>512</w:t>
            </w:r>
          </w:p>
        </w:tc>
        <w:tc>
          <w:tcPr>
            <w:tcW w:w="10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line="217" w:lineRule="exact"/>
              <w:rPr>
                <w:sz w:val="20"/>
                <w:szCs w:val="20"/>
                <w:color w:val="auto"/>
              </w:rPr>
            </w:pPr>
            <w:r>
              <w:rPr>
                <w:rFonts w:ascii="Calibri" w:cs="Calibri" w:eastAsia="Calibri" w:hAnsi="Calibri"/>
                <w:sz w:val="18"/>
                <w:szCs w:val="18"/>
                <w:color w:val="auto"/>
              </w:rPr>
              <w:t>(54)</w:t>
            </w:r>
          </w:p>
        </w:tc>
        <w:tc>
          <w:tcPr>
            <w:tcW w:w="100" w:type="dxa"/>
            <w:vAlign w:val="bottom"/>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line="217" w:lineRule="exact"/>
              <w:rPr>
                <w:sz w:val="20"/>
                <w:szCs w:val="20"/>
                <w:color w:val="auto"/>
              </w:rPr>
            </w:pPr>
            <w:r>
              <w:rPr>
                <w:rFonts w:ascii="Calibri" w:cs="Calibri" w:eastAsia="Calibri" w:hAnsi="Calibri"/>
                <w:sz w:val="18"/>
                <w:szCs w:val="18"/>
                <w:color w:val="auto"/>
              </w:rPr>
              <w:t>131</w:t>
            </w:r>
          </w:p>
        </w:tc>
      </w:tr>
      <w:tr>
        <w:trPr>
          <w:trHeight w:val="210"/>
        </w:trPr>
        <w:tc>
          <w:tcPr>
            <w:tcW w:w="6960" w:type="dxa"/>
            <w:vAlign w:val="bottom"/>
          </w:tcPr>
          <w:p>
            <w:pPr>
              <w:ind w:left="20"/>
              <w:spacing w:after="0" w:line="196" w:lineRule="exact"/>
              <w:rPr>
                <w:sz w:val="20"/>
                <w:szCs w:val="20"/>
                <w:color w:val="auto"/>
              </w:rPr>
            </w:pPr>
            <w:r>
              <w:rPr>
                <w:rFonts w:ascii="Calibri" w:cs="Calibri" w:eastAsia="Calibri" w:hAnsi="Calibri"/>
                <w:sz w:val="18"/>
                <w:szCs w:val="18"/>
                <w:color w:val="auto"/>
              </w:rPr>
              <w:t>Income before income taxes</w:t>
            </w:r>
          </w:p>
        </w:tc>
        <w:tc>
          <w:tcPr>
            <w:tcW w:w="220" w:type="dxa"/>
            <w:vAlign w:val="bottom"/>
          </w:tcPr>
          <w:p>
            <w:pPr>
              <w:spacing w:after="0"/>
              <w:rPr>
                <w:sz w:val="18"/>
                <w:szCs w:val="18"/>
                <w:color w:val="auto"/>
              </w:rPr>
            </w:pPr>
          </w:p>
        </w:tc>
        <w:tc>
          <w:tcPr>
            <w:tcW w:w="1140" w:type="dxa"/>
            <w:vAlign w:val="bottom"/>
          </w:tcPr>
          <w:p>
            <w:pPr>
              <w:jc w:val="right"/>
              <w:spacing w:after="0" w:line="210" w:lineRule="exact"/>
              <w:rPr>
                <w:sz w:val="20"/>
                <w:szCs w:val="20"/>
                <w:color w:val="auto"/>
              </w:rPr>
            </w:pPr>
            <w:r>
              <w:rPr>
                <w:rFonts w:ascii="Calibri" w:cs="Calibri" w:eastAsia="Calibri" w:hAnsi="Calibri"/>
                <w:sz w:val="18"/>
                <w:szCs w:val="18"/>
                <w:color w:val="auto"/>
              </w:rPr>
              <w:t>15,097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spacing w:after="0" w:line="210" w:lineRule="exact"/>
              <w:rPr>
                <w:sz w:val="20"/>
                <w:szCs w:val="20"/>
                <w:color w:val="auto"/>
              </w:rPr>
            </w:pPr>
            <w:r>
              <w:rPr>
                <w:rFonts w:ascii="Calibri" w:cs="Calibri" w:eastAsia="Calibri" w:hAnsi="Calibri"/>
                <w:sz w:val="18"/>
                <w:szCs w:val="18"/>
                <w:color w:val="auto"/>
              </w:rPr>
              <w:t>12,434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spacing w:after="0" w:line="210" w:lineRule="exact"/>
              <w:rPr>
                <w:sz w:val="20"/>
                <w:szCs w:val="20"/>
                <w:color w:val="auto"/>
              </w:rPr>
            </w:pPr>
            <w:r>
              <w:rPr>
                <w:rFonts w:ascii="Calibri" w:cs="Calibri" w:eastAsia="Calibri" w:hAnsi="Calibri"/>
                <w:sz w:val="18"/>
                <w:szCs w:val="18"/>
                <w:color w:val="auto"/>
              </w:rPr>
              <w:t>6,765</w:t>
            </w:r>
          </w:p>
        </w:tc>
      </w:tr>
      <w:tr>
        <w:trPr>
          <w:trHeight w:val="232"/>
        </w:trPr>
        <w:tc>
          <w:tcPr>
            <w:tcW w:w="6960" w:type="dxa"/>
            <w:vAlign w:val="bottom"/>
            <w:shd w:val="clear" w:color="auto" w:fill="CCEEFF"/>
          </w:tcPr>
          <w:p>
            <w:pPr>
              <w:ind w:left="20"/>
              <w:spacing w:after="0" w:line="217" w:lineRule="exact"/>
              <w:rPr>
                <w:sz w:val="20"/>
                <w:szCs w:val="20"/>
                <w:color w:val="auto"/>
              </w:rPr>
            </w:pPr>
            <w:r>
              <w:rPr>
                <w:rFonts w:ascii="Calibri" w:cs="Calibri" w:eastAsia="Calibri" w:hAnsi="Calibri"/>
                <w:sz w:val="18"/>
                <w:szCs w:val="18"/>
                <w:color w:val="auto"/>
              </w:rPr>
              <w:t>Provision for income taxes</w:t>
            </w:r>
          </w:p>
        </w:tc>
        <w:tc>
          <w:tcPr>
            <w:tcW w:w="22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line="217" w:lineRule="exact"/>
              <w:rPr>
                <w:sz w:val="20"/>
                <w:szCs w:val="20"/>
                <w:color w:val="auto"/>
              </w:rPr>
            </w:pPr>
            <w:r>
              <w:rPr>
                <w:rFonts w:ascii="Calibri" w:cs="Calibri" w:eastAsia="Calibri" w:hAnsi="Calibri"/>
                <w:sz w:val="18"/>
                <w:szCs w:val="18"/>
                <w:color w:val="auto"/>
              </w:rPr>
              <w:t>1,015</w:t>
            </w:r>
          </w:p>
        </w:tc>
        <w:tc>
          <w:tcPr>
            <w:tcW w:w="10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line="217" w:lineRule="exact"/>
              <w:rPr>
                <w:sz w:val="20"/>
                <w:szCs w:val="20"/>
                <w:color w:val="auto"/>
              </w:rPr>
            </w:pPr>
            <w:r>
              <w:rPr>
                <w:rFonts w:ascii="Calibri" w:cs="Calibri" w:eastAsia="Calibri" w:hAnsi="Calibri"/>
                <w:sz w:val="18"/>
                <w:szCs w:val="18"/>
                <w:color w:val="auto"/>
              </w:rPr>
              <w:t>939</w:t>
            </w:r>
          </w:p>
        </w:tc>
        <w:tc>
          <w:tcPr>
            <w:tcW w:w="100" w:type="dxa"/>
            <w:vAlign w:val="bottom"/>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line="217" w:lineRule="exact"/>
              <w:rPr>
                <w:sz w:val="20"/>
                <w:szCs w:val="20"/>
                <w:color w:val="auto"/>
              </w:rPr>
            </w:pPr>
            <w:r>
              <w:rPr>
                <w:rFonts w:ascii="Calibri" w:cs="Calibri" w:eastAsia="Calibri" w:hAnsi="Calibri"/>
                <w:sz w:val="18"/>
                <w:szCs w:val="18"/>
                <w:color w:val="auto"/>
              </w:rPr>
              <w:t>29</w:t>
            </w:r>
          </w:p>
        </w:tc>
      </w:tr>
      <w:tr>
        <w:trPr>
          <w:trHeight w:val="210"/>
        </w:trPr>
        <w:tc>
          <w:tcPr>
            <w:tcW w:w="6960" w:type="dxa"/>
            <w:vAlign w:val="bottom"/>
          </w:tcPr>
          <w:p>
            <w:pPr>
              <w:ind w:left="20"/>
              <w:spacing w:after="0" w:line="196" w:lineRule="exact"/>
              <w:rPr>
                <w:sz w:val="20"/>
                <w:szCs w:val="20"/>
                <w:color w:val="auto"/>
              </w:rPr>
            </w:pPr>
            <w:r>
              <w:rPr>
                <w:rFonts w:ascii="Calibri" w:cs="Calibri" w:eastAsia="Calibri" w:hAnsi="Calibri"/>
                <w:sz w:val="18"/>
                <w:szCs w:val="18"/>
                <w:color w:val="auto"/>
              </w:rPr>
              <w:t>Net income</w:t>
            </w:r>
          </w:p>
        </w:tc>
        <w:tc>
          <w:tcPr>
            <w:tcW w:w="220" w:type="dxa"/>
            <w:vAlign w:val="bottom"/>
          </w:tcPr>
          <w:p>
            <w:pPr>
              <w:spacing w:after="0"/>
              <w:rPr>
                <w:sz w:val="18"/>
                <w:szCs w:val="18"/>
                <w:color w:val="auto"/>
              </w:rPr>
            </w:pPr>
          </w:p>
        </w:tc>
        <w:tc>
          <w:tcPr>
            <w:tcW w:w="1140" w:type="dxa"/>
            <w:vAlign w:val="bottom"/>
          </w:tcPr>
          <w:p>
            <w:pPr>
              <w:jc w:val="right"/>
              <w:spacing w:after="0" w:line="210" w:lineRule="exact"/>
              <w:rPr>
                <w:sz w:val="20"/>
                <w:szCs w:val="20"/>
                <w:color w:val="auto"/>
              </w:rPr>
            </w:pPr>
            <w:r>
              <w:rPr>
                <w:rFonts w:ascii="Calibri" w:cs="Calibri" w:eastAsia="Calibri" w:hAnsi="Calibri"/>
                <w:sz w:val="18"/>
                <w:szCs w:val="18"/>
                <w:color w:val="auto"/>
              </w:rPr>
              <w:t>14,082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spacing w:after="0" w:line="210" w:lineRule="exact"/>
              <w:rPr>
                <w:sz w:val="20"/>
                <w:szCs w:val="20"/>
                <w:color w:val="auto"/>
              </w:rPr>
            </w:pPr>
            <w:r>
              <w:rPr>
                <w:rFonts w:ascii="Calibri" w:cs="Calibri" w:eastAsia="Calibri" w:hAnsi="Calibri"/>
                <w:sz w:val="18"/>
                <w:szCs w:val="18"/>
                <w:color w:val="auto"/>
              </w:rPr>
              <w:t>11,495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spacing w:after="0" w:line="210" w:lineRule="exact"/>
              <w:rPr>
                <w:sz w:val="20"/>
                <w:szCs w:val="20"/>
                <w:color w:val="auto"/>
              </w:rPr>
            </w:pPr>
            <w:r>
              <w:rPr>
                <w:rFonts w:ascii="Calibri" w:cs="Calibri" w:eastAsia="Calibri" w:hAnsi="Calibri"/>
                <w:sz w:val="18"/>
                <w:szCs w:val="18"/>
                <w:color w:val="auto"/>
              </w:rPr>
              <w:t>6,736</w:t>
            </w:r>
          </w:p>
        </w:tc>
      </w:tr>
      <w:tr>
        <w:trPr>
          <w:trHeight w:val="232"/>
        </w:trPr>
        <w:tc>
          <w:tcPr>
            <w:tcW w:w="6960" w:type="dxa"/>
            <w:vAlign w:val="bottom"/>
            <w:shd w:val="clear" w:color="auto" w:fill="CCEEFF"/>
          </w:tcPr>
          <w:p>
            <w:pPr>
              <w:ind w:left="20"/>
              <w:spacing w:after="0" w:line="217" w:lineRule="exact"/>
              <w:rPr>
                <w:sz w:val="20"/>
                <w:szCs w:val="20"/>
                <w:color w:val="auto"/>
              </w:rPr>
            </w:pPr>
            <w:r>
              <w:rPr>
                <w:rFonts w:ascii="Calibri" w:cs="Calibri" w:eastAsia="Calibri" w:hAnsi="Calibri"/>
                <w:sz w:val="18"/>
                <w:szCs w:val="18"/>
                <w:color w:val="auto"/>
              </w:rPr>
              <w:t>Dividends on preferred stock</w:t>
            </w:r>
          </w:p>
        </w:tc>
        <w:tc>
          <w:tcPr>
            <w:tcW w:w="22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180"/>
              <w:spacing w:after="0" w:line="217" w:lineRule="exact"/>
              <w:rPr>
                <w:sz w:val="20"/>
                <w:szCs w:val="20"/>
                <w:color w:val="auto"/>
              </w:rPr>
            </w:pPr>
            <w:r>
              <w:rPr>
                <w:rFonts w:ascii="Calibri" w:cs="Calibri" w:eastAsia="Calibri" w:hAnsi="Calibri"/>
                <w:sz w:val="18"/>
                <w:szCs w:val="18"/>
                <w:color w:val="auto"/>
              </w:rPr>
              <w:t>—</w:t>
            </w:r>
          </w:p>
        </w:tc>
        <w:tc>
          <w:tcPr>
            <w:tcW w:w="14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line="217" w:lineRule="exact"/>
              <w:rPr>
                <w:sz w:val="20"/>
                <w:szCs w:val="20"/>
                <w:color w:val="auto"/>
              </w:rPr>
            </w:pPr>
            <w:r>
              <w:rPr>
                <w:rFonts w:ascii="Calibri" w:cs="Calibri" w:eastAsia="Calibri" w:hAnsi="Calibri"/>
                <w:sz w:val="18"/>
                <w:szCs w:val="18"/>
                <w:color w:val="auto"/>
              </w:rPr>
              <w:t>(272)</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line="217" w:lineRule="exact"/>
              <w:rPr>
                <w:sz w:val="20"/>
                <w:szCs w:val="20"/>
                <w:color w:val="auto"/>
              </w:rPr>
            </w:pPr>
            <w:r>
              <w:rPr>
                <w:rFonts w:ascii="Calibri" w:cs="Calibri" w:eastAsia="Calibri" w:hAnsi="Calibri"/>
                <w:sz w:val="18"/>
                <w:szCs w:val="18"/>
                <w:color w:val="auto"/>
              </w:rPr>
              <w:t>(299)</w:t>
            </w:r>
          </w:p>
        </w:tc>
      </w:tr>
      <w:tr>
        <w:trPr>
          <w:trHeight w:val="218"/>
        </w:trPr>
        <w:tc>
          <w:tcPr>
            <w:tcW w:w="6960" w:type="dxa"/>
            <w:vAlign w:val="bottom"/>
          </w:tcPr>
          <w:p>
            <w:pPr>
              <w:ind w:left="20"/>
              <w:spacing w:after="0" w:line="217" w:lineRule="exact"/>
              <w:rPr>
                <w:sz w:val="20"/>
                <w:szCs w:val="20"/>
                <w:color w:val="auto"/>
              </w:rPr>
            </w:pPr>
            <w:r>
              <w:rPr>
                <w:rFonts w:ascii="Calibri" w:cs="Calibri" w:eastAsia="Calibri" w:hAnsi="Calibri"/>
                <w:sz w:val="18"/>
                <w:szCs w:val="18"/>
                <w:color w:val="auto"/>
              </w:rPr>
              <w:t>Net income atributable to common stock</w:t>
            </w:r>
          </w:p>
        </w:tc>
        <w:tc>
          <w:tcPr>
            <w:tcW w:w="220" w:type="dxa"/>
            <w:vAlign w:val="bottom"/>
            <w:tcBorders>
              <w:top w:val="single" w:sz="8" w:color="auto"/>
              <w:bottom w:val="single" w:sz="8" w:color="auto"/>
            </w:tcBorders>
          </w:tcPr>
          <w:p>
            <w:pPr>
              <w:jc w:val="right"/>
              <w:ind w:right="32"/>
              <w:spacing w:after="0" w:line="210" w:lineRule="exact"/>
              <w:rPr>
                <w:sz w:val="20"/>
                <w:szCs w:val="20"/>
                <w:color w:val="auto"/>
              </w:rPr>
            </w:pPr>
            <w:r>
              <w:rPr>
                <w:rFonts w:ascii="Calibri" w:cs="Calibri" w:eastAsia="Calibri" w:hAnsi="Calibri"/>
                <w:sz w:val="18"/>
                <w:szCs w:val="18"/>
                <w:color w:val="auto"/>
                <w:w w:val="87"/>
              </w:rPr>
              <w:t>$</w:t>
            </w:r>
          </w:p>
        </w:tc>
        <w:tc>
          <w:tcPr>
            <w:tcW w:w="1140" w:type="dxa"/>
            <w:vAlign w:val="bottom"/>
            <w:tcBorders>
              <w:top w:val="single" w:sz="8" w:color="auto"/>
              <w:bottom w:val="single" w:sz="8" w:color="auto"/>
            </w:tcBorders>
          </w:tcPr>
          <w:p>
            <w:pPr>
              <w:jc w:val="right"/>
              <w:spacing w:after="0" w:line="210" w:lineRule="exact"/>
              <w:rPr>
                <w:sz w:val="20"/>
                <w:szCs w:val="20"/>
                <w:color w:val="auto"/>
              </w:rPr>
            </w:pPr>
            <w:r>
              <w:rPr>
                <w:rFonts w:ascii="Calibri" w:cs="Calibri" w:eastAsia="Calibri" w:hAnsi="Calibri"/>
                <w:sz w:val="18"/>
                <w:szCs w:val="18"/>
                <w:color w:val="auto"/>
              </w:rPr>
              <w:t>14,082</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line="210" w:lineRule="exact"/>
              <w:rPr>
                <w:sz w:val="20"/>
                <w:szCs w:val="20"/>
                <w:color w:val="auto"/>
              </w:rPr>
            </w:pPr>
            <w:r>
              <w:rPr>
                <w:rFonts w:ascii="Calibri" w:cs="Calibri" w:eastAsia="Calibri" w:hAnsi="Calibri"/>
                <w:sz w:val="18"/>
                <w:szCs w:val="18"/>
                <w:color w:val="auto"/>
                <w:w w:val="87"/>
              </w:rPr>
              <w:t>$</w:t>
            </w:r>
          </w:p>
        </w:tc>
        <w:tc>
          <w:tcPr>
            <w:tcW w:w="1220" w:type="dxa"/>
            <w:vAlign w:val="bottom"/>
            <w:tcBorders>
              <w:top w:val="single" w:sz="8" w:color="auto"/>
              <w:bottom w:val="single" w:sz="8" w:color="auto"/>
            </w:tcBorders>
          </w:tcPr>
          <w:p>
            <w:pPr>
              <w:jc w:val="right"/>
              <w:spacing w:after="0" w:line="210" w:lineRule="exact"/>
              <w:rPr>
                <w:sz w:val="20"/>
                <w:szCs w:val="20"/>
                <w:color w:val="auto"/>
              </w:rPr>
            </w:pPr>
            <w:r>
              <w:rPr>
                <w:rFonts w:ascii="Calibri" w:cs="Calibri" w:eastAsia="Calibri" w:hAnsi="Calibri"/>
                <w:sz w:val="18"/>
                <w:szCs w:val="18"/>
                <w:color w:val="auto"/>
              </w:rPr>
              <w:t>11,223</w:t>
            </w:r>
          </w:p>
        </w:tc>
        <w:tc>
          <w:tcPr>
            <w:tcW w:w="10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92"/>
              <w:spacing w:after="0" w:line="210" w:lineRule="exact"/>
              <w:rPr>
                <w:sz w:val="20"/>
                <w:szCs w:val="20"/>
                <w:color w:val="auto"/>
              </w:rPr>
            </w:pPr>
            <w:r>
              <w:rPr>
                <w:rFonts w:ascii="Calibri" w:cs="Calibri" w:eastAsia="Calibri" w:hAnsi="Calibri"/>
                <w:sz w:val="18"/>
                <w:szCs w:val="18"/>
                <w:color w:val="auto"/>
                <w:w w:val="87"/>
              </w:rPr>
              <w:t>$</w:t>
            </w:r>
          </w:p>
        </w:tc>
        <w:tc>
          <w:tcPr>
            <w:tcW w:w="1080" w:type="dxa"/>
            <w:vAlign w:val="bottom"/>
            <w:tcBorders>
              <w:top w:val="single" w:sz="8" w:color="auto"/>
              <w:bottom w:val="single" w:sz="8" w:color="auto"/>
            </w:tcBorders>
          </w:tcPr>
          <w:p>
            <w:pPr>
              <w:jc w:val="right"/>
              <w:spacing w:after="0" w:line="210" w:lineRule="exact"/>
              <w:rPr>
                <w:sz w:val="20"/>
                <w:szCs w:val="20"/>
                <w:color w:val="auto"/>
              </w:rPr>
            </w:pPr>
            <w:r>
              <w:rPr>
                <w:rFonts w:ascii="Calibri" w:cs="Calibri" w:eastAsia="Calibri" w:hAnsi="Calibri"/>
                <w:sz w:val="18"/>
                <w:szCs w:val="18"/>
                <w:color w:val="auto"/>
              </w:rPr>
              <w:t>6,437</w:t>
            </w:r>
          </w:p>
        </w:tc>
      </w:tr>
      <w:tr>
        <w:trPr>
          <w:trHeight w:val="20"/>
        </w:trPr>
        <w:tc>
          <w:tcPr>
            <w:tcW w:w="69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125"/>
        </w:trPr>
        <w:tc>
          <w:tcPr>
            <w:tcW w:w="69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2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080" w:type="dxa"/>
            <w:vAlign w:val="bottom"/>
            <w:shd w:val="clear" w:color="auto" w:fill="CCEEFF"/>
          </w:tcPr>
          <w:p>
            <w:pPr>
              <w:spacing w:after="0"/>
              <w:rPr>
                <w:sz w:val="10"/>
                <w:szCs w:val="10"/>
                <w:color w:val="auto"/>
              </w:rPr>
            </w:pPr>
          </w:p>
        </w:tc>
      </w:tr>
      <w:tr>
        <w:trPr>
          <w:trHeight w:val="217"/>
        </w:trPr>
        <w:tc>
          <w:tcPr>
            <w:tcW w:w="6960" w:type="dxa"/>
            <w:vAlign w:val="bottom"/>
          </w:tcPr>
          <w:p>
            <w:pPr>
              <w:ind w:left="20"/>
              <w:spacing w:after="0" w:line="210" w:lineRule="exact"/>
              <w:rPr>
                <w:sz w:val="20"/>
                <w:szCs w:val="20"/>
                <w:color w:val="auto"/>
              </w:rPr>
            </w:pPr>
            <w:r>
              <w:rPr>
                <w:rFonts w:ascii="Calibri" w:cs="Calibri" w:eastAsia="Calibri" w:hAnsi="Calibri"/>
                <w:sz w:val="18"/>
                <w:szCs w:val="18"/>
                <w:color w:val="auto"/>
              </w:rPr>
              <w:t>Net income per share atributable to common stock:</w:t>
            </w: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32"/>
        </w:trPr>
        <w:tc>
          <w:tcPr>
            <w:tcW w:w="6960" w:type="dxa"/>
            <w:vAlign w:val="bottom"/>
            <w:shd w:val="clear" w:color="auto" w:fill="CCEEFF"/>
          </w:tcPr>
          <w:p>
            <w:pPr>
              <w:ind w:left="140"/>
              <w:spacing w:after="0" w:line="217" w:lineRule="exact"/>
              <w:rPr>
                <w:sz w:val="20"/>
                <w:szCs w:val="20"/>
                <w:color w:val="auto"/>
              </w:rPr>
            </w:pPr>
            <w:r>
              <w:rPr>
                <w:rFonts w:ascii="Calibri" w:cs="Calibri" w:eastAsia="Calibri" w:hAnsi="Calibri"/>
                <w:sz w:val="18"/>
                <w:szCs w:val="18"/>
                <w:color w:val="auto"/>
              </w:rPr>
              <w:t>Basic</w:t>
            </w:r>
          </w:p>
        </w:tc>
        <w:tc>
          <w:tcPr>
            <w:tcW w:w="220" w:type="dxa"/>
            <w:vAlign w:val="bottom"/>
            <w:shd w:val="clear" w:color="auto" w:fill="CCEEFF"/>
          </w:tcPr>
          <w:p>
            <w:pPr>
              <w:jc w:val="right"/>
              <w:ind w:right="32"/>
              <w:spacing w:after="0" w:line="217" w:lineRule="exact"/>
              <w:rPr>
                <w:sz w:val="20"/>
                <w:szCs w:val="20"/>
                <w:color w:val="auto"/>
              </w:rPr>
            </w:pPr>
            <w:r>
              <w:rPr>
                <w:rFonts w:ascii="Calibri" w:cs="Calibri" w:eastAsia="Calibri" w:hAnsi="Calibri"/>
                <w:sz w:val="18"/>
                <w:szCs w:val="18"/>
                <w:color w:val="auto"/>
                <w:w w:val="87"/>
              </w:rPr>
              <w:t>$</w:t>
            </w:r>
          </w:p>
        </w:tc>
        <w:tc>
          <w:tcPr>
            <w:tcW w:w="1140" w:type="dxa"/>
            <w:vAlign w:val="bottom"/>
            <w:shd w:val="clear" w:color="auto" w:fill="CCEEFF"/>
          </w:tcPr>
          <w:p>
            <w:pPr>
              <w:jc w:val="right"/>
              <w:spacing w:after="0" w:line="217" w:lineRule="exact"/>
              <w:rPr>
                <w:sz w:val="20"/>
                <w:szCs w:val="20"/>
                <w:color w:val="auto"/>
              </w:rPr>
            </w:pPr>
            <w:r>
              <w:rPr>
                <w:rFonts w:ascii="Calibri" w:cs="Calibri" w:eastAsia="Calibri" w:hAnsi="Calibri"/>
                <w:sz w:val="18"/>
                <w:szCs w:val="18"/>
                <w:color w:val="auto"/>
              </w:rPr>
              <w:t>33.93</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line="217" w:lineRule="exact"/>
              <w:rPr>
                <w:sz w:val="20"/>
                <w:szCs w:val="20"/>
                <w:color w:val="auto"/>
              </w:rPr>
            </w:pPr>
            <w:r>
              <w:rPr>
                <w:rFonts w:ascii="Calibri" w:cs="Calibri" w:eastAsia="Calibri" w:hAnsi="Calibri"/>
                <w:sz w:val="18"/>
                <w:szCs w:val="18"/>
                <w:color w:val="auto"/>
                <w:w w:val="87"/>
              </w:rPr>
              <w:t>$</w:t>
            </w:r>
          </w:p>
        </w:tc>
        <w:tc>
          <w:tcPr>
            <w:tcW w:w="1220" w:type="dxa"/>
            <w:vAlign w:val="bottom"/>
            <w:shd w:val="clear" w:color="auto" w:fill="CCEEFF"/>
          </w:tcPr>
          <w:p>
            <w:pPr>
              <w:jc w:val="right"/>
              <w:spacing w:after="0" w:line="217" w:lineRule="exact"/>
              <w:rPr>
                <w:sz w:val="20"/>
                <w:szCs w:val="20"/>
                <w:color w:val="auto"/>
              </w:rPr>
            </w:pPr>
            <w:r>
              <w:rPr>
                <w:rFonts w:ascii="Calibri" w:cs="Calibri" w:eastAsia="Calibri" w:hAnsi="Calibri"/>
                <w:sz w:val="18"/>
                <w:szCs w:val="18"/>
                <w:color w:val="auto"/>
              </w:rPr>
              <w:t>27.44</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2"/>
              <w:spacing w:after="0" w:line="217" w:lineRule="exact"/>
              <w:rPr>
                <w:sz w:val="20"/>
                <w:szCs w:val="20"/>
                <w:color w:val="auto"/>
              </w:rPr>
            </w:pPr>
            <w:r>
              <w:rPr>
                <w:rFonts w:ascii="Calibri" w:cs="Calibri" w:eastAsia="Calibri" w:hAnsi="Calibri"/>
                <w:sz w:val="18"/>
                <w:szCs w:val="18"/>
                <w:color w:val="auto"/>
                <w:w w:val="87"/>
              </w:rPr>
              <w:t>$</w:t>
            </w:r>
          </w:p>
        </w:tc>
        <w:tc>
          <w:tcPr>
            <w:tcW w:w="1080" w:type="dxa"/>
            <w:vAlign w:val="bottom"/>
            <w:shd w:val="clear" w:color="auto" w:fill="CCEEFF"/>
          </w:tcPr>
          <w:p>
            <w:pPr>
              <w:jc w:val="right"/>
              <w:spacing w:after="0" w:line="217" w:lineRule="exact"/>
              <w:rPr>
                <w:sz w:val="20"/>
                <w:szCs w:val="20"/>
                <w:color w:val="auto"/>
              </w:rPr>
            </w:pPr>
            <w:r>
              <w:rPr>
                <w:rFonts w:ascii="Calibri" w:cs="Calibri" w:eastAsia="Calibri" w:hAnsi="Calibri"/>
                <w:sz w:val="18"/>
                <w:szCs w:val="18"/>
                <w:color w:val="auto"/>
              </w:rPr>
              <w:t>15.70</w:t>
            </w:r>
          </w:p>
        </w:tc>
      </w:tr>
      <w:tr>
        <w:trPr>
          <w:trHeight w:val="217"/>
        </w:trPr>
        <w:tc>
          <w:tcPr>
            <w:tcW w:w="6960" w:type="dxa"/>
            <w:vAlign w:val="bottom"/>
          </w:tcPr>
          <w:p>
            <w:pPr>
              <w:ind w:left="140"/>
              <w:spacing w:after="0" w:line="210" w:lineRule="exact"/>
              <w:rPr>
                <w:sz w:val="20"/>
                <w:szCs w:val="20"/>
                <w:color w:val="auto"/>
              </w:rPr>
            </w:pPr>
            <w:r>
              <w:rPr>
                <w:rFonts w:ascii="Calibri" w:cs="Calibri" w:eastAsia="Calibri" w:hAnsi="Calibri"/>
                <w:sz w:val="18"/>
                <w:szCs w:val="18"/>
                <w:color w:val="auto"/>
              </w:rPr>
              <w:t>Diluted</w:t>
            </w:r>
          </w:p>
        </w:tc>
        <w:tc>
          <w:tcPr>
            <w:tcW w:w="220" w:type="dxa"/>
            <w:vAlign w:val="bottom"/>
          </w:tcPr>
          <w:p>
            <w:pPr>
              <w:jc w:val="right"/>
              <w:ind w:right="32"/>
              <w:spacing w:after="0" w:line="210" w:lineRule="exact"/>
              <w:rPr>
                <w:sz w:val="20"/>
                <w:szCs w:val="20"/>
                <w:color w:val="auto"/>
              </w:rPr>
            </w:pPr>
            <w:r>
              <w:rPr>
                <w:rFonts w:ascii="Calibri" w:cs="Calibri" w:eastAsia="Calibri" w:hAnsi="Calibri"/>
                <w:sz w:val="18"/>
                <w:szCs w:val="18"/>
                <w:color w:val="auto"/>
                <w:w w:val="87"/>
              </w:rPr>
              <w:t>$</w:t>
            </w:r>
          </w:p>
        </w:tc>
        <w:tc>
          <w:tcPr>
            <w:tcW w:w="1140" w:type="dxa"/>
            <w:vAlign w:val="bottom"/>
          </w:tcPr>
          <w:p>
            <w:pPr>
              <w:jc w:val="right"/>
              <w:spacing w:after="0" w:line="210" w:lineRule="exact"/>
              <w:rPr>
                <w:sz w:val="20"/>
                <w:szCs w:val="20"/>
                <w:color w:val="auto"/>
              </w:rPr>
            </w:pPr>
            <w:r>
              <w:rPr>
                <w:rFonts w:ascii="Calibri" w:cs="Calibri" w:eastAsia="Calibri" w:hAnsi="Calibri"/>
                <w:sz w:val="18"/>
                <w:szCs w:val="18"/>
                <w:color w:val="auto"/>
              </w:rPr>
              <w:t>32.98</w:t>
            </w:r>
          </w:p>
        </w:tc>
        <w:tc>
          <w:tcPr>
            <w:tcW w:w="100" w:type="dxa"/>
            <w:vAlign w:val="bottom"/>
          </w:tcPr>
          <w:p>
            <w:pPr>
              <w:spacing w:after="0"/>
              <w:rPr>
                <w:sz w:val="18"/>
                <w:szCs w:val="18"/>
                <w:color w:val="auto"/>
              </w:rPr>
            </w:pPr>
          </w:p>
        </w:tc>
        <w:tc>
          <w:tcPr>
            <w:tcW w:w="140" w:type="dxa"/>
            <w:vAlign w:val="bottom"/>
          </w:tcPr>
          <w:p>
            <w:pPr>
              <w:jc w:val="right"/>
              <w:spacing w:after="0" w:line="210" w:lineRule="exact"/>
              <w:rPr>
                <w:sz w:val="20"/>
                <w:szCs w:val="20"/>
                <w:color w:val="auto"/>
              </w:rPr>
            </w:pPr>
            <w:r>
              <w:rPr>
                <w:rFonts w:ascii="Calibri" w:cs="Calibri" w:eastAsia="Calibri" w:hAnsi="Calibri"/>
                <w:sz w:val="18"/>
                <w:szCs w:val="18"/>
                <w:color w:val="auto"/>
                <w:w w:val="87"/>
              </w:rPr>
              <w:t>$</w:t>
            </w:r>
          </w:p>
        </w:tc>
        <w:tc>
          <w:tcPr>
            <w:tcW w:w="1220" w:type="dxa"/>
            <w:vAlign w:val="bottom"/>
          </w:tcPr>
          <w:p>
            <w:pPr>
              <w:jc w:val="right"/>
              <w:spacing w:after="0" w:line="210" w:lineRule="exact"/>
              <w:rPr>
                <w:sz w:val="20"/>
                <w:szCs w:val="20"/>
                <w:color w:val="auto"/>
              </w:rPr>
            </w:pPr>
            <w:r>
              <w:rPr>
                <w:rFonts w:ascii="Calibri" w:cs="Calibri" w:eastAsia="Calibri" w:hAnsi="Calibri"/>
                <w:sz w:val="18"/>
                <w:szCs w:val="18"/>
                <w:color w:val="auto"/>
              </w:rPr>
              <w:t>26.53</w:t>
            </w:r>
          </w:p>
        </w:tc>
        <w:tc>
          <w:tcPr>
            <w:tcW w:w="100" w:type="dxa"/>
            <w:vAlign w:val="bottom"/>
          </w:tcPr>
          <w:p>
            <w:pPr>
              <w:spacing w:after="0"/>
              <w:rPr>
                <w:sz w:val="18"/>
                <w:szCs w:val="18"/>
                <w:color w:val="auto"/>
              </w:rPr>
            </w:pPr>
          </w:p>
        </w:tc>
        <w:tc>
          <w:tcPr>
            <w:tcW w:w="280" w:type="dxa"/>
            <w:vAlign w:val="bottom"/>
          </w:tcPr>
          <w:p>
            <w:pPr>
              <w:jc w:val="right"/>
              <w:ind w:right="92"/>
              <w:spacing w:after="0" w:line="210" w:lineRule="exact"/>
              <w:rPr>
                <w:sz w:val="20"/>
                <w:szCs w:val="20"/>
                <w:color w:val="auto"/>
              </w:rPr>
            </w:pPr>
            <w:r>
              <w:rPr>
                <w:rFonts w:ascii="Calibri" w:cs="Calibri" w:eastAsia="Calibri" w:hAnsi="Calibri"/>
                <w:sz w:val="18"/>
                <w:szCs w:val="18"/>
                <w:color w:val="auto"/>
                <w:w w:val="87"/>
              </w:rPr>
              <w:t>$</w:t>
            </w:r>
          </w:p>
        </w:tc>
        <w:tc>
          <w:tcPr>
            <w:tcW w:w="1080" w:type="dxa"/>
            <w:vAlign w:val="bottom"/>
          </w:tcPr>
          <w:p>
            <w:pPr>
              <w:jc w:val="right"/>
              <w:spacing w:after="0" w:line="210" w:lineRule="exact"/>
              <w:rPr>
                <w:sz w:val="20"/>
                <w:szCs w:val="20"/>
                <w:color w:val="auto"/>
              </w:rPr>
            </w:pPr>
            <w:r>
              <w:rPr>
                <w:rFonts w:ascii="Calibri" w:cs="Calibri" w:eastAsia="Calibri" w:hAnsi="Calibri"/>
                <w:sz w:val="18"/>
                <w:szCs w:val="18"/>
                <w:color w:val="auto"/>
              </w:rPr>
              <w:t>15.00</w:t>
            </w:r>
          </w:p>
        </w:tc>
      </w:tr>
      <w:tr>
        <w:trPr>
          <w:trHeight w:val="166"/>
        </w:trPr>
        <w:tc>
          <w:tcPr>
            <w:tcW w:w="69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r>
      <w:tr>
        <w:trPr>
          <w:trHeight w:val="217"/>
        </w:trPr>
        <w:tc>
          <w:tcPr>
            <w:tcW w:w="6960" w:type="dxa"/>
            <w:vAlign w:val="bottom"/>
          </w:tcPr>
          <w:p>
            <w:pPr>
              <w:ind w:left="20"/>
              <w:spacing w:after="0" w:line="210" w:lineRule="exact"/>
              <w:rPr>
                <w:sz w:val="20"/>
                <w:szCs w:val="20"/>
                <w:color w:val="auto"/>
              </w:rPr>
            </w:pPr>
            <w:r>
              <w:rPr>
                <w:rFonts w:ascii="Calibri" w:cs="Calibri" w:eastAsia="Calibri" w:hAnsi="Calibri"/>
                <w:sz w:val="18"/>
                <w:szCs w:val="18"/>
                <w:color w:val="auto"/>
              </w:rPr>
              <w:t>Weighted-average shares used in per share calculatons:</w:t>
            </w: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32"/>
        </w:trPr>
        <w:tc>
          <w:tcPr>
            <w:tcW w:w="6960" w:type="dxa"/>
            <w:vAlign w:val="bottom"/>
            <w:shd w:val="clear" w:color="auto" w:fill="CCEEFF"/>
          </w:tcPr>
          <w:p>
            <w:pPr>
              <w:ind w:left="140"/>
              <w:spacing w:after="0" w:line="217" w:lineRule="exact"/>
              <w:rPr>
                <w:sz w:val="20"/>
                <w:szCs w:val="20"/>
                <w:color w:val="auto"/>
              </w:rPr>
            </w:pPr>
            <w:r>
              <w:rPr>
                <w:rFonts w:ascii="Calibri" w:cs="Calibri" w:eastAsia="Calibri" w:hAnsi="Calibri"/>
                <w:sz w:val="18"/>
                <w:szCs w:val="18"/>
                <w:color w:val="auto"/>
              </w:rPr>
              <w:t>Basic</w:t>
            </w:r>
          </w:p>
        </w:tc>
        <w:tc>
          <w:tcPr>
            <w:tcW w:w="22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line="217" w:lineRule="exact"/>
              <w:rPr>
                <w:sz w:val="20"/>
                <w:szCs w:val="20"/>
                <w:color w:val="auto"/>
              </w:rPr>
            </w:pPr>
            <w:r>
              <w:rPr>
                <w:rFonts w:ascii="Calibri" w:cs="Calibri" w:eastAsia="Calibri" w:hAnsi="Calibri"/>
                <w:sz w:val="18"/>
                <w:szCs w:val="18"/>
                <w:color w:val="auto"/>
              </w:rPr>
              <w:t>415</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line="217" w:lineRule="exact"/>
              <w:rPr>
                <w:sz w:val="20"/>
                <w:szCs w:val="20"/>
                <w:color w:val="auto"/>
              </w:rPr>
            </w:pPr>
            <w:r>
              <w:rPr>
                <w:rFonts w:ascii="Calibri" w:cs="Calibri" w:eastAsia="Calibri" w:hAnsi="Calibri"/>
                <w:sz w:val="18"/>
                <w:szCs w:val="18"/>
                <w:color w:val="auto"/>
              </w:rPr>
              <w:t>409</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line="217" w:lineRule="exact"/>
              <w:rPr>
                <w:sz w:val="20"/>
                <w:szCs w:val="20"/>
                <w:color w:val="auto"/>
              </w:rPr>
            </w:pPr>
            <w:r>
              <w:rPr>
                <w:rFonts w:ascii="Calibri" w:cs="Calibri" w:eastAsia="Calibri" w:hAnsi="Calibri"/>
                <w:sz w:val="18"/>
                <w:szCs w:val="18"/>
                <w:color w:val="auto"/>
              </w:rPr>
              <w:t>410</w:t>
            </w:r>
          </w:p>
        </w:tc>
      </w:tr>
      <w:tr>
        <w:trPr>
          <w:trHeight w:val="210"/>
        </w:trPr>
        <w:tc>
          <w:tcPr>
            <w:tcW w:w="6960" w:type="dxa"/>
            <w:vAlign w:val="bottom"/>
          </w:tcPr>
          <w:p>
            <w:pPr>
              <w:ind w:left="140"/>
              <w:spacing w:after="0" w:line="210" w:lineRule="exact"/>
              <w:rPr>
                <w:sz w:val="20"/>
                <w:szCs w:val="20"/>
                <w:color w:val="auto"/>
              </w:rPr>
            </w:pPr>
            <w:r>
              <w:rPr>
                <w:rFonts w:ascii="Calibri" w:cs="Calibri" w:eastAsia="Calibri" w:hAnsi="Calibri"/>
                <w:sz w:val="18"/>
                <w:szCs w:val="18"/>
                <w:color w:val="auto"/>
              </w:rPr>
              <w:t>Diluted</w:t>
            </w:r>
          </w:p>
        </w:tc>
        <w:tc>
          <w:tcPr>
            <w:tcW w:w="220" w:type="dxa"/>
            <w:vAlign w:val="bottom"/>
          </w:tcPr>
          <w:p>
            <w:pPr>
              <w:spacing w:after="0"/>
              <w:rPr>
                <w:sz w:val="18"/>
                <w:szCs w:val="18"/>
                <w:color w:val="auto"/>
              </w:rPr>
            </w:pPr>
          </w:p>
        </w:tc>
        <w:tc>
          <w:tcPr>
            <w:tcW w:w="1140" w:type="dxa"/>
            <w:vAlign w:val="bottom"/>
          </w:tcPr>
          <w:p>
            <w:pPr>
              <w:jc w:val="right"/>
              <w:spacing w:after="0" w:line="210" w:lineRule="exact"/>
              <w:rPr>
                <w:sz w:val="20"/>
                <w:szCs w:val="20"/>
                <w:color w:val="auto"/>
              </w:rPr>
            </w:pPr>
            <w:r>
              <w:rPr>
                <w:rFonts w:ascii="Calibri" w:cs="Calibri" w:eastAsia="Calibri" w:hAnsi="Calibri"/>
                <w:sz w:val="18"/>
                <w:szCs w:val="18"/>
                <w:color w:val="auto"/>
              </w:rPr>
              <w:t>427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spacing w:after="0" w:line="210" w:lineRule="exact"/>
              <w:rPr>
                <w:sz w:val="20"/>
                <w:szCs w:val="20"/>
                <w:color w:val="auto"/>
              </w:rPr>
            </w:pPr>
            <w:r>
              <w:rPr>
                <w:rFonts w:ascii="Calibri" w:cs="Calibri" w:eastAsia="Calibri" w:hAnsi="Calibri"/>
                <w:sz w:val="18"/>
                <w:szCs w:val="18"/>
                <w:color w:val="auto"/>
              </w:rPr>
              <w:t>423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spacing w:after="0" w:line="210" w:lineRule="exact"/>
              <w:rPr>
                <w:sz w:val="20"/>
                <w:szCs w:val="20"/>
                <w:color w:val="auto"/>
              </w:rPr>
            </w:pPr>
            <w:r>
              <w:rPr>
                <w:rFonts w:ascii="Calibri" w:cs="Calibri" w:eastAsia="Calibri" w:hAnsi="Calibri"/>
                <w:sz w:val="18"/>
                <w:szCs w:val="18"/>
                <w:color w:val="auto"/>
              </w:rPr>
              <w:t>429</w:t>
            </w:r>
          </w:p>
        </w:tc>
      </w:tr>
    </w:tbl>
    <w:p>
      <w:pPr>
        <w:spacing w:after="0" w:line="182"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The accompanying notes are an integral part of these consolidated fnancial statements.</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9" w:right="339" w:bottom="1440" w:gutter="0" w:footer="0" w:header="0"/>
        </w:sectPr>
      </w:pPr>
    </w:p>
    <w:bookmarkStart w:id="53" w:name="page54"/>
    <w:bookmarkEnd w:id="53"/>
    <w:p>
      <w:pPr>
        <w:spacing w:after="0"/>
        <w:rPr>
          <w:sz w:val="20"/>
          <w:szCs w:val="20"/>
          <w:color w:val="auto"/>
        </w:rPr>
      </w:pPr>
      <w:r>
        <w:rPr>
          <w:rFonts w:ascii="Calibri" w:cs="Calibri" w:eastAsia="Calibri" w:hAnsi="Calibri"/>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Calibri" w:cs="Calibri" w:eastAsia="Calibri" w:hAnsi="Calibri"/>
          <w:sz w:val="18"/>
          <w:szCs w:val="18"/>
          <w:b w:val="1"/>
          <w:bCs w:val="1"/>
          <w:color w:val="auto"/>
        </w:rPr>
        <w:t>BROADCOM INC.</w:t>
      </w:r>
    </w:p>
    <w:p>
      <w:pPr>
        <w:jc w:val="center"/>
        <w:ind w:right="-19"/>
        <w:spacing w:after="0" w:line="230" w:lineRule="auto"/>
        <w:rPr>
          <w:sz w:val="20"/>
          <w:szCs w:val="20"/>
          <w:color w:val="auto"/>
        </w:rPr>
      </w:pPr>
      <w:r>
        <w:rPr>
          <w:rFonts w:ascii="Calibri" w:cs="Calibri" w:eastAsia="Calibri" w:hAnsi="Calibri"/>
          <w:sz w:val="18"/>
          <w:szCs w:val="18"/>
          <w:b w:val="1"/>
          <w:bCs w:val="1"/>
          <w:color w:val="auto"/>
        </w:rPr>
        <w:t>CONSOLIDATED STATEMENTS OF COMPREHENSIVE INCOME</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80" w:type="dxa"/>
            <w:vAlign w:val="bottom"/>
            <w:gridSpan w:val="2"/>
          </w:tcPr>
          <w:p>
            <w:pPr>
              <w:jc w:val="center"/>
              <w:ind w:right="260"/>
              <w:spacing w:after="0"/>
              <w:rPr>
                <w:sz w:val="20"/>
                <w:szCs w:val="20"/>
                <w:color w:val="auto"/>
              </w:rPr>
            </w:pPr>
            <w:r>
              <w:rPr>
                <w:rFonts w:ascii="Calibri" w:cs="Calibri" w:eastAsia="Calibri" w:hAnsi="Calibri"/>
                <w:sz w:val="14"/>
                <w:szCs w:val="14"/>
                <w:b w:val="1"/>
                <w:bCs w:val="1"/>
                <w:color w:val="auto"/>
                <w:w w:val="99"/>
              </w:rPr>
              <w:t>Fiscal Year Ended</w:t>
            </w:r>
          </w:p>
        </w:tc>
        <w:tc>
          <w:tcPr>
            <w:tcW w:w="2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45"/>
        </w:trPr>
        <w:tc>
          <w:tcPr>
            <w:tcW w:w="676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gridSpan w:val="2"/>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gridSpan w:val="2"/>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r>
      <w:tr>
        <w:trPr>
          <w:trHeight w:val="124"/>
        </w:trPr>
        <w:tc>
          <w:tcPr>
            <w:tcW w:w="67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80" w:type="dxa"/>
            <w:vAlign w:val="bottom"/>
            <w:gridSpan w:val="2"/>
          </w:tcPr>
          <w:p>
            <w:pPr>
              <w:ind w:left="120"/>
              <w:spacing w:after="0" w:line="124" w:lineRule="exact"/>
              <w:rPr>
                <w:sz w:val="20"/>
                <w:szCs w:val="20"/>
                <w:color w:val="auto"/>
              </w:rPr>
            </w:pPr>
            <w:r>
              <w:rPr>
                <w:rFonts w:ascii="Calibri" w:cs="Calibri" w:eastAsia="Calibri" w:hAnsi="Calibri"/>
                <w:sz w:val="13"/>
                <w:szCs w:val="13"/>
                <w:b w:val="1"/>
                <w:bCs w:val="1"/>
                <w:color w:val="auto"/>
              </w:rPr>
              <w:t>October 29,</w:t>
            </w:r>
          </w:p>
        </w:tc>
        <w:tc>
          <w:tcPr>
            <w:tcW w:w="160" w:type="dxa"/>
            <w:vAlign w:val="bottom"/>
          </w:tcPr>
          <w:p>
            <w:pPr>
              <w:spacing w:after="0"/>
              <w:rPr>
                <w:sz w:val="10"/>
                <w:szCs w:val="10"/>
                <w:color w:val="auto"/>
              </w:rPr>
            </w:pPr>
          </w:p>
        </w:tc>
        <w:tc>
          <w:tcPr>
            <w:tcW w:w="1380" w:type="dxa"/>
            <w:vAlign w:val="bottom"/>
            <w:gridSpan w:val="2"/>
          </w:tcPr>
          <w:p>
            <w:pPr>
              <w:jc w:val="center"/>
              <w:ind w:right="260"/>
              <w:spacing w:after="0" w:line="124" w:lineRule="exact"/>
              <w:rPr>
                <w:sz w:val="20"/>
                <w:szCs w:val="20"/>
                <w:color w:val="auto"/>
              </w:rPr>
            </w:pPr>
            <w:r>
              <w:rPr>
                <w:rFonts w:ascii="Calibri" w:cs="Calibri" w:eastAsia="Calibri" w:hAnsi="Calibri"/>
                <w:sz w:val="13"/>
                <w:szCs w:val="13"/>
                <w:b w:val="1"/>
                <w:bCs w:val="1"/>
                <w:color w:val="auto"/>
              </w:rPr>
              <w:t>October 30,</w:t>
            </w:r>
          </w:p>
        </w:tc>
        <w:tc>
          <w:tcPr>
            <w:tcW w:w="240" w:type="dxa"/>
            <w:vAlign w:val="bottom"/>
          </w:tcPr>
          <w:p>
            <w:pPr>
              <w:spacing w:after="0"/>
              <w:rPr>
                <w:sz w:val="10"/>
                <w:szCs w:val="10"/>
                <w:color w:val="auto"/>
              </w:rPr>
            </w:pPr>
          </w:p>
        </w:tc>
        <w:tc>
          <w:tcPr>
            <w:tcW w:w="1180" w:type="dxa"/>
            <w:vAlign w:val="bottom"/>
          </w:tcPr>
          <w:p>
            <w:pPr>
              <w:jc w:val="right"/>
              <w:ind w:right="278"/>
              <w:spacing w:after="0" w:line="124" w:lineRule="exact"/>
              <w:rPr>
                <w:sz w:val="20"/>
                <w:szCs w:val="20"/>
                <w:color w:val="auto"/>
              </w:rPr>
            </w:pPr>
            <w:r>
              <w:rPr>
                <w:rFonts w:ascii="Calibri" w:cs="Calibri" w:eastAsia="Calibri" w:hAnsi="Calibri"/>
                <w:sz w:val="13"/>
                <w:szCs w:val="13"/>
                <w:b w:val="1"/>
                <w:bCs w:val="1"/>
                <w:color w:val="auto"/>
              </w:rPr>
              <w:t>October 31,</w:t>
            </w:r>
          </w:p>
        </w:tc>
      </w:tr>
      <w:tr>
        <w:trPr>
          <w:trHeight w:val="168"/>
        </w:trPr>
        <w:tc>
          <w:tcPr>
            <w:tcW w:w="6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tcPr>
          <w:p>
            <w:pPr>
              <w:jc w:val="right"/>
              <w:ind w:right="498"/>
              <w:spacing w:after="0" w:line="168" w:lineRule="exact"/>
              <w:rPr>
                <w:sz w:val="20"/>
                <w:szCs w:val="20"/>
                <w:color w:val="auto"/>
              </w:rPr>
            </w:pPr>
            <w:r>
              <w:rPr>
                <w:rFonts w:ascii="Calibri" w:cs="Calibri" w:eastAsia="Calibri" w:hAnsi="Calibri"/>
                <w:sz w:val="14"/>
                <w:szCs w:val="14"/>
                <w:b w:val="1"/>
                <w:bCs w:val="1"/>
                <w:color w:val="auto"/>
              </w:rPr>
              <w:t>2023</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tcPr>
          <w:p>
            <w:pPr>
              <w:jc w:val="center"/>
              <w:ind w:right="80"/>
              <w:spacing w:after="0" w:line="168" w:lineRule="exact"/>
              <w:rPr>
                <w:sz w:val="20"/>
                <w:szCs w:val="20"/>
                <w:color w:val="auto"/>
              </w:rPr>
            </w:pPr>
            <w:r>
              <w:rPr>
                <w:rFonts w:ascii="Calibri" w:cs="Calibri" w:eastAsia="Calibri" w:hAnsi="Calibri"/>
                <w:sz w:val="14"/>
                <w:szCs w:val="14"/>
                <w:b w:val="1"/>
                <w:bCs w:val="1"/>
                <w:color w:val="auto"/>
                <w:w w:val="98"/>
              </w:rPr>
              <w:t>2022</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tcPr>
          <w:p>
            <w:pPr>
              <w:jc w:val="right"/>
              <w:ind w:right="478"/>
              <w:spacing w:after="0" w:line="168" w:lineRule="exact"/>
              <w:rPr>
                <w:sz w:val="20"/>
                <w:szCs w:val="20"/>
                <w:color w:val="auto"/>
              </w:rPr>
            </w:pPr>
            <w:r>
              <w:rPr>
                <w:rFonts w:ascii="Calibri" w:cs="Calibri" w:eastAsia="Calibri" w:hAnsi="Calibri"/>
                <w:sz w:val="14"/>
                <w:szCs w:val="14"/>
                <w:b w:val="1"/>
                <w:bCs w:val="1"/>
                <w:color w:val="auto"/>
              </w:rPr>
              <w:t>2021</w:t>
            </w:r>
          </w:p>
        </w:tc>
      </w:tr>
      <w:tr>
        <w:trPr>
          <w:trHeight w:val="32"/>
        </w:trPr>
        <w:tc>
          <w:tcPr>
            <w:tcW w:w="67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86"/>
        </w:trPr>
        <w:tc>
          <w:tcPr>
            <w:tcW w:w="67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80" w:type="dxa"/>
            <w:vAlign w:val="bottom"/>
            <w:gridSpan w:val="2"/>
          </w:tcPr>
          <w:p>
            <w:pPr>
              <w:jc w:val="center"/>
              <w:ind w:right="260"/>
              <w:spacing w:after="0"/>
              <w:rPr>
                <w:sz w:val="20"/>
                <w:szCs w:val="20"/>
                <w:color w:val="auto"/>
              </w:rPr>
            </w:pPr>
            <w:r>
              <w:rPr>
                <w:rFonts w:ascii="Calibri" w:cs="Calibri" w:eastAsia="Calibri" w:hAnsi="Calibri"/>
                <w:sz w:val="14"/>
                <w:szCs w:val="14"/>
                <w:b w:val="1"/>
                <w:bCs w:val="1"/>
                <w:color w:val="auto"/>
                <w:w w:val="98"/>
              </w:rPr>
              <w:t>(In millions)</w:t>
            </w:r>
          </w:p>
        </w:tc>
        <w:tc>
          <w:tcPr>
            <w:tcW w:w="24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45"/>
        </w:trPr>
        <w:tc>
          <w:tcPr>
            <w:tcW w:w="67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80" w:type="dxa"/>
            <w:vAlign w:val="bottom"/>
          </w:tcPr>
          <w:p>
            <w:pPr>
              <w:spacing w:after="0"/>
              <w:rPr>
                <w:sz w:val="3"/>
                <w:szCs w:val="3"/>
                <w:color w:val="auto"/>
              </w:rPr>
            </w:pPr>
          </w:p>
        </w:tc>
      </w:tr>
      <w:tr>
        <w:trPr>
          <w:trHeight w:val="224"/>
        </w:trPr>
        <w:tc>
          <w:tcPr>
            <w:tcW w:w="6760" w:type="dxa"/>
            <w:vAlign w:val="bottom"/>
            <w:shd w:val="clear" w:color="auto" w:fill="CCEEFF"/>
          </w:tcPr>
          <w:p>
            <w:pPr>
              <w:ind w:left="20"/>
              <w:spacing w:after="0" w:line="210" w:lineRule="exact"/>
              <w:rPr>
                <w:sz w:val="20"/>
                <w:szCs w:val="20"/>
                <w:color w:val="auto"/>
              </w:rPr>
            </w:pPr>
            <w:r>
              <w:rPr>
                <w:rFonts w:ascii="Calibri" w:cs="Calibri" w:eastAsia="Calibri" w:hAnsi="Calibri"/>
                <w:sz w:val="18"/>
                <w:szCs w:val="18"/>
                <w:color w:val="auto"/>
              </w:rPr>
              <w:t>Net income</w:t>
            </w:r>
          </w:p>
        </w:tc>
        <w:tc>
          <w:tcPr>
            <w:tcW w:w="240" w:type="dxa"/>
            <w:vAlign w:val="bottom"/>
            <w:shd w:val="clear" w:color="auto" w:fill="CCEEFF"/>
          </w:tcPr>
          <w:p>
            <w:pPr>
              <w:jc w:val="right"/>
              <w:ind w:right="52"/>
              <w:spacing w:after="0" w:line="210" w:lineRule="exact"/>
              <w:rPr>
                <w:sz w:val="20"/>
                <w:szCs w:val="20"/>
                <w:color w:val="auto"/>
              </w:rPr>
            </w:pPr>
            <w:r>
              <w:rPr>
                <w:rFonts w:ascii="Calibri" w:cs="Calibri" w:eastAsia="Calibri" w:hAnsi="Calibri"/>
                <w:sz w:val="18"/>
                <w:szCs w:val="18"/>
                <w:color w:val="auto"/>
                <w:w w:val="87"/>
              </w:rPr>
              <w:t>$</w:t>
            </w:r>
          </w:p>
        </w:tc>
        <w:tc>
          <w:tcPr>
            <w:tcW w:w="1180" w:type="dxa"/>
            <w:vAlign w:val="bottom"/>
            <w:shd w:val="clear" w:color="auto" w:fill="CCEEFF"/>
          </w:tcPr>
          <w:p>
            <w:pPr>
              <w:jc w:val="right"/>
              <w:spacing w:after="0" w:line="210" w:lineRule="exact"/>
              <w:rPr>
                <w:sz w:val="20"/>
                <w:szCs w:val="20"/>
                <w:color w:val="auto"/>
              </w:rPr>
            </w:pPr>
            <w:r>
              <w:rPr>
                <w:rFonts w:ascii="Calibri" w:cs="Calibri" w:eastAsia="Calibri" w:hAnsi="Calibri"/>
                <w:sz w:val="18"/>
                <w:szCs w:val="18"/>
                <w:color w:val="auto"/>
              </w:rPr>
              <w:t>14,082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line="210" w:lineRule="exact"/>
              <w:rPr>
                <w:sz w:val="20"/>
                <w:szCs w:val="20"/>
                <w:color w:val="auto"/>
              </w:rPr>
            </w:pPr>
            <w:r>
              <w:rPr>
                <w:rFonts w:ascii="Calibri" w:cs="Calibri" w:eastAsia="Calibri" w:hAnsi="Calibri"/>
                <w:sz w:val="18"/>
                <w:szCs w:val="18"/>
                <w:color w:val="auto"/>
              </w:rPr>
              <w:t>$</w:t>
            </w:r>
          </w:p>
        </w:tc>
        <w:tc>
          <w:tcPr>
            <w:tcW w:w="1280" w:type="dxa"/>
            <w:vAlign w:val="bottom"/>
            <w:shd w:val="clear" w:color="auto" w:fill="CCEEFF"/>
          </w:tcPr>
          <w:p>
            <w:pPr>
              <w:jc w:val="right"/>
              <w:spacing w:after="0" w:line="210" w:lineRule="exact"/>
              <w:rPr>
                <w:sz w:val="20"/>
                <w:szCs w:val="20"/>
                <w:color w:val="auto"/>
              </w:rPr>
            </w:pPr>
            <w:r>
              <w:rPr>
                <w:rFonts w:ascii="Calibri" w:cs="Calibri" w:eastAsia="Calibri" w:hAnsi="Calibri"/>
                <w:sz w:val="18"/>
                <w:szCs w:val="18"/>
                <w:color w:val="auto"/>
              </w:rPr>
              <w:t>11,495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2"/>
              <w:spacing w:after="0" w:line="210" w:lineRule="exact"/>
              <w:rPr>
                <w:sz w:val="20"/>
                <w:szCs w:val="20"/>
                <w:color w:val="auto"/>
              </w:rPr>
            </w:pPr>
            <w:r>
              <w:rPr>
                <w:rFonts w:ascii="Calibri" w:cs="Calibri" w:eastAsia="Calibri" w:hAnsi="Calibri"/>
                <w:sz w:val="18"/>
                <w:szCs w:val="18"/>
                <w:color w:val="auto"/>
                <w:w w:val="87"/>
              </w:rPr>
              <w:t>$</w:t>
            </w:r>
          </w:p>
        </w:tc>
        <w:tc>
          <w:tcPr>
            <w:tcW w:w="1180" w:type="dxa"/>
            <w:vAlign w:val="bottom"/>
            <w:shd w:val="clear" w:color="auto" w:fill="CCEEFF"/>
          </w:tcPr>
          <w:p>
            <w:pPr>
              <w:jc w:val="right"/>
              <w:spacing w:after="0" w:line="210" w:lineRule="exact"/>
              <w:rPr>
                <w:sz w:val="20"/>
                <w:szCs w:val="20"/>
                <w:color w:val="auto"/>
              </w:rPr>
            </w:pPr>
            <w:r>
              <w:rPr>
                <w:rFonts w:ascii="Calibri" w:cs="Calibri" w:eastAsia="Calibri" w:hAnsi="Calibri"/>
                <w:sz w:val="18"/>
                <w:szCs w:val="18"/>
                <w:color w:val="auto"/>
              </w:rPr>
              <w:t>6,736</w:t>
            </w:r>
          </w:p>
        </w:tc>
      </w:tr>
      <w:tr>
        <w:trPr>
          <w:trHeight w:val="217"/>
        </w:trPr>
        <w:tc>
          <w:tcPr>
            <w:tcW w:w="6760" w:type="dxa"/>
            <w:vAlign w:val="bottom"/>
          </w:tcPr>
          <w:p>
            <w:pPr>
              <w:ind w:left="20"/>
              <w:spacing w:after="0" w:line="210" w:lineRule="exact"/>
              <w:rPr>
                <w:sz w:val="20"/>
                <w:szCs w:val="20"/>
                <w:color w:val="auto"/>
              </w:rPr>
            </w:pPr>
            <w:r>
              <w:rPr>
                <w:rFonts w:ascii="Calibri" w:cs="Calibri" w:eastAsia="Calibri" w:hAnsi="Calibri"/>
                <w:sz w:val="18"/>
                <w:szCs w:val="18"/>
                <w:color w:val="auto"/>
              </w:rPr>
              <w:t>Other comprehensive income (loss), net of tax:</w:t>
            </w: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32"/>
        </w:trPr>
        <w:tc>
          <w:tcPr>
            <w:tcW w:w="6760" w:type="dxa"/>
            <w:vAlign w:val="bottom"/>
            <w:shd w:val="clear" w:color="auto" w:fill="CCEEFF"/>
          </w:tcPr>
          <w:p>
            <w:pPr>
              <w:ind w:left="120"/>
              <w:spacing w:after="0" w:line="217" w:lineRule="exact"/>
              <w:rPr>
                <w:sz w:val="20"/>
                <w:szCs w:val="20"/>
                <w:color w:val="auto"/>
              </w:rPr>
            </w:pPr>
            <w:r>
              <w:rPr>
                <w:rFonts w:ascii="Calibri" w:cs="Calibri" w:eastAsia="Calibri" w:hAnsi="Calibri"/>
                <w:sz w:val="18"/>
                <w:szCs w:val="18"/>
                <w:color w:val="auto"/>
              </w:rPr>
              <w:t>Change in unrealized gain on derivatve instruments</w:t>
            </w:r>
          </w:p>
        </w:tc>
        <w:tc>
          <w:tcPr>
            <w:tcW w:w="24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line="217" w:lineRule="exact"/>
              <w:rPr>
                <w:sz w:val="20"/>
                <w:szCs w:val="20"/>
                <w:color w:val="auto"/>
              </w:rPr>
            </w:pPr>
            <w:r>
              <w:rPr>
                <w:rFonts w:ascii="Calibri" w:cs="Calibri" w:eastAsia="Calibri" w:hAnsi="Calibri"/>
                <w:sz w:val="18"/>
                <w:szCs w:val="18"/>
                <w:color w:val="auto"/>
              </w:rPr>
              <w:t>290</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line="217" w:lineRule="exact"/>
              <w:rPr>
                <w:sz w:val="20"/>
                <w:szCs w:val="20"/>
                <w:color w:val="auto"/>
              </w:rPr>
            </w:pPr>
            <w:r>
              <w:rPr>
                <w:rFonts w:ascii="Calibri" w:cs="Calibri" w:eastAsia="Calibri" w:hAnsi="Calibri"/>
                <w:sz w:val="18"/>
                <w:szCs w:val="18"/>
                <w:color w:val="auto"/>
              </w:rPr>
              <w:t>37</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line="217" w:lineRule="exact"/>
              <w:rPr>
                <w:sz w:val="20"/>
                <w:szCs w:val="20"/>
                <w:color w:val="auto"/>
              </w:rPr>
            </w:pPr>
            <w:r>
              <w:rPr>
                <w:rFonts w:ascii="Calibri" w:cs="Calibri" w:eastAsia="Calibri" w:hAnsi="Calibri"/>
                <w:sz w:val="18"/>
                <w:szCs w:val="18"/>
                <w:color w:val="auto"/>
              </w:rPr>
              <w:t>—</w:t>
            </w:r>
          </w:p>
        </w:tc>
      </w:tr>
      <w:tr>
        <w:trPr>
          <w:trHeight w:val="218"/>
        </w:trPr>
        <w:tc>
          <w:tcPr>
            <w:tcW w:w="6760" w:type="dxa"/>
            <w:vAlign w:val="bottom"/>
            <w:tcBorders>
              <w:bottom w:val="single" w:sz="8" w:color="CCEEFF"/>
            </w:tcBorders>
          </w:tcPr>
          <w:p>
            <w:pPr>
              <w:ind w:left="140"/>
              <w:spacing w:after="0" w:line="210" w:lineRule="exact"/>
              <w:rPr>
                <w:sz w:val="20"/>
                <w:szCs w:val="20"/>
                <w:color w:val="auto"/>
              </w:rPr>
            </w:pPr>
            <w:r>
              <w:rPr>
                <w:rFonts w:ascii="Calibri" w:cs="Calibri" w:eastAsia="Calibri" w:hAnsi="Calibri"/>
                <w:sz w:val="18"/>
                <w:szCs w:val="18"/>
                <w:color w:val="auto"/>
              </w:rPr>
              <w:t>Change in actuarial loss and prior service costs associated with defned beneft plans</w:t>
            </w:r>
          </w:p>
        </w:tc>
        <w:tc>
          <w:tcPr>
            <w:tcW w:w="2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line="210" w:lineRule="exact"/>
              <w:rPr>
                <w:sz w:val="20"/>
                <w:szCs w:val="20"/>
                <w:color w:val="auto"/>
              </w:rPr>
            </w:pPr>
            <w:r>
              <w:rPr>
                <w:rFonts w:ascii="Calibri" w:cs="Calibri" w:eastAsia="Calibri" w:hAnsi="Calibri"/>
                <w:sz w:val="18"/>
                <w:szCs w:val="18"/>
                <w:color w:val="auto"/>
              </w:rPr>
              <w:t>(29)</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line="210" w:lineRule="exact"/>
              <w:rPr>
                <w:sz w:val="20"/>
                <w:szCs w:val="20"/>
                <w:color w:val="auto"/>
              </w:rPr>
            </w:pPr>
            <w:r>
              <w:rPr>
                <w:rFonts w:ascii="Calibri" w:cs="Calibri" w:eastAsia="Calibri" w:hAnsi="Calibri"/>
                <w:sz w:val="18"/>
                <w:szCs w:val="18"/>
                <w:color w:val="auto"/>
              </w:rPr>
              <w:t>25</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line="210" w:lineRule="exact"/>
              <w:rPr>
                <w:sz w:val="20"/>
                <w:szCs w:val="20"/>
                <w:color w:val="auto"/>
              </w:rPr>
            </w:pPr>
            <w:r>
              <w:rPr>
                <w:rFonts w:ascii="Calibri" w:cs="Calibri" w:eastAsia="Calibri" w:hAnsi="Calibri"/>
                <w:sz w:val="18"/>
                <w:szCs w:val="18"/>
                <w:color w:val="auto"/>
              </w:rPr>
              <w:t>(8)</w:t>
            </w:r>
          </w:p>
        </w:tc>
      </w:tr>
      <w:tr>
        <w:trPr>
          <w:trHeight w:val="218"/>
        </w:trPr>
        <w:tc>
          <w:tcPr>
            <w:tcW w:w="6760" w:type="dxa"/>
            <w:vAlign w:val="bottom"/>
            <w:shd w:val="clear" w:color="auto" w:fill="CCEEFF"/>
          </w:tcPr>
          <w:p>
            <w:pPr>
              <w:ind w:left="220"/>
              <w:spacing w:after="0" w:line="203" w:lineRule="exact"/>
              <w:rPr>
                <w:sz w:val="20"/>
                <w:szCs w:val="20"/>
                <w:color w:val="auto"/>
              </w:rPr>
            </w:pPr>
            <w:r>
              <w:rPr>
                <w:rFonts w:ascii="Calibri" w:cs="Calibri" w:eastAsia="Calibri" w:hAnsi="Calibri"/>
                <w:sz w:val="18"/>
                <w:szCs w:val="18"/>
                <w:color w:val="auto"/>
              </w:rPr>
              <w:t>Other comprehensive income (loss), net of tax</w:t>
            </w:r>
          </w:p>
        </w:tc>
        <w:tc>
          <w:tcPr>
            <w:tcW w:w="2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line="210" w:lineRule="exact"/>
              <w:rPr>
                <w:sz w:val="20"/>
                <w:szCs w:val="20"/>
                <w:color w:val="auto"/>
              </w:rPr>
            </w:pPr>
            <w:r>
              <w:rPr>
                <w:rFonts w:ascii="Calibri" w:cs="Calibri" w:eastAsia="Calibri" w:hAnsi="Calibri"/>
                <w:sz w:val="18"/>
                <w:szCs w:val="18"/>
                <w:color w:val="auto"/>
              </w:rPr>
              <w:t>261</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line="210" w:lineRule="exact"/>
              <w:rPr>
                <w:sz w:val="20"/>
                <w:szCs w:val="20"/>
                <w:color w:val="auto"/>
              </w:rPr>
            </w:pPr>
            <w:r>
              <w:rPr>
                <w:rFonts w:ascii="Calibri" w:cs="Calibri" w:eastAsia="Calibri" w:hAnsi="Calibri"/>
                <w:sz w:val="18"/>
                <w:szCs w:val="18"/>
                <w:color w:val="auto"/>
              </w:rPr>
              <w:t>62</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line="210" w:lineRule="exact"/>
              <w:rPr>
                <w:sz w:val="20"/>
                <w:szCs w:val="20"/>
                <w:color w:val="auto"/>
              </w:rPr>
            </w:pPr>
            <w:r>
              <w:rPr>
                <w:rFonts w:ascii="Calibri" w:cs="Calibri" w:eastAsia="Calibri" w:hAnsi="Calibri"/>
                <w:sz w:val="18"/>
                <w:szCs w:val="18"/>
                <w:color w:val="auto"/>
              </w:rPr>
              <w:t>(8)</w:t>
            </w:r>
          </w:p>
        </w:tc>
      </w:tr>
      <w:tr>
        <w:trPr>
          <w:trHeight w:val="224"/>
        </w:trPr>
        <w:tc>
          <w:tcPr>
            <w:tcW w:w="6760" w:type="dxa"/>
            <w:vAlign w:val="bottom"/>
          </w:tcPr>
          <w:p>
            <w:pPr>
              <w:ind w:left="20"/>
              <w:spacing w:after="0"/>
              <w:rPr>
                <w:sz w:val="20"/>
                <w:szCs w:val="20"/>
                <w:color w:val="auto"/>
              </w:rPr>
            </w:pPr>
            <w:r>
              <w:rPr>
                <w:rFonts w:ascii="Calibri" w:cs="Calibri" w:eastAsia="Calibri" w:hAnsi="Calibri"/>
                <w:sz w:val="18"/>
                <w:szCs w:val="18"/>
                <w:color w:val="auto"/>
              </w:rPr>
              <w:t>Comprehensive income</w:t>
            </w:r>
          </w:p>
        </w:tc>
        <w:tc>
          <w:tcPr>
            <w:tcW w:w="240" w:type="dxa"/>
            <w:vAlign w:val="bottom"/>
            <w:tcBorders>
              <w:bottom w:val="single" w:sz="8" w:color="auto"/>
            </w:tcBorders>
          </w:tcPr>
          <w:p>
            <w:pPr>
              <w:jc w:val="right"/>
              <w:ind w:right="52"/>
              <w:spacing w:after="0" w:line="210" w:lineRule="exact"/>
              <w:rPr>
                <w:sz w:val="20"/>
                <w:szCs w:val="20"/>
                <w:color w:val="auto"/>
              </w:rPr>
            </w:pPr>
            <w:r>
              <w:rPr>
                <w:rFonts w:ascii="Calibri" w:cs="Calibri" w:eastAsia="Calibri" w:hAnsi="Calibri"/>
                <w:sz w:val="18"/>
                <w:szCs w:val="18"/>
                <w:color w:val="auto"/>
                <w:w w:val="87"/>
              </w:rPr>
              <w:t>$</w:t>
            </w:r>
          </w:p>
        </w:tc>
        <w:tc>
          <w:tcPr>
            <w:tcW w:w="1180" w:type="dxa"/>
            <w:vAlign w:val="bottom"/>
            <w:tcBorders>
              <w:bottom w:val="single" w:sz="8" w:color="auto"/>
            </w:tcBorders>
          </w:tcPr>
          <w:p>
            <w:pPr>
              <w:jc w:val="right"/>
              <w:spacing w:after="0" w:line="210" w:lineRule="exact"/>
              <w:rPr>
                <w:sz w:val="20"/>
                <w:szCs w:val="20"/>
                <w:color w:val="auto"/>
              </w:rPr>
            </w:pPr>
            <w:r>
              <w:rPr>
                <w:rFonts w:ascii="Calibri" w:cs="Calibri" w:eastAsia="Calibri" w:hAnsi="Calibri"/>
                <w:sz w:val="18"/>
                <w:szCs w:val="18"/>
                <w:color w:val="auto"/>
              </w:rPr>
              <w:t>14,343</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line="210" w:lineRule="exact"/>
              <w:rPr>
                <w:sz w:val="20"/>
                <w:szCs w:val="20"/>
                <w:color w:val="auto"/>
              </w:rPr>
            </w:pPr>
            <w:r>
              <w:rPr>
                <w:rFonts w:ascii="Calibri" w:cs="Calibri" w:eastAsia="Calibri" w:hAnsi="Calibri"/>
                <w:sz w:val="18"/>
                <w:szCs w:val="18"/>
                <w:color w:val="auto"/>
              </w:rPr>
              <w:t>$</w:t>
            </w:r>
          </w:p>
        </w:tc>
        <w:tc>
          <w:tcPr>
            <w:tcW w:w="1280" w:type="dxa"/>
            <w:vAlign w:val="bottom"/>
            <w:tcBorders>
              <w:bottom w:val="single" w:sz="8" w:color="auto"/>
            </w:tcBorders>
          </w:tcPr>
          <w:p>
            <w:pPr>
              <w:jc w:val="right"/>
              <w:spacing w:after="0" w:line="210" w:lineRule="exact"/>
              <w:rPr>
                <w:sz w:val="20"/>
                <w:szCs w:val="20"/>
                <w:color w:val="auto"/>
              </w:rPr>
            </w:pPr>
            <w:r>
              <w:rPr>
                <w:rFonts w:ascii="Calibri" w:cs="Calibri" w:eastAsia="Calibri" w:hAnsi="Calibri"/>
                <w:sz w:val="18"/>
                <w:szCs w:val="18"/>
                <w:color w:val="auto"/>
              </w:rPr>
              <w:t>11,557</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2"/>
              <w:spacing w:after="0" w:line="210" w:lineRule="exact"/>
              <w:rPr>
                <w:sz w:val="20"/>
                <w:szCs w:val="20"/>
                <w:color w:val="auto"/>
              </w:rPr>
            </w:pPr>
            <w:r>
              <w:rPr>
                <w:rFonts w:ascii="Calibri" w:cs="Calibri" w:eastAsia="Calibri" w:hAnsi="Calibri"/>
                <w:sz w:val="18"/>
                <w:szCs w:val="18"/>
                <w:color w:val="auto"/>
                <w:w w:val="87"/>
              </w:rPr>
              <w:t>$</w:t>
            </w:r>
          </w:p>
        </w:tc>
        <w:tc>
          <w:tcPr>
            <w:tcW w:w="1180" w:type="dxa"/>
            <w:vAlign w:val="bottom"/>
            <w:tcBorders>
              <w:bottom w:val="single" w:sz="8" w:color="auto"/>
            </w:tcBorders>
          </w:tcPr>
          <w:p>
            <w:pPr>
              <w:jc w:val="right"/>
              <w:spacing w:after="0" w:line="210" w:lineRule="exact"/>
              <w:rPr>
                <w:sz w:val="20"/>
                <w:szCs w:val="20"/>
                <w:color w:val="auto"/>
              </w:rPr>
            </w:pPr>
            <w:r>
              <w:rPr>
                <w:rFonts w:ascii="Calibri" w:cs="Calibri" w:eastAsia="Calibri" w:hAnsi="Calibri"/>
                <w:sz w:val="18"/>
                <w:szCs w:val="18"/>
                <w:color w:val="auto"/>
              </w:rPr>
              <w:t>6,728</w:t>
            </w:r>
          </w:p>
        </w:tc>
      </w:tr>
      <w:tr>
        <w:trPr>
          <w:trHeight w:val="20"/>
        </w:trPr>
        <w:tc>
          <w:tcPr>
            <w:tcW w:w="67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41"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The accompanying notes are an integral part of these consolidated fnancial statements.</w:t>
      </w: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9" w:right="339" w:bottom="1440" w:gutter="0" w:footer="0" w:header="0"/>
        </w:sectPr>
      </w:pPr>
    </w:p>
    <w:bookmarkStart w:id="54" w:name="page55"/>
    <w:bookmarkEnd w:id="54"/>
    <w:p>
      <w:pPr>
        <w:spacing w:after="0"/>
        <w:rPr>
          <w:sz w:val="20"/>
          <w:szCs w:val="20"/>
          <w:color w:val="auto"/>
        </w:rPr>
      </w:pPr>
      <w:r>
        <w:rPr>
          <w:rFonts w:ascii="Calibri" w:cs="Calibri" w:eastAsia="Calibri" w:hAnsi="Calibri"/>
          <w:sz w:val="18"/>
          <w:szCs w:val="18"/>
          <w:u w:val="single" w:color="auto"/>
          <w:color w:val="0000FF"/>
        </w:rPr>
        <w:t>Table of Contents</w:t>
      </w: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b w:val="1"/>
          <w:bCs w:val="1"/>
          <w:color w:val="auto"/>
        </w:rPr>
        <w:t>BROADCOM INC.</w:t>
      </w:r>
    </w:p>
    <w:p>
      <w:pPr>
        <w:jc w:val="center"/>
        <w:ind w:right="-39"/>
        <w:spacing w:after="0" w:line="230" w:lineRule="auto"/>
        <w:rPr>
          <w:sz w:val="20"/>
          <w:szCs w:val="20"/>
          <w:color w:val="auto"/>
        </w:rPr>
      </w:pPr>
      <w:r>
        <w:rPr>
          <w:rFonts w:ascii="Calibri" w:cs="Calibri" w:eastAsia="Calibri" w:hAnsi="Calibri"/>
          <w:sz w:val="18"/>
          <w:szCs w:val="18"/>
          <w:b w:val="1"/>
          <w:bCs w:val="1"/>
          <w:color w:val="auto"/>
        </w:rPr>
        <w:t>CONSOLIDATED STATEMENTS OF CASH FLOWS</w:t>
      </w:r>
    </w:p>
    <w:p>
      <w:pPr>
        <w:spacing w:after="0" w:line="31" w:lineRule="exact"/>
        <w:rPr>
          <w:sz w:val="20"/>
          <w:szCs w:val="20"/>
          <w:color w:val="auto"/>
        </w:rPr>
      </w:pPr>
    </w:p>
    <w:tbl>
      <w:tblPr>
        <w:tblLayout w:type="fixed"/>
        <w:tblInd w:w="20" w:type="dxa"/>
        <w:tblCellMar>
          <w:top w:w="0" w:type="dxa"/>
          <w:left w:w="0" w:type="dxa"/>
          <w:bottom w:w="0" w:type="dxa"/>
          <w:right w:w="0" w:type="dxa"/>
        </w:tblCellMar>
      </w:tblPr>
      <w:tr>
        <w:trPr>
          <w:trHeight w:val="171"/>
        </w:trPr>
        <w:tc>
          <w:tcPr>
            <w:tcW w:w="6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gridSpan w:val="2"/>
          </w:tcPr>
          <w:p>
            <w:pPr>
              <w:jc w:val="center"/>
              <w:ind w:right="260"/>
              <w:spacing w:after="0"/>
              <w:rPr>
                <w:sz w:val="20"/>
                <w:szCs w:val="20"/>
                <w:color w:val="auto"/>
              </w:rPr>
            </w:pPr>
            <w:r>
              <w:rPr>
                <w:rFonts w:ascii="Calibri" w:cs="Calibri" w:eastAsia="Calibri" w:hAnsi="Calibri"/>
                <w:sz w:val="14"/>
                <w:szCs w:val="14"/>
                <w:b w:val="1"/>
                <w:bCs w:val="1"/>
                <w:color w:val="auto"/>
                <w:w w:val="99"/>
              </w:rPr>
              <w:t>Fiscal Year Ended</w:t>
            </w:r>
          </w:p>
        </w:tc>
        <w:tc>
          <w:tcPr>
            <w:tcW w:w="24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45"/>
        </w:trPr>
        <w:tc>
          <w:tcPr>
            <w:tcW w:w="680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gridSpan w:val="2"/>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gridSpan w:val="2"/>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r>
      <w:tr>
        <w:trPr>
          <w:trHeight w:val="124"/>
        </w:trPr>
        <w:tc>
          <w:tcPr>
            <w:tcW w:w="68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60" w:type="dxa"/>
            <w:vAlign w:val="bottom"/>
            <w:gridSpan w:val="2"/>
          </w:tcPr>
          <w:p>
            <w:pPr>
              <w:ind w:left="120"/>
              <w:spacing w:after="0" w:line="124" w:lineRule="exact"/>
              <w:rPr>
                <w:sz w:val="20"/>
                <w:szCs w:val="20"/>
                <w:color w:val="auto"/>
              </w:rPr>
            </w:pPr>
            <w:r>
              <w:rPr>
                <w:rFonts w:ascii="Calibri" w:cs="Calibri" w:eastAsia="Calibri" w:hAnsi="Calibri"/>
                <w:sz w:val="13"/>
                <w:szCs w:val="13"/>
                <w:b w:val="1"/>
                <w:bCs w:val="1"/>
                <w:color w:val="auto"/>
              </w:rPr>
              <w:t>October 29,</w:t>
            </w:r>
          </w:p>
        </w:tc>
        <w:tc>
          <w:tcPr>
            <w:tcW w:w="160" w:type="dxa"/>
            <w:vAlign w:val="bottom"/>
          </w:tcPr>
          <w:p>
            <w:pPr>
              <w:spacing w:after="0"/>
              <w:rPr>
                <w:sz w:val="10"/>
                <w:szCs w:val="10"/>
                <w:color w:val="auto"/>
              </w:rPr>
            </w:pPr>
          </w:p>
        </w:tc>
        <w:tc>
          <w:tcPr>
            <w:tcW w:w="1340" w:type="dxa"/>
            <w:vAlign w:val="bottom"/>
            <w:gridSpan w:val="2"/>
          </w:tcPr>
          <w:p>
            <w:pPr>
              <w:jc w:val="center"/>
              <w:ind w:right="260"/>
              <w:spacing w:after="0" w:line="124" w:lineRule="exact"/>
              <w:rPr>
                <w:sz w:val="20"/>
                <w:szCs w:val="20"/>
                <w:color w:val="auto"/>
              </w:rPr>
            </w:pPr>
            <w:r>
              <w:rPr>
                <w:rFonts w:ascii="Calibri" w:cs="Calibri" w:eastAsia="Calibri" w:hAnsi="Calibri"/>
                <w:sz w:val="13"/>
                <w:szCs w:val="13"/>
                <w:b w:val="1"/>
                <w:bCs w:val="1"/>
                <w:color w:val="auto"/>
              </w:rPr>
              <w:t>October 30,</w:t>
            </w:r>
          </w:p>
        </w:tc>
        <w:tc>
          <w:tcPr>
            <w:tcW w:w="240" w:type="dxa"/>
            <w:vAlign w:val="bottom"/>
          </w:tcPr>
          <w:p>
            <w:pPr>
              <w:spacing w:after="0"/>
              <w:rPr>
                <w:sz w:val="10"/>
                <w:szCs w:val="10"/>
                <w:color w:val="auto"/>
              </w:rPr>
            </w:pPr>
          </w:p>
        </w:tc>
        <w:tc>
          <w:tcPr>
            <w:tcW w:w="1160" w:type="dxa"/>
            <w:vAlign w:val="bottom"/>
          </w:tcPr>
          <w:p>
            <w:pPr>
              <w:jc w:val="right"/>
              <w:ind w:right="253"/>
              <w:spacing w:after="0" w:line="124" w:lineRule="exact"/>
              <w:rPr>
                <w:sz w:val="20"/>
                <w:szCs w:val="20"/>
                <w:color w:val="auto"/>
              </w:rPr>
            </w:pPr>
            <w:r>
              <w:rPr>
                <w:rFonts w:ascii="Calibri" w:cs="Calibri" w:eastAsia="Calibri" w:hAnsi="Calibri"/>
                <w:sz w:val="13"/>
                <w:szCs w:val="13"/>
                <w:b w:val="1"/>
                <w:bCs w:val="1"/>
                <w:color w:val="auto"/>
              </w:rPr>
              <w:t>October 31,</w:t>
            </w:r>
          </w:p>
        </w:tc>
      </w:tr>
      <w:tr>
        <w:trPr>
          <w:trHeight w:val="168"/>
        </w:trPr>
        <w:tc>
          <w:tcPr>
            <w:tcW w:w="6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tcPr>
          <w:p>
            <w:pPr>
              <w:jc w:val="right"/>
              <w:ind w:right="473"/>
              <w:spacing w:after="0" w:line="168" w:lineRule="exact"/>
              <w:rPr>
                <w:sz w:val="20"/>
                <w:szCs w:val="20"/>
                <w:color w:val="auto"/>
              </w:rPr>
            </w:pPr>
            <w:r>
              <w:rPr>
                <w:rFonts w:ascii="Calibri" w:cs="Calibri" w:eastAsia="Calibri" w:hAnsi="Calibri"/>
                <w:sz w:val="14"/>
                <w:szCs w:val="14"/>
                <w:b w:val="1"/>
                <w:bCs w:val="1"/>
                <w:color w:val="auto"/>
              </w:rPr>
              <w:t>2023</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tcPr>
          <w:p>
            <w:pPr>
              <w:jc w:val="center"/>
              <w:ind w:right="74"/>
              <w:spacing w:after="0" w:line="168" w:lineRule="exact"/>
              <w:rPr>
                <w:sz w:val="20"/>
                <w:szCs w:val="20"/>
                <w:color w:val="auto"/>
              </w:rPr>
            </w:pPr>
            <w:r>
              <w:rPr>
                <w:rFonts w:ascii="Calibri" w:cs="Calibri" w:eastAsia="Calibri" w:hAnsi="Calibri"/>
                <w:sz w:val="14"/>
                <w:szCs w:val="14"/>
                <w:b w:val="1"/>
                <w:bCs w:val="1"/>
                <w:color w:val="auto"/>
                <w:w w:val="98"/>
              </w:rPr>
              <w:t>2022</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tcPr>
          <w:p>
            <w:pPr>
              <w:jc w:val="right"/>
              <w:ind w:right="453"/>
              <w:spacing w:after="0" w:line="168" w:lineRule="exact"/>
              <w:rPr>
                <w:sz w:val="20"/>
                <w:szCs w:val="20"/>
                <w:color w:val="auto"/>
              </w:rPr>
            </w:pPr>
            <w:r>
              <w:rPr>
                <w:rFonts w:ascii="Calibri" w:cs="Calibri" w:eastAsia="Calibri" w:hAnsi="Calibri"/>
                <w:sz w:val="14"/>
                <w:szCs w:val="14"/>
                <w:b w:val="1"/>
                <w:bCs w:val="1"/>
                <w:color w:val="auto"/>
              </w:rPr>
              <w:t>2021</w:t>
            </w:r>
          </w:p>
        </w:tc>
      </w:tr>
      <w:tr>
        <w:trPr>
          <w:trHeight w:val="32"/>
        </w:trPr>
        <w:tc>
          <w:tcPr>
            <w:tcW w:w="68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86"/>
        </w:trPr>
        <w:tc>
          <w:tcPr>
            <w:tcW w:w="6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gridSpan w:val="2"/>
          </w:tcPr>
          <w:p>
            <w:pPr>
              <w:jc w:val="center"/>
              <w:ind w:right="240"/>
              <w:spacing w:after="0"/>
              <w:rPr>
                <w:sz w:val="20"/>
                <w:szCs w:val="20"/>
                <w:color w:val="auto"/>
              </w:rPr>
            </w:pPr>
            <w:r>
              <w:rPr>
                <w:rFonts w:ascii="Calibri" w:cs="Calibri" w:eastAsia="Calibri" w:hAnsi="Calibri"/>
                <w:sz w:val="14"/>
                <w:szCs w:val="14"/>
                <w:b w:val="1"/>
                <w:bCs w:val="1"/>
                <w:color w:val="auto"/>
              </w:rPr>
              <w:t>(In millions)</w:t>
            </w:r>
          </w:p>
        </w:tc>
        <w:tc>
          <w:tcPr>
            <w:tcW w:w="24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45"/>
        </w:trPr>
        <w:tc>
          <w:tcPr>
            <w:tcW w:w="68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60" w:type="dxa"/>
            <w:vAlign w:val="bottom"/>
          </w:tcPr>
          <w:p>
            <w:pPr>
              <w:spacing w:after="0"/>
              <w:rPr>
                <w:sz w:val="3"/>
                <w:szCs w:val="3"/>
                <w:color w:val="auto"/>
              </w:rPr>
            </w:pPr>
          </w:p>
        </w:tc>
      </w:tr>
      <w:tr>
        <w:trPr>
          <w:trHeight w:val="224"/>
        </w:trPr>
        <w:tc>
          <w:tcPr>
            <w:tcW w:w="6800" w:type="dxa"/>
            <w:vAlign w:val="bottom"/>
            <w:shd w:val="clear" w:color="auto" w:fill="CCEEFF"/>
          </w:tcPr>
          <w:p>
            <w:pPr>
              <w:ind w:left="20"/>
              <w:spacing w:after="0" w:line="210" w:lineRule="exact"/>
              <w:rPr>
                <w:sz w:val="20"/>
                <w:szCs w:val="20"/>
                <w:color w:val="auto"/>
              </w:rPr>
            </w:pPr>
            <w:r>
              <w:rPr>
                <w:rFonts w:ascii="Calibri" w:cs="Calibri" w:eastAsia="Calibri" w:hAnsi="Calibri"/>
                <w:sz w:val="18"/>
                <w:szCs w:val="18"/>
                <w:b w:val="1"/>
                <w:bCs w:val="1"/>
                <w:color w:val="auto"/>
              </w:rPr>
              <w:t>Cash fows from operatng actvites:</w:t>
            </w: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17"/>
        </w:trPr>
        <w:tc>
          <w:tcPr>
            <w:tcW w:w="6800" w:type="dxa"/>
            <w:vAlign w:val="bottom"/>
          </w:tcPr>
          <w:p>
            <w:pPr>
              <w:ind w:left="20"/>
              <w:spacing w:after="0" w:line="210" w:lineRule="exact"/>
              <w:rPr>
                <w:sz w:val="20"/>
                <w:szCs w:val="20"/>
                <w:color w:val="auto"/>
              </w:rPr>
            </w:pPr>
            <w:r>
              <w:rPr>
                <w:rFonts w:ascii="Calibri" w:cs="Calibri" w:eastAsia="Calibri" w:hAnsi="Calibri"/>
                <w:sz w:val="18"/>
                <w:szCs w:val="18"/>
                <w:color w:val="auto"/>
              </w:rPr>
              <w:t>Net income</w:t>
            </w:r>
          </w:p>
        </w:tc>
        <w:tc>
          <w:tcPr>
            <w:tcW w:w="240" w:type="dxa"/>
            <w:vAlign w:val="bottom"/>
          </w:tcPr>
          <w:p>
            <w:pPr>
              <w:jc w:val="right"/>
              <w:ind w:right="52"/>
              <w:spacing w:after="0" w:line="210" w:lineRule="exact"/>
              <w:rPr>
                <w:sz w:val="20"/>
                <w:szCs w:val="20"/>
                <w:color w:val="auto"/>
              </w:rPr>
            </w:pPr>
            <w:r>
              <w:rPr>
                <w:rFonts w:ascii="Calibri" w:cs="Calibri" w:eastAsia="Calibri" w:hAnsi="Calibri"/>
                <w:sz w:val="18"/>
                <w:szCs w:val="18"/>
                <w:color w:val="auto"/>
                <w:w w:val="87"/>
              </w:rPr>
              <w:t>$</w:t>
            </w:r>
          </w:p>
        </w:tc>
        <w:tc>
          <w:tcPr>
            <w:tcW w:w="1160" w:type="dxa"/>
            <w:vAlign w:val="bottom"/>
          </w:tcPr>
          <w:p>
            <w:pPr>
              <w:jc w:val="right"/>
              <w:spacing w:after="0" w:line="210" w:lineRule="exact"/>
              <w:rPr>
                <w:sz w:val="20"/>
                <w:szCs w:val="20"/>
                <w:color w:val="auto"/>
              </w:rPr>
            </w:pPr>
            <w:r>
              <w:rPr>
                <w:rFonts w:ascii="Calibri" w:cs="Calibri" w:eastAsia="Calibri" w:hAnsi="Calibri"/>
                <w:sz w:val="18"/>
                <w:szCs w:val="18"/>
                <w:color w:val="auto"/>
              </w:rPr>
              <w:t>14,082</w:t>
            </w:r>
          </w:p>
        </w:tc>
        <w:tc>
          <w:tcPr>
            <w:tcW w:w="100" w:type="dxa"/>
            <w:vAlign w:val="bottom"/>
          </w:tcPr>
          <w:p>
            <w:pPr>
              <w:spacing w:after="0"/>
              <w:rPr>
                <w:sz w:val="18"/>
                <w:szCs w:val="18"/>
                <w:color w:val="auto"/>
              </w:rPr>
            </w:pPr>
          </w:p>
        </w:tc>
        <w:tc>
          <w:tcPr>
            <w:tcW w:w="160" w:type="dxa"/>
            <w:vAlign w:val="bottom"/>
          </w:tcPr>
          <w:p>
            <w:pPr>
              <w:jc w:val="right"/>
              <w:spacing w:after="0" w:line="210" w:lineRule="exact"/>
              <w:rPr>
                <w:sz w:val="20"/>
                <w:szCs w:val="20"/>
                <w:color w:val="auto"/>
              </w:rPr>
            </w:pPr>
            <w:r>
              <w:rPr>
                <w:rFonts w:ascii="Calibri" w:cs="Calibri" w:eastAsia="Calibri" w:hAnsi="Calibri"/>
                <w:sz w:val="18"/>
                <w:szCs w:val="18"/>
                <w:color w:val="auto"/>
              </w:rPr>
              <w:t>$</w:t>
            </w:r>
          </w:p>
        </w:tc>
        <w:tc>
          <w:tcPr>
            <w:tcW w:w="1240" w:type="dxa"/>
            <w:vAlign w:val="bottom"/>
          </w:tcPr>
          <w:p>
            <w:pPr>
              <w:jc w:val="right"/>
              <w:spacing w:after="0" w:line="210" w:lineRule="exact"/>
              <w:rPr>
                <w:sz w:val="20"/>
                <w:szCs w:val="20"/>
                <w:color w:val="auto"/>
              </w:rPr>
            </w:pPr>
            <w:r>
              <w:rPr>
                <w:rFonts w:ascii="Calibri" w:cs="Calibri" w:eastAsia="Calibri" w:hAnsi="Calibri"/>
                <w:sz w:val="18"/>
                <w:szCs w:val="18"/>
                <w:color w:val="auto"/>
              </w:rPr>
              <w:t>11,495</w:t>
            </w:r>
          </w:p>
        </w:tc>
        <w:tc>
          <w:tcPr>
            <w:tcW w:w="100" w:type="dxa"/>
            <w:vAlign w:val="bottom"/>
          </w:tcPr>
          <w:p>
            <w:pPr>
              <w:spacing w:after="0"/>
              <w:rPr>
                <w:sz w:val="18"/>
                <w:szCs w:val="18"/>
                <w:color w:val="auto"/>
              </w:rPr>
            </w:pPr>
          </w:p>
        </w:tc>
        <w:tc>
          <w:tcPr>
            <w:tcW w:w="240" w:type="dxa"/>
            <w:vAlign w:val="bottom"/>
          </w:tcPr>
          <w:p>
            <w:pPr>
              <w:jc w:val="right"/>
              <w:ind w:right="32"/>
              <w:spacing w:after="0" w:line="210" w:lineRule="exact"/>
              <w:rPr>
                <w:sz w:val="20"/>
                <w:szCs w:val="20"/>
                <w:color w:val="auto"/>
              </w:rPr>
            </w:pPr>
            <w:r>
              <w:rPr>
                <w:rFonts w:ascii="Calibri" w:cs="Calibri" w:eastAsia="Calibri" w:hAnsi="Calibri"/>
                <w:sz w:val="18"/>
                <w:szCs w:val="18"/>
                <w:color w:val="auto"/>
              </w:rPr>
              <w:t>$</w:t>
            </w:r>
          </w:p>
        </w:tc>
        <w:tc>
          <w:tcPr>
            <w:tcW w:w="1160" w:type="dxa"/>
            <w:vAlign w:val="bottom"/>
          </w:tcPr>
          <w:p>
            <w:pPr>
              <w:jc w:val="right"/>
              <w:spacing w:after="0" w:line="210" w:lineRule="exact"/>
              <w:rPr>
                <w:sz w:val="20"/>
                <w:szCs w:val="20"/>
                <w:color w:val="auto"/>
              </w:rPr>
            </w:pPr>
            <w:r>
              <w:rPr>
                <w:rFonts w:ascii="Calibri" w:cs="Calibri" w:eastAsia="Calibri" w:hAnsi="Calibri"/>
                <w:sz w:val="18"/>
                <w:szCs w:val="18"/>
                <w:color w:val="auto"/>
              </w:rPr>
              <w:t>6,736</w:t>
            </w:r>
          </w:p>
        </w:tc>
      </w:tr>
      <w:tr>
        <w:trPr>
          <w:trHeight w:val="232"/>
        </w:trPr>
        <w:tc>
          <w:tcPr>
            <w:tcW w:w="6800" w:type="dxa"/>
            <w:vAlign w:val="bottom"/>
            <w:shd w:val="clear" w:color="auto" w:fill="CCEEFF"/>
          </w:tcPr>
          <w:p>
            <w:pPr>
              <w:ind w:left="20"/>
              <w:spacing w:after="0" w:line="217" w:lineRule="exact"/>
              <w:rPr>
                <w:sz w:val="20"/>
                <w:szCs w:val="20"/>
                <w:color w:val="auto"/>
              </w:rPr>
            </w:pPr>
            <w:r>
              <w:rPr>
                <w:rFonts w:ascii="Calibri" w:cs="Calibri" w:eastAsia="Calibri" w:hAnsi="Calibri"/>
                <w:sz w:val="18"/>
                <w:szCs w:val="18"/>
                <w:color w:val="auto"/>
              </w:rPr>
              <w:t>Adjustments to reconcile net income to net cash provided by operatng actvites:</w:t>
            </w:r>
          </w:p>
        </w:tc>
        <w:tc>
          <w:tcPr>
            <w:tcW w:w="24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r>
      <w:tr>
        <w:trPr>
          <w:trHeight w:val="217"/>
        </w:trPr>
        <w:tc>
          <w:tcPr>
            <w:tcW w:w="6800" w:type="dxa"/>
            <w:vAlign w:val="bottom"/>
          </w:tcPr>
          <w:p>
            <w:pPr>
              <w:ind w:left="140"/>
              <w:spacing w:after="0" w:line="210" w:lineRule="exact"/>
              <w:rPr>
                <w:sz w:val="20"/>
                <w:szCs w:val="20"/>
                <w:color w:val="auto"/>
              </w:rPr>
            </w:pPr>
            <w:r>
              <w:rPr>
                <w:rFonts w:ascii="Calibri" w:cs="Calibri" w:eastAsia="Calibri" w:hAnsi="Calibri"/>
                <w:sz w:val="18"/>
                <w:szCs w:val="18"/>
                <w:color w:val="auto"/>
              </w:rPr>
              <w:t>Amortzaton of intangible and right-of-use assets</w:t>
            </w:r>
          </w:p>
        </w:tc>
        <w:tc>
          <w:tcPr>
            <w:tcW w:w="240" w:type="dxa"/>
            <w:vAlign w:val="bottom"/>
          </w:tcPr>
          <w:p>
            <w:pPr>
              <w:spacing w:after="0"/>
              <w:rPr>
                <w:sz w:val="18"/>
                <w:szCs w:val="18"/>
                <w:color w:val="auto"/>
              </w:rPr>
            </w:pPr>
          </w:p>
        </w:tc>
        <w:tc>
          <w:tcPr>
            <w:tcW w:w="1160" w:type="dxa"/>
            <w:vAlign w:val="bottom"/>
          </w:tcPr>
          <w:p>
            <w:pPr>
              <w:jc w:val="right"/>
              <w:spacing w:after="0" w:line="210" w:lineRule="exact"/>
              <w:rPr>
                <w:sz w:val="20"/>
                <w:szCs w:val="20"/>
                <w:color w:val="auto"/>
              </w:rPr>
            </w:pPr>
            <w:r>
              <w:rPr>
                <w:rFonts w:ascii="Calibri" w:cs="Calibri" w:eastAsia="Calibri" w:hAnsi="Calibri"/>
                <w:sz w:val="18"/>
                <w:szCs w:val="18"/>
                <w:color w:val="auto"/>
              </w:rPr>
              <w:t>3,333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jc w:val="right"/>
              <w:spacing w:after="0" w:line="210" w:lineRule="exact"/>
              <w:rPr>
                <w:sz w:val="20"/>
                <w:szCs w:val="20"/>
                <w:color w:val="auto"/>
              </w:rPr>
            </w:pPr>
            <w:r>
              <w:rPr>
                <w:rFonts w:ascii="Calibri" w:cs="Calibri" w:eastAsia="Calibri" w:hAnsi="Calibri"/>
                <w:sz w:val="18"/>
                <w:szCs w:val="18"/>
                <w:color w:val="auto"/>
              </w:rPr>
              <w:t>4,455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jc w:val="right"/>
              <w:spacing w:after="0" w:line="210" w:lineRule="exact"/>
              <w:rPr>
                <w:sz w:val="20"/>
                <w:szCs w:val="20"/>
                <w:color w:val="auto"/>
              </w:rPr>
            </w:pPr>
            <w:r>
              <w:rPr>
                <w:rFonts w:ascii="Calibri" w:cs="Calibri" w:eastAsia="Calibri" w:hAnsi="Calibri"/>
                <w:sz w:val="18"/>
                <w:szCs w:val="18"/>
                <w:color w:val="auto"/>
              </w:rPr>
              <w:t>5,502</w:t>
            </w:r>
          </w:p>
        </w:tc>
      </w:tr>
      <w:tr>
        <w:trPr>
          <w:trHeight w:val="232"/>
        </w:trPr>
        <w:tc>
          <w:tcPr>
            <w:tcW w:w="6800" w:type="dxa"/>
            <w:vAlign w:val="bottom"/>
            <w:shd w:val="clear" w:color="auto" w:fill="CCEEFF"/>
          </w:tcPr>
          <w:p>
            <w:pPr>
              <w:ind w:left="140"/>
              <w:spacing w:after="0" w:line="217" w:lineRule="exact"/>
              <w:rPr>
                <w:sz w:val="20"/>
                <w:szCs w:val="20"/>
                <w:color w:val="auto"/>
              </w:rPr>
            </w:pPr>
            <w:r>
              <w:rPr>
                <w:rFonts w:ascii="Calibri" w:cs="Calibri" w:eastAsia="Calibri" w:hAnsi="Calibri"/>
                <w:sz w:val="18"/>
                <w:szCs w:val="18"/>
                <w:color w:val="auto"/>
              </w:rPr>
              <w:t>Depreciaton</w:t>
            </w:r>
          </w:p>
        </w:tc>
        <w:tc>
          <w:tcPr>
            <w:tcW w:w="24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line="217" w:lineRule="exact"/>
              <w:rPr>
                <w:sz w:val="20"/>
                <w:szCs w:val="20"/>
                <w:color w:val="auto"/>
              </w:rPr>
            </w:pPr>
            <w:r>
              <w:rPr>
                <w:rFonts w:ascii="Calibri" w:cs="Calibri" w:eastAsia="Calibri" w:hAnsi="Calibri"/>
                <w:sz w:val="18"/>
                <w:szCs w:val="18"/>
                <w:color w:val="auto"/>
              </w:rPr>
              <w:t>502</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line="217" w:lineRule="exact"/>
              <w:rPr>
                <w:sz w:val="20"/>
                <w:szCs w:val="20"/>
                <w:color w:val="auto"/>
              </w:rPr>
            </w:pPr>
            <w:r>
              <w:rPr>
                <w:rFonts w:ascii="Calibri" w:cs="Calibri" w:eastAsia="Calibri" w:hAnsi="Calibri"/>
                <w:sz w:val="18"/>
                <w:szCs w:val="18"/>
                <w:color w:val="auto"/>
              </w:rPr>
              <w:t>529</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line="217" w:lineRule="exact"/>
              <w:rPr>
                <w:sz w:val="20"/>
                <w:szCs w:val="20"/>
                <w:color w:val="auto"/>
              </w:rPr>
            </w:pPr>
            <w:r>
              <w:rPr>
                <w:rFonts w:ascii="Calibri" w:cs="Calibri" w:eastAsia="Calibri" w:hAnsi="Calibri"/>
                <w:sz w:val="18"/>
                <w:szCs w:val="18"/>
                <w:color w:val="auto"/>
              </w:rPr>
              <w:t>539</w:t>
            </w:r>
          </w:p>
        </w:tc>
      </w:tr>
      <w:tr>
        <w:trPr>
          <w:trHeight w:val="217"/>
        </w:trPr>
        <w:tc>
          <w:tcPr>
            <w:tcW w:w="6800" w:type="dxa"/>
            <w:vAlign w:val="bottom"/>
          </w:tcPr>
          <w:p>
            <w:pPr>
              <w:ind w:left="140"/>
              <w:spacing w:after="0" w:line="210" w:lineRule="exact"/>
              <w:rPr>
                <w:sz w:val="20"/>
                <w:szCs w:val="20"/>
                <w:color w:val="auto"/>
              </w:rPr>
            </w:pPr>
            <w:r>
              <w:rPr>
                <w:rFonts w:ascii="Calibri" w:cs="Calibri" w:eastAsia="Calibri" w:hAnsi="Calibri"/>
                <w:sz w:val="18"/>
                <w:szCs w:val="18"/>
                <w:color w:val="auto"/>
              </w:rPr>
              <w:t>Stock-based compensaton</w:t>
            </w:r>
          </w:p>
        </w:tc>
        <w:tc>
          <w:tcPr>
            <w:tcW w:w="240" w:type="dxa"/>
            <w:vAlign w:val="bottom"/>
          </w:tcPr>
          <w:p>
            <w:pPr>
              <w:spacing w:after="0"/>
              <w:rPr>
                <w:sz w:val="18"/>
                <w:szCs w:val="18"/>
                <w:color w:val="auto"/>
              </w:rPr>
            </w:pPr>
          </w:p>
        </w:tc>
        <w:tc>
          <w:tcPr>
            <w:tcW w:w="1160" w:type="dxa"/>
            <w:vAlign w:val="bottom"/>
          </w:tcPr>
          <w:p>
            <w:pPr>
              <w:jc w:val="right"/>
              <w:spacing w:after="0" w:line="210" w:lineRule="exact"/>
              <w:rPr>
                <w:sz w:val="20"/>
                <w:szCs w:val="20"/>
                <w:color w:val="auto"/>
              </w:rPr>
            </w:pPr>
            <w:r>
              <w:rPr>
                <w:rFonts w:ascii="Calibri" w:cs="Calibri" w:eastAsia="Calibri" w:hAnsi="Calibri"/>
                <w:sz w:val="18"/>
                <w:szCs w:val="18"/>
                <w:color w:val="auto"/>
              </w:rPr>
              <w:t>2,171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jc w:val="right"/>
              <w:spacing w:after="0" w:line="210" w:lineRule="exact"/>
              <w:rPr>
                <w:sz w:val="20"/>
                <w:szCs w:val="20"/>
                <w:color w:val="auto"/>
              </w:rPr>
            </w:pPr>
            <w:r>
              <w:rPr>
                <w:rFonts w:ascii="Calibri" w:cs="Calibri" w:eastAsia="Calibri" w:hAnsi="Calibri"/>
                <w:sz w:val="18"/>
                <w:szCs w:val="18"/>
                <w:color w:val="auto"/>
              </w:rPr>
              <w:t>1,533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jc w:val="right"/>
              <w:spacing w:after="0" w:line="210" w:lineRule="exact"/>
              <w:rPr>
                <w:sz w:val="20"/>
                <w:szCs w:val="20"/>
                <w:color w:val="auto"/>
              </w:rPr>
            </w:pPr>
            <w:r>
              <w:rPr>
                <w:rFonts w:ascii="Calibri" w:cs="Calibri" w:eastAsia="Calibri" w:hAnsi="Calibri"/>
                <w:sz w:val="18"/>
                <w:szCs w:val="18"/>
                <w:color w:val="auto"/>
              </w:rPr>
              <w:t>1,704</w:t>
            </w:r>
          </w:p>
        </w:tc>
      </w:tr>
      <w:tr>
        <w:trPr>
          <w:trHeight w:val="232"/>
        </w:trPr>
        <w:tc>
          <w:tcPr>
            <w:tcW w:w="6800" w:type="dxa"/>
            <w:vAlign w:val="bottom"/>
            <w:shd w:val="clear" w:color="auto" w:fill="CCEEFF"/>
          </w:tcPr>
          <w:p>
            <w:pPr>
              <w:ind w:left="140"/>
              <w:spacing w:after="0" w:line="217" w:lineRule="exact"/>
              <w:rPr>
                <w:sz w:val="20"/>
                <w:szCs w:val="20"/>
                <w:color w:val="auto"/>
              </w:rPr>
            </w:pPr>
            <w:r>
              <w:rPr>
                <w:rFonts w:ascii="Calibri" w:cs="Calibri" w:eastAsia="Calibri" w:hAnsi="Calibri"/>
                <w:sz w:val="18"/>
                <w:szCs w:val="18"/>
                <w:color w:val="auto"/>
              </w:rPr>
              <w:t>Deferred taxes and other non-cash taxes</w:t>
            </w:r>
          </w:p>
        </w:tc>
        <w:tc>
          <w:tcPr>
            <w:tcW w:w="24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line="217" w:lineRule="exact"/>
              <w:rPr>
                <w:sz w:val="20"/>
                <w:szCs w:val="20"/>
                <w:color w:val="auto"/>
              </w:rPr>
            </w:pPr>
            <w:r>
              <w:rPr>
                <w:rFonts w:ascii="Calibri" w:cs="Calibri" w:eastAsia="Calibri" w:hAnsi="Calibri"/>
                <w:sz w:val="18"/>
                <w:szCs w:val="18"/>
                <w:color w:val="auto"/>
              </w:rPr>
              <w:t>(501)</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line="217" w:lineRule="exact"/>
              <w:rPr>
                <w:sz w:val="20"/>
                <w:szCs w:val="20"/>
                <w:color w:val="auto"/>
              </w:rPr>
            </w:pPr>
            <w:r>
              <w:rPr>
                <w:rFonts w:ascii="Calibri" w:cs="Calibri" w:eastAsia="Calibri" w:hAnsi="Calibri"/>
                <w:sz w:val="18"/>
                <w:szCs w:val="18"/>
                <w:color w:val="auto"/>
              </w:rPr>
              <w:t>(34)</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line="217" w:lineRule="exact"/>
              <w:rPr>
                <w:sz w:val="20"/>
                <w:szCs w:val="20"/>
                <w:color w:val="auto"/>
              </w:rPr>
            </w:pPr>
            <w:r>
              <w:rPr>
                <w:rFonts w:ascii="Calibri" w:cs="Calibri" w:eastAsia="Calibri" w:hAnsi="Calibri"/>
                <w:sz w:val="18"/>
                <w:szCs w:val="18"/>
                <w:color w:val="auto"/>
              </w:rPr>
              <w:t>(809)</w:t>
            </w:r>
          </w:p>
        </w:tc>
      </w:tr>
      <w:tr>
        <w:trPr>
          <w:trHeight w:val="217"/>
        </w:trPr>
        <w:tc>
          <w:tcPr>
            <w:tcW w:w="6800" w:type="dxa"/>
            <w:vAlign w:val="bottom"/>
          </w:tcPr>
          <w:p>
            <w:pPr>
              <w:ind w:left="140"/>
              <w:spacing w:after="0" w:line="210" w:lineRule="exact"/>
              <w:rPr>
                <w:sz w:val="20"/>
                <w:szCs w:val="20"/>
                <w:color w:val="auto"/>
              </w:rPr>
            </w:pPr>
            <w:r>
              <w:rPr>
                <w:rFonts w:ascii="Calibri" w:cs="Calibri" w:eastAsia="Calibri" w:hAnsi="Calibri"/>
                <w:sz w:val="18"/>
                <w:szCs w:val="18"/>
                <w:color w:val="auto"/>
              </w:rPr>
              <w:t>Loss on debt extnguishment</w:t>
            </w:r>
          </w:p>
        </w:tc>
        <w:tc>
          <w:tcPr>
            <w:tcW w:w="240" w:type="dxa"/>
            <w:vAlign w:val="bottom"/>
          </w:tcPr>
          <w:p>
            <w:pPr>
              <w:spacing w:after="0"/>
              <w:rPr>
                <w:sz w:val="18"/>
                <w:szCs w:val="18"/>
                <w:color w:val="auto"/>
              </w:rPr>
            </w:pPr>
          </w:p>
        </w:tc>
        <w:tc>
          <w:tcPr>
            <w:tcW w:w="1260" w:type="dxa"/>
            <w:vAlign w:val="bottom"/>
            <w:gridSpan w:val="2"/>
          </w:tcPr>
          <w:p>
            <w:pPr>
              <w:jc w:val="right"/>
              <w:ind w:right="160"/>
              <w:spacing w:after="0" w:line="210" w:lineRule="exact"/>
              <w:rPr>
                <w:sz w:val="20"/>
                <w:szCs w:val="20"/>
                <w:color w:val="auto"/>
              </w:rPr>
            </w:pPr>
            <w:r>
              <w:rPr>
                <w:rFonts w:ascii="Calibri" w:cs="Calibri" w:eastAsia="Calibri" w:hAnsi="Calibri"/>
                <w:sz w:val="18"/>
                <w:szCs w:val="18"/>
                <w:color w:val="auto"/>
              </w:rPr>
              <w:t>—</w:t>
            </w:r>
          </w:p>
        </w:tc>
        <w:tc>
          <w:tcPr>
            <w:tcW w:w="160" w:type="dxa"/>
            <w:vAlign w:val="bottom"/>
          </w:tcPr>
          <w:p>
            <w:pPr>
              <w:spacing w:after="0"/>
              <w:rPr>
                <w:sz w:val="18"/>
                <w:szCs w:val="18"/>
                <w:color w:val="auto"/>
              </w:rPr>
            </w:pPr>
          </w:p>
        </w:tc>
        <w:tc>
          <w:tcPr>
            <w:tcW w:w="1240" w:type="dxa"/>
            <w:vAlign w:val="bottom"/>
          </w:tcPr>
          <w:p>
            <w:pPr>
              <w:jc w:val="right"/>
              <w:spacing w:after="0" w:line="210" w:lineRule="exact"/>
              <w:rPr>
                <w:sz w:val="20"/>
                <w:szCs w:val="20"/>
                <w:color w:val="auto"/>
              </w:rPr>
            </w:pPr>
            <w:r>
              <w:rPr>
                <w:rFonts w:ascii="Calibri" w:cs="Calibri" w:eastAsia="Calibri" w:hAnsi="Calibri"/>
                <w:sz w:val="18"/>
                <w:szCs w:val="18"/>
                <w:color w:val="auto"/>
              </w:rPr>
              <w:t>100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jc w:val="right"/>
              <w:spacing w:after="0" w:line="210" w:lineRule="exact"/>
              <w:rPr>
                <w:sz w:val="20"/>
                <w:szCs w:val="20"/>
                <w:color w:val="auto"/>
              </w:rPr>
            </w:pPr>
            <w:r>
              <w:rPr>
                <w:rFonts w:ascii="Calibri" w:cs="Calibri" w:eastAsia="Calibri" w:hAnsi="Calibri"/>
                <w:sz w:val="18"/>
                <w:szCs w:val="18"/>
                <w:color w:val="auto"/>
              </w:rPr>
              <w:t>198</w:t>
            </w:r>
          </w:p>
        </w:tc>
      </w:tr>
      <w:tr>
        <w:trPr>
          <w:trHeight w:val="232"/>
        </w:trPr>
        <w:tc>
          <w:tcPr>
            <w:tcW w:w="6800" w:type="dxa"/>
            <w:vAlign w:val="bottom"/>
            <w:shd w:val="clear" w:color="auto" w:fill="CCEEFF"/>
          </w:tcPr>
          <w:p>
            <w:pPr>
              <w:ind w:left="140"/>
              <w:spacing w:after="0" w:line="217" w:lineRule="exact"/>
              <w:rPr>
                <w:sz w:val="20"/>
                <w:szCs w:val="20"/>
                <w:color w:val="auto"/>
              </w:rPr>
            </w:pPr>
            <w:r>
              <w:rPr>
                <w:rFonts w:ascii="Calibri" w:cs="Calibri" w:eastAsia="Calibri" w:hAnsi="Calibri"/>
                <w:sz w:val="18"/>
                <w:szCs w:val="18"/>
                <w:color w:val="auto"/>
              </w:rPr>
              <w:t>Non-cash interest expense</w:t>
            </w:r>
          </w:p>
        </w:tc>
        <w:tc>
          <w:tcPr>
            <w:tcW w:w="24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line="217" w:lineRule="exact"/>
              <w:rPr>
                <w:sz w:val="20"/>
                <w:szCs w:val="20"/>
                <w:color w:val="auto"/>
              </w:rPr>
            </w:pPr>
            <w:r>
              <w:rPr>
                <w:rFonts w:ascii="Calibri" w:cs="Calibri" w:eastAsia="Calibri" w:hAnsi="Calibri"/>
                <w:sz w:val="18"/>
                <w:szCs w:val="18"/>
                <w:color w:val="auto"/>
              </w:rPr>
              <w:t>132</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line="217" w:lineRule="exact"/>
              <w:rPr>
                <w:sz w:val="20"/>
                <w:szCs w:val="20"/>
                <w:color w:val="auto"/>
              </w:rPr>
            </w:pPr>
            <w:r>
              <w:rPr>
                <w:rFonts w:ascii="Calibri" w:cs="Calibri" w:eastAsia="Calibri" w:hAnsi="Calibri"/>
                <w:sz w:val="18"/>
                <w:szCs w:val="18"/>
                <w:color w:val="auto"/>
              </w:rPr>
              <w:t>129</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line="217" w:lineRule="exact"/>
              <w:rPr>
                <w:sz w:val="20"/>
                <w:szCs w:val="20"/>
                <w:color w:val="auto"/>
              </w:rPr>
            </w:pPr>
            <w:r>
              <w:rPr>
                <w:rFonts w:ascii="Calibri" w:cs="Calibri" w:eastAsia="Calibri" w:hAnsi="Calibri"/>
                <w:sz w:val="18"/>
                <w:szCs w:val="18"/>
                <w:color w:val="auto"/>
              </w:rPr>
              <w:t>96</w:t>
            </w:r>
          </w:p>
        </w:tc>
      </w:tr>
      <w:tr>
        <w:trPr>
          <w:trHeight w:val="217"/>
        </w:trPr>
        <w:tc>
          <w:tcPr>
            <w:tcW w:w="6800" w:type="dxa"/>
            <w:vAlign w:val="bottom"/>
          </w:tcPr>
          <w:p>
            <w:pPr>
              <w:ind w:left="140"/>
              <w:spacing w:after="0" w:line="210" w:lineRule="exact"/>
              <w:rPr>
                <w:sz w:val="20"/>
                <w:szCs w:val="20"/>
                <w:color w:val="auto"/>
              </w:rPr>
            </w:pPr>
            <w:r>
              <w:rPr>
                <w:rFonts w:ascii="Calibri" w:cs="Calibri" w:eastAsia="Calibri" w:hAnsi="Calibri"/>
                <w:sz w:val="18"/>
                <w:szCs w:val="18"/>
                <w:color w:val="auto"/>
              </w:rPr>
              <w:t>Other</w:t>
            </w:r>
          </w:p>
        </w:tc>
        <w:tc>
          <w:tcPr>
            <w:tcW w:w="240" w:type="dxa"/>
            <w:vAlign w:val="bottom"/>
          </w:tcPr>
          <w:p>
            <w:pPr>
              <w:spacing w:after="0"/>
              <w:rPr>
                <w:sz w:val="18"/>
                <w:szCs w:val="18"/>
                <w:color w:val="auto"/>
              </w:rPr>
            </w:pPr>
          </w:p>
        </w:tc>
        <w:tc>
          <w:tcPr>
            <w:tcW w:w="1160" w:type="dxa"/>
            <w:vAlign w:val="bottom"/>
          </w:tcPr>
          <w:p>
            <w:pPr>
              <w:jc w:val="right"/>
              <w:spacing w:after="0" w:line="210" w:lineRule="exact"/>
              <w:rPr>
                <w:sz w:val="20"/>
                <w:szCs w:val="20"/>
                <w:color w:val="auto"/>
              </w:rPr>
            </w:pPr>
            <w:r>
              <w:rPr>
                <w:rFonts w:ascii="Calibri" w:cs="Calibri" w:eastAsia="Calibri" w:hAnsi="Calibri"/>
                <w:sz w:val="18"/>
                <w:szCs w:val="18"/>
                <w:color w:val="auto"/>
              </w:rPr>
              <w:t>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jc w:val="right"/>
              <w:spacing w:after="0" w:line="210" w:lineRule="exact"/>
              <w:rPr>
                <w:sz w:val="20"/>
                <w:szCs w:val="20"/>
                <w:color w:val="auto"/>
              </w:rPr>
            </w:pPr>
            <w:r>
              <w:rPr>
                <w:rFonts w:ascii="Calibri" w:cs="Calibri" w:eastAsia="Calibri" w:hAnsi="Calibri"/>
                <w:sz w:val="18"/>
                <w:szCs w:val="18"/>
                <w:color w:val="auto"/>
              </w:rPr>
              <w:t>183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jc w:val="right"/>
              <w:spacing w:after="0" w:line="210" w:lineRule="exact"/>
              <w:rPr>
                <w:sz w:val="20"/>
                <w:szCs w:val="20"/>
                <w:color w:val="auto"/>
              </w:rPr>
            </w:pPr>
            <w:r>
              <w:rPr>
                <w:rFonts w:ascii="Calibri" w:cs="Calibri" w:eastAsia="Calibri" w:hAnsi="Calibri"/>
                <w:sz w:val="18"/>
                <w:szCs w:val="18"/>
                <w:color w:val="auto"/>
              </w:rPr>
              <w:t>(75)</w:t>
            </w:r>
          </w:p>
        </w:tc>
      </w:tr>
      <w:tr>
        <w:trPr>
          <w:trHeight w:val="232"/>
        </w:trPr>
        <w:tc>
          <w:tcPr>
            <w:tcW w:w="6800" w:type="dxa"/>
            <w:vAlign w:val="bottom"/>
            <w:shd w:val="clear" w:color="auto" w:fill="CCEEFF"/>
          </w:tcPr>
          <w:p>
            <w:pPr>
              <w:ind w:left="20"/>
              <w:spacing w:after="0" w:line="217" w:lineRule="exact"/>
              <w:rPr>
                <w:sz w:val="20"/>
                <w:szCs w:val="20"/>
                <w:color w:val="auto"/>
              </w:rPr>
            </w:pPr>
            <w:r>
              <w:rPr>
                <w:rFonts w:ascii="Calibri" w:cs="Calibri" w:eastAsia="Calibri" w:hAnsi="Calibri"/>
                <w:sz w:val="18"/>
                <w:szCs w:val="18"/>
                <w:color w:val="auto"/>
              </w:rPr>
              <w:t>Changes in assets and liabilites, net of acquisitons and disposals:</w:t>
            </w:r>
          </w:p>
        </w:tc>
        <w:tc>
          <w:tcPr>
            <w:tcW w:w="24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r>
      <w:tr>
        <w:trPr>
          <w:trHeight w:val="217"/>
        </w:trPr>
        <w:tc>
          <w:tcPr>
            <w:tcW w:w="6800" w:type="dxa"/>
            <w:vAlign w:val="bottom"/>
          </w:tcPr>
          <w:p>
            <w:pPr>
              <w:ind w:left="140"/>
              <w:spacing w:after="0" w:line="210" w:lineRule="exact"/>
              <w:rPr>
                <w:sz w:val="20"/>
                <w:szCs w:val="20"/>
                <w:color w:val="auto"/>
              </w:rPr>
            </w:pPr>
            <w:r>
              <w:rPr>
                <w:rFonts w:ascii="Calibri" w:cs="Calibri" w:eastAsia="Calibri" w:hAnsi="Calibri"/>
                <w:sz w:val="18"/>
                <w:szCs w:val="18"/>
                <w:color w:val="auto"/>
              </w:rPr>
              <w:t>Trade accounts receivable, net</w:t>
            </w:r>
          </w:p>
        </w:tc>
        <w:tc>
          <w:tcPr>
            <w:tcW w:w="240" w:type="dxa"/>
            <w:vAlign w:val="bottom"/>
          </w:tcPr>
          <w:p>
            <w:pPr>
              <w:spacing w:after="0"/>
              <w:rPr>
                <w:sz w:val="18"/>
                <w:szCs w:val="18"/>
                <w:color w:val="auto"/>
              </w:rPr>
            </w:pPr>
          </w:p>
        </w:tc>
        <w:tc>
          <w:tcPr>
            <w:tcW w:w="1160" w:type="dxa"/>
            <w:vAlign w:val="bottom"/>
          </w:tcPr>
          <w:p>
            <w:pPr>
              <w:jc w:val="right"/>
              <w:spacing w:after="0" w:line="210" w:lineRule="exact"/>
              <w:rPr>
                <w:sz w:val="20"/>
                <w:szCs w:val="20"/>
                <w:color w:val="auto"/>
              </w:rPr>
            </w:pPr>
            <w:r>
              <w:rPr>
                <w:rFonts w:ascii="Calibri" w:cs="Calibri" w:eastAsia="Calibri" w:hAnsi="Calibri"/>
                <w:sz w:val="18"/>
                <w:szCs w:val="18"/>
                <w:color w:val="auto"/>
              </w:rPr>
              <w:t>(187)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jc w:val="right"/>
              <w:spacing w:after="0" w:line="210" w:lineRule="exact"/>
              <w:rPr>
                <w:sz w:val="20"/>
                <w:szCs w:val="20"/>
                <w:color w:val="auto"/>
              </w:rPr>
            </w:pPr>
            <w:r>
              <w:rPr>
                <w:rFonts w:ascii="Calibri" w:cs="Calibri" w:eastAsia="Calibri" w:hAnsi="Calibri"/>
                <w:sz w:val="18"/>
                <w:szCs w:val="18"/>
                <w:color w:val="auto"/>
              </w:rPr>
              <w:t>(870)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jc w:val="right"/>
              <w:spacing w:after="0" w:line="210" w:lineRule="exact"/>
              <w:rPr>
                <w:sz w:val="20"/>
                <w:szCs w:val="20"/>
                <w:color w:val="auto"/>
              </w:rPr>
            </w:pPr>
            <w:r>
              <w:rPr>
                <w:rFonts w:ascii="Calibri" w:cs="Calibri" w:eastAsia="Calibri" w:hAnsi="Calibri"/>
                <w:sz w:val="18"/>
                <w:szCs w:val="18"/>
                <w:color w:val="auto"/>
              </w:rPr>
              <w:t>210</w:t>
            </w:r>
          </w:p>
        </w:tc>
      </w:tr>
      <w:tr>
        <w:trPr>
          <w:trHeight w:val="232"/>
        </w:trPr>
        <w:tc>
          <w:tcPr>
            <w:tcW w:w="6800" w:type="dxa"/>
            <w:vAlign w:val="bottom"/>
            <w:shd w:val="clear" w:color="auto" w:fill="CCEEFF"/>
          </w:tcPr>
          <w:p>
            <w:pPr>
              <w:ind w:left="140"/>
              <w:spacing w:after="0" w:line="217" w:lineRule="exact"/>
              <w:rPr>
                <w:sz w:val="20"/>
                <w:szCs w:val="20"/>
                <w:color w:val="auto"/>
              </w:rPr>
            </w:pPr>
            <w:r>
              <w:rPr>
                <w:rFonts w:ascii="Calibri" w:cs="Calibri" w:eastAsia="Calibri" w:hAnsi="Calibri"/>
                <w:sz w:val="18"/>
                <w:szCs w:val="18"/>
                <w:color w:val="auto"/>
              </w:rPr>
              <w:t>Inventory</w:t>
            </w:r>
          </w:p>
        </w:tc>
        <w:tc>
          <w:tcPr>
            <w:tcW w:w="24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line="217" w:lineRule="exact"/>
              <w:rPr>
                <w:sz w:val="20"/>
                <w:szCs w:val="20"/>
                <w:color w:val="auto"/>
              </w:rPr>
            </w:pPr>
            <w:r>
              <w:rPr>
                <w:rFonts w:ascii="Calibri" w:cs="Calibri" w:eastAsia="Calibri" w:hAnsi="Calibri"/>
                <w:sz w:val="18"/>
                <w:szCs w:val="18"/>
                <w:color w:val="auto"/>
              </w:rPr>
              <w:t>27</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line="217" w:lineRule="exact"/>
              <w:rPr>
                <w:sz w:val="20"/>
                <w:szCs w:val="20"/>
                <w:color w:val="auto"/>
              </w:rPr>
            </w:pPr>
            <w:r>
              <w:rPr>
                <w:rFonts w:ascii="Calibri" w:cs="Calibri" w:eastAsia="Calibri" w:hAnsi="Calibri"/>
                <w:sz w:val="18"/>
                <w:szCs w:val="18"/>
                <w:color w:val="auto"/>
              </w:rPr>
              <w:t>(627)</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line="217" w:lineRule="exact"/>
              <w:rPr>
                <w:sz w:val="20"/>
                <w:szCs w:val="20"/>
                <w:color w:val="auto"/>
              </w:rPr>
            </w:pPr>
            <w:r>
              <w:rPr>
                <w:rFonts w:ascii="Calibri" w:cs="Calibri" w:eastAsia="Calibri" w:hAnsi="Calibri"/>
                <w:sz w:val="18"/>
                <w:szCs w:val="18"/>
                <w:color w:val="auto"/>
              </w:rPr>
              <w:t>(294)</w:t>
            </w:r>
          </w:p>
        </w:tc>
      </w:tr>
      <w:tr>
        <w:trPr>
          <w:trHeight w:val="217"/>
        </w:trPr>
        <w:tc>
          <w:tcPr>
            <w:tcW w:w="6800" w:type="dxa"/>
            <w:vAlign w:val="bottom"/>
          </w:tcPr>
          <w:p>
            <w:pPr>
              <w:ind w:left="140"/>
              <w:spacing w:after="0" w:line="210" w:lineRule="exact"/>
              <w:rPr>
                <w:sz w:val="20"/>
                <w:szCs w:val="20"/>
                <w:color w:val="auto"/>
              </w:rPr>
            </w:pPr>
            <w:r>
              <w:rPr>
                <w:rFonts w:ascii="Calibri" w:cs="Calibri" w:eastAsia="Calibri" w:hAnsi="Calibri"/>
                <w:sz w:val="18"/>
                <w:szCs w:val="18"/>
                <w:color w:val="auto"/>
              </w:rPr>
              <w:t>Accounts payable</w:t>
            </w:r>
          </w:p>
        </w:tc>
        <w:tc>
          <w:tcPr>
            <w:tcW w:w="240" w:type="dxa"/>
            <w:vAlign w:val="bottom"/>
          </w:tcPr>
          <w:p>
            <w:pPr>
              <w:spacing w:after="0"/>
              <w:rPr>
                <w:sz w:val="18"/>
                <w:szCs w:val="18"/>
                <w:color w:val="auto"/>
              </w:rPr>
            </w:pPr>
          </w:p>
        </w:tc>
        <w:tc>
          <w:tcPr>
            <w:tcW w:w="1160" w:type="dxa"/>
            <w:vAlign w:val="bottom"/>
          </w:tcPr>
          <w:p>
            <w:pPr>
              <w:jc w:val="right"/>
              <w:spacing w:after="0" w:line="210" w:lineRule="exact"/>
              <w:rPr>
                <w:sz w:val="20"/>
                <w:szCs w:val="20"/>
                <w:color w:val="auto"/>
              </w:rPr>
            </w:pPr>
            <w:r>
              <w:rPr>
                <w:rFonts w:ascii="Calibri" w:cs="Calibri" w:eastAsia="Calibri" w:hAnsi="Calibri"/>
                <w:sz w:val="18"/>
                <w:szCs w:val="18"/>
                <w:color w:val="auto"/>
              </w:rPr>
              <w:t>209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jc w:val="right"/>
              <w:spacing w:after="0" w:line="210" w:lineRule="exact"/>
              <w:rPr>
                <w:sz w:val="20"/>
                <w:szCs w:val="20"/>
                <w:color w:val="auto"/>
              </w:rPr>
            </w:pPr>
            <w:r>
              <w:rPr>
                <w:rFonts w:ascii="Calibri" w:cs="Calibri" w:eastAsia="Calibri" w:hAnsi="Calibri"/>
                <w:sz w:val="18"/>
                <w:szCs w:val="18"/>
                <w:color w:val="auto"/>
              </w:rPr>
              <w:t>(79)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jc w:val="right"/>
              <w:spacing w:after="0" w:line="210" w:lineRule="exact"/>
              <w:rPr>
                <w:sz w:val="20"/>
                <w:szCs w:val="20"/>
                <w:color w:val="auto"/>
              </w:rPr>
            </w:pPr>
            <w:r>
              <w:rPr>
                <w:rFonts w:ascii="Calibri" w:cs="Calibri" w:eastAsia="Calibri" w:hAnsi="Calibri"/>
                <w:sz w:val="18"/>
                <w:szCs w:val="18"/>
                <w:color w:val="auto"/>
              </w:rPr>
              <w:t>243</w:t>
            </w:r>
          </w:p>
        </w:tc>
      </w:tr>
      <w:tr>
        <w:trPr>
          <w:trHeight w:val="232"/>
        </w:trPr>
        <w:tc>
          <w:tcPr>
            <w:tcW w:w="6800" w:type="dxa"/>
            <w:vAlign w:val="bottom"/>
            <w:shd w:val="clear" w:color="auto" w:fill="CCEEFF"/>
          </w:tcPr>
          <w:p>
            <w:pPr>
              <w:ind w:left="140"/>
              <w:spacing w:after="0" w:line="217" w:lineRule="exact"/>
              <w:rPr>
                <w:sz w:val="20"/>
                <w:szCs w:val="20"/>
                <w:color w:val="auto"/>
              </w:rPr>
            </w:pPr>
            <w:r>
              <w:rPr>
                <w:rFonts w:ascii="Calibri" w:cs="Calibri" w:eastAsia="Calibri" w:hAnsi="Calibri"/>
                <w:sz w:val="18"/>
                <w:szCs w:val="18"/>
                <w:color w:val="auto"/>
              </w:rPr>
              <w:t>Employee compensaton and benefts</w:t>
            </w:r>
          </w:p>
        </w:tc>
        <w:tc>
          <w:tcPr>
            <w:tcW w:w="24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line="217" w:lineRule="exact"/>
              <w:rPr>
                <w:sz w:val="20"/>
                <w:szCs w:val="20"/>
                <w:color w:val="auto"/>
              </w:rPr>
            </w:pPr>
            <w:r>
              <w:rPr>
                <w:rFonts w:ascii="Calibri" w:cs="Calibri" w:eastAsia="Calibri" w:hAnsi="Calibri"/>
                <w:sz w:val="18"/>
                <w:szCs w:val="18"/>
                <w:color w:val="auto"/>
              </w:rPr>
              <w:t>(279)</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line="217" w:lineRule="exact"/>
              <w:rPr>
                <w:sz w:val="20"/>
                <w:szCs w:val="20"/>
                <w:color w:val="auto"/>
              </w:rPr>
            </w:pPr>
            <w:r>
              <w:rPr>
                <w:rFonts w:ascii="Calibri" w:cs="Calibri" w:eastAsia="Calibri" w:hAnsi="Calibri"/>
                <w:sz w:val="18"/>
                <w:szCs w:val="18"/>
                <w:color w:val="auto"/>
              </w:rPr>
              <w:t>136</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line="217" w:lineRule="exact"/>
              <w:rPr>
                <w:sz w:val="20"/>
                <w:szCs w:val="20"/>
                <w:color w:val="auto"/>
              </w:rPr>
            </w:pPr>
            <w:r>
              <w:rPr>
                <w:rFonts w:ascii="Calibri" w:cs="Calibri" w:eastAsia="Calibri" w:hAnsi="Calibri"/>
                <w:sz w:val="18"/>
                <w:szCs w:val="18"/>
                <w:color w:val="auto"/>
              </w:rPr>
              <w:t>186</w:t>
            </w:r>
          </w:p>
        </w:tc>
      </w:tr>
      <w:tr>
        <w:trPr>
          <w:trHeight w:val="217"/>
        </w:trPr>
        <w:tc>
          <w:tcPr>
            <w:tcW w:w="6800" w:type="dxa"/>
            <w:vAlign w:val="bottom"/>
          </w:tcPr>
          <w:p>
            <w:pPr>
              <w:ind w:left="140"/>
              <w:spacing w:after="0" w:line="210" w:lineRule="exact"/>
              <w:rPr>
                <w:sz w:val="20"/>
                <w:szCs w:val="20"/>
                <w:color w:val="auto"/>
              </w:rPr>
            </w:pPr>
            <w:r>
              <w:rPr>
                <w:rFonts w:ascii="Calibri" w:cs="Calibri" w:eastAsia="Calibri" w:hAnsi="Calibri"/>
                <w:sz w:val="18"/>
                <w:szCs w:val="18"/>
                <w:color w:val="auto"/>
              </w:rPr>
              <w:t>Other current assets and current liabilites</w:t>
            </w:r>
          </w:p>
        </w:tc>
        <w:tc>
          <w:tcPr>
            <w:tcW w:w="240" w:type="dxa"/>
            <w:vAlign w:val="bottom"/>
          </w:tcPr>
          <w:p>
            <w:pPr>
              <w:spacing w:after="0"/>
              <w:rPr>
                <w:sz w:val="18"/>
                <w:szCs w:val="18"/>
                <w:color w:val="auto"/>
              </w:rPr>
            </w:pPr>
          </w:p>
        </w:tc>
        <w:tc>
          <w:tcPr>
            <w:tcW w:w="1160" w:type="dxa"/>
            <w:vAlign w:val="bottom"/>
          </w:tcPr>
          <w:p>
            <w:pPr>
              <w:jc w:val="right"/>
              <w:spacing w:after="0" w:line="210" w:lineRule="exact"/>
              <w:rPr>
                <w:sz w:val="20"/>
                <w:szCs w:val="20"/>
                <w:color w:val="auto"/>
              </w:rPr>
            </w:pPr>
            <w:r>
              <w:rPr>
                <w:rFonts w:ascii="Calibri" w:cs="Calibri" w:eastAsia="Calibri" w:hAnsi="Calibri"/>
                <w:sz w:val="18"/>
                <w:szCs w:val="18"/>
                <w:color w:val="auto"/>
              </w:rPr>
              <w:t>(628)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jc w:val="right"/>
              <w:spacing w:after="0" w:line="210" w:lineRule="exact"/>
              <w:rPr>
                <w:sz w:val="20"/>
                <w:szCs w:val="20"/>
                <w:color w:val="auto"/>
              </w:rPr>
            </w:pPr>
            <w:r>
              <w:rPr>
                <w:rFonts w:ascii="Calibri" w:cs="Calibri" w:eastAsia="Calibri" w:hAnsi="Calibri"/>
                <w:sz w:val="18"/>
                <w:szCs w:val="18"/>
                <w:color w:val="auto"/>
              </w:rPr>
              <w:t>222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jc w:val="right"/>
              <w:spacing w:after="0" w:line="210" w:lineRule="exact"/>
              <w:rPr>
                <w:sz w:val="20"/>
                <w:szCs w:val="20"/>
                <w:color w:val="auto"/>
              </w:rPr>
            </w:pPr>
            <w:r>
              <w:rPr>
                <w:rFonts w:ascii="Calibri" w:cs="Calibri" w:eastAsia="Calibri" w:hAnsi="Calibri"/>
                <w:sz w:val="18"/>
                <w:szCs w:val="18"/>
                <w:color w:val="auto"/>
              </w:rPr>
              <w:t>(177)</w:t>
            </w:r>
          </w:p>
        </w:tc>
      </w:tr>
      <w:tr>
        <w:trPr>
          <w:trHeight w:val="232"/>
        </w:trPr>
        <w:tc>
          <w:tcPr>
            <w:tcW w:w="6800" w:type="dxa"/>
            <w:vAlign w:val="bottom"/>
            <w:shd w:val="clear" w:color="auto" w:fill="CCEEFF"/>
          </w:tcPr>
          <w:p>
            <w:pPr>
              <w:ind w:left="140"/>
              <w:spacing w:after="0" w:line="217" w:lineRule="exact"/>
              <w:rPr>
                <w:sz w:val="20"/>
                <w:szCs w:val="20"/>
                <w:color w:val="auto"/>
              </w:rPr>
            </w:pPr>
            <w:r>
              <w:rPr>
                <w:rFonts w:ascii="Calibri" w:cs="Calibri" w:eastAsia="Calibri" w:hAnsi="Calibri"/>
                <w:sz w:val="18"/>
                <w:szCs w:val="18"/>
                <w:color w:val="auto"/>
              </w:rPr>
              <w:t>Other long-term assets and long-term liabilites</w:t>
            </w:r>
          </w:p>
        </w:tc>
        <w:tc>
          <w:tcPr>
            <w:tcW w:w="24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line="217" w:lineRule="exact"/>
              <w:rPr>
                <w:sz w:val="20"/>
                <w:szCs w:val="20"/>
                <w:color w:val="auto"/>
              </w:rPr>
            </w:pPr>
            <w:r>
              <w:rPr>
                <w:rFonts w:ascii="Calibri" w:cs="Calibri" w:eastAsia="Calibri" w:hAnsi="Calibri"/>
                <w:sz w:val="18"/>
                <w:szCs w:val="18"/>
                <w:color w:val="auto"/>
              </w:rPr>
              <w:t>(785)</w:t>
            </w:r>
          </w:p>
        </w:tc>
        <w:tc>
          <w:tcPr>
            <w:tcW w:w="10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spacing w:after="0" w:line="217" w:lineRule="exact"/>
              <w:rPr>
                <w:sz w:val="20"/>
                <w:szCs w:val="20"/>
                <w:color w:val="auto"/>
              </w:rPr>
            </w:pPr>
            <w:r>
              <w:rPr>
                <w:rFonts w:ascii="Calibri" w:cs="Calibri" w:eastAsia="Calibri" w:hAnsi="Calibri"/>
                <w:sz w:val="18"/>
                <w:szCs w:val="18"/>
                <w:color w:val="auto"/>
              </w:rPr>
              <w:t>(436)</w:t>
            </w:r>
          </w:p>
        </w:tc>
        <w:tc>
          <w:tcPr>
            <w:tcW w:w="10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line="217" w:lineRule="exact"/>
              <w:rPr>
                <w:sz w:val="20"/>
                <w:szCs w:val="20"/>
                <w:color w:val="auto"/>
              </w:rPr>
            </w:pPr>
            <w:r>
              <w:rPr>
                <w:rFonts w:ascii="Calibri" w:cs="Calibri" w:eastAsia="Calibri" w:hAnsi="Calibri"/>
                <w:sz w:val="18"/>
                <w:szCs w:val="18"/>
                <w:color w:val="auto"/>
              </w:rPr>
              <w:t>(295)</w:t>
            </w:r>
          </w:p>
        </w:tc>
      </w:tr>
      <w:tr>
        <w:trPr>
          <w:trHeight w:val="211"/>
        </w:trPr>
        <w:tc>
          <w:tcPr>
            <w:tcW w:w="6800" w:type="dxa"/>
            <w:vAlign w:val="bottom"/>
            <w:tcBorders>
              <w:bottom w:val="single" w:sz="8" w:color="CCEEFF"/>
            </w:tcBorders>
          </w:tcPr>
          <w:p>
            <w:pPr>
              <w:ind w:left="340"/>
              <w:spacing w:after="0" w:line="196" w:lineRule="exact"/>
              <w:rPr>
                <w:sz w:val="20"/>
                <w:szCs w:val="20"/>
                <w:color w:val="auto"/>
              </w:rPr>
            </w:pPr>
            <w:r>
              <w:rPr>
                <w:rFonts w:ascii="Calibri" w:cs="Calibri" w:eastAsia="Calibri" w:hAnsi="Calibri"/>
                <w:sz w:val="18"/>
                <w:szCs w:val="18"/>
                <w:color w:val="auto"/>
              </w:rPr>
              <w:t>Net cash provided by operatng actvites</w:t>
            </w:r>
          </w:p>
        </w:tc>
        <w:tc>
          <w:tcPr>
            <w:tcW w:w="2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line="210" w:lineRule="exact"/>
              <w:rPr>
                <w:sz w:val="20"/>
                <w:szCs w:val="20"/>
                <w:color w:val="auto"/>
              </w:rPr>
            </w:pPr>
            <w:r>
              <w:rPr>
                <w:rFonts w:ascii="Calibri" w:cs="Calibri" w:eastAsia="Calibri" w:hAnsi="Calibri"/>
                <w:sz w:val="18"/>
                <w:szCs w:val="18"/>
                <w:color w:val="auto"/>
              </w:rPr>
              <w:t>18,085</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line="210" w:lineRule="exact"/>
              <w:rPr>
                <w:sz w:val="20"/>
                <w:szCs w:val="20"/>
                <w:color w:val="auto"/>
              </w:rPr>
            </w:pPr>
            <w:r>
              <w:rPr>
                <w:rFonts w:ascii="Calibri" w:cs="Calibri" w:eastAsia="Calibri" w:hAnsi="Calibri"/>
                <w:sz w:val="18"/>
                <w:szCs w:val="18"/>
                <w:color w:val="auto"/>
              </w:rPr>
              <w:t>16,736</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line="210" w:lineRule="exact"/>
              <w:rPr>
                <w:sz w:val="20"/>
                <w:szCs w:val="20"/>
                <w:color w:val="auto"/>
              </w:rPr>
            </w:pPr>
            <w:r>
              <w:rPr>
                <w:rFonts w:ascii="Calibri" w:cs="Calibri" w:eastAsia="Calibri" w:hAnsi="Calibri"/>
                <w:sz w:val="18"/>
                <w:szCs w:val="18"/>
                <w:color w:val="auto"/>
              </w:rPr>
              <w:t>13,764</w:t>
            </w:r>
          </w:p>
        </w:tc>
      </w:tr>
      <w:tr>
        <w:trPr>
          <w:trHeight w:val="211"/>
        </w:trPr>
        <w:tc>
          <w:tcPr>
            <w:tcW w:w="6800" w:type="dxa"/>
            <w:vAlign w:val="bottom"/>
            <w:shd w:val="clear" w:color="auto" w:fill="CCEEFF"/>
          </w:tcPr>
          <w:p>
            <w:pPr>
              <w:ind w:left="20"/>
              <w:spacing w:after="0" w:line="196" w:lineRule="exact"/>
              <w:rPr>
                <w:sz w:val="20"/>
                <w:szCs w:val="20"/>
                <w:color w:val="auto"/>
              </w:rPr>
            </w:pPr>
            <w:r>
              <w:rPr>
                <w:rFonts w:ascii="Calibri" w:cs="Calibri" w:eastAsia="Calibri" w:hAnsi="Calibri"/>
                <w:sz w:val="18"/>
                <w:szCs w:val="18"/>
                <w:b w:val="1"/>
                <w:bCs w:val="1"/>
                <w:color w:val="auto"/>
              </w:rPr>
              <w:t>Cash fows from investng actvites:</w:t>
            </w: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17"/>
        </w:trPr>
        <w:tc>
          <w:tcPr>
            <w:tcW w:w="6800" w:type="dxa"/>
            <w:vAlign w:val="bottom"/>
          </w:tcPr>
          <w:p>
            <w:pPr>
              <w:ind w:left="140"/>
              <w:spacing w:after="0" w:line="210" w:lineRule="exact"/>
              <w:rPr>
                <w:sz w:val="20"/>
                <w:szCs w:val="20"/>
                <w:color w:val="auto"/>
              </w:rPr>
            </w:pPr>
            <w:r>
              <w:rPr>
                <w:rFonts w:ascii="Calibri" w:cs="Calibri" w:eastAsia="Calibri" w:hAnsi="Calibri"/>
                <w:sz w:val="18"/>
                <w:szCs w:val="18"/>
                <w:color w:val="auto"/>
              </w:rPr>
              <w:t>Acquisitons of businesses, net of cash acquired</w:t>
            </w:r>
          </w:p>
        </w:tc>
        <w:tc>
          <w:tcPr>
            <w:tcW w:w="240" w:type="dxa"/>
            <w:vAlign w:val="bottom"/>
          </w:tcPr>
          <w:p>
            <w:pPr>
              <w:spacing w:after="0"/>
              <w:rPr>
                <w:sz w:val="18"/>
                <w:szCs w:val="18"/>
                <w:color w:val="auto"/>
              </w:rPr>
            </w:pPr>
          </w:p>
        </w:tc>
        <w:tc>
          <w:tcPr>
            <w:tcW w:w="1160" w:type="dxa"/>
            <w:vAlign w:val="bottom"/>
          </w:tcPr>
          <w:p>
            <w:pPr>
              <w:jc w:val="right"/>
              <w:spacing w:after="0" w:line="210" w:lineRule="exact"/>
              <w:rPr>
                <w:sz w:val="20"/>
                <w:szCs w:val="20"/>
                <w:color w:val="auto"/>
              </w:rPr>
            </w:pPr>
            <w:r>
              <w:rPr>
                <w:rFonts w:ascii="Calibri" w:cs="Calibri" w:eastAsia="Calibri" w:hAnsi="Calibri"/>
                <w:sz w:val="18"/>
                <w:szCs w:val="18"/>
                <w:color w:val="auto"/>
              </w:rPr>
              <w:t>(53)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jc w:val="right"/>
              <w:spacing w:after="0" w:line="210" w:lineRule="exact"/>
              <w:rPr>
                <w:sz w:val="20"/>
                <w:szCs w:val="20"/>
                <w:color w:val="auto"/>
              </w:rPr>
            </w:pPr>
            <w:r>
              <w:rPr>
                <w:rFonts w:ascii="Calibri" w:cs="Calibri" w:eastAsia="Calibri" w:hAnsi="Calibri"/>
                <w:sz w:val="18"/>
                <w:szCs w:val="18"/>
                <w:color w:val="auto"/>
              </w:rPr>
              <w:t>(246)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jc w:val="right"/>
              <w:spacing w:after="0" w:line="210" w:lineRule="exact"/>
              <w:rPr>
                <w:sz w:val="20"/>
                <w:szCs w:val="20"/>
                <w:color w:val="auto"/>
              </w:rPr>
            </w:pPr>
            <w:r>
              <w:rPr>
                <w:rFonts w:ascii="Calibri" w:cs="Calibri" w:eastAsia="Calibri" w:hAnsi="Calibri"/>
                <w:sz w:val="18"/>
                <w:szCs w:val="18"/>
                <w:color w:val="auto"/>
              </w:rPr>
              <w:t>(8)</w:t>
            </w:r>
          </w:p>
        </w:tc>
      </w:tr>
      <w:tr>
        <w:trPr>
          <w:trHeight w:val="232"/>
        </w:trPr>
        <w:tc>
          <w:tcPr>
            <w:tcW w:w="6800" w:type="dxa"/>
            <w:vAlign w:val="bottom"/>
            <w:shd w:val="clear" w:color="auto" w:fill="CCEEFF"/>
          </w:tcPr>
          <w:p>
            <w:pPr>
              <w:ind w:left="140"/>
              <w:spacing w:after="0" w:line="217" w:lineRule="exact"/>
              <w:rPr>
                <w:sz w:val="20"/>
                <w:szCs w:val="20"/>
                <w:color w:val="auto"/>
              </w:rPr>
            </w:pPr>
            <w:r>
              <w:rPr>
                <w:rFonts w:ascii="Calibri" w:cs="Calibri" w:eastAsia="Calibri" w:hAnsi="Calibri"/>
                <w:sz w:val="18"/>
                <w:szCs w:val="18"/>
                <w:color w:val="auto"/>
              </w:rPr>
              <w:t>Proceeds from sales of businesses</w:t>
            </w:r>
          </w:p>
        </w:tc>
        <w:tc>
          <w:tcPr>
            <w:tcW w:w="24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160"/>
              <w:spacing w:after="0" w:line="217" w:lineRule="exact"/>
              <w:rPr>
                <w:sz w:val="20"/>
                <w:szCs w:val="20"/>
                <w:color w:val="auto"/>
              </w:rPr>
            </w:pPr>
            <w:r>
              <w:rPr>
                <w:rFonts w:ascii="Calibri" w:cs="Calibri" w:eastAsia="Calibri" w:hAnsi="Calibri"/>
                <w:sz w:val="18"/>
                <w:szCs w:val="18"/>
                <w:color w:val="auto"/>
              </w:rPr>
              <w:t>—</w:t>
            </w:r>
          </w:p>
        </w:tc>
        <w:tc>
          <w:tcPr>
            <w:tcW w:w="16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160"/>
              <w:spacing w:after="0" w:line="217" w:lineRule="exact"/>
              <w:rPr>
                <w:sz w:val="20"/>
                <w:szCs w:val="20"/>
                <w:color w:val="auto"/>
              </w:rPr>
            </w:pPr>
            <w:r>
              <w:rPr>
                <w:rFonts w:ascii="Calibri" w:cs="Calibri" w:eastAsia="Calibri" w:hAnsi="Calibri"/>
                <w:sz w:val="18"/>
                <w:szCs w:val="18"/>
                <w:color w:val="auto"/>
              </w:rPr>
              <w:t>—</w:t>
            </w:r>
          </w:p>
        </w:tc>
        <w:tc>
          <w:tcPr>
            <w:tcW w:w="24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line="217" w:lineRule="exact"/>
              <w:rPr>
                <w:sz w:val="20"/>
                <w:szCs w:val="20"/>
                <w:color w:val="auto"/>
              </w:rPr>
            </w:pPr>
            <w:r>
              <w:rPr>
                <w:rFonts w:ascii="Calibri" w:cs="Calibri" w:eastAsia="Calibri" w:hAnsi="Calibri"/>
                <w:sz w:val="18"/>
                <w:szCs w:val="18"/>
                <w:color w:val="auto"/>
              </w:rPr>
              <w:t>45</w:t>
            </w:r>
          </w:p>
        </w:tc>
      </w:tr>
      <w:tr>
        <w:trPr>
          <w:trHeight w:val="217"/>
        </w:trPr>
        <w:tc>
          <w:tcPr>
            <w:tcW w:w="6800" w:type="dxa"/>
            <w:vAlign w:val="bottom"/>
          </w:tcPr>
          <w:p>
            <w:pPr>
              <w:ind w:left="140"/>
              <w:spacing w:after="0" w:line="210" w:lineRule="exact"/>
              <w:rPr>
                <w:sz w:val="20"/>
                <w:szCs w:val="20"/>
                <w:color w:val="auto"/>
              </w:rPr>
            </w:pPr>
            <w:r>
              <w:rPr>
                <w:rFonts w:ascii="Calibri" w:cs="Calibri" w:eastAsia="Calibri" w:hAnsi="Calibri"/>
                <w:sz w:val="18"/>
                <w:szCs w:val="18"/>
                <w:color w:val="auto"/>
              </w:rPr>
              <w:t>Purchases of property, plant and equipment</w:t>
            </w:r>
          </w:p>
        </w:tc>
        <w:tc>
          <w:tcPr>
            <w:tcW w:w="240" w:type="dxa"/>
            <w:vAlign w:val="bottom"/>
          </w:tcPr>
          <w:p>
            <w:pPr>
              <w:spacing w:after="0"/>
              <w:rPr>
                <w:sz w:val="18"/>
                <w:szCs w:val="18"/>
                <w:color w:val="auto"/>
              </w:rPr>
            </w:pPr>
          </w:p>
        </w:tc>
        <w:tc>
          <w:tcPr>
            <w:tcW w:w="1160" w:type="dxa"/>
            <w:vAlign w:val="bottom"/>
          </w:tcPr>
          <w:p>
            <w:pPr>
              <w:jc w:val="right"/>
              <w:spacing w:after="0" w:line="210" w:lineRule="exact"/>
              <w:rPr>
                <w:sz w:val="20"/>
                <w:szCs w:val="20"/>
                <w:color w:val="auto"/>
              </w:rPr>
            </w:pPr>
            <w:r>
              <w:rPr>
                <w:rFonts w:ascii="Calibri" w:cs="Calibri" w:eastAsia="Calibri" w:hAnsi="Calibri"/>
                <w:sz w:val="18"/>
                <w:szCs w:val="18"/>
                <w:color w:val="auto"/>
              </w:rPr>
              <w:t>(452)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jc w:val="right"/>
              <w:spacing w:after="0" w:line="210" w:lineRule="exact"/>
              <w:rPr>
                <w:sz w:val="20"/>
                <w:szCs w:val="20"/>
                <w:color w:val="auto"/>
              </w:rPr>
            </w:pPr>
            <w:r>
              <w:rPr>
                <w:rFonts w:ascii="Calibri" w:cs="Calibri" w:eastAsia="Calibri" w:hAnsi="Calibri"/>
                <w:sz w:val="18"/>
                <w:szCs w:val="18"/>
                <w:color w:val="auto"/>
              </w:rPr>
              <w:t>(424)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jc w:val="right"/>
              <w:spacing w:after="0" w:line="210" w:lineRule="exact"/>
              <w:rPr>
                <w:sz w:val="20"/>
                <w:szCs w:val="20"/>
                <w:color w:val="auto"/>
              </w:rPr>
            </w:pPr>
            <w:r>
              <w:rPr>
                <w:rFonts w:ascii="Calibri" w:cs="Calibri" w:eastAsia="Calibri" w:hAnsi="Calibri"/>
                <w:sz w:val="18"/>
                <w:szCs w:val="18"/>
                <w:color w:val="auto"/>
              </w:rPr>
              <w:t>(443)</w:t>
            </w:r>
          </w:p>
        </w:tc>
      </w:tr>
      <w:tr>
        <w:trPr>
          <w:trHeight w:val="232"/>
        </w:trPr>
        <w:tc>
          <w:tcPr>
            <w:tcW w:w="6800" w:type="dxa"/>
            <w:vAlign w:val="bottom"/>
            <w:shd w:val="clear" w:color="auto" w:fill="CCEEFF"/>
          </w:tcPr>
          <w:p>
            <w:pPr>
              <w:ind w:left="140"/>
              <w:spacing w:after="0" w:line="217" w:lineRule="exact"/>
              <w:rPr>
                <w:sz w:val="20"/>
                <w:szCs w:val="20"/>
                <w:color w:val="auto"/>
              </w:rPr>
            </w:pPr>
            <w:r>
              <w:rPr>
                <w:rFonts w:ascii="Calibri" w:cs="Calibri" w:eastAsia="Calibri" w:hAnsi="Calibri"/>
                <w:sz w:val="18"/>
                <w:szCs w:val="18"/>
                <w:color w:val="auto"/>
              </w:rPr>
              <w:t>Purchases of investments</w:t>
            </w:r>
          </w:p>
        </w:tc>
        <w:tc>
          <w:tcPr>
            <w:tcW w:w="24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line="217" w:lineRule="exact"/>
              <w:rPr>
                <w:sz w:val="20"/>
                <w:szCs w:val="20"/>
                <w:color w:val="auto"/>
              </w:rPr>
            </w:pPr>
            <w:r>
              <w:rPr>
                <w:rFonts w:ascii="Calibri" w:cs="Calibri" w:eastAsia="Calibri" w:hAnsi="Calibri"/>
                <w:sz w:val="18"/>
                <w:szCs w:val="18"/>
                <w:color w:val="auto"/>
              </w:rPr>
              <w:t>(346)</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line="217" w:lineRule="exact"/>
              <w:rPr>
                <w:sz w:val="20"/>
                <w:szCs w:val="20"/>
                <w:color w:val="auto"/>
              </w:rPr>
            </w:pPr>
            <w:r>
              <w:rPr>
                <w:rFonts w:ascii="Calibri" w:cs="Calibri" w:eastAsia="Calibri" w:hAnsi="Calibri"/>
                <w:sz w:val="18"/>
                <w:szCs w:val="18"/>
                <w:color w:val="auto"/>
              </w:rPr>
              <w:t>(200)</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line="217" w:lineRule="exact"/>
              <w:rPr>
                <w:sz w:val="20"/>
                <w:szCs w:val="20"/>
                <w:color w:val="auto"/>
              </w:rPr>
            </w:pPr>
            <w:r>
              <w:rPr>
                <w:rFonts w:ascii="Calibri" w:cs="Calibri" w:eastAsia="Calibri" w:hAnsi="Calibri"/>
                <w:sz w:val="18"/>
                <w:szCs w:val="18"/>
                <w:color w:val="auto"/>
              </w:rPr>
              <w:t>—</w:t>
            </w:r>
          </w:p>
        </w:tc>
      </w:tr>
      <w:tr>
        <w:trPr>
          <w:trHeight w:val="217"/>
        </w:trPr>
        <w:tc>
          <w:tcPr>
            <w:tcW w:w="6800" w:type="dxa"/>
            <w:vAlign w:val="bottom"/>
          </w:tcPr>
          <w:p>
            <w:pPr>
              <w:ind w:left="140"/>
              <w:spacing w:after="0" w:line="210" w:lineRule="exact"/>
              <w:rPr>
                <w:sz w:val="20"/>
                <w:szCs w:val="20"/>
                <w:color w:val="auto"/>
              </w:rPr>
            </w:pPr>
            <w:r>
              <w:rPr>
                <w:rFonts w:ascii="Calibri" w:cs="Calibri" w:eastAsia="Calibri" w:hAnsi="Calibri"/>
                <w:sz w:val="18"/>
                <w:szCs w:val="18"/>
                <w:color w:val="auto"/>
              </w:rPr>
              <w:t>Sales of investments</w:t>
            </w:r>
          </w:p>
        </w:tc>
        <w:tc>
          <w:tcPr>
            <w:tcW w:w="240" w:type="dxa"/>
            <w:vAlign w:val="bottom"/>
          </w:tcPr>
          <w:p>
            <w:pPr>
              <w:spacing w:after="0"/>
              <w:rPr>
                <w:sz w:val="18"/>
                <w:szCs w:val="18"/>
                <w:color w:val="auto"/>
              </w:rPr>
            </w:pPr>
          </w:p>
        </w:tc>
        <w:tc>
          <w:tcPr>
            <w:tcW w:w="1160" w:type="dxa"/>
            <w:vAlign w:val="bottom"/>
          </w:tcPr>
          <w:p>
            <w:pPr>
              <w:jc w:val="right"/>
              <w:spacing w:after="0" w:line="210" w:lineRule="exact"/>
              <w:rPr>
                <w:sz w:val="20"/>
                <w:szCs w:val="20"/>
                <w:color w:val="auto"/>
              </w:rPr>
            </w:pPr>
            <w:r>
              <w:rPr>
                <w:rFonts w:ascii="Calibri" w:cs="Calibri" w:eastAsia="Calibri" w:hAnsi="Calibri"/>
                <w:sz w:val="18"/>
                <w:szCs w:val="18"/>
                <w:color w:val="auto"/>
              </w:rPr>
              <w:t>228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jc w:val="right"/>
              <w:spacing w:after="0" w:line="210" w:lineRule="exact"/>
              <w:rPr>
                <w:sz w:val="20"/>
                <w:szCs w:val="20"/>
                <w:color w:val="auto"/>
              </w:rPr>
            </w:pPr>
            <w:r>
              <w:rPr>
                <w:rFonts w:ascii="Calibri" w:cs="Calibri" w:eastAsia="Calibri" w:hAnsi="Calibri"/>
                <w:sz w:val="18"/>
                <w:szCs w:val="18"/>
                <w:color w:val="auto"/>
              </w:rPr>
              <w:t>200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jc w:val="right"/>
              <w:spacing w:after="0" w:line="210" w:lineRule="exact"/>
              <w:rPr>
                <w:sz w:val="20"/>
                <w:szCs w:val="20"/>
                <w:color w:val="auto"/>
              </w:rPr>
            </w:pPr>
            <w:r>
              <w:rPr>
                <w:rFonts w:ascii="Calibri" w:cs="Calibri" w:eastAsia="Calibri" w:hAnsi="Calibri"/>
                <w:sz w:val="18"/>
                <w:szCs w:val="18"/>
                <w:color w:val="auto"/>
              </w:rPr>
              <w:t>169</w:t>
            </w:r>
          </w:p>
        </w:tc>
      </w:tr>
      <w:tr>
        <w:trPr>
          <w:trHeight w:val="232"/>
        </w:trPr>
        <w:tc>
          <w:tcPr>
            <w:tcW w:w="6800" w:type="dxa"/>
            <w:vAlign w:val="bottom"/>
            <w:shd w:val="clear" w:color="auto" w:fill="CCEEFF"/>
          </w:tcPr>
          <w:p>
            <w:pPr>
              <w:ind w:left="140"/>
              <w:spacing w:after="0" w:line="217" w:lineRule="exact"/>
              <w:rPr>
                <w:sz w:val="20"/>
                <w:szCs w:val="20"/>
                <w:color w:val="auto"/>
              </w:rPr>
            </w:pPr>
            <w:r>
              <w:rPr>
                <w:rFonts w:ascii="Calibri" w:cs="Calibri" w:eastAsia="Calibri" w:hAnsi="Calibri"/>
                <w:sz w:val="18"/>
                <w:szCs w:val="18"/>
                <w:color w:val="auto"/>
              </w:rPr>
              <w:t>Other</w:t>
            </w:r>
          </w:p>
        </w:tc>
        <w:tc>
          <w:tcPr>
            <w:tcW w:w="24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line="217" w:lineRule="exact"/>
              <w:rPr>
                <w:sz w:val="20"/>
                <w:szCs w:val="20"/>
                <w:color w:val="auto"/>
              </w:rPr>
            </w:pPr>
            <w:r>
              <w:rPr>
                <w:rFonts w:ascii="Calibri" w:cs="Calibri" w:eastAsia="Calibri" w:hAnsi="Calibri"/>
                <w:sz w:val="18"/>
                <w:szCs w:val="18"/>
                <w:color w:val="auto"/>
              </w:rPr>
              <w:t>(66)</w:t>
            </w:r>
          </w:p>
        </w:tc>
        <w:tc>
          <w:tcPr>
            <w:tcW w:w="10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spacing w:after="0" w:line="217" w:lineRule="exact"/>
              <w:rPr>
                <w:sz w:val="20"/>
                <w:szCs w:val="20"/>
                <w:color w:val="auto"/>
              </w:rPr>
            </w:pPr>
            <w:r>
              <w:rPr>
                <w:rFonts w:ascii="Calibri" w:cs="Calibri" w:eastAsia="Calibri" w:hAnsi="Calibri"/>
                <w:sz w:val="18"/>
                <w:szCs w:val="18"/>
                <w:color w:val="auto"/>
              </w:rPr>
              <w:t>3</w:t>
            </w:r>
          </w:p>
        </w:tc>
        <w:tc>
          <w:tcPr>
            <w:tcW w:w="10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line="217" w:lineRule="exact"/>
              <w:rPr>
                <w:sz w:val="20"/>
                <w:szCs w:val="20"/>
                <w:color w:val="auto"/>
              </w:rPr>
            </w:pPr>
            <w:r>
              <w:rPr>
                <w:rFonts w:ascii="Calibri" w:cs="Calibri" w:eastAsia="Calibri" w:hAnsi="Calibri"/>
                <w:sz w:val="18"/>
                <w:szCs w:val="18"/>
                <w:color w:val="auto"/>
              </w:rPr>
              <w:t>(8)</w:t>
            </w:r>
          </w:p>
        </w:tc>
      </w:tr>
      <w:tr>
        <w:trPr>
          <w:trHeight w:val="211"/>
        </w:trPr>
        <w:tc>
          <w:tcPr>
            <w:tcW w:w="6800" w:type="dxa"/>
            <w:vAlign w:val="bottom"/>
            <w:tcBorders>
              <w:bottom w:val="single" w:sz="8" w:color="CCEEFF"/>
            </w:tcBorders>
          </w:tcPr>
          <w:p>
            <w:pPr>
              <w:ind w:left="340"/>
              <w:spacing w:after="0" w:line="196" w:lineRule="exact"/>
              <w:rPr>
                <w:sz w:val="20"/>
                <w:szCs w:val="20"/>
                <w:color w:val="auto"/>
              </w:rPr>
            </w:pPr>
            <w:r>
              <w:rPr>
                <w:rFonts w:ascii="Calibri" w:cs="Calibri" w:eastAsia="Calibri" w:hAnsi="Calibri"/>
                <w:sz w:val="18"/>
                <w:szCs w:val="18"/>
                <w:color w:val="auto"/>
              </w:rPr>
              <w:t>Net cash used in investng actvites</w:t>
            </w:r>
          </w:p>
        </w:tc>
        <w:tc>
          <w:tcPr>
            <w:tcW w:w="2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line="210" w:lineRule="exact"/>
              <w:rPr>
                <w:sz w:val="20"/>
                <w:szCs w:val="20"/>
                <w:color w:val="auto"/>
              </w:rPr>
            </w:pPr>
            <w:r>
              <w:rPr>
                <w:rFonts w:ascii="Calibri" w:cs="Calibri" w:eastAsia="Calibri" w:hAnsi="Calibri"/>
                <w:sz w:val="18"/>
                <w:szCs w:val="18"/>
                <w:color w:val="auto"/>
              </w:rPr>
              <w:t>(689)</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line="210" w:lineRule="exact"/>
              <w:rPr>
                <w:sz w:val="20"/>
                <w:szCs w:val="20"/>
                <w:color w:val="auto"/>
              </w:rPr>
            </w:pPr>
            <w:r>
              <w:rPr>
                <w:rFonts w:ascii="Calibri" w:cs="Calibri" w:eastAsia="Calibri" w:hAnsi="Calibri"/>
                <w:sz w:val="18"/>
                <w:szCs w:val="18"/>
                <w:color w:val="auto"/>
              </w:rPr>
              <w:t>(667)</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line="210" w:lineRule="exact"/>
              <w:rPr>
                <w:sz w:val="20"/>
                <w:szCs w:val="20"/>
                <w:color w:val="auto"/>
              </w:rPr>
            </w:pPr>
            <w:r>
              <w:rPr>
                <w:rFonts w:ascii="Calibri" w:cs="Calibri" w:eastAsia="Calibri" w:hAnsi="Calibri"/>
                <w:sz w:val="18"/>
                <w:szCs w:val="18"/>
                <w:color w:val="auto"/>
              </w:rPr>
              <w:t>(245)</w:t>
            </w:r>
          </w:p>
        </w:tc>
      </w:tr>
      <w:tr>
        <w:trPr>
          <w:trHeight w:val="211"/>
        </w:trPr>
        <w:tc>
          <w:tcPr>
            <w:tcW w:w="6800" w:type="dxa"/>
            <w:vAlign w:val="bottom"/>
            <w:shd w:val="clear" w:color="auto" w:fill="CCEEFF"/>
          </w:tcPr>
          <w:p>
            <w:pPr>
              <w:ind w:left="20"/>
              <w:spacing w:after="0" w:line="196" w:lineRule="exact"/>
              <w:rPr>
                <w:sz w:val="20"/>
                <w:szCs w:val="20"/>
                <w:color w:val="auto"/>
              </w:rPr>
            </w:pPr>
            <w:r>
              <w:rPr>
                <w:rFonts w:ascii="Calibri" w:cs="Calibri" w:eastAsia="Calibri" w:hAnsi="Calibri"/>
                <w:sz w:val="18"/>
                <w:szCs w:val="18"/>
                <w:b w:val="1"/>
                <w:bCs w:val="1"/>
                <w:color w:val="auto"/>
              </w:rPr>
              <w:t>Cash fows from fnancing actvites:</w:t>
            </w: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17"/>
        </w:trPr>
        <w:tc>
          <w:tcPr>
            <w:tcW w:w="6800" w:type="dxa"/>
            <w:vAlign w:val="bottom"/>
          </w:tcPr>
          <w:p>
            <w:pPr>
              <w:ind w:left="140"/>
              <w:spacing w:after="0" w:line="210" w:lineRule="exact"/>
              <w:rPr>
                <w:sz w:val="20"/>
                <w:szCs w:val="20"/>
                <w:color w:val="auto"/>
              </w:rPr>
            </w:pPr>
            <w:r>
              <w:rPr>
                <w:rFonts w:ascii="Calibri" w:cs="Calibri" w:eastAsia="Calibri" w:hAnsi="Calibri"/>
                <w:sz w:val="18"/>
                <w:szCs w:val="18"/>
                <w:color w:val="auto"/>
              </w:rPr>
              <w:t>Proceeds from long-term borrowings</w:t>
            </w:r>
          </w:p>
        </w:tc>
        <w:tc>
          <w:tcPr>
            <w:tcW w:w="240" w:type="dxa"/>
            <w:vAlign w:val="bottom"/>
          </w:tcPr>
          <w:p>
            <w:pPr>
              <w:spacing w:after="0"/>
              <w:rPr>
                <w:sz w:val="18"/>
                <w:szCs w:val="18"/>
                <w:color w:val="auto"/>
              </w:rPr>
            </w:pPr>
          </w:p>
        </w:tc>
        <w:tc>
          <w:tcPr>
            <w:tcW w:w="1260" w:type="dxa"/>
            <w:vAlign w:val="bottom"/>
            <w:gridSpan w:val="2"/>
          </w:tcPr>
          <w:p>
            <w:pPr>
              <w:jc w:val="right"/>
              <w:ind w:right="160"/>
              <w:spacing w:after="0" w:line="210" w:lineRule="exact"/>
              <w:rPr>
                <w:sz w:val="20"/>
                <w:szCs w:val="20"/>
                <w:color w:val="auto"/>
              </w:rPr>
            </w:pPr>
            <w:r>
              <w:rPr>
                <w:rFonts w:ascii="Calibri" w:cs="Calibri" w:eastAsia="Calibri" w:hAnsi="Calibri"/>
                <w:sz w:val="18"/>
                <w:szCs w:val="18"/>
                <w:color w:val="auto"/>
              </w:rPr>
              <w:t>—</w:t>
            </w:r>
          </w:p>
        </w:tc>
        <w:tc>
          <w:tcPr>
            <w:tcW w:w="160" w:type="dxa"/>
            <w:vAlign w:val="bottom"/>
          </w:tcPr>
          <w:p>
            <w:pPr>
              <w:spacing w:after="0"/>
              <w:rPr>
                <w:sz w:val="18"/>
                <w:szCs w:val="18"/>
                <w:color w:val="auto"/>
              </w:rPr>
            </w:pPr>
          </w:p>
        </w:tc>
        <w:tc>
          <w:tcPr>
            <w:tcW w:w="1240" w:type="dxa"/>
            <w:vAlign w:val="bottom"/>
          </w:tcPr>
          <w:p>
            <w:pPr>
              <w:jc w:val="right"/>
              <w:spacing w:after="0" w:line="210" w:lineRule="exact"/>
              <w:rPr>
                <w:sz w:val="20"/>
                <w:szCs w:val="20"/>
                <w:color w:val="auto"/>
              </w:rPr>
            </w:pPr>
            <w:r>
              <w:rPr>
                <w:rFonts w:ascii="Calibri" w:cs="Calibri" w:eastAsia="Calibri" w:hAnsi="Calibri"/>
                <w:sz w:val="18"/>
                <w:szCs w:val="18"/>
                <w:color w:val="auto"/>
              </w:rPr>
              <w:t>1,935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jc w:val="right"/>
              <w:spacing w:after="0" w:line="210" w:lineRule="exact"/>
              <w:rPr>
                <w:sz w:val="20"/>
                <w:szCs w:val="20"/>
                <w:color w:val="auto"/>
              </w:rPr>
            </w:pPr>
            <w:r>
              <w:rPr>
                <w:rFonts w:ascii="Calibri" w:cs="Calibri" w:eastAsia="Calibri" w:hAnsi="Calibri"/>
                <w:sz w:val="18"/>
                <w:szCs w:val="18"/>
                <w:color w:val="auto"/>
              </w:rPr>
              <w:t>9,904</w:t>
            </w:r>
          </w:p>
        </w:tc>
      </w:tr>
      <w:tr>
        <w:trPr>
          <w:trHeight w:val="232"/>
        </w:trPr>
        <w:tc>
          <w:tcPr>
            <w:tcW w:w="6800" w:type="dxa"/>
            <w:vAlign w:val="bottom"/>
            <w:shd w:val="clear" w:color="auto" w:fill="CCEEFF"/>
          </w:tcPr>
          <w:p>
            <w:pPr>
              <w:ind w:left="140"/>
              <w:spacing w:after="0" w:line="217" w:lineRule="exact"/>
              <w:rPr>
                <w:sz w:val="20"/>
                <w:szCs w:val="20"/>
                <w:color w:val="auto"/>
              </w:rPr>
            </w:pPr>
            <w:r>
              <w:rPr>
                <w:rFonts w:ascii="Calibri" w:cs="Calibri" w:eastAsia="Calibri" w:hAnsi="Calibri"/>
                <w:sz w:val="18"/>
                <w:szCs w:val="18"/>
                <w:color w:val="auto"/>
              </w:rPr>
              <w:t>Payments on debt obligatons</w:t>
            </w:r>
          </w:p>
        </w:tc>
        <w:tc>
          <w:tcPr>
            <w:tcW w:w="24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line="217" w:lineRule="exact"/>
              <w:rPr>
                <w:sz w:val="20"/>
                <w:szCs w:val="20"/>
                <w:color w:val="auto"/>
              </w:rPr>
            </w:pPr>
            <w:r>
              <w:rPr>
                <w:rFonts w:ascii="Calibri" w:cs="Calibri" w:eastAsia="Calibri" w:hAnsi="Calibri"/>
                <w:sz w:val="18"/>
                <w:szCs w:val="18"/>
                <w:color w:val="auto"/>
              </w:rPr>
              <w:t>(403)</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line="217" w:lineRule="exact"/>
              <w:rPr>
                <w:sz w:val="20"/>
                <w:szCs w:val="20"/>
                <w:color w:val="auto"/>
              </w:rPr>
            </w:pPr>
            <w:r>
              <w:rPr>
                <w:rFonts w:ascii="Calibri" w:cs="Calibri" w:eastAsia="Calibri" w:hAnsi="Calibri"/>
                <w:sz w:val="18"/>
                <w:szCs w:val="18"/>
                <w:color w:val="auto"/>
              </w:rPr>
              <w:t>(2,361)</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line="217" w:lineRule="exact"/>
              <w:rPr>
                <w:sz w:val="20"/>
                <w:szCs w:val="20"/>
                <w:color w:val="auto"/>
              </w:rPr>
            </w:pPr>
            <w:r>
              <w:rPr>
                <w:rFonts w:ascii="Calibri" w:cs="Calibri" w:eastAsia="Calibri" w:hAnsi="Calibri"/>
                <w:sz w:val="18"/>
                <w:szCs w:val="18"/>
                <w:color w:val="auto"/>
              </w:rPr>
              <w:t>(11,495)</w:t>
            </w:r>
          </w:p>
        </w:tc>
      </w:tr>
      <w:tr>
        <w:trPr>
          <w:trHeight w:val="217"/>
        </w:trPr>
        <w:tc>
          <w:tcPr>
            <w:tcW w:w="6800" w:type="dxa"/>
            <w:vAlign w:val="bottom"/>
          </w:tcPr>
          <w:p>
            <w:pPr>
              <w:ind w:left="140"/>
              <w:spacing w:after="0" w:line="210" w:lineRule="exact"/>
              <w:rPr>
                <w:sz w:val="20"/>
                <w:szCs w:val="20"/>
                <w:color w:val="auto"/>
              </w:rPr>
            </w:pPr>
            <w:r>
              <w:rPr>
                <w:rFonts w:ascii="Calibri" w:cs="Calibri" w:eastAsia="Calibri" w:hAnsi="Calibri"/>
                <w:sz w:val="18"/>
                <w:szCs w:val="18"/>
                <w:color w:val="auto"/>
              </w:rPr>
              <w:t>Payments of dividends</w:t>
            </w:r>
          </w:p>
        </w:tc>
        <w:tc>
          <w:tcPr>
            <w:tcW w:w="240" w:type="dxa"/>
            <w:vAlign w:val="bottom"/>
          </w:tcPr>
          <w:p>
            <w:pPr>
              <w:spacing w:after="0"/>
              <w:rPr>
                <w:sz w:val="18"/>
                <w:szCs w:val="18"/>
                <w:color w:val="auto"/>
              </w:rPr>
            </w:pPr>
          </w:p>
        </w:tc>
        <w:tc>
          <w:tcPr>
            <w:tcW w:w="1160" w:type="dxa"/>
            <w:vAlign w:val="bottom"/>
          </w:tcPr>
          <w:p>
            <w:pPr>
              <w:jc w:val="right"/>
              <w:spacing w:after="0" w:line="210" w:lineRule="exact"/>
              <w:rPr>
                <w:sz w:val="20"/>
                <w:szCs w:val="20"/>
                <w:color w:val="auto"/>
              </w:rPr>
            </w:pPr>
            <w:r>
              <w:rPr>
                <w:rFonts w:ascii="Calibri" w:cs="Calibri" w:eastAsia="Calibri" w:hAnsi="Calibri"/>
                <w:sz w:val="18"/>
                <w:szCs w:val="18"/>
                <w:color w:val="auto"/>
              </w:rPr>
              <w:t>(7,645)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jc w:val="right"/>
              <w:spacing w:after="0" w:line="210" w:lineRule="exact"/>
              <w:rPr>
                <w:sz w:val="20"/>
                <w:szCs w:val="20"/>
                <w:color w:val="auto"/>
              </w:rPr>
            </w:pPr>
            <w:r>
              <w:rPr>
                <w:rFonts w:ascii="Calibri" w:cs="Calibri" w:eastAsia="Calibri" w:hAnsi="Calibri"/>
                <w:sz w:val="18"/>
                <w:szCs w:val="18"/>
                <w:color w:val="auto"/>
              </w:rPr>
              <w:t>(7,032)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jc w:val="right"/>
              <w:spacing w:after="0" w:line="210" w:lineRule="exact"/>
              <w:rPr>
                <w:sz w:val="20"/>
                <w:szCs w:val="20"/>
                <w:color w:val="auto"/>
              </w:rPr>
            </w:pPr>
            <w:r>
              <w:rPr>
                <w:rFonts w:ascii="Calibri" w:cs="Calibri" w:eastAsia="Calibri" w:hAnsi="Calibri"/>
                <w:sz w:val="18"/>
                <w:szCs w:val="18"/>
                <w:color w:val="auto"/>
              </w:rPr>
              <w:t>(6,212)</w:t>
            </w:r>
          </w:p>
        </w:tc>
      </w:tr>
      <w:tr>
        <w:trPr>
          <w:trHeight w:val="232"/>
        </w:trPr>
        <w:tc>
          <w:tcPr>
            <w:tcW w:w="6800" w:type="dxa"/>
            <w:vAlign w:val="bottom"/>
            <w:shd w:val="clear" w:color="auto" w:fill="CCEEFF"/>
          </w:tcPr>
          <w:p>
            <w:pPr>
              <w:ind w:left="140"/>
              <w:spacing w:after="0" w:line="217" w:lineRule="exact"/>
              <w:rPr>
                <w:sz w:val="20"/>
                <w:szCs w:val="20"/>
                <w:color w:val="auto"/>
              </w:rPr>
            </w:pPr>
            <w:r>
              <w:rPr>
                <w:rFonts w:ascii="Calibri" w:cs="Calibri" w:eastAsia="Calibri" w:hAnsi="Calibri"/>
                <w:sz w:val="18"/>
                <w:szCs w:val="18"/>
                <w:color w:val="auto"/>
              </w:rPr>
              <w:t>Repurchases of common stock - repurchase program</w:t>
            </w:r>
          </w:p>
        </w:tc>
        <w:tc>
          <w:tcPr>
            <w:tcW w:w="24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line="217" w:lineRule="exact"/>
              <w:rPr>
                <w:sz w:val="20"/>
                <w:szCs w:val="20"/>
                <w:color w:val="auto"/>
              </w:rPr>
            </w:pPr>
            <w:r>
              <w:rPr>
                <w:rFonts w:ascii="Calibri" w:cs="Calibri" w:eastAsia="Calibri" w:hAnsi="Calibri"/>
                <w:sz w:val="18"/>
                <w:szCs w:val="18"/>
                <w:color w:val="auto"/>
              </w:rPr>
              <w:t>(5,824)</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line="217" w:lineRule="exact"/>
              <w:rPr>
                <w:sz w:val="20"/>
                <w:szCs w:val="20"/>
                <w:color w:val="auto"/>
              </w:rPr>
            </w:pPr>
            <w:r>
              <w:rPr>
                <w:rFonts w:ascii="Calibri" w:cs="Calibri" w:eastAsia="Calibri" w:hAnsi="Calibri"/>
                <w:sz w:val="18"/>
                <w:szCs w:val="18"/>
                <w:color w:val="auto"/>
              </w:rPr>
              <w:t>(7,000)</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line="217" w:lineRule="exact"/>
              <w:rPr>
                <w:sz w:val="20"/>
                <w:szCs w:val="20"/>
                <w:color w:val="auto"/>
              </w:rPr>
            </w:pPr>
            <w:r>
              <w:rPr>
                <w:rFonts w:ascii="Calibri" w:cs="Calibri" w:eastAsia="Calibri" w:hAnsi="Calibri"/>
                <w:sz w:val="18"/>
                <w:szCs w:val="18"/>
                <w:color w:val="auto"/>
              </w:rPr>
              <w:t>—</w:t>
            </w:r>
          </w:p>
        </w:tc>
      </w:tr>
      <w:tr>
        <w:trPr>
          <w:trHeight w:val="217"/>
        </w:trPr>
        <w:tc>
          <w:tcPr>
            <w:tcW w:w="6800" w:type="dxa"/>
            <w:vAlign w:val="bottom"/>
          </w:tcPr>
          <w:p>
            <w:pPr>
              <w:ind w:left="140"/>
              <w:spacing w:after="0" w:line="210" w:lineRule="exact"/>
              <w:rPr>
                <w:sz w:val="20"/>
                <w:szCs w:val="20"/>
                <w:color w:val="auto"/>
              </w:rPr>
            </w:pPr>
            <w:r>
              <w:rPr>
                <w:rFonts w:ascii="Calibri" w:cs="Calibri" w:eastAsia="Calibri" w:hAnsi="Calibri"/>
                <w:sz w:val="18"/>
                <w:szCs w:val="18"/>
                <w:color w:val="auto"/>
              </w:rPr>
              <w:t>Shares repurchased for tax withholdings on vestng of equity awards</w:t>
            </w:r>
          </w:p>
        </w:tc>
        <w:tc>
          <w:tcPr>
            <w:tcW w:w="240" w:type="dxa"/>
            <w:vAlign w:val="bottom"/>
          </w:tcPr>
          <w:p>
            <w:pPr>
              <w:spacing w:after="0"/>
              <w:rPr>
                <w:sz w:val="18"/>
                <w:szCs w:val="18"/>
                <w:color w:val="auto"/>
              </w:rPr>
            </w:pPr>
          </w:p>
        </w:tc>
        <w:tc>
          <w:tcPr>
            <w:tcW w:w="1160" w:type="dxa"/>
            <w:vAlign w:val="bottom"/>
          </w:tcPr>
          <w:p>
            <w:pPr>
              <w:jc w:val="right"/>
              <w:spacing w:after="0" w:line="210" w:lineRule="exact"/>
              <w:rPr>
                <w:sz w:val="20"/>
                <w:szCs w:val="20"/>
                <w:color w:val="auto"/>
              </w:rPr>
            </w:pPr>
            <w:r>
              <w:rPr>
                <w:rFonts w:ascii="Calibri" w:cs="Calibri" w:eastAsia="Calibri" w:hAnsi="Calibri"/>
                <w:sz w:val="18"/>
                <w:szCs w:val="18"/>
                <w:color w:val="auto"/>
              </w:rPr>
              <w:t>(1,861)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jc w:val="right"/>
              <w:spacing w:after="0" w:line="210" w:lineRule="exact"/>
              <w:rPr>
                <w:sz w:val="20"/>
                <w:szCs w:val="20"/>
                <w:color w:val="auto"/>
              </w:rPr>
            </w:pPr>
            <w:r>
              <w:rPr>
                <w:rFonts w:ascii="Calibri" w:cs="Calibri" w:eastAsia="Calibri" w:hAnsi="Calibri"/>
                <w:sz w:val="18"/>
                <w:szCs w:val="18"/>
                <w:color w:val="auto"/>
              </w:rPr>
              <w:t>(1,455)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jc w:val="right"/>
              <w:spacing w:after="0" w:line="210" w:lineRule="exact"/>
              <w:rPr>
                <w:sz w:val="20"/>
                <w:szCs w:val="20"/>
                <w:color w:val="auto"/>
              </w:rPr>
            </w:pPr>
            <w:r>
              <w:rPr>
                <w:rFonts w:ascii="Calibri" w:cs="Calibri" w:eastAsia="Calibri" w:hAnsi="Calibri"/>
                <w:sz w:val="18"/>
                <w:szCs w:val="18"/>
                <w:color w:val="auto"/>
              </w:rPr>
              <w:t>(1,299)</w:t>
            </w:r>
          </w:p>
        </w:tc>
      </w:tr>
      <w:tr>
        <w:trPr>
          <w:trHeight w:val="232"/>
        </w:trPr>
        <w:tc>
          <w:tcPr>
            <w:tcW w:w="6800" w:type="dxa"/>
            <w:vAlign w:val="bottom"/>
            <w:shd w:val="clear" w:color="auto" w:fill="CCEEFF"/>
          </w:tcPr>
          <w:p>
            <w:pPr>
              <w:ind w:left="140"/>
              <w:spacing w:after="0" w:line="217" w:lineRule="exact"/>
              <w:rPr>
                <w:sz w:val="20"/>
                <w:szCs w:val="20"/>
                <w:color w:val="auto"/>
              </w:rPr>
            </w:pPr>
            <w:r>
              <w:rPr>
                <w:rFonts w:ascii="Calibri" w:cs="Calibri" w:eastAsia="Calibri" w:hAnsi="Calibri"/>
                <w:sz w:val="18"/>
                <w:szCs w:val="18"/>
                <w:color w:val="auto"/>
              </w:rPr>
              <w:t>Issuance of common stock</w:t>
            </w:r>
          </w:p>
        </w:tc>
        <w:tc>
          <w:tcPr>
            <w:tcW w:w="24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line="217" w:lineRule="exact"/>
              <w:rPr>
                <w:sz w:val="20"/>
                <w:szCs w:val="20"/>
                <w:color w:val="auto"/>
              </w:rPr>
            </w:pPr>
            <w:r>
              <w:rPr>
                <w:rFonts w:ascii="Calibri" w:cs="Calibri" w:eastAsia="Calibri" w:hAnsi="Calibri"/>
                <w:sz w:val="18"/>
                <w:szCs w:val="18"/>
                <w:color w:val="auto"/>
              </w:rPr>
              <w:t>122</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line="217" w:lineRule="exact"/>
              <w:rPr>
                <w:sz w:val="20"/>
                <w:szCs w:val="20"/>
                <w:color w:val="auto"/>
              </w:rPr>
            </w:pPr>
            <w:r>
              <w:rPr>
                <w:rFonts w:ascii="Calibri" w:cs="Calibri" w:eastAsia="Calibri" w:hAnsi="Calibri"/>
                <w:sz w:val="18"/>
                <w:szCs w:val="18"/>
                <w:color w:val="auto"/>
              </w:rPr>
              <w:t>114</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line="217" w:lineRule="exact"/>
              <w:rPr>
                <w:sz w:val="20"/>
                <w:szCs w:val="20"/>
                <w:color w:val="auto"/>
              </w:rPr>
            </w:pPr>
            <w:r>
              <w:rPr>
                <w:rFonts w:ascii="Calibri" w:cs="Calibri" w:eastAsia="Calibri" w:hAnsi="Calibri"/>
                <w:sz w:val="18"/>
                <w:szCs w:val="18"/>
                <w:color w:val="auto"/>
              </w:rPr>
              <w:t>170</w:t>
            </w:r>
          </w:p>
        </w:tc>
      </w:tr>
      <w:tr>
        <w:trPr>
          <w:trHeight w:val="218"/>
        </w:trPr>
        <w:tc>
          <w:tcPr>
            <w:tcW w:w="6800" w:type="dxa"/>
            <w:vAlign w:val="bottom"/>
            <w:tcBorders>
              <w:bottom w:val="single" w:sz="8" w:color="CCEEFF"/>
            </w:tcBorders>
          </w:tcPr>
          <w:p>
            <w:pPr>
              <w:ind w:left="140"/>
              <w:spacing w:after="0" w:line="210" w:lineRule="exact"/>
              <w:rPr>
                <w:sz w:val="20"/>
                <w:szCs w:val="20"/>
                <w:color w:val="auto"/>
              </w:rPr>
            </w:pPr>
            <w:r>
              <w:rPr>
                <w:rFonts w:ascii="Calibri" w:cs="Calibri" w:eastAsia="Calibri" w:hAnsi="Calibri"/>
                <w:sz w:val="18"/>
                <w:szCs w:val="18"/>
                <w:color w:val="auto"/>
              </w:rPr>
              <w:t>Other</w:t>
            </w:r>
          </w:p>
        </w:tc>
        <w:tc>
          <w:tcPr>
            <w:tcW w:w="2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line="210" w:lineRule="exact"/>
              <w:rPr>
                <w:sz w:val="20"/>
                <w:szCs w:val="20"/>
                <w:color w:val="auto"/>
              </w:rPr>
            </w:pPr>
            <w:r>
              <w:rPr>
                <w:rFonts w:ascii="Calibri" w:cs="Calibri" w:eastAsia="Calibri" w:hAnsi="Calibri"/>
                <w:sz w:val="18"/>
                <w:szCs w:val="18"/>
                <w:color w:val="auto"/>
              </w:rPr>
              <w:t>(12)</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line="210" w:lineRule="exact"/>
              <w:rPr>
                <w:sz w:val="20"/>
                <w:szCs w:val="20"/>
                <w:color w:val="auto"/>
              </w:rPr>
            </w:pPr>
            <w:r>
              <w:rPr>
                <w:rFonts w:ascii="Calibri" w:cs="Calibri" w:eastAsia="Calibri" w:hAnsi="Calibri"/>
                <w:sz w:val="18"/>
                <w:szCs w:val="18"/>
                <w:color w:val="auto"/>
              </w:rPr>
              <w:t>(17)</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line="210" w:lineRule="exact"/>
              <w:rPr>
                <w:sz w:val="20"/>
                <w:szCs w:val="20"/>
                <w:color w:val="auto"/>
              </w:rPr>
            </w:pPr>
            <w:r>
              <w:rPr>
                <w:rFonts w:ascii="Calibri" w:cs="Calibri" w:eastAsia="Calibri" w:hAnsi="Calibri"/>
                <w:sz w:val="18"/>
                <w:szCs w:val="18"/>
                <w:color w:val="auto"/>
              </w:rPr>
              <w:t>(42)</w:t>
            </w:r>
          </w:p>
        </w:tc>
      </w:tr>
      <w:tr>
        <w:trPr>
          <w:trHeight w:val="224"/>
        </w:trPr>
        <w:tc>
          <w:tcPr>
            <w:tcW w:w="6800" w:type="dxa"/>
            <w:vAlign w:val="bottom"/>
            <w:shd w:val="clear" w:color="auto" w:fill="CCEEFF"/>
          </w:tcPr>
          <w:p>
            <w:pPr>
              <w:ind w:left="340"/>
              <w:spacing w:after="0" w:line="203" w:lineRule="exact"/>
              <w:rPr>
                <w:sz w:val="20"/>
                <w:szCs w:val="20"/>
                <w:color w:val="auto"/>
              </w:rPr>
            </w:pPr>
            <w:r>
              <w:rPr>
                <w:rFonts w:ascii="Calibri" w:cs="Calibri" w:eastAsia="Calibri" w:hAnsi="Calibri"/>
                <w:sz w:val="18"/>
                <w:szCs w:val="18"/>
                <w:color w:val="auto"/>
              </w:rPr>
              <w:t>Net cash used in fnancing actvites</w:t>
            </w:r>
          </w:p>
        </w:tc>
        <w:tc>
          <w:tcPr>
            <w:tcW w:w="2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line="210" w:lineRule="exact"/>
              <w:rPr>
                <w:sz w:val="20"/>
                <w:szCs w:val="20"/>
                <w:color w:val="auto"/>
              </w:rPr>
            </w:pPr>
            <w:r>
              <w:rPr>
                <w:rFonts w:ascii="Calibri" w:cs="Calibri" w:eastAsia="Calibri" w:hAnsi="Calibri"/>
                <w:sz w:val="18"/>
                <w:szCs w:val="18"/>
                <w:color w:val="auto"/>
              </w:rPr>
              <w:t>(15,623)</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line="210" w:lineRule="exact"/>
              <w:rPr>
                <w:sz w:val="20"/>
                <w:szCs w:val="20"/>
                <w:color w:val="auto"/>
              </w:rPr>
            </w:pPr>
            <w:r>
              <w:rPr>
                <w:rFonts w:ascii="Calibri" w:cs="Calibri" w:eastAsia="Calibri" w:hAnsi="Calibri"/>
                <w:sz w:val="18"/>
                <w:szCs w:val="18"/>
                <w:color w:val="auto"/>
              </w:rPr>
              <w:t>(15,816)</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line="210" w:lineRule="exact"/>
              <w:rPr>
                <w:sz w:val="20"/>
                <w:szCs w:val="20"/>
                <w:color w:val="auto"/>
              </w:rPr>
            </w:pPr>
            <w:r>
              <w:rPr>
                <w:rFonts w:ascii="Calibri" w:cs="Calibri" w:eastAsia="Calibri" w:hAnsi="Calibri"/>
                <w:sz w:val="18"/>
                <w:szCs w:val="18"/>
                <w:color w:val="auto"/>
              </w:rPr>
              <w:t>(8,974)</w:t>
            </w:r>
          </w:p>
        </w:tc>
      </w:tr>
      <w:tr>
        <w:trPr>
          <w:trHeight w:val="210"/>
        </w:trPr>
        <w:tc>
          <w:tcPr>
            <w:tcW w:w="6800" w:type="dxa"/>
            <w:vAlign w:val="bottom"/>
          </w:tcPr>
          <w:p>
            <w:pPr>
              <w:ind w:left="20"/>
              <w:spacing w:after="0" w:line="196" w:lineRule="exact"/>
              <w:rPr>
                <w:sz w:val="20"/>
                <w:szCs w:val="20"/>
                <w:color w:val="auto"/>
              </w:rPr>
            </w:pPr>
            <w:r>
              <w:rPr>
                <w:rFonts w:ascii="Calibri" w:cs="Calibri" w:eastAsia="Calibri" w:hAnsi="Calibri"/>
                <w:sz w:val="18"/>
                <w:szCs w:val="18"/>
                <w:color w:val="auto"/>
              </w:rPr>
              <w:t>Net change in cash and cash equivalents</w:t>
            </w:r>
          </w:p>
        </w:tc>
        <w:tc>
          <w:tcPr>
            <w:tcW w:w="240" w:type="dxa"/>
            <w:vAlign w:val="bottom"/>
          </w:tcPr>
          <w:p>
            <w:pPr>
              <w:spacing w:after="0"/>
              <w:rPr>
                <w:sz w:val="18"/>
                <w:szCs w:val="18"/>
                <w:color w:val="auto"/>
              </w:rPr>
            </w:pPr>
          </w:p>
        </w:tc>
        <w:tc>
          <w:tcPr>
            <w:tcW w:w="1160" w:type="dxa"/>
            <w:vAlign w:val="bottom"/>
          </w:tcPr>
          <w:p>
            <w:pPr>
              <w:jc w:val="right"/>
              <w:spacing w:after="0" w:line="210" w:lineRule="exact"/>
              <w:rPr>
                <w:sz w:val="20"/>
                <w:szCs w:val="20"/>
                <w:color w:val="auto"/>
              </w:rPr>
            </w:pPr>
            <w:r>
              <w:rPr>
                <w:rFonts w:ascii="Calibri" w:cs="Calibri" w:eastAsia="Calibri" w:hAnsi="Calibri"/>
                <w:sz w:val="18"/>
                <w:szCs w:val="18"/>
                <w:color w:val="auto"/>
              </w:rPr>
              <w:t>1,773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jc w:val="right"/>
              <w:spacing w:after="0" w:line="210" w:lineRule="exact"/>
              <w:rPr>
                <w:sz w:val="20"/>
                <w:szCs w:val="20"/>
                <w:color w:val="auto"/>
              </w:rPr>
            </w:pPr>
            <w:r>
              <w:rPr>
                <w:rFonts w:ascii="Calibri" w:cs="Calibri" w:eastAsia="Calibri" w:hAnsi="Calibri"/>
                <w:sz w:val="18"/>
                <w:szCs w:val="18"/>
                <w:color w:val="auto"/>
              </w:rPr>
              <w:t>253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jc w:val="right"/>
              <w:spacing w:after="0" w:line="210" w:lineRule="exact"/>
              <w:rPr>
                <w:sz w:val="20"/>
                <w:szCs w:val="20"/>
                <w:color w:val="auto"/>
              </w:rPr>
            </w:pPr>
            <w:r>
              <w:rPr>
                <w:rFonts w:ascii="Calibri" w:cs="Calibri" w:eastAsia="Calibri" w:hAnsi="Calibri"/>
                <w:sz w:val="18"/>
                <w:szCs w:val="18"/>
                <w:color w:val="auto"/>
              </w:rPr>
              <w:t>4,545</w:t>
            </w:r>
          </w:p>
        </w:tc>
      </w:tr>
      <w:tr>
        <w:trPr>
          <w:trHeight w:val="225"/>
        </w:trPr>
        <w:tc>
          <w:tcPr>
            <w:tcW w:w="6800" w:type="dxa"/>
            <w:vAlign w:val="bottom"/>
            <w:shd w:val="clear" w:color="auto" w:fill="CCEEFF"/>
          </w:tcPr>
          <w:p>
            <w:pPr>
              <w:ind w:left="20"/>
              <w:spacing w:after="0" w:line="217" w:lineRule="exact"/>
              <w:rPr>
                <w:sz w:val="20"/>
                <w:szCs w:val="20"/>
                <w:color w:val="auto"/>
              </w:rPr>
            </w:pPr>
            <w:r>
              <w:rPr>
                <w:rFonts w:ascii="Calibri" w:cs="Calibri" w:eastAsia="Calibri" w:hAnsi="Calibri"/>
                <w:sz w:val="18"/>
                <w:szCs w:val="18"/>
                <w:color w:val="auto"/>
              </w:rPr>
              <w:t>Cash and cash equivalents at beginning of period</w:t>
            </w:r>
          </w:p>
        </w:tc>
        <w:tc>
          <w:tcPr>
            <w:tcW w:w="2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line="217" w:lineRule="exact"/>
              <w:rPr>
                <w:sz w:val="20"/>
                <w:szCs w:val="20"/>
                <w:color w:val="auto"/>
              </w:rPr>
            </w:pPr>
            <w:r>
              <w:rPr>
                <w:rFonts w:ascii="Calibri" w:cs="Calibri" w:eastAsia="Calibri" w:hAnsi="Calibri"/>
                <w:sz w:val="18"/>
                <w:szCs w:val="18"/>
                <w:color w:val="auto"/>
              </w:rPr>
              <w:t>12,416</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line="217" w:lineRule="exact"/>
              <w:rPr>
                <w:sz w:val="20"/>
                <w:szCs w:val="20"/>
                <w:color w:val="auto"/>
              </w:rPr>
            </w:pPr>
            <w:r>
              <w:rPr>
                <w:rFonts w:ascii="Calibri" w:cs="Calibri" w:eastAsia="Calibri" w:hAnsi="Calibri"/>
                <w:sz w:val="18"/>
                <w:szCs w:val="18"/>
                <w:color w:val="auto"/>
              </w:rPr>
              <w:t>12,163</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line="217" w:lineRule="exact"/>
              <w:rPr>
                <w:sz w:val="20"/>
                <w:szCs w:val="20"/>
                <w:color w:val="auto"/>
              </w:rPr>
            </w:pPr>
            <w:r>
              <w:rPr>
                <w:rFonts w:ascii="Calibri" w:cs="Calibri" w:eastAsia="Calibri" w:hAnsi="Calibri"/>
                <w:sz w:val="18"/>
                <w:szCs w:val="18"/>
                <w:color w:val="auto"/>
              </w:rPr>
              <w:t>7,618</w:t>
            </w:r>
          </w:p>
        </w:tc>
      </w:tr>
      <w:tr>
        <w:trPr>
          <w:trHeight w:val="224"/>
        </w:trPr>
        <w:tc>
          <w:tcPr>
            <w:tcW w:w="6800" w:type="dxa"/>
            <w:vAlign w:val="bottom"/>
          </w:tcPr>
          <w:p>
            <w:pPr>
              <w:ind w:left="20"/>
              <w:spacing w:after="0"/>
              <w:rPr>
                <w:sz w:val="20"/>
                <w:szCs w:val="20"/>
                <w:color w:val="auto"/>
              </w:rPr>
            </w:pPr>
            <w:r>
              <w:rPr>
                <w:rFonts w:ascii="Calibri" w:cs="Calibri" w:eastAsia="Calibri" w:hAnsi="Calibri"/>
                <w:sz w:val="18"/>
                <w:szCs w:val="18"/>
                <w:color w:val="auto"/>
              </w:rPr>
              <w:t>Cash and cash equivalents at end of period</w:t>
            </w:r>
          </w:p>
        </w:tc>
        <w:tc>
          <w:tcPr>
            <w:tcW w:w="240" w:type="dxa"/>
            <w:vAlign w:val="bottom"/>
            <w:tcBorders>
              <w:bottom w:val="single" w:sz="8" w:color="auto"/>
            </w:tcBorders>
          </w:tcPr>
          <w:p>
            <w:pPr>
              <w:jc w:val="right"/>
              <w:ind w:right="52"/>
              <w:spacing w:after="0" w:line="210" w:lineRule="exact"/>
              <w:rPr>
                <w:sz w:val="20"/>
                <w:szCs w:val="20"/>
                <w:color w:val="auto"/>
              </w:rPr>
            </w:pPr>
            <w:r>
              <w:rPr>
                <w:rFonts w:ascii="Calibri" w:cs="Calibri" w:eastAsia="Calibri" w:hAnsi="Calibri"/>
                <w:sz w:val="18"/>
                <w:szCs w:val="18"/>
                <w:color w:val="auto"/>
                <w:w w:val="87"/>
              </w:rPr>
              <w:t>$</w:t>
            </w:r>
          </w:p>
        </w:tc>
        <w:tc>
          <w:tcPr>
            <w:tcW w:w="1160" w:type="dxa"/>
            <w:vAlign w:val="bottom"/>
            <w:tcBorders>
              <w:bottom w:val="single" w:sz="8" w:color="auto"/>
            </w:tcBorders>
          </w:tcPr>
          <w:p>
            <w:pPr>
              <w:jc w:val="right"/>
              <w:spacing w:after="0" w:line="210" w:lineRule="exact"/>
              <w:rPr>
                <w:sz w:val="20"/>
                <w:szCs w:val="20"/>
                <w:color w:val="auto"/>
              </w:rPr>
            </w:pPr>
            <w:r>
              <w:rPr>
                <w:rFonts w:ascii="Calibri" w:cs="Calibri" w:eastAsia="Calibri" w:hAnsi="Calibri"/>
                <w:sz w:val="18"/>
                <w:szCs w:val="18"/>
                <w:color w:val="auto"/>
              </w:rPr>
              <w:t>14,189</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line="210" w:lineRule="exact"/>
              <w:rPr>
                <w:sz w:val="20"/>
                <w:szCs w:val="20"/>
                <w:color w:val="auto"/>
              </w:rPr>
            </w:pPr>
            <w:r>
              <w:rPr>
                <w:rFonts w:ascii="Calibri" w:cs="Calibri" w:eastAsia="Calibri" w:hAnsi="Calibri"/>
                <w:sz w:val="18"/>
                <w:szCs w:val="18"/>
                <w:color w:val="auto"/>
              </w:rPr>
              <w:t>$</w:t>
            </w:r>
          </w:p>
        </w:tc>
        <w:tc>
          <w:tcPr>
            <w:tcW w:w="1240" w:type="dxa"/>
            <w:vAlign w:val="bottom"/>
            <w:tcBorders>
              <w:bottom w:val="single" w:sz="8" w:color="auto"/>
            </w:tcBorders>
          </w:tcPr>
          <w:p>
            <w:pPr>
              <w:jc w:val="right"/>
              <w:spacing w:after="0" w:line="210" w:lineRule="exact"/>
              <w:rPr>
                <w:sz w:val="20"/>
                <w:szCs w:val="20"/>
                <w:color w:val="auto"/>
              </w:rPr>
            </w:pPr>
            <w:r>
              <w:rPr>
                <w:rFonts w:ascii="Calibri" w:cs="Calibri" w:eastAsia="Calibri" w:hAnsi="Calibri"/>
                <w:sz w:val="18"/>
                <w:szCs w:val="18"/>
                <w:color w:val="auto"/>
              </w:rPr>
              <w:t>12,416</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2"/>
              <w:spacing w:after="0" w:line="210" w:lineRule="exact"/>
              <w:rPr>
                <w:sz w:val="20"/>
                <w:szCs w:val="20"/>
                <w:color w:val="auto"/>
              </w:rPr>
            </w:pPr>
            <w:r>
              <w:rPr>
                <w:rFonts w:ascii="Calibri" w:cs="Calibri" w:eastAsia="Calibri" w:hAnsi="Calibri"/>
                <w:sz w:val="18"/>
                <w:szCs w:val="18"/>
                <w:color w:val="auto"/>
              </w:rPr>
              <w:t>$</w:t>
            </w:r>
          </w:p>
        </w:tc>
        <w:tc>
          <w:tcPr>
            <w:tcW w:w="1160" w:type="dxa"/>
            <w:vAlign w:val="bottom"/>
            <w:tcBorders>
              <w:bottom w:val="single" w:sz="8" w:color="auto"/>
            </w:tcBorders>
          </w:tcPr>
          <w:p>
            <w:pPr>
              <w:jc w:val="right"/>
              <w:spacing w:after="0" w:line="210" w:lineRule="exact"/>
              <w:rPr>
                <w:sz w:val="20"/>
                <w:szCs w:val="20"/>
                <w:color w:val="auto"/>
              </w:rPr>
            </w:pPr>
            <w:r>
              <w:rPr>
                <w:rFonts w:ascii="Calibri" w:cs="Calibri" w:eastAsia="Calibri" w:hAnsi="Calibri"/>
                <w:sz w:val="18"/>
                <w:szCs w:val="18"/>
                <w:color w:val="auto"/>
              </w:rPr>
              <w:t>12,163</w:t>
            </w:r>
          </w:p>
        </w:tc>
      </w:tr>
      <w:tr>
        <w:trPr>
          <w:trHeight w:val="20"/>
        </w:trPr>
        <w:tc>
          <w:tcPr>
            <w:tcW w:w="68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191"/>
        </w:trPr>
        <w:tc>
          <w:tcPr>
            <w:tcW w:w="6800" w:type="dxa"/>
            <w:vAlign w:val="bottom"/>
            <w:shd w:val="clear" w:color="auto" w:fill="CCEEFF"/>
          </w:tcPr>
          <w:p>
            <w:pPr>
              <w:ind w:left="20"/>
              <w:spacing w:after="0" w:line="190" w:lineRule="exact"/>
              <w:rPr>
                <w:sz w:val="20"/>
                <w:szCs w:val="20"/>
                <w:color w:val="auto"/>
              </w:rPr>
            </w:pPr>
            <w:r>
              <w:rPr>
                <w:rFonts w:ascii="Calibri" w:cs="Calibri" w:eastAsia="Calibri" w:hAnsi="Calibri"/>
                <w:sz w:val="18"/>
                <w:szCs w:val="18"/>
                <w:b w:val="1"/>
                <w:bCs w:val="1"/>
                <w:color w:val="auto"/>
              </w:rPr>
              <w:t>Supplemental disclosure of cash fow informaton:</w:t>
            </w:r>
          </w:p>
        </w:tc>
        <w:tc>
          <w:tcPr>
            <w:tcW w:w="24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r>
      <w:tr>
        <w:trPr>
          <w:trHeight w:val="217"/>
        </w:trPr>
        <w:tc>
          <w:tcPr>
            <w:tcW w:w="6800" w:type="dxa"/>
            <w:vAlign w:val="bottom"/>
          </w:tcPr>
          <w:p>
            <w:pPr>
              <w:ind w:left="20"/>
              <w:spacing w:after="0" w:line="210" w:lineRule="exact"/>
              <w:rPr>
                <w:sz w:val="20"/>
                <w:szCs w:val="20"/>
                <w:color w:val="auto"/>
              </w:rPr>
            </w:pPr>
            <w:r>
              <w:rPr>
                <w:rFonts w:ascii="Calibri" w:cs="Calibri" w:eastAsia="Calibri" w:hAnsi="Calibri"/>
                <w:sz w:val="18"/>
                <w:szCs w:val="18"/>
                <w:color w:val="auto"/>
              </w:rPr>
              <w:t>Cash paid for interest</w:t>
            </w:r>
          </w:p>
        </w:tc>
        <w:tc>
          <w:tcPr>
            <w:tcW w:w="240" w:type="dxa"/>
            <w:vAlign w:val="bottom"/>
          </w:tcPr>
          <w:p>
            <w:pPr>
              <w:jc w:val="right"/>
              <w:ind w:right="52"/>
              <w:spacing w:after="0" w:line="210" w:lineRule="exact"/>
              <w:rPr>
                <w:sz w:val="20"/>
                <w:szCs w:val="20"/>
                <w:color w:val="auto"/>
              </w:rPr>
            </w:pPr>
            <w:r>
              <w:rPr>
                <w:rFonts w:ascii="Calibri" w:cs="Calibri" w:eastAsia="Calibri" w:hAnsi="Calibri"/>
                <w:sz w:val="18"/>
                <w:szCs w:val="18"/>
                <w:color w:val="auto"/>
                <w:w w:val="87"/>
              </w:rPr>
              <w:t>$</w:t>
            </w:r>
          </w:p>
        </w:tc>
        <w:tc>
          <w:tcPr>
            <w:tcW w:w="1160" w:type="dxa"/>
            <w:vAlign w:val="bottom"/>
          </w:tcPr>
          <w:p>
            <w:pPr>
              <w:jc w:val="right"/>
              <w:spacing w:after="0" w:line="210" w:lineRule="exact"/>
              <w:rPr>
                <w:sz w:val="20"/>
                <w:szCs w:val="20"/>
                <w:color w:val="auto"/>
              </w:rPr>
            </w:pPr>
            <w:r>
              <w:rPr>
                <w:rFonts w:ascii="Calibri" w:cs="Calibri" w:eastAsia="Calibri" w:hAnsi="Calibri"/>
                <w:sz w:val="18"/>
                <w:szCs w:val="18"/>
                <w:color w:val="auto"/>
              </w:rPr>
              <w:t>1,503</w:t>
            </w:r>
          </w:p>
        </w:tc>
        <w:tc>
          <w:tcPr>
            <w:tcW w:w="100" w:type="dxa"/>
            <w:vAlign w:val="bottom"/>
          </w:tcPr>
          <w:p>
            <w:pPr>
              <w:spacing w:after="0"/>
              <w:rPr>
                <w:sz w:val="18"/>
                <w:szCs w:val="18"/>
                <w:color w:val="auto"/>
              </w:rPr>
            </w:pPr>
          </w:p>
        </w:tc>
        <w:tc>
          <w:tcPr>
            <w:tcW w:w="160" w:type="dxa"/>
            <w:vAlign w:val="bottom"/>
          </w:tcPr>
          <w:p>
            <w:pPr>
              <w:jc w:val="right"/>
              <w:spacing w:after="0" w:line="210" w:lineRule="exact"/>
              <w:rPr>
                <w:sz w:val="20"/>
                <w:szCs w:val="20"/>
                <w:color w:val="auto"/>
              </w:rPr>
            </w:pPr>
            <w:r>
              <w:rPr>
                <w:rFonts w:ascii="Calibri" w:cs="Calibri" w:eastAsia="Calibri" w:hAnsi="Calibri"/>
                <w:sz w:val="18"/>
                <w:szCs w:val="18"/>
                <w:color w:val="auto"/>
              </w:rPr>
              <w:t>$</w:t>
            </w:r>
          </w:p>
        </w:tc>
        <w:tc>
          <w:tcPr>
            <w:tcW w:w="1240" w:type="dxa"/>
            <w:vAlign w:val="bottom"/>
          </w:tcPr>
          <w:p>
            <w:pPr>
              <w:jc w:val="right"/>
              <w:spacing w:after="0" w:line="210" w:lineRule="exact"/>
              <w:rPr>
                <w:sz w:val="20"/>
                <w:szCs w:val="20"/>
                <w:color w:val="auto"/>
              </w:rPr>
            </w:pPr>
            <w:r>
              <w:rPr>
                <w:rFonts w:ascii="Calibri" w:cs="Calibri" w:eastAsia="Calibri" w:hAnsi="Calibri"/>
                <w:sz w:val="18"/>
                <w:szCs w:val="18"/>
                <w:color w:val="auto"/>
              </w:rPr>
              <w:t>1,386</w:t>
            </w:r>
          </w:p>
        </w:tc>
        <w:tc>
          <w:tcPr>
            <w:tcW w:w="100" w:type="dxa"/>
            <w:vAlign w:val="bottom"/>
          </w:tcPr>
          <w:p>
            <w:pPr>
              <w:spacing w:after="0"/>
              <w:rPr>
                <w:sz w:val="18"/>
                <w:szCs w:val="18"/>
                <w:color w:val="auto"/>
              </w:rPr>
            </w:pPr>
          </w:p>
        </w:tc>
        <w:tc>
          <w:tcPr>
            <w:tcW w:w="240" w:type="dxa"/>
            <w:vAlign w:val="bottom"/>
          </w:tcPr>
          <w:p>
            <w:pPr>
              <w:jc w:val="right"/>
              <w:ind w:right="32"/>
              <w:spacing w:after="0" w:line="210" w:lineRule="exact"/>
              <w:rPr>
                <w:sz w:val="20"/>
                <w:szCs w:val="20"/>
                <w:color w:val="auto"/>
              </w:rPr>
            </w:pPr>
            <w:r>
              <w:rPr>
                <w:rFonts w:ascii="Calibri" w:cs="Calibri" w:eastAsia="Calibri" w:hAnsi="Calibri"/>
                <w:sz w:val="18"/>
                <w:szCs w:val="18"/>
                <w:color w:val="auto"/>
              </w:rPr>
              <w:t>$</w:t>
            </w:r>
          </w:p>
        </w:tc>
        <w:tc>
          <w:tcPr>
            <w:tcW w:w="1160" w:type="dxa"/>
            <w:vAlign w:val="bottom"/>
          </w:tcPr>
          <w:p>
            <w:pPr>
              <w:jc w:val="right"/>
              <w:spacing w:after="0" w:line="210" w:lineRule="exact"/>
              <w:rPr>
                <w:sz w:val="20"/>
                <w:szCs w:val="20"/>
                <w:color w:val="auto"/>
              </w:rPr>
            </w:pPr>
            <w:r>
              <w:rPr>
                <w:rFonts w:ascii="Calibri" w:cs="Calibri" w:eastAsia="Calibri" w:hAnsi="Calibri"/>
                <w:sz w:val="18"/>
                <w:szCs w:val="18"/>
                <w:color w:val="auto"/>
              </w:rPr>
              <w:t>1,565</w:t>
            </w:r>
          </w:p>
        </w:tc>
      </w:tr>
      <w:tr>
        <w:trPr>
          <w:trHeight w:val="232"/>
        </w:trPr>
        <w:tc>
          <w:tcPr>
            <w:tcW w:w="6800" w:type="dxa"/>
            <w:vAlign w:val="bottom"/>
            <w:shd w:val="clear" w:color="auto" w:fill="CCEEFF"/>
          </w:tcPr>
          <w:p>
            <w:pPr>
              <w:ind w:left="20"/>
              <w:spacing w:after="0" w:line="217" w:lineRule="exact"/>
              <w:rPr>
                <w:sz w:val="20"/>
                <w:szCs w:val="20"/>
                <w:color w:val="auto"/>
              </w:rPr>
            </w:pPr>
            <w:r>
              <w:rPr>
                <w:rFonts w:ascii="Calibri" w:cs="Calibri" w:eastAsia="Calibri" w:hAnsi="Calibri"/>
                <w:sz w:val="18"/>
                <w:szCs w:val="18"/>
                <w:color w:val="auto"/>
              </w:rPr>
              <w:t>Cash paid for income taxes</w:t>
            </w:r>
          </w:p>
        </w:tc>
        <w:tc>
          <w:tcPr>
            <w:tcW w:w="240" w:type="dxa"/>
            <w:vAlign w:val="bottom"/>
            <w:shd w:val="clear" w:color="auto" w:fill="CCEEFF"/>
          </w:tcPr>
          <w:p>
            <w:pPr>
              <w:jc w:val="right"/>
              <w:ind w:right="52"/>
              <w:spacing w:after="0" w:line="217" w:lineRule="exact"/>
              <w:rPr>
                <w:sz w:val="20"/>
                <w:szCs w:val="20"/>
                <w:color w:val="auto"/>
              </w:rPr>
            </w:pPr>
            <w:r>
              <w:rPr>
                <w:rFonts w:ascii="Calibri" w:cs="Calibri" w:eastAsia="Calibri" w:hAnsi="Calibri"/>
                <w:sz w:val="18"/>
                <w:szCs w:val="18"/>
                <w:color w:val="auto"/>
                <w:w w:val="87"/>
              </w:rPr>
              <w:t>$</w:t>
            </w:r>
          </w:p>
        </w:tc>
        <w:tc>
          <w:tcPr>
            <w:tcW w:w="1160" w:type="dxa"/>
            <w:vAlign w:val="bottom"/>
            <w:shd w:val="clear" w:color="auto" w:fill="CCEEFF"/>
          </w:tcPr>
          <w:p>
            <w:pPr>
              <w:jc w:val="right"/>
              <w:spacing w:after="0" w:line="217" w:lineRule="exact"/>
              <w:rPr>
                <w:sz w:val="20"/>
                <w:szCs w:val="20"/>
                <w:color w:val="auto"/>
              </w:rPr>
            </w:pPr>
            <w:r>
              <w:rPr>
                <w:rFonts w:ascii="Calibri" w:cs="Calibri" w:eastAsia="Calibri" w:hAnsi="Calibri"/>
                <w:sz w:val="18"/>
                <w:szCs w:val="18"/>
                <w:color w:val="auto"/>
              </w:rPr>
              <w:t>1,782</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line="217" w:lineRule="exact"/>
              <w:rPr>
                <w:sz w:val="20"/>
                <w:szCs w:val="20"/>
                <w:color w:val="auto"/>
              </w:rPr>
            </w:pPr>
            <w:r>
              <w:rPr>
                <w:rFonts w:ascii="Calibri" w:cs="Calibri" w:eastAsia="Calibri" w:hAnsi="Calibri"/>
                <w:sz w:val="18"/>
                <w:szCs w:val="18"/>
                <w:color w:val="auto"/>
              </w:rPr>
              <w:t>$</w:t>
            </w:r>
          </w:p>
        </w:tc>
        <w:tc>
          <w:tcPr>
            <w:tcW w:w="1240" w:type="dxa"/>
            <w:vAlign w:val="bottom"/>
            <w:shd w:val="clear" w:color="auto" w:fill="CCEEFF"/>
          </w:tcPr>
          <w:p>
            <w:pPr>
              <w:jc w:val="right"/>
              <w:spacing w:after="0" w:line="217" w:lineRule="exact"/>
              <w:rPr>
                <w:sz w:val="20"/>
                <w:szCs w:val="20"/>
                <w:color w:val="auto"/>
              </w:rPr>
            </w:pPr>
            <w:r>
              <w:rPr>
                <w:rFonts w:ascii="Calibri" w:cs="Calibri" w:eastAsia="Calibri" w:hAnsi="Calibri"/>
                <w:sz w:val="18"/>
                <w:szCs w:val="18"/>
                <w:color w:val="auto"/>
              </w:rPr>
              <w:t>908</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2"/>
              <w:spacing w:after="0" w:line="217" w:lineRule="exact"/>
              <w:rPr>
                <w:sz w:val="20"/>
                <w:szCs w:val="20"/>
                <w:color w:val="auto"/>
              </w:rPr>
            </w:pPr>
            <w:r>
              <w:rPr>
                <w:rFonts w:ascii="Calibri" w:cs="Calibri" w:eastAsia="Calibri" w:hAnsi="Calibri"/>
                <w:sz w:val="18"/>
                <w:szCs w:val="18"/>
                <w:color w:val="auto"/>
              </w:rPr>
              <w:t>$</w:t>
            </w:r>
          </w:p>
        </w:tc>
        <w:tc>
          <w:tcPr>
            <w:tcW w:w="1160" w:type="dxa"/>
            <w:vAlign w:val="bottom"/>
            <w:shd w:val="clear" w:color="auto" w:fill="CCEEFF"/>
          </w:tcPr>
          <w:p>
            <w:pPr>
              <w:jc w:val="right"/>
              <w:spacing w:after="0" w:line="217" w:lineRule="exact"/>
              <w:rPr>
                <w:sz w:val="20"/>
                <w:szCs w:val="20"/>
                <w:color w:val="auto"/>
              </w:rPr>
            </w:pPr>
            <w:r>
              <w:rPr>
                <w:rFonts w:ascii="Calibri" w:cs="Calibri" w:eastAsia="Calibri" w:hAnsi="Calibri"/>
                <w:sz w:val="18"/>
                <w:szCs w:val="18"/>
                <w:color w:val="auto"/>
              </w:rPr>
              <w:t>775</w:t>
            </w:r>
          </w:p>
        </w:tc>
      </w:tr>
    </w:tbl>
    <w:p>
      <w:pPr>
        <w:spacing w:after="0" w:line="168"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The accompanying notes are an integral part of these consolidated fnancial statements.</w:t>
      </w:r>
    </w:p>
    <w:p>
      <w:pPr>
        <w:spacing w:after="0" w:line="335" w:lineRule="exact"/>
        <w:rPr>
          <w:sz w:val="20"/>
          <w:szCs w:val="20"/>
          <w:color w:val="auto"/>
        </w:rPr>
      </w:pPr>
    </w:p>
    <w:p>
      <w:pPr>
        <w:jc w:val="center"/>
        <w:ind w:right="-39"/>
        <w:spacing w:after="0"/>
        <w:rPr>
          <w:sz w:val="20"/>
          <w:szCs w:val="20"/>
          <w:color w:val="auto"/>
        </w:rPr>
      </w:pPr>
      <w:r>
        <w:rPr>
          <w:rFonts w:ascii="Calibri" w:cs="Calibri" w:eastAsia="Calibri" w:hAnsi="Calibri"/>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09" w:right="359" w:bottom="1440" w:gutter="0" w:footer="0" w:header="0"/>
        </w:sectPr>
      </w:pPr>
    </w:p>
    <w:bookmarkStart w:id="55" w:name="page56"/>
    <w:bookmarkEnd w:id="55"/>
    <w:p>
      <w:pPr>
        <w:spacing w:after="0"/>
        <w:rPr>
          <w:sz w:val="20"/>
          <w:szCs w:val="20"/>
          <w:color w:val="auto"/>
        </w:rPr>
      </w:pPr>
      <w:r>
        <w:rPr>
          <w:rFonts w:ascii="Calibri" w:cs="Calibri" w:eastAsia="Calibri" w:hAnsi="Calibri"/>
          <w:sz w:val="18"/>
          <w:szCs w:val="18"/>
          <w:u w:val="single" w:color="auto"/>
          <w:color w:val="0000FF"/>
        </w:rPr>
        <w:t>Table of Contents</w:t>
      </w: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b w:val="1"/>
          <w:bCs w:val="1"/>
          <w:color w:val="auto"/>
        </w:rPr>
        <w:t>BROADCOM INC.</w:t>
      </w:r>
    </w:p>
    <w:p>
      <w:pPr>
        <w:jc w:val="center"/>
        <w:ind w:right="-39"/>
        <w:spacing w:after="0" w:line="230" w:lineRule="auto"/>
        <w:rPr>
          <w:sz w:val="20"/>
          <w:szCs w:val="20"/>
          <w:color w:val="auto"/>
        </w:rPr>
      </w:pPr>
      <w:r>
        <w:rPr>
          <w:rFonts w:ascii="Calibri" w:cs="Calibri" w:eastAsia="Calibri" w:hAnsi="Calibri"/>
          <w:sz w:val="18"/>
          <w:szCs w:val="18"/>
          <w:b w:val="1"/>
          <w:bCs w:val="1"/>
          <w:color w:val="auto"/>
        </w:rPr>
        <w:t>CONSOLIDATED STATEMENTS OF STOCKHOLDERS’ EQUITY</w:t>
      </w:r>
    </w:p>
    <w:p>
      <w:pPr>
        <w:spacing w:after="0" w:line="167" w:lineRule="exact"/>
        <w:rPr>
          <w:sz w:val="20"/>
          <w:szCs w:val="20"/>
          <w:color w:val="auto"/>
        </w:rPr>
      </w:pPr>
    </w:p>
    <w:tbl>
      <w:tblPr>
        <w:tblLayout w:type="fixed"/>
        <w:tblInd w:w="20" w:type="dxa"/>
        <w:tblCellMar>
          <w:top w:w="0" w:type="dxa"/>
          <w:left w:w="0" w:type="dxa"/>
          <w:bottom w:w="0" w:type="dxa"/>
          <w:right w:w="0" w:type="dxa"/>
        </w:tblCellMar>
      </w:tblPr>
      <w:tr>
        <w:trPr>
          <w:trHeight w:val="171"/>
        </w:trPr>
        <w:tc>
          <w:tcPr>
            <w:tcW w:w="3520" w:type="dxa"/>
            <w:vAlign w:val="bottom"/>
          </w:tcPr>
          <w:p>
            <w:pPr>
              <w:spacing w:after="0"/>
              <w:rPr>
                <w:sz w:val="14"/>
                <w:szCs w:val="14"/>
                <w:color w:val="auto"/>
              </w:rPr>
            </w:pPr>
          </w:p>
        </w:tc>
        <w:tc>
          <w:tcPr>
            <w:tcW w:w="1280" w:type="dxa"/>
            <w:vAlign w:val="bottom"/>
            <w:gridSpan w:val="3"/>
          </w:tcPr>
          <w:p>
            <w:pPr>
              <w:jc w:val="center"/>
              <w:ind w:left="134"/>
              <w:spacing w:after="0"/>
              <w:rPr>
                <w:sz w:val="20"/>
                <w:szCs w:val="20"/>
                <w:color w:val="auto"/>
              </w:rPr>
            </w:pPr>
            <w:r>
              <w:rPr>
                <w:rFonts w:ascii="Calibri" w:cs="Calibri" w:eastAsia="Calibri" w:hAnsi="Calibri"/>
                <w:sz w:val="14"/>
                <w:szCs w:val="14"/>
                <w:b w:val="1"/>
                <w:bCs w:val="1"/>
                <w:color w:val="auto"/>
                <w:w w:val="98"/>
              </w:rPr>
              <w:t>8.00% Mandatory</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vMerge w:val="restart"/>
          </w:tcPr>
          <w:p>
            <w:pPr>
              <w:jc w:val="center"/>
              <w:ind w:right="220"/>
              <w:spacing w:after="0"/>
              <w:rPr>
                <w:sz w:val="20"/>
                <w:szCs w:val="20"/>
                <w:color w:val="auto"/>
              </w:rPr>
            </w:pPr>
            <w:r>
              <w:rPr>
                <w:rFonts w:ascii="Calibri" w:cs="Calibri" w:eastAsia="Calibri" w:hAnsi="Calibri"/>
                <w:sz w:val="14"/>
                <w:szCs w:val="14"/>
                <w:b w:val="1"/>
                <w:bCs w:val="1"/>
                <w:color w:val="auto"/>
                <w:w w:val="99"/>
              </w:rPr>
              <w:t>Accumulated</w:t>
            </w: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3520" w:type="dxa"/>
            <w:vAlign w:val="bottom"/>
          </w:tcPr>
          <w:p>
            <w:pPr>
              <w:spacing w:after="0"/>
              <w:rPr>
                <w:sz w:val="11"/>
                <w:szCs w:val="11"/>
                <w:color w:val="auto"/>
              </w:rPr>
            </w:pPr>
          </w:p>
        </w:tc>
        <w:tc>
          <w:tcPr>
            <w:tcW w:w="1620" w:type="dxa"/>
            <w:vAlign w:val="bottom"/>
            <w:gridSpan w:val="5"/>
          </w:tcPr>
          <w:p>
            <w:pPr>
              <w:jc w:val="center"/>
              <w:ind w:right="120"/>
              <w:spacing w:after="0" w:line="134" w:lineRule="exact"/>
              <w:rPr>
                <w:sz w:val="20"/>
                <w:szCs w:val="20"/>
                <w:color w:val="auto"/>
              </w:rPr>
            </w:pPr>
            <w:r>
              <w:rPr>
                <w:rFonts w:ascii="Calibri" w:cs="Calibri" w:eastAsia="Calibri" w:hAnsi="Calibri"/>
                <w:sz w:val="14"/>
                <w:szCs w:val="14"/>
                <w:b w:val="1"/>
                <w:bCs w:val="1"/>
                <w:color w:val="auto"/>
              </w:rPr>
              <w:t>Convertble Preferred</w:t>
            </w:r>
          </w:p>
        </w:tc>
        <w:tc>
          <w:tcPr>
            <w:tcW w:w="1620" w:type="dxa"/>
            <w:vAlign w:val="bottom"/>
            <w:gridSpan w:val="5"/>
            <w:vMerge w:val="restart"/>
          </w:tcPr>
          <w:p>
            <w:pPr>
              <w:jc w:val="center"/>
              <w:ind w:right="100"/>
              <w:spacing w:after="0"/>
              <w:rPr>
                <w:sz w:val="20"/>
                <w:szCs w:val="20"/>
                <w:color w:val="auto"/>
              </w:rPr>
            </w:pPr>
            <w:r>
              <w:rPr>
                <w:rFonts w:ascii="Calibri" w:cs="Calibri" w:eastAsia="Calibri" w:hAnsi="Calibri"/>
                <w:sz w:val="14"/>
                <w:szCs w:val="14"/>
                <w:b w:val="1"/>
                <w:bCs w:val="1"/>
                <w:color w:val="auto"/>
              </w:rPr>
              <w:t>Common Stock</w:t>
            </w:r>
          </w:p>
        </w:tc>
        <w:tc>
          <w:tcPr>
            <w:tcW w:w="120" w:type="dxa"/>
            <w:vAlign w:val="bottom"/>
          </w:tcPr>
          <w:p>
            <w:pPr>
              <w:spacing w:after="0"/>
              <w:rPr>
                <w:sz w:val="11"/>
                <w:szCs w:val="11"/>
                <w:color w:val="auto"/>
              </w:rPr>
            </w:pPr>
          </w:p>
        </w:tc>
        <w:tc>
          <w:tcPr>
            <w:tcW w:w="840" w:type="dxa"/>
            <w:vAlign w:val="bottom"/>
            <w:gridSpan w:val="2"/>
            <w:vMerge w:val="restart"/>
          </w:tcPr>
          <w:p>
            <w:pPr>
              <w:jc w:val="center"/>
              <w:ind w:right="220"/>
              <w:spacing w:after="0"/>
              <w:rPr>
                <w:sz w:val="20"/>
                <w:szCs w:val="20"/>
                <w:color w:val="auto"/>
              </w:rPr>
            </w:pPr>
            <w:r>
              <w:rPr>
                <w:rFonts w:ascii="Calibri" w:cs="Calibri" w:eastAsia="Calibri" w:hAnsi="Calibri"/>
                <w:sz w:val="14"/>
                <w:szCs w:val="14"/>
                <w:b w:val="1"/>
                <w:bCs w:val="1"/>
                <w:color w:val="auto"/>
              </w:rPr>
              <w:t>Additonal</w:t>
            </w: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vMerge w:val="restart"/>
          </w:tcPr>
          <w:p>
            <w:pPr>
              <w:jc w:val="center"/>
              <w:ind w:right="54"/>
              <w:spacing w:after="0"/>
              <w:rPr>
                <w:sz w:val="20"/>
                <w:szCs w:val="20"/>
                <w:color w:val="auto"/>
              </w:rPr>
            </w:pPr>
            <w:r>
              <w:rPr>
                <w:rFonts w:ascii="Calibri" w:cs="Calibri" w:eastAsia="Calibri" w:hAnsi="Calibri"/>
                <w:sz w:val="14"/>
                <w:szCs w:val="14"/>
                <w:b w:val="1"/>
                <w:bCs w:val="1"/>
                <w:color w:val="auto"/>
              </w:rPr>
              <w:t>Total</w:t>
            </w:r>
          </w:p>
        </w:tc>
        <w:tc>
          <w:tcPr>
            <w:tcW w:w="0" w:type="dxa"/>
            <w:vAlign w:val="bottom"/>
          </w:tcPr>
          <w:p>
            <w:pPr>
              <w:spacing w:after="0"/>
              <w:rPr>
                <w:sz w:val="1"/>
                <w:szCs w:val="1"/>
                <w:color w:val="auto"/>
              </w:rPr>
            </w:pPr>
          </w:p>
        </w:tc>
      </w:tr>
      <w:tr>
        <w:trPr>
          <w:trHeight w:val="132"/>
        </w:trPr>
        <w:tc>
          <w:tcPr>
            <w:tcW w:w="3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gridSpan w:val="2"/>
          </w:tcPr>
          <w:p>
            <w:pPr>
              <w:jc w:val="center"/>
              <w:ind w:right="281"/>
              <w:spacing w:after="0" w:line="132" w:lineRule="exact"/>
              <w:rPr>
                <w:sz w:val="20"/>
                <w:szCs w:val="20"/>
                <w:color w:val="auto"/>
              </w:rPr>
            </w:pPr>
            <w:r>
              <w:rPr>
                <w:rFonts w:ascii="Calibri" w:cs="Calibri" w:eastAsia="Calibri" w:hAnsi="Calibri"/>
                <w:sz w:val="14"/>
                <w:szCs w:val="14"/>
                <w:b w:val="1"/>
                <w:bCs w:val="1"/>
                <w:color w:val="auto"/>
                <w:w w:val="94"/>
              </w:rPr>
              <w:t>Stock</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20" w:type="dxa"/>
            <w:vAlign w:val="bottom"/>
            <w:gridSpan w:val="5"/>
            <w:vMerge w:val="continue"/>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jc w:val="center"/>
              <w:ind w:right="220"/>
              <w:spacing w:after="0" w:line="132" w:lineRule="exact"/>
              <w:rPr>
                <w:sz w:val="20"/>
                <w:szCs w:val="20"/>
                <w:color w:val="auto"/>
              </w:rPr>
            </w:pPr>
            <w:r>
              <w:rPr>
                <w:rFonts w:ascii="Calibri" w:cs="Calibri" w:eastAsia="Calibri" w:hAnsi="Calibri"/>
                <w:sz w:val="14"/>
                <w:szCs w:val="14"/>
                <w:b w:val="1"/>
                <w:bCs w:val="1"/>
                <w:color w:val="auto"/>
              </w:rPr>
              <w:t>Other</w:t>
            </w:r>
          </w:p>
        </w:tc>
        <w:tc>
          <w:tcPr>
            <w:tcW w:w="120" w:type="dxa"/>
            <w:vAlign w:val="bottom"/>
          </w:tcPr>
          <w:p>
            <w:pPr>
              <w:spacing w:after="0"/>
              <w:rPr>
                <w:sz w:val="11"/>
                <w:szCs w:val="11"/>
                <w:color w:val="auto"/>
              </w:rPr>
            </w:pPr>
          </w:p>
        </w:tc>
        <w:tc>
          <w:tcPr>
            <w:tcW w:w="9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352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40" w:type="dxa"/>
            <w:vAlign w:val="bottom"/>
            <w:gridSpan w:val="2"/>
          </w:tcPr>
          <w:p>
            <w:pPr>
              <w:jc w:val="center"/>
              <w:ind w:right="220"/>
              <w:spacing w:after="0" w:line="99" w:lineRule="exact"/>
              <w:rPr>
                <w:sz w:val="20"/>
                <w:szCs w:val="20"/>
                <w:color w:val="auto"/>
              </w:rPr>
            </w:pPr>
            <w:r>
              <w:rPr>
                <w:rFonts w:ascii="Calibri" w:cs="Calibri" w:eastAsia="Calibri" w:hAnsi="Calibri"/>
                <w:sz w:val="10"/>
                <w:szCs w:val="10"/>
                <w:b w:val="1"/>
                <w:bCs w:val="1"/>
                <w:color w:val="auto"/>
              </w:rPr>
              <w:t>Paid-in</w:t>
            </w:r>
          </w:p>
        </w:tc>
        <w:tc>
          <w:tcPr>
            <w:tcW w:w="160" w:type="dxa"/>
            <w:vAlign w:val="bottom"/>
          </w:tcPr>
          <w:p>
            <w:pPr>
              <w:spacing w:after="0"/>
              <w:rPr>
                <w:sz w:val="8"/>
                <w:szCs w:val="8"/>
                <w:color w:val="auto"/>
              </w:rPr>
            </w:pPr>
          </w:p>
        </w:tc>
        <w:tc>
          <w:tcPr>
            <w:tcW w:w="940" w:type="dxa"/>
            <w:vAlign w:val="bottom"/>
            <w:gridSpan w:val="2"/>
          </w:tcPr>
          <w:p>
            <w:pPr>
              <w:jc w:val="right"/>
              <w:ind w:right="360"/>
              <w:spacing w:after="0" w:line="99" w:lineRule="exact"/>
              <w:rPr>
                <w:sz w:val="20"/>
                <w:szCs w:val="20"/>
                <w:color w:val="auto"/>
              </w:rPr>
            </w:pPr>
            <w:r>
              <w:rPr>
                <w:rFonts w:ascii="Calibri" w:cs="Calibri" w:eastAsia="Calibri" w:hAnsi="Calibri"/>
                <w:sz w:val="10"/>
                <w:szCs w:val="10"/>
                <w:b w:val="1"/>
                <w:bCs w:val="1"/>
                <w:color w:val="auto"/>
              </w:rPr>
              <w:t>Retained</w:t>
            </w:r>
          </w:p>
        </w:tc>
        <w:tc>
          <w:tcPr>
            <w:tcW w:w="120" w:type="dxa"/>
            <w:vAlign w:val="bottom"/>
          </w:tcPr>
          <w:p>
            <w:pPr>
              <w:spacing w:after="0"/>
              <w:rPr>
                <w:sz w:val="8"/>
                <w:szCs w:val="8"/>
                <w:color w:val="auto"/>
              </w:rPr>
            </w:pPr>
          </w:p>
        </w:tc>
        <w:tc>
          <w:tcPr>
            <w:tcW w:w="1180" w:type="dxa"/>
            <w:vAlign w:val="bottom"/>
            <w:gridSpan w:val="2"/>
          </w:tcPr>
          <w:p>
            <w:pPr>
              <w:jc w:val="center"/>
              <w:ind w:right="220"/>
              <w:spacing w:after="0" w:line="99" w:lineRule="exact"/>
              <w:rPr>
                <w:sz w:val="20"/>
                <w:szCs w:val="20"/>
                <w:color w:val="auto"/>
              </w:rPr>
            </w:pPr>
            <w:r>
              <w:rPr>
                <w:rFonts w:ascii="Calibri" w:cs="Calibri" w:eastAsia="Calibri" w:hAnsi="Calibri"/>
                <w:sz w:val="10"/>
                <w:szCs w:val="10"/>
                <w:b w:val="1"/>
                <w:bCs w:val="1"/>
                <w:color w:val="auto"/>
              </w:rPr>
              <w:t>Comprehensive</w:t>
            </w:r>
          </w:p>
        </w:tc>
        <w:tc>
          <w:tcPr>
            <w:tcW w:w="120" w:type="dxa"/>
            <w:vAlign w:val="bottom"/>
          </w:tcPr>
          <w:p>
            <w:pPr>
              <w:spacing w:after="0"/>
              <w:rPr>
                <w:sz w:val="8"/>
                <w:szCs w:val="8"/>
                <w:color w:val="auto"/>
              </w:rPr>
            </w:pPr>
          </w:p>
        </w:tc>
        <w:tc>
          <w:tcPr>
            <w:tcW w:w="960" w:type="dxa"/>
            <w:vAlign w:val="bottom"/>
          </w:tcPr>
          <w:p>
            <w:pPr>
              <w:jc w:val="center"/>
              <w:ind w:right="54"/>
              <w:spacing w:after="0" w:line="99" w:lineRule="exact"/>
              <w:rPr>
                <w:sz w:val="20"/>
                <w:szCs w:val="20"/>
                <w:color w:val="auto"/>
              </w:rPr>
            </w:pPr>
            <w:r>
              <w:rPr>
                <w:rFonts w:ascii="Calibri" w:cs="Calibri" w:eastAsia="Calibri" w:hAnsi="Calibri"/>
                <w:sz w:val="10"/>
                <w:szCs w:val="10"/>
                <w:b w:val="1"/>
                <w:bCs w:val="1"/>
                <w:color w:val="auto"/>
              </w:rPr>
              <w:t>Stockholders’</w:t>
            </w:r>
          </w:p>
        </w:tc>
        <w:tc>
          <w:tcPr>
            <w:tcW w:w="0" w:type="dxa"/>
            <w:vAlign w:val="bottom"/>
          </w:tcPr>
          <w:p>
            <w:pPr>
              <w:spacing w:after="0"/>
              <w:rPr>
                <w:sz w:val="1"/>
                <w:szCs w:val="1"/>
                <w:color w:val="auto"/>
              </w:rPr>
            </w:pPr>
          </w:p>
        </w:tc>
      </w:tr>
      <w:tr>
        <w:trPr>
          <w:trHeight w:val="179"/>
        </w:trPr>
        <w:tc>
          <w:tcPr>
            <w:tcW w:w="3520" w:type="dxa"/>
            <w:vAlign w:val="bottom"/>
          </w:tcPr>
          <w:p>
            <w:pPr>
              <w:spacing w:after="0"/>
              <w:rPr>
                <w:sz w:val="15"/>
                <w:szCs w:val="15"/>
                <w:color w:val="auto"/>
              </w:rPr>
            </w:pPr>
          </w:p>
        </w:tc>
        <w:tc>
          <w:tcPr>
            <w:tcW w:w="580" w:type="dxa"/>
            <w:vAlign w:val="bottom"/>
          </w:tcPr>
          <w:p>
            <w:pPr>
              <w:jc w:val="right"/>
              <w:ind w:right="14"/>
              <w:spacing w:after="0" w:line="168" w:lineRule="exact"/>
              <w:rPr>
                <w:sz w:val="20"/>
                <w:szCs w:val="20"/>
                <w:color w:val="auto"/>
              </w:rPr>
            </w:pPr>
            <w:r>
              <w:rPr>
                <w:rFonts w:ascii="Calibri" w:cs="Calibri" w:eastAsia="Calibri" w:hAnsi="Calibri"/>
                <w:sz w:val="14"/>
                <w:szCs w:val="14"/>
                <w:b w:val="1"/>
                <w:bCs w:val="1"/>
                <w:color w:val="auto"/>
              </w:rPr>
              <w:t>Shares</w:t>
            </w:r>
          </w:p>
        </w:tc>
        <w:tc>
          <w:tcPr>
            <w:tcW w:w="100" w:type="dxa"/>
            <w:vAlign w:val="bottom"/>
          </w:tcPr>
          <w:p>
            <w:pPr>
              <w:spacing w:after="0"/>
              <w:rPr>
                <w:sz w:val="15"/>
                <w:szCs w:val="15"/>
                <w:color w:val="auto"/>
              </w:rPr>
            </w:pPr>
          </w:p>
        </w:tc>
        <w:tc>
          <w:tcPr>
            <w:tcW w:w="940" w:type="dxa"/>
            <w:vAlign w:val="bottom"/>
            <w:gridSpan w:val="3"/>
          </w:tcPr>
          <w:p>
            <w:pPr>
              <w:ind w:left="140"/>
              <w:spacing w:after="0" w:line="168" w:lineRule="exact"/>
              <w:rPr>
                <w:sz w:val="20"/>
                <w:szCs w:val="20"/>
                <w:color w:val="auto"/>
              </w:rPr>
            </w:pPr>
            <w:r>
              <w:rPr>
                <w:rFonts w:ascii="Calibri" w:cs="Calibri" w:eastAsia="Calibri" w:hAnsi="Calibri"/>
                <w:sz w:val="14"/>
                <w:szCs w:val="14"/>
                <w:b w:val="1"/>
                <w:bCs w:val="1"/>
                <w:color w:val="auto"/>
              </w:rPr>
              <w:t>Par Value</w:t>
            </w:r>
          </w:p>
        </w:tc>
        <w:tc>
          <w:tcPr>
            <w:tcW w:w="680" w:type="dxa"/>
            <w:vAlign w:val="bottom"/>
            <w:gridSpan w:val="2"/>
          </w:tcPr>
          <w:p>
            <w:pPr>
              <w:ind w:left="100"/>
              <w:spacing w:after="0" w:line="168" w:lineRule="exact"/>
              <w:rPr>
                <w:sz w:val="20"/>
                <w:szCs w:val="20"/>
                <w:color w:val="auto"/>
              </w:rPr>
            </w:pPr>
            <w:r>
              <w:rPr>
                <w:rFonts w:ascii="Calibri" w:cs="Calibri" w:eastAsia="Calibri" w:hAnsi="Calibri"/>
                <w:sz w:val="14"/>
                <w:szCs w:val="14"/>
                <w:b w:val="1"/>
                <w:bCs w:val="1"/>
                <w:color w:val="auto"/>
              </w:rPr>
              <w:t>Shares</w:t>
            </w:r>
          </w:p>
        </w:tc>
        <w:tc>
          <w:tcPr>
            <w:tcW w:w="120" w:type="dxa"/>
            <w:vAlign w:val="bottom"/>
          </w:tcPr>
          <w:p>
            <w:pPr>
              <w:spacing w:after="0"/>
              <w:rPr>
                <w:sz w:val="15"/>
                <w:szCs w:val="15"/>
                <w:color w:val="auto"/>
              </w:rPr>
            </w:pPr>
          </w:p>
        </w:tc>
        <w:tc>
          <w:tcPr>
            <w:tcW w:w="820" w:type="dxa"/>
            <w:vAlign w:val="bottom"/>
            <w:gridSpan w:val="2"/>
          </w:tcPr>
          <w:p>
            <w:pPr>
              <w:ind w:left="20"/>
              <w:spacing w:after="0" w:line="168" w:lineRule="exact"/>
              <w:rPr>
                <w:sz w:val="20"/>
                <w:szCs w:val="20"/>
                <w:color w:val="auto"/>
              </w:rPr>
            </w:pPr>
            <w:r>
              <w:rPr>
                <w:rFonts w:ascii="Calibri" w:cs="Calibri" w:eastAsia="Calibri" w:hAnsi="Calibri"/>
                <w:sz w:val="14"/>
                <w:szCs w:val="14"/>
                <w:b w:val="1"/>
                <w:bCs w:val="1"/>
                <w:color w:val="auto"/>
              </w:rPr>
              <w:t>Par Value</w:t>
            </w:r>
          </w:p>
        </w:tc>
        <w:tc>
          <w:tcPr>
            <w:tcW w:w="120" w:type="dxa"/>
            <w:vAlign w:val="bottom"/>
          </w:tcPr>
          <w:p>
            <w:pPr>
              <w:spacing w:after="0"/>
              <w:rPr>
                <w:sz w:val="15"/>
                <w:szCs w:val="15"/>
                <w:color w:val="auto"/>
              </w:rPr>
            </w:pPr>
          </w:p>
        </w:tc>
        <w:tc>
          <w:tcPr>
            <w:tcW w:w="840" w:type="dxa"/>
            <w:vAlign w:val="bottom"/>
            <w:gridSpan w:val="2"/>
          </w:tcPr>
          <w:p>
            <w:pPr>
              <w:jc w:val="center"/>
              <w:ind w:right="220"/>
              <w:spacing w:after="0" w:line="168" w:lineRule="exact"/>
              <w:rPr>
                <w:sz w:val="20"/>
                <w:szCs w:val="20"/>
                <w:color w:val="auto"/>
              </w:rPr>
            </w:pPr>
            <w:r>
              <w:rPr>
                <w:rFonts w:ascii="Calibri" w:cs="Calibri" w:eastAsia="Calibri" w:hAnsi="Calibri"/>
                <w:sz w:val="14"/>
                <w:szCs w:val="14"/>
                <w:b w:val="1"/>
                <w:bCs w:val="1"/>
                <w:color w:val="auto"/>
              </w:rPr>
              <w:t>Capital</w:t>
            </w:r>
          </w:p>
        </w:tc>
        <w:tc>
          <w:tcPr>
            <w:tcW w:w="160" w:type="dxa"/>
            <w:vAlign w:val="bottom"/>
          </w:tcPr>
          <w:p>
            <w:pPr>
              <w:spacing w:after="0"/>
              <w:rPr>
                <w:sz w:val="15"/>
                <w:szCs w:val="15"/>
                <w:color w:val="auto"/>
              </w:rPr>
            </w:pPr>
          </w:p>
        </w:tc>
        <w:tc>
          <w:tcPr>
            <w:tcW w:w="940" w:type="dxa"/>
            <w:vAlign w:val="bottom"/>
            <w:gridSpan w:val="2"/>
          </w:tcPr>
          <w:p>
            <w:pPr>
              <w:jc w:val="right"/>
              <w:ind w:right="360"/>
              <w:spacing w:after="0"/>
              <w:rPr>
                <w:sz w:val="20"/>
                <w:szCs w:val="20"/>
                <w:color w:val="auto"/>
              </w:rPr>
            </w:pPr>
            <w:r>
              <w:rPr>
                <w:rFonts w:ascii="Calibri" w:cs="Calibri" w:eastAsia="Calibri" w:hAnsi="Calibri"/>
                <w:sz w:val="14"/>
                <w:szCs w:val="14"/>
                <w:b w:val="1"/>
                <w:bCs w:val="1"/>
                <w:color w:val="auto"/>
              </w:rPr>
              <w:t>Earnings</w:t>
            </w:r>
          </w:p>
        </w:tc>
        <w:tc>
          <w:tcPr>
            <w:tcW w:w="120" w:type="dxa"/>
            <w:vAlign w:val="bottom"/>
          </w:tcPr>
          <w:p>
            <w:pPr>
              <w:spacing w:after="0"/>
              <w:rPr>
                <w:sz w:val="15"/>
                <w:szCs w:val="15"/>
                <w:color w:val="auto"/>
              </w:rPr>
            </w:pPr>
          </w:p>
        </w:tc>
        <w:tc>
          <w:tcPr>
            <w:tcW w:w="1180" w:type="dxa"/>
            <w:vAlign w:val="bottom"/>
            <w:gridSpan w:val="2"/>
          </w:tcPr>
          <w:p>
            <w:pPr>
              <w:jc w:val="center"/>
              <w:ind w:right="220"/>
              <w:spacing w:after="0" w:line="168" w:lineRule="exact"/>
              <w:rPr>
                <w:sz w:val="20"/>
                <w:szCs w:val="20"/>
                <w:color w:val="auto"/>
              </w:rPr>
            </w:pPr>
            <w:r>
              <w:rPr>
                <w:rFonts w:ascii="Calibri" w:cs="Calibri" w:eastAsia="Calibri" w:hAnsi="Calibri"/>
                <w:sz w:val="14"/>
                <w:szCs w:val="14"/>
                <w:b w:val="1"/>
                <w:bCs w:val="1"/>
                <w:color w:val="auto"/>
              </w:rPr>
              <w:t>Income (Loss)</w:t>
            </w:r>
          </w:p>
        </w:tc>
        <w:tc>
          <w:tcPr>
            <w:tcW w:w="120" w:type="dxa"/>
            <w:vAlign w:val="bottom"/>
          </w:tcPr>
          <w:p>
            <w:pPr>
              <w:spacing w:after="0"/>
              <w:rPr>
                <w:sz w:val="15"/>
                <w:szCs w:val="15"/>
                <w:color w:val="auto"/>
              </w:rPr>
            </w:pPr>
          </w:p>
        </w:tc>
        <w:tc>
          <w:tcPr>
            <w:tcW w:w="960" w:type="dxa"/>
            <w:vAlign w:val="bottom"/>
          </w:tcPr>
          <w:p>
            <w:pPr>
              <w:jc w:val="center"/>
              <w:ind w:right="14"/>
              <w:spacing w:after="0" w:line="168" w:lineRule="exact"/>
              <w:rPr>
                <w:sz w:val="20"/>
                <w:szCs w:val="20"/>
                <w:color w:val="auto"/>
              </w:rPr>
            </w:pPr>
            <w:r>
              <w:rPr>
                <w:rFonts w:ascii="Calibri" w:cs="Calibri" w:eastAsia="Calibri" w:hAnsi="Calibri"/>
                <w:sz w:val="14"/>
                <w:szCs w:val="14"/>
                <w:b w:val="1"/>
                <w:bCs w:val="1"/>
                <w:color w:val="auto"/>
              </w:rPr>
              <w:t>Equity</w:t>
            </w:r>
          </w:p>
        </w:tc>
        <w:tc>
          <w:tcPr>
            <w:tcW w:w="0" w:type="dxa"/>
            <w:vAlign w:val="bottom"/>
          </w:tcPr>
          <w:p>
            <w:pPr>
              <w:spacing w:after="0"/>
              <w:rPr>
                <w:sz w:val="1"/>
                <w:szCs w:val="1"/>
                <w:color w:val="auto"/>
              </w:rPr>
            </w:pPr>
          </w:p>
        </w:tc>
      </w:tr>
      <w:tr>
        <w:trPr>
          <w:trHeight w:val="32"/>
        </w:trPr>
        <w:tc>
          <w:tcPr>
            <w:tcW w:w="352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35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tcPr>
          <w:p>
            <w:pPr>
              <w:ind w:left="140"/>
              <w:spacing w:after="0"/>
              <w:rPr>
                <w:sz w:val="20"/>
                <w:szCs w:val="20"/>
                <w:color w:val="auto"/>
              </w:rPr>
            </w:pPr>
            <w:r>
              <w:rPr>
                <w:rFonts w:ascii="Calibri" w:cs="Calibri" w:eastAsia="Calibri" w:hAnsi="Calibri"/>
                <w:sz w:val="14"/>
                <w:szCs w:val="14"/>
                <w:b w:val="1"/>
                <w:bCs w:val="1"/>
                <w:color w:val="auto"/>
                <w:w w:val="98"/>
              </w:rPr>
              <w:t>(In millions)</w:t>
            </w: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352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4"/>
        </w:trPr>
        <w:tc>
          <w:tcPr>
            <w:tcW w:w="3520" w:type="dxa"/>
            <w:vAlign w:val="bottom"/>
            <w:shd w:val="clear" w:color="auto" w:fill="CCEEFF"/>
          </w:tcPr>
          <w:p>
            <w:pPr>
              <w:ind w:left="20"/>
              <w:spacing w:after="0" w:line="210" w:lineRule="exact"/>
              <w:rPr>
                <w:sz w:val="20"/>
                <w:szCs w:val="20"/>
                <w:color w:val="auto"/>
              </w:rPr>
            </w:pPr>
            <w:r>
              <w:rPr>
                <w:rFonts w:ascii="Calibri" w:cs="Calibri" w:eastAsia="Calibri" w:hAnsi="Calibri"/>
                <w:sz w:val="18"/>
                <w:szCs w:val="18"/>
                <w:b w:val="1"/>
                <w:bCs w:val="1"/>
                <w:color w:val="auto"/>
              </w:rPr>
              <w:t>Balance as of November 1, 2020</w:t>
            </w:r>
          </w:p>
        </w:tc>
        <w:tc>
          <w:tcPr>
            <w:tcW w:w="580" w:type="dxa"/>
            <w:vAlign w:val="bottom"/>
            <w:shd w:val="clear" w:color="auto" w:fill="CCEEFF"/>
          </w:tcPr>
          <w:p>
            <w:pPr>
              <w:jc w:val="right"/>
              <w:spacing w:after="0" w:line="210" w:lineRule="exact"/>
              <w:rPr>
                <w:sz w:val="20"/>
                <w:szCs w:val="20"/>
                <w:color w:val="auto"/>
              </w:rPr>
            </w:pPr>
            <w:r>
              <w:rPr>
                <w:rFonts w:ascii="Calibri" w:cs="Calibri" w:eastAsia="Calibri" w:hAnsi="Calibri"/>
                <w:sz w:val="18"/>
                <w:szCs w:val="18"/>
                <w:color w:val="auto"/>
              </w:rPr>
              <w:t>4</w:t>
            </w:r>
          </w:p>
        </w:tc>
        <w:tc>
          <w:tcPr>
            <w:tcW w:w="700" w:type="dxa"/>
            <w:vAlign w:val="bottom"/>
            <w:gridSpan w:val="2"/>
            <w:shd w:val="clear" w:color="auto" w:fill="CCEEFF"/>
          </w:tcPr>
          <w:p>
            <w:pPr>
              <w:jc w:val="center"/>
              <w:ind w:right="301"/>
              <w:spacing w:after="0" w:line="210" w:lineRule="exact"/>
              <w:rPr>
                <w:sz w:val="20"/>
                <w:szCs w:val="20"/>
                <w:color w:val="auto"/>
              </w:rPr>
            </w:pPr>
            <w:r>
              <w:rPr>
                <w:rFonts w:ascii="Calibri" w:cs="Calibri" w:eastAsia="Calibri" w:hAnsi="Calibri"/>
                <w:sz w:val="18"/>
                <w:szCs w:val="18"/>
                <w:color w:val="auto"/>
                <w:w w:val="87"/>
              </w:rPr>
              <w:t>$</w:t>
            </w:r>
          </w:p>
        </w:tc>
        <w:tc>
          <w:tcPr>
            <w:tcW w:w="340" w:type="dxa"/>
            <w:vAlign w:val="bottom"/>
            <w:gridSpan w:val="2"/>
            <w:shd w:val="clear" w:color="auto" w:fill="CCEEFF"/>
          </w:tcPr>
          <w:p>
            <w:pPr>
              <w:spacing w:after="0" w:line="210" w:lineRule="exact"/>
              <w:rPr>
                <w:sz w:val="20"/>
                <w:szCs w:val="20"/>
                <w:color w:val="auto"/>
              </w:rPr>
            </w:pPr>
            <w:r>
              <w:rPr>
                <w:rFonts w:ascii="Calibri" w:cs="Calibri" w:eastAsia="Calibri" w:hAnsi="Calibri"/>
                <w:sz w:val="18"/>
                <w:szCs w:val="18"/>
                <w:color w:val="auto"/>
              </w:rPr>
              <w:t>—</w:t>
            </w:r>
          </w:p>
        </w:tc>
        <w:tc>
          <w:tcPr>
            <w:tcW w:w="580" w:type="dxa"/>
            <w:vAlign w:val="bottom"/>
            <w:shd w:val="clear" w:color="auto" w:fill="CCEEFF"/>
          </w:tcPr>
          <w:p>
            <w:pPr>
              <w:jc w:val="right"/>
              <w:spacing w:after="0" w:line="210" w:lineRule="exact"/>
              <w:rPr>
                <w:sz w:val="20"/>
                <w:szCs w:val="20"/>
                <w:color w:val="auto"/>
              </w:rPr>
            </w:pPr>
            <w:r>
              <w:rPr>
                <w:rFonts w:ascii="Calibri" w:cs="Calibri" w:eastAsia="Calibri" w:hAnsi="Calibri"/>
                <w:sz w:val="18"/>
                <w:szCs w:val="18"/>
                <w:color w:val="auto"/>
              </w:rPr>
              <w:t>407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center"/>
              <w:spacing w:after="0" w:line="210" w:lineRule="exact"/>
              <w:rPr>
                <w:sz w:val="20"/>
                <w:szCs w:val="20"/>
                <w:color w:val="auto"/>
              </w:rPr>
            </w:pPr>
            <w:r>
              <w:rPr>
                <w:rFonts w:ascii="Calibri" w:cs="Calibri" w:eastAsia="Calibri" w:hAnsi="Calibri"/>
                <w:sz w:val="18"/>
                <w:szCs w:val="18"/>
                <w:color w:val="auto"/>
                <w:w w:val="87"/>
              </w:rPr>
              <w:t>$</w:t>
            </w:r>
          </w:p>
        </w:tc>
        <w:tc>
          <w:tcPr>
            <w:tcW w:w="820" w:type="dxa"/>
            <w:vAlign w:val="bottom"/>
            <w:gridSpan w:val="2"/>
            <w:shd w:val="clear" w:color="auto" w:fill="CCEEFF"/>
          </w:tcPr>
          <w:p>
            <w:pPr>
              <w:ind w:left="500"/>
              <w:spacing w:after="0" w:line="210" w:lineRule="exact"/>
              <w:rPr>
                <w:sz w:val="20"/>
                <w:szCs w:val="20"/>
                <w:color w:val="auto"/>
              </w:rPr>
            </w:pPr>
            <w:r>
              <w:rPr>
                <w:rFonts w:ascii="Calibri" w:cs="Calibri" w:eastAsia="Calibri" w:hAnsi="Calibri"/>
                <w:sz w:val="18"/>
                <w:szCs w:val="18"/>
                <w:color w:val="auto"/>
              </w:rPr>
              <w:t>—</w:t>
            </w:r>
          </w:p>
        </w:tc>
        <w:tc>
          <w:tcPr>
            <w:tcW w:w="120" w:type="dxa"/>
            <w:vAlign w:val="bottom"/>
            <w:shd w:val="clear" w:color="auto" w:fill="CCEEFF"/>
          </w:tcPr>
          <w:p>
            <w:pPr>
              <w:jc w:val="right"/>
              <w:spacing w:after="0" w:line="210" w:lineRule="exact"/>
              <w:rPr>
                <w:sz w:val="20"/>
                <w:szCs w:val="20"/>
                <w:color w:val="auto"/>
              </w:rPr>
            </w:pPr>
            <w:r>
              <w:rPr>
                <w:rFonts w:ascii="Calibri" w:cs="Calibri" w:eastAsia="Calibri" w:hAnsi="Calibri"/>
                <w:sz w:val="18"/>
                <w:szCs w:val="18"/>
                <w:color w:val="auto"/>
                <w:w w:val="87"/>
              </w:rPr>
              <w:t>$</w:t>
            </w:r>
          </w:p>
        </w:tc>
        <w:tc>
          <w:tcPr>
            <w:tcW w:w="740" w:type="dxa"/>
            <w:vAlign w:val="bottom"/>
            <w:shd w:val="clear" w:color="auto" w:fill="CCEEFF"/>
          </w:tcPr>
          <w:p>
            <w:pPr>
              <w:jc w:val="right"/>
              <w:spacing w:after="0" w:line="210" w:lineRule="exact"/>
              <w:rPr>
                <w:sz w:val="20"/>
                <w:szCs w:val="20"/>
                <w:color w:val="auto"/>
              </w:rPr>
            </w:pPr>
            <w:r>
              <w:rPr>
                <w:rFonts w:ascii="Calibri" w:cs="Calibri" w:eastAsia="Calibri" w:hAnsi="Calibri"/>
                <w:sz w:val="18"/>
                <w:szCs w:val="18"/>
                <w:color w:val="auto"/>
              </w:rPr>
              <w:t>23,982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line="210" w:lineRule="exact"/>
              <w:rPr>
                <w:sz w:val="20"/>
                <w:szCs w:val="20"/>
                <w:color w:val="auto"/>
              </w:rPr>
            </w:pPr>
            <w:r>
              <w:rPr>
                <w:rFonts w:ascii="Calibri" w:cs="Calibri" w:eastAsia="Calibri" w:hAnsi="Calibri"/>
                <w:sz w:val="18"/>
                <w:szCs w:val="18"/>
                <w:color w:val="auto"/>
              </w:rPr>
              <w:t>$</w:t>
            </w:r>
          </w:p>
        </w:tc>
        <w:tc>
          <w:tcPr>
            <w:tcW w:w="940" w:type="dxa"/>
            <w:vAlign w:val="bottom"/>
            <w:gridSpan w:val="2"/>
            <w:shd w:val="clear" w:color="auto" w:fill="CCEEFF"/>
          </w:tcPr>
          <w:p>
            <w:pPr>
              <w:jc w:val="right"/>
              <w:ind w:right="160"/>
              <w:spacing w:after="0" w:line="210" w:lineRule="exact"/>
              <w:rPr>
                <w:sz w:val="20"/>
                <w:szCs w:val="20"/>
                <w:color w:val="auto"/>
              </w:rPr>
            </w:pPr>
            <w:r>
              <w:rPr>
                <w:rFonts w:ascii="Calibri" w:cs="Calibri" w:eastAsia="Calibri" w:hAnsi="Calibri"/>
                <w:sz w:val="18"/>
                <w:szCs w:val="18"/>
                <w:color w:val="auto"/>
              </w:rPr>
              <w:t>—</w:t>
            </w:r>
          </w:p>
        </w:tc>
        <w:tc>
          <w:tcPr>
            <w:tcW w:w="120" w:type="dxa"/>
            <w:vAlign w:val="bottom"/>
            <w:shd w:val="clear" w:color="auto" w:fill="CCEEFF"/>
          </w:tcPr>
          <w:p>
            <w:pPr>
              <w:jc w:val="right"/>
              <w:spacing w:after="0" w:line="210" w:lineRule="exact"/>
              <w:rPr>
                <w:sz w:val="20"/>
                <w:szCs w:val="20"/>
                <w:color w:val="auto"/>
              </w:rPr>
            </w:pPr>
            <w:r>
              <w:rPr>
                <w:rFonts w:ascii="Calibri" w:cs="Calibri" w:eastAsia="Calibri" w:hAnsi="Calibri"/>
                <w:sz w:val="18"/>
                <w:szCs w:val="18"/>
                <w:color w:val="auto"/>
                <w:w w:val="87"/>
              </w:rPr>
              <w:t>$</w:t>
            </w:r>
          </w:p>
        </w:tc>
        <w:tc>
          <w:tcPr>
            <w:tcW w:w="1080" w:type="dxa"/>
            <w:vAlign w:val="bottom"/>
            <w:shd w:val="clear" w:color="auto" w:fill="CCEEFF"/>
          </w:tcPr>
          <w:p>
            <w:pPr>
              <w:jc w:val="right"/>
              <w:spacing w:after="0" w:line="210" w:lineRule="exact"/>
              <w:rPr>
                <w:sz w:val="20"/>
                <w:szCs w:val="20"/>
                <w:color w:val="auto"/>
              </w:rPr>
            </w:pPr>
            <w:r>
              <w:rPr>
                <w:rFonts w:ascii="Calibri" w:cs="Calibri" w:eastAsia="Calibri" w:hAnsi="Calibri"/>
                <w:sz w:val="18"/>
                <w:szCs w:val="18"/>
                <w:color w:val="auto"/>
              </w:rPr>
              <w:t>(108)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line="210" w:lineRule="exact"/>
              <w:rPr>
                <w:sz w:val="20"/>
                <w:szCs w:val="20"/>
                <w:color w:val="auto"/>
              </w:rPr>
            </w:pPr>
            <w:r>
              <w:rPr>
                <w:rFonts w:ascii="Calibri" w:cs="Calibri" w:eastAsia="Calibri" w:hAnsi="Calibri"/>
                <w:sz w:val="18"/>
                <w:szCs w:val="18"/>
                <w:color w:val="auto"/>
              </w:rPr>
              <w:t>$</w:t>
            </w:r>
          </w:p>
        </w:tc>
        <w:tc>
          <w:tcPr>
            <w:tcW w:w="960" w:type="dxa"/>
            <w:vAlign w:val="bottom"/>
            <w:shd w:val="clear" w:color="auto" w:fill="CCEEFF"/>
          </w:tcPr>
          <w:p>
            <w:pPr>
              <w:jc w:val="right"/>
              <w:spacing w:after="0" w:line="210" w:lineRule="exact"/>
              <w:rPr>
                <w:sz w:val="20"/>
                <w:szCs w:val="20"/>
                <w:color w:val="auto"/>
              </w:rPr>
            </w:pPr>
            <w:r>
              <w:rPr>
                <w:rFonts w:ascii="Calibri" w:cs="Calibri" w:eastAsia="Calibri" w:hAnsi="Calibri"/>
                <w:sz w:val="18"/>
                <w:szCs w:val="18"/>
                <w:color w:val="auto"/>
              </w:rPr>
              <w:t>23,874</w:t>
            </w:r>
          </w:p>
        </w:tc>
        <w:tc>
          <w:tcPr>
            <w:tcW w:w="0" w:type="dxa"/>
            <w:vAlign w:val="bottom"/>
          </w:tcPr>
          <w:p>
            <w:pPr>
              <w:spacing w:after="0"/>
              <w:rPr>
                <w:sz w:val="1"/>
                <w:szCs w:val="1"/>
                <w:color w:val="auto"/>
              </w:rPr>
            </w:pPr>
          </w:p>
        </w:tc>
      </w:tr>
      <w:tr>
        <w:trPr>
          <w:trHeight w:val="217"/>
        </w:trPr>
        <w:tc>
          <w:tcPr>
            <w:tcW w:w="3520" w:type="dxa"/>
            <w:vAlign w:val="bottom"/>
          </w:tcPr>
          <w:p>
            <w:pPr>
              <w:ind w:left="20"/>
              <w:spacing w:after="0" w:line="210" w:lineRule="exact"/>
              <w:rPr>
                <w:sz w:val="20"/>
                <w:szCs w:val="20"/>
                <w:color w:val="auto"/>
              </w:rPr>
            </w:pPr>
            <w:r>
              <w:rPr>
                <w:rFonts w:ascii="Calibri" w:cs="Calibri" w:eastAsia="Calibri" w:hAnsi="Calibri"/>
                <w:sz w:val="18"/>
                <w:szCs w:val="18"/>
                <w:color w:val="auto"/>
              </w:rPr>
              <w:t>Net income</w:t>
            </w:r>
          </w:p>
        </w:tc>
        <w:tc>
          <w:tcPr>
            <w:tcW w:w="580" w:type="dxa"/>
            <w:vAlign w:val="bottom"/>
          </w:tcPr>
          <w:p>
            <w:pPr>
              <w:jc w:val="right"/>
              <w:spacing w:after="0" w:line="210" w:lineRule="exact"/>
              <w:rPr>
                <w:sz w:val="20"/>
                <w:szCs w:val="20"/>
                <w:color w:val="auto"/>
              </w:rPr>
            </w:pPr>
            <w:r>
              <w:rPr>
                <w:rFonts w:ascii="Calibri" w:cs="Calibri" w:eastAsia="Calibri" w:hAnsi="Calibri"/>
                <w:sz w:val="18"/>
                <w:szCs w:val="18"/>
                <w:color w:val="auto"/>
              </w:rPr>
              <w:t>—</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gridSpan w:val="2"/>
          </w:tcPr>
          <w:p>
            <w:pPr>
              <w:spacing w:after="0" w:line="210" w:lineRule="exact"/>
              <w:rPr>
                <w:sz w:val="20"/>
                <w:szCs w:val="20"/>
                <w:color w:val="auto"/>
              </w:rPr>
            </w:pPr>
            <w:r>
              <w:rPr>
                <w:rFonts w:ascii="Calibri" w:cs="Calibri" w:eastAsia="Calibri" w:hAnsi="Calibri"/>
                <w:sz w:val="18"/>
                <w:szCs w:val="18"/>
                <w:color w:val="auto"/>
              </w:rPr>
              <w:t>—</w:t>
            </w:r>
          </w:p>
        </w:tc>
        <w:tc>
          <w:tcPr>
            <w:tcW w:w="680" w:type="dxa"/>
            <w:vAlign w:val="bottom"/>
            <w:gridSpan w:val="2"/>
          </w:tcPr>
          <w:p>
            <w:pPr>
              <w:jc w:val="right"/>
              <w:ind w:right="160"/>
              <w:spacing w:after="0" w:line="210" w:lineRule="exact"/>
              <w:rPr>
                <w:sz w:val="20"/>
                <w:szCs w:val="20"/>
                <w:color w:val="auto"/>
              </w:rPr>
            </w:pPr>
            <w:r>
              <w:rPr>
                <w:rFonts w:ascii="Calibri" w:cs="Calibri" w:eastAsia="Calibri" w:hAnsi="Calibri"/>
                <w:sz w:val="18"/>
                <w:szCs w:val="18"/>
                <w:color w:val="auto"/>
              </w:rPr>
              <w:t>—</w:t>
            </w:r>
          </w:p>
        </w:tc>
        <w:tc>
          <w:tcPr>
            <w:tcW w:w="120" w:type="dxa"/>
            <w:vAlign w:val="bottom"/>
          </w:tcPr>
          <w:p>
            <w:pPr>
              <w:spacing w:after="0"/>
              <w:rPr>
                <w:sz w:val="18"/>
                <w:szCs w:val="18"/>
                <w:color w:val="auto"/>
              </w:rPr>
            </w:pPr>
          </w:p>
        </w:tc>
        <w:tc>
          <w:tcPr>
            <w:tcW w:w="820" w:type="dxa"/>
            <w:vAlign w:val="bottom"/>
            <w:gridSpan w:val="2"/>
          </w:tcPr>
          <w:p>
            <w:pPr>
              <w:ind w:left="500"/>
              <w:spacing w:after="0" w:line="210" w:lineRule="exact"/>
              <w:rPr>
                <w:sz w:val="20"/>
                <w:szCs w:val="20"/>
                <w:color w:val="auto"/>
              </w:rPr>
            </w:pPr>
            <w:r>
              <w:rPr>
                <w:rFonts w:ascii="Calibri" w:cs="Calibri" w:eastAsia="Calibri" w:hAnsi="Calibri"/>
                <w:sz w:val="18"/>
                <w:szCs w:val="18"/>
                <w:color w:val="auto"/>
              </w:rPr>
              <w:t>—</w:t>
            </w:r>
          </w:p>
        </w:tc>
        <w:tc>
          <w:tcPr>
            <w:tcW w:w="120" w:type="dxa"/>
            <w:vAlign w:val="bottom"/>
          </w:tcPr>
          <w:p>
            <w:pPr>
              <w:spacing w:after="0"/>
              <w:rPr>
                <w:sz w:val="18"/>
                <w:szCs w:val="18"/>
                <w:color w:val="auto"/>
              </w:rPr>
            </w:pPr>
          </w:p>
        </w:tc>
        <w:tc>
          <w:tcPr>
            <w:tcW w:w="840" w:type="dxa"/>
            <w:vAlign w:val="bottom"/>
            <w:gridSpan w:val="2"/>
          </w:tcPr>
          <w:p>
            <w:pPr>
              <w:jc w:val="right"/>
              <w:ind w:right="160"/>
              <w:spacing w:after="0" w:line="210" w:lineRule="exact"/>
              <w:rPr>
                <w:sz w:val="20"/>
                <w:szCs w:val="20"/>
                <w:color w:val="auto"/>
              </w:rPr>
            </w:pPr>
            <w:r>
              <w:rPr>
                <w:rFonts w:ascii="Calibri" w:cs="Calibri" w:eastAsia="Calibri" w:hAnsi="Calibri"/>
                <w:sz w:val="18"/>
                <w:szCs w:val="18"/>
                <w:color w:val="auto"/>
              </w:rPr>
              <w:t>—</w:t>
            </w:r>
          </w:p>
        </w:tc>
        <w:tc>
          <w:tcPr>
            <w:tcW w:w="160" w:type="dxa"/>
            <w:vAlign w:val="bottom"/>
          </w:tcPr>
          <w:p>
            <w:pPr>
              <w:spacing w:after="0"/>
              <w:rPr>
                <w:sz w:val="18"/>
                <w:szCs w:val="18"/>
                <w:color w:val="auto"/>
              </w:rPr>
            </w:pPr>
          </w:p>
        </w:tc>
        <w:tc>
          <w:tcPr>
            <w:tcW w:w="840" w:type="dxa"/>
            <w:vAlign w:val="bottom"/>
          </w:tcPr>
          <w:p>
            <w:pPr>
              <w:jc w:val="right"/>
              <w:spacing w:after="0" w:line="210" w:lineRule="exact"/>
              <w:rPr>
                <w:sz w:val="20"/>
                <w:szCs w:val="20"/>
                <w:color w:val="auto"/>
              </w:rPr>
            </w:pPr>
            <w:r>
              <w:rPr>
                <w:rFonts w:ascii="Calibri" w:cs="Calibri" w:eastAsia="Calibri" w:hAnsi="Calibri"/>
                <w:sz w:val="18"/>
                <w:szCs w:val="18"/>
                <w:color w:val="auto"/>
              </w:rPr>
              <w:t>6,736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160"/>
              <w:spacing w:after="0" w:line="210" w:lineRule="exact"/>
              <w:rPr>
                <w:sz w:val="20"/>
                <w:szCs w:val="20"/>
                <w:color w:val="auto"/>
              </w:rPr>
            </w:pPr>
            <w:r>
              <w:rPr>
                <w:rFonts w:ascii="Calibri" w:cs="Calibri" w:eastAsia="Calibri" w:hAnsi="Calibri"/>
                <w:sz w:val="18"/>
                <w:szCs w:val="18"/>
                <w:color w:val="auto"/>
              </w:rPr>
              <w:t>—</w:t>
            </w:r>
          </w:p>
        </w:tc>
        <w:tc>
          <w:tcPr>
            <w:tcW w:w="120" w:type="dxa"/>
            <w:vAlign w:val="bottom"/>
          </w:tcPr>
          <w:p>
            <w:pPr>
              <w:spacing w:after="0"/>
              <w:rPr>
                <w:sz w:val="18"/>
                <w:szCs w:val="18"/>
                <w:color w:val="auto"/>
              </w:rPr>
            </w:pPr>
          </w:p>
        </w:tc>
        <w:tc>
          <w:tcPr>
            <w:tcW w:w="960" w:type="dxa"/>
            <w:vAlign w:val="bottom"/>
          </w:tcPr>
          <w:p>
            <w:pPr>
              <w:jc w:val="right"/>
              <w:spacing w:after="0" w:line="210" w:lineRule="exact"/>
              <w:rPr>
                <w:sz w:val="20"/>
                <w:szCs w:val="20"/>
                <w:color w:val="auto"/>
              </w:rPr>
            </w:pPr>
            <w:r>
              <w:rPr>
                <w:rFonts w:ascii="Calibri" w:cs="Calibri" w:eastAsia="Calibri" w:hAnsi="Calibri"/>
                <w:sz w:val="18"/>
                <w:szCs w:val="18"/>
                <w:color w:val="auto"/>
              </w:rPr>
              <w:t>6,736</w:t>
            </w:r>
          </w:p>
        </w:tc>
        <w:tc>
          <w:tcPr>
            <w:tcW w:w="0" w:type="dxa"/>
            <w:vAlign w:val="bottom"/>
          </w:tcPr>
          <w:p>
            <w:pPr>
              <w:spacing w:after="0"/>
              <w:rPr>
                <w:sz w:val="1"/>
                <w:szCs w:val="1"/>
                <w:color w:val="auto"/>
              </w:rPr>
            </w:pPr>
          </w:p>
        </w:tc>
      </w:tr>
      <w:tr>
        <w:trPr>
          <w:trHeight w:val="232"/>
        </w:trPr>
        <w:tc>
          <w:tcPr>
            <w:tcW w:w="3520" w:type="dxa"/>
            <w:vAlign w:val="bottom"/>
            <w:shd w:val="clear" w:color="auto" w:fill="CCEEFF"/>
          </w:tcPr>
          <w:p>
            <w:pPr>
              <w:ind w:left="20"/>
              <w:spacing w:after="0" w:line="217" w:lineRule="exact"/>
              <w:rPr>
                <w:sz w:val="20"/>
                <w:szCs w:val="20"/>
                <w:color w:val="auto"/>
              </w:rPr>
            </w:pPr>
            <w:r>
              <w:rPr>
                <w:rFonts w:ascii="Calibri" w:cs="Calibri" w:eastAsia="Calibri" w:hAnsi="Calibri"/>
                <w:sz w:val="18"/>
                <w:szCs w:val="18"/>
                <w:color w:val="auto"/>
              </w:rPr>
              <w:t>Other comprehensive loss</w:t>
            </w:r>
          </w:p>
        </w:tc>
        <w:tc>
          <w:tcPr>
            <w:tcW w:w="580" w:type="dxa"/>
            <w:vAlign w:val="bottom"/>
            <w:shd w:val="clear" w:color="auto" w:fill="CCEEFF"/>
          </w:tcPr>
          <w:p>
            <w:pPr>
              <w:jc w:val="right"/>
              <w:spacing w:after="0" w:line="217" w:lineRule="exact"/>
              <w:rPr>
                <w:sz w:val="20"/>
                <w:szCs w:val="20"/>
                <w:color w:val="auto"/>
              </w:rPr>
            </w:pPr>
            <w:r>
              <w:rPr>
                <w:rFonts w:ascii="Calibri" w:cs="Calibri" w:eastAsia="Calibri" w:hAnsi="Calibri"/>
                <w:sz w:val="18"/>
                <w:szCs w:val="18"/>
                <w:color w:val="auto"/>
              </w:rPr>
              <w:t>—</w:t>
            </w: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340" w:type="dxa"/>
            <w:vAlign w:val="bottom"/>
            <w:gridSpan w:val="2"/>
            <w:shd w:val="clear" w:color="auto" w:fill="CCEEFF"/>
          </w:tcPr>
          <w:p>
            <w:pPr>
              <w:spacing w:after="0" w:line="217" w:lineRule="exact"/>
              <w:rPr>
                <w:sz w:val="20"/>
                <w:szCs w:val="20"/>
                <w:color w:val="auto"/>
              </w:rPr>
            </w:pPr>
            <w:r>
              <w:rPr>
                <w:rFonts w:ascii="Calibri" w:cs="Calibri" w:eastAsia="Calibri" w:hAnsi="Calibri"/>
                <w:sz w:val="18"/>
                <w:szCs w:val="18"/>
                <w:color w:val="auto"/>
              </w:rPr>
              <w:t>—</w:t>
            </w:r>
          </w:p>
        </w:tc>
        <w:tc>
          <w:tcPr>
            <w:tcW w:w="680" w:type="dxa"/>
            <w:vAlign w:val="bottom"/>
            <w:gridSpan w:val="2"/>
            <w:shd w:val="clear" w:color="auto" w:fill="CCEEFF"/>
          </w:tcPr>
          <w:p>
            <w:pPr>
              <w:jc w:val="right"/>
              <w:ind w:right="160"/>
              <w:spacing w:after="0" w:line="217" w:lineRule="exact"/>
              <w:rPr>
                <w:sz w:val="20"/>
                <w:szCs w:val="20"/>
                <w:color w:val="auto"/>
              </w:rPr>
            </w:pPr>
            <w:r>
              <w:rPr>
                <w:rFonts w:ascii="Calibri" w:cs="Calibri" w:eastAsia="Calibri" w:hAnsi="Calibri"/>
                <w:sz w:val="18"/>
                <w:szCs w:val="18"/>
                <w:color w:val="auto"/>
              </w:rPr>
              <w:t>—</w:t>
            </w:r>
          </w:p>
        </w:tc>
        <w:tc>
          <w:tcPr>
            <w:tcW w:w="120" w:type="dxa"/>
            <w:vAlign w:val="bottom"/>
            <w:shd w:val="clear" w:color="auto" w:fill="CCEEFF"/>
          </w:tcPr>
          <w:p>
            <w:pPr>
              <w:spacing w:after="0"/>
              <w:rPr>
                <w:sz w:val="20"/>
                <w:szCs w:val="20"/>
                <w:color w:val="auto"/>
              </w:rPr>
            </w:pPr>
          </w:p>
        </w:tc>
        <w:tc>
          <w:tcPr>
            <w:tcW w:w="820" w:type="dxa"/>
            <w:vAlign w:val="bottom"/>
            <w:gridSpan w:val="2"/>
            <w:shd w:val="clear" w:color="auto" w:fill="CCEEFF"/>
          </w:tcPr>
          <w:p>
            <w:pPr>
              <w:ind w:left="500"/>
              <w:spacing w:after="0" w:line="217" w:lineRule="exact"/>
              <w:rPr>
                <w:sz w:val="20"/>
                <w:szCs w:val="20"/>
                <w:color w:val="auto"/>
              </w:rPr>
            </w:pPr>
            <w:r>
              <w:rPr>
                <w:rFonts w:ascii="Calibri" w:cs="Calibri" w:eastAsia="Calibri" w:hAnsi="Calibri"/>
                <w:sz w:val="18"/>
                <w:szCs w:val="18"/>
                <w:color w:val="auto"/>
              </w:rPr>
              <w:t>—</w:t>
            </w:r>
          </w:p>
        </w:tc>
        <w:tc>
          <w:tcPr>
            <w:tcW w:w="12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60"/>
              <w:spacing w:after="0" w:line="217" w:lineRule="exact"/>
              <w:rPr>
                <w:sz w:val="20"/>
                <w:szCs w:val="20"/>
                <w:color w:val="auto"/>
              </w:rPr>
            </w:pPr>
            <w:r>
              <w:rPr>
                <w:rFonts w:ascii="Calibri" w:cs="Calibri" w:eastAsia="Calibri" w:hAnsi="Calibri"/>
                <w:sz w:val="18"/>
                <w:szCs w:val="18"/>
                <w:color w:val="auto"/>
              </w:rPr>
              <w:t>—</w:t>
            </w:r>
          </w:p>
        </w:tc>
        <w:tc>
          <w:tcPr>
            <w:tcW w:w="16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60"/>
              <w:spacing w:after="0" w:line="217" w:lineRule="exact"/>
              <w:rPr>
                <w:sz w:val="20"/>
                <w:szCs w:val="20"/>
                <w:color w:val="auto"/>
              </w:rPr>
            </w:pPr>
            <w:r>
              <w:rPr>
                <w:rFonts w:ascii="Calibri" w:cs="Calibri" w:eastAsia="Calibri" w:hAnsi="Calibri"/>
                <w:sz w:val="18"/>
                <w:szCs w:val="18"/>
                <w:color w:val="auto"/>
              </w:rPr>
              <w:t>—</w:t>
            </w:r>
          </w:p>
        </w:tc>
        <w:tc>
          <w:tcPr>
            <w:tcW w:w="12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line="217" w:lineRule="exact"/>
              <w:rPr>
                <w:sz w:val="20"/>
                <w:szCs w:val="20"/>
                <w:color w:val="auto"/>
              </w:rPr>
            </w:pPr>
            <w:r>
              <w:rPr>
                <w:rFonts w:ascii="Calibri" w:cs="Calibri" w:eastAsia="Calibri" w:hAnsi="Calibri"/>
                <w:sz w:val="18"/>
                <w:szCs w:val="18"/>
                <w:color w:val="auto"/>
              </w:rPr>
              <w:t>(8)</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line="217" w:lineRule="exact"/>
              <w:rPr>
                <w:sz w:val="20"/>
                <w:szCs w:val="20"/>
                <w:color w:val="auto"/>
              </w:rPr>
            </w:pPr>
            <w:r>
              <w:rPr>
                <w:rFonts w:ascii="Calibri" w:cs="Calibri" w:eastAsia="Calibri" w:hAnsi="Calibri"/>
                <w:sz w:val="18"/>
                <w:szCs w:val="18"/>
                <w:color w:val="auto"/>
              </w:rPr>
              <w:t>(8)</w:t>
            </w:r>
          </w:p>
        </w:tc>
        <w:tc>
          <w:tcPr>
            <w:tcW w:w="0" w:type="dxa"/>
            <w:vAlign w:val="bottom"/>
          </w:tcPr>
          <w:p>
            <w:pPr>
              <w:spacing w:after="0"/>
              <w:rPr>
                <w:sz w:val="1"/>
                <w:szCs w:val="1"/>
                <w:color w:val="auto"/>
              </w:rPr>
            </w:pPr>
          </w:p>
        </w:tc>
      </w:tr>
      <w:tr>
        <w:trPr>
          <w:trHeight w:val="217"/>
        </w:trPr>
        <w:tc>
          <w:tcPr>
            <w:tcW w:w="3520" w:type="dxa"/>
            <w:vAlign w:val="bottom"/>
          </w:tcPr>
          <w:p>
            <w:pPr>
              <w:ind w:left="20"/>
              <w:spacing w:after="0" w:line="210" w:lineRule="exact"/>
              <w:rPr>
                <w:sz w:val="20"/>
                <w:szCs w:val="20"/>
                <w:color w:val="auto"/>
              </w:rPr>
            </w:pPr>
            <w:r>
              <w:rPr>
                <w:rFonts w:ascii="Calibri" w:cs="Calibri" w:eastAsia="Calibri" w:hAnsi="Calibri"/>
                <w:sz w:val="18"/>
                <w:szCs w:val="18"/>
                <w:color w:val="auto"/>
              </w:rPr>
              <w:t>Dividends to common stockholders</w:t>
            </w:r>
          </w:p>
        </w:tc>
        <w:tc>
          <w:tcPr>
            <w:tcW w:w="580" w:type="dxa"/>
            <w:vAlign w:val="bottom"/>
          </w:tcPr>
          <w:p>
            <w:pPr>
              <w:jc w:val="right"/>
              <w:spacing w:after="0" w:line="210" w:lineRule="exact"/>
              <w:rPr>
                <w:sz w:val="20"/>
                <w:szCs w:val="20"/>
                <w:color w:val="auto"/>
              </w:rPr>
            </w:pPr>
            <w:r>
              <w:rPr>
                <w:rFonts w:ascii="Calibri" w:cs="Calibri" w:eastAsia="Calibri" w:hAnsi="Calibri"/>
                <w:sz w:val="18"/>
                <w:szCs w:val="18"/>
                <w:color w:val="auto"/>
              </w:rPr>
              <w:t>—</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gridSpan w:val="2"/>
          </w:tcPr>
          <w:p>
            <w:pPr>
              <w:spacing w:after="0" w:line="210" w:lineRule="exact"/>
              <w:rPr>
                <w:sz w:val="20"/>
                <w:szCs w:val="20"/>
                <w:color w:val="auto"/>
              </w:rPr>
            </w:pPr>
            <w:r>
              <w:rPr>
                <w:rFonts w:ascii="Calibri" w:cs="Calibri" w:eastAsia="Calibri" w:hAnsi="Calibri"/>
                <w:sz w:val="18"/>
                <w:szCs w:val="18"/>
                <w:color w:val="auto"/>
              </w:rPr>
              <w:t>—</w:t>
            </w:r>
          </w:p>
        </w:tc>
        <w:tc>
          <w:tcPr>
            <w:tcW w:w="680" w:type="dxa"/>
            <w:vAlign w:val="bottom"/>
            <w:gridSpan w:val="2"/>
          </w:tcPr>
          <w:p>
            <w:pPr>
              <w:jc w:val="right"/>
              <w:ind w:right="160"/>
              <w:spacing w:after="0" w:line="210" w:lineRule="exact"/>
              <w:rPr>
                <w:sz w:val="20"/>
                <w:szCs w:val="20"/>
                <w:color w:val="auto"/>
              </w:rPr>
            </w:pPr>
            <w:r>
              <w:rPr>
                <w:rFonts w:ascii="Calibri" w:cs="Calibri" w:eastAsia="Calibri" w:hAnsi="Calibri"/>
                <w:sz w:val="18"/>
                <w:szCs w:val="18"/>
                <w:color w:val="auto"/>
              </w:rPr>
              <w:t>—</w:t>
            </w:r>
          </w:p>
        </w:tc>
        <w:tc>
          <w:tcPr>
            <w:tcW w:w="120" w:type="dxa"/>
            <w:vAlign w:val="bottom"/>
          </w:tcPr>
          <w:p>
            <w:pPr>
              <w:spacing w:after="0"/>
              <w:rPr>
                <w:sz w:val="18"/>
                <w:szCs w:val="18"/>
                <w:color w:val="auto"/>
              </w:rPr>
            </w:pPr>
          </w:p>
        </w:tc>
        <w:tc>
          <w:tcPr>
            <w:tcW w:w="820" w:type="dxa"/>
            <w:vAlign w:val="bottom"/>
            <w:gridSpan w:val="2"/>
          </w:tcPr>
          <w:p>
            <w:pPr>
              <w:ind w:left="500"/>
              <w:spacing w:after="0" w:line="210" w:lineRule="exact"/>
              <w:rPr>
                <w:sz w:val="20"/>
                <w:szCs w:val="20"/>
                <w:color w:val="auto"/>
              </w:rPr>
            </w:pPr>
            <w:r>
              <w:rPr>
                <w:rFonts w:ascii="Calibri" w:cs="Calibri" w:eastAsia="Calibri" w:hAnsi="Calibri"/>
                <w:sz w:val="18"/>
                <w:szCs w:val="18"/>
                <w:color w:val="auto"/>
              </w:rPr>
              <w:t>—</w:t>
            </w:r>
          </w:p>
        </w:tc>
        <w:tc>
          <w:tcPr>
            <w:tcW w:w="120" w:type="dxa"/>
            <w:vAlign w:val="bottom"/>
          </w:tcPr>
          <w:p>
            <w:pPr>
              <w:spacing w:after="0"/>
              <w:rPr>
                <w:sz w:val="18"/>
                <w:szCs w:val="18"/>
                <w:color w:val="auto"/>
              </w:rPr>
            </w:pPr>
          </w:p>
        </w:tc>
        <w:tc>
          <w:tcPr>
            <w:tcW w:w="740" w:type="dxa"/>
            <w:vAlign w:val="bottom"/>
          </w:tcPr>
          <w:p>
            <w:pPr>
              <w:jc w:val="right"/>
              <w:spacing w:after="0" w:line="210" w:lineRule="exact"/>
              <w:rPr>
                <w:sz w:val="20"/>
                <w:szCs w:val="20"/>
                <w:color w:val="auto"/>
              </w:rPr>
            </w:pPr>
            <w:r>
              <w:rPr>
                <w:rFonts w:ascii="Calibri" w:cs="Calibri" w:eastAsia="Calibri" w:hAnsi="Calibri"/>
                <w:sz w:val="18"/>
                <w:szCs w:val="18"/>
                <w:color w:val="auto"/>
              </w:rPr>
              <w:t>(224)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line="210" w:lineRule="exact"/>
              <w:rPr>
                <w:sz w:val="20"/>
                <w:szCs w:val="20"/>
                <w:color w:val="auto"/>
              </w:rPr>
            </w:pPr>
            <w:r>
              <w:rPr>
                <w:rFonts w:ascii="Calibri" w:cs="Calibri" w:eastAsia="Calibri" w:hAnsi="Calibri"/>
                <w:sz w:val="18"/>
                <w:szCs w:val="18"/>
                <w:color w:val="auto"/>
              </w:rPr>
              <w:t>(5,689)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160"/>
              <w:spacing w:after="0" w:line="210" w:lineRule="exact"/>
              <w:rPr>
                <w:sz w:val="20"/>
                <w:szCs w:val="20"/>
                <w:color w:val="auto"/>
              </w:rPr>
            </w:pPr>
            <w:r>
              <w:rPr>
                <w:rFonts w:ascii="Calibri" w:cs="Calibri" w:eastAsia="Calibri" w:hAnsi="Calibri"/>
                <w:sz w:val="18"/>
                <w:szCs w:val="18"/>
                <w:color w:val="auto"/>
              </w:rPr>
              <w:t>—</w:t>
            </w:r>
          </w:p>
        </w:tc>
        <w:tc>
          <w:tcPr>
            <w:tcW w:w="120" w:type="dxa"/>
            <w:vAlign w:val="bottom"/>
          </w:tcPr>
          <w:p>
            <w:pPr>
              <w:spacing w:after="0"/>
              <w:rPr>
                <w:sz w:val="18"/>
                <w:szCs w:val="18"/>
                <w:color w:val="auto"/>
              </w:rPr>
            </w:pPr>
          </w:p>
        </w:tc>
        <w:tc>
          <w:tcPr>
            <w:tcW w:w="960" w:type="dxa"/>
            <w:vAlign w:val="bottom"/>
          </w:tcPr>
          <w:p>
            <w:pPr>
              <w:jc w:val="right"/>
              <w:spacing w:after="0" w:line="210" w:lineRule="exact"/>
              <w:rPr>
                <w:sz w:val="20"/>
                <w:szCs w:val="20"/>
                <w:color w:val="auto"/>
              </w:rPr>
            </w:pPr>
            <w:r>
              <w:rPr>
                <w:rFonts w:ascii="Calibri" w:cs="Calibri" w:eastAsia="Calibri" w:hAnsi="Calibri"/>
                <w:sz w:val="18"/>
                <w:szCs w:val="18"/>
                <w:color w:val="auto"/>
              </w:rPr>
              <w:t>(5,913)</w:t>
            </w:r>
          </w:p>
        </w:tc>
        <w:tc>
          <w:tcPr>
            <w:tcW w:w="0" w:type="dxa"/>
            <w:vAlign w:val="bottom"/>
          </w:tcPr>
          <w:p>
            <w:pPr>
              <w:spacing w:after="0"/>
              <w:rPr>
                <w:sz w:val="1"/>
                <w:szCs w:val="1"/>
                <w:color w:val="auto"/>
              </w:rPr>
            </w:pPr>
          </w:p>
        </w:tc>
      </w:tr>
      <w:tr>
        <w:trPr>
          <w:trHeight w:val="232"/>
        </w:trPr>
        <w:tc>
          <w:tcPr>
            <w:tcW w:w="3520" w:type="dxa"/>
            <w:vAlign w:val="bottom"/>
            <w:shd w:val="clear" w:color="auto" w:fill="CCEEFF"/>
          </w:tcPr>
          <w:p>
            <w:pPr>
              <w:ind w:left="20"/>
              <w:spacing w:after="0" w:line="217" w:lineRule="exact"/>
              <w:rPr>
                <w:sz w:val="20"/>
                <w:szCs w:val="20"/>
                <w:color w:val="auto"/>
              </w:rPr>
            </w:pPr>
            <w:r>
              <w:rPr>
                <w:rFonts w:ascii="Calibri" w:cs="Calibri" w:eastAsia="Calibri" w:hAnsi="Calibri"/>
                <w:sz w:val="18"/>
                <w:szCs w:val="18"/>
                <w:color w:val="auto"/>
              </w:rPr>
              <w:t>Dividends to preferred stockholders</w:t>
            </w:r>
          </w:p>
        </w:tc>
        <w:tc>
          <w:tcPr>
            <w:tcW w:w="580" w:type="dxa"/>
            <w:vAlign w:val="bottom"/>
            <w:shd w:val="clear" w:color="auto" w:fill="CCEEFF"/>
          </w:tcPr>
          <w:p>
            <w:pPr>
              <w:jc w:val="right"/>
              <w:spacing w:after="0" w:line="217" w:lineRule="exact"/>
              <w:rPr>
                <w:sz w:val="20"/>
                <w:szCs w:val="20"/>
                <w:color w:val="auto"/>
              </w:rPr>
            </w:pPr>
            <w:r>
              <w:rPr>
                <w:rFonts w:ascii="Calibri" w:cs="Calibri" w:eastAsia="Calibri" w:hAnsi="Calibri"/>
                <w:sz w:val="18"/>
                <w:szCs w:val="18"/>
                <w:color w:val="auto"/>
              </w:rPr>
              <w:t>—</w:t>
            </w: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340" w:type="dxa"/>
            <w:vAlign w:val="bottom"/>
            <w:gridSpan w:val="2"/>
            <w:shd w:val="clear" w:color="auto" w:fill="CCEEFF"/>
          </w:tcPr>
          <w:p>
            <w:pPr>
              <w:spacing w:after="0" w:line="217" w:lineRule="exact"/>
              <w:rPr>
                <w:sz w:val="20"/>
                <w:szCs w:val="20"/>
                <w:color w:val="auto"/>
              </w:rPr>
            </w:pPr>
            <w:r>
              <w:rPr>
                <w:rFonts w:ascii="Calibri" w:cs="Calibri" w:eastAsia="Calibri" w:hAnsi="Calibri"/>
                <w:sz w:val="18"/>
                <w:szCs w:val="18"/>
                <w:color w:val="auto"/>
              </w:rPr>
              <w:t>—</w:t>
            </w:r>
          </w:p>
        </w:tc>
        <w:tc>
          <w:tcPr>
            <w:tcW w:w="680" w:type="dxa"/>
            <w:vAlign w:val="bottom"/>
            <w:gridSpan w:val="2"/>
            <w:shd w:val="clear" w:color="auto" w:fill="CCEEFF"/>
          </w:tcPr>
          <w:p>
            <w:pPr>
              <w:jc w:val="right"/>
              <w:ind w:right="160"/>
              <w:spacing w:after="0" w:line="217" w:lineRule="exact"/>
              <w:rPr>
                <w:sz w:val="20"/>
                <w:szCs w:val="20"/>
                <w:color w:val="auto"/>
              </w:rPr>
            </w:pPr>
            <w:r>
              <w:rPr>
                <w:rFonts w:ascii="Calibri" w:cs="Calibri" w:eastAsia="Calibri" w:hAnsi="Calibri"/>
                <w:sz w:val="18"/>
                <w:szCs w:val="18"/>
                <w:color w:val="auto"/>
              </w:rPr>
              <w:t>—</w:t>
            </w:r>
          </w:p>
        </w:tc>
        <w:tc>
          <w:tcPr>
            <w:tcW w:w="120" w:type="dxa"/>
            <w:vAlign w:val="bottom"/>
            <w:shd w:val="clear" w:color="auto" w:fill="CCEEFF"/>
          </w:tcPr>
          <w:p>
            <w:pPr>
              <w:spacing w:after="0"/>
              <w:rPr>
                <w:sz w:val="20"/>
                <w:szCs w:val="20"/>
                <w:color w:val="auto"/>
              </w:rPr>
            </w:pPr>
          </w:p>
        </w:tc>
        <w:tc>
          <w:tcPr>
            <w:tcW w:w="820" w:type="dxa"/>
            <w:vAlign w:val="bottom"/>
            <w:gridSpan w:val="2"/>
            <w:shd w:val="clear" w:color="auto" w:fill="CCEEFF"/>
          </w:tcPr>
          <w:p>
            <w:pPr>
              <w:ind w:left="500"/>
              <w:spacing w:after="0" w:line="217" w:lineRule="exact"/>
              <w:rPr>
                <w:sz w:val="20"/>
                <w:szCs w:val="20"/>
                <w:color w:val="auto"/>
              </w:rPr>
            </w:pPr>
            <w:r>
              <w:rPr>
                <w:rFonts w:ascii="Calibri" w:cs="Calibri" w:eastAsia="Calibri" w:hAnsi="Calibri"/>
                <w:sz w:val="18"/>
                <w:szCs w:val="18"/>
                <w:color w:val="auto"/>
              </w:rPr>
              <w:t>—</w:t>
            </w:r>
          </w:p>
        </w:tc>
        <w:tc>
          <w:tcPr>
            <w:tcW w:w="12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60"/>
              <w:spacing w:after="0" w:line="217" w:lineRule="exact"/>
              <w:rPr>
                <w:sz w:val="20"/>
                <w:szCs w:val="20"/>
                <w:color w:val="auto"/>
              </w:rPr>
            </w:pPr>
            <w:r>
              <w:rPr>
                <w:rFonts w:ascii="Calibri" w:cs="Calibri" w:eastAsia="Calibri" w:hAnsi="Calibri"/>
                <w:sz w:val="18"/>
                <w:szCs w:val="18"/>
                <w:color w:val="auto"/>
              </w:rPr>
              <w:t>—</w:t>
            </w:r>
          </w:p>
        </w:tc>
        <w:tc>
          <w:tcPr>
            <w:tcW w:w="16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line="217" w:lineRule="exact"/>
              <w:rPr>
                <w:sz w:val="20"/>
                <w:szCs w:val="20"/>
                <w:color w:val="auto"/>
              </w:rPr>
            </w:pPr>
            <w:r>
              <w:rPr>
                <w:rFonts w:ascii="Calibri" w:cs="Calibri" w:eastAsia="Calibri" w:hAnsi="Calibri"/>
                <w:sz w:val="18"/>
                <w:szCs w:val="18"/>
                <w:color w:val="auto"/>
              </w:rPr>
              <w:t>(299)</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60"/>
              <w:spacing w:after="0" w:line="217" w:lineRule="exact"/>
              <w:rPr>
                <w:sz w:val="20"/>
                <w:szCs w:val="20"/>
                <w:color w:val="auto"/>
              </w:rPr>
            </w:pPr>
            <w:r>
              <w:rPr>
                <w:rFonts w:ascii="Calibri" w:cs="Calibri" w:eastAsia="Calibri" w:hAnsi="Calibri"/>
                <w:sz w:val="18"/>
                <w:szCs w:val="18"/>
                <w:color w:val="auto"/>
              </w:rPr>
              <w:t>—</w:t>
            </w:r>
          </w:p>
        </w:tc>
        <w:tc>
          <w:tcPr>
            <w:tcW w:w="12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line="217" w:lineRule="exact"/>
              <w:rPr>
                <w:sz w:val="20"/>
                <w:szCs w:val="20"/>
                <w:color w:val="auto"/>
              </w:rPr>
            </w:pPr>
            <w:r>
              <w:rPr>
                <w:rFonts w:ascii="Calibri" w:cs="Calibri" w:eastAsia="Calibri" w:hAnsi="Calibri"/>
                <w:sz w:val="18"/>
                <w:szCs w:val="18"/>
                <w:color w:val="auto"/>
              </w:rPr>
              <w:t>(299)</w:t>
            </w:r>
          </w:p>
        </w:tc>
        <w:tc>
          <w:tcPr>
            <w:tcW w:w="0" w:type="dxa"/>
            <w:vAlign w:val="bottom"/>
          </w:tcPr>
          <w:p>
            <w:pPr>
              <w:spacing w:after="0"/>
              <w:rPr>
                <w:sz w:val="1"/>
                <w:szCs w:val="1"/>
                <w:color w:val="auto"/>
              </w:rPr>
            </w:pPr>
          </w:p>
        </w:tc>
      </w:tr>
      <w:tr>
        <w:trPr>
          <w:trHeight w:val="217"/>
        </w:trPr>
        <w:tc>
          <w:tcPr>
            <w:tcW w:w="3520" w:type="dxa"/>
            <w:vAlign w:val="bottom"/>
          </w:tcPr>
          <w:p>
            <w:pPr>
              <w:ind w:left="20"/>
              <w:spacing w:after="0" w:line="210" w:lineRule="exact"/>
              <w:rPr>
                <w:sz w:val="20"/>
                <w:szCs w:val="20"/>
                <w:color w:val="auto"/>
              </w:rPr>
            </w:pPr>
            <w:r>
              <w:rPr>
                <w:rFonts w:ascii="Calibri" w:cs="Calibri" w:eastAsia="Calibri" w:hAnsi="Calibri"/>
                <w:sz w:val="18"/>
                <w:szCs w:val="18"/>
                <w:color w:val="auto"/>
              </w:rPr>
              <w:t>Common stock issued</w:t>
            </w:r>
          </w:p>
        </w:tc>
        <w:tc>
          <w:tcPr>
            <w:tcW w:w="580" w:type="dxa"/>
            <w:vAlign w:val="bottom"/>
          </w:tcPr>
          <w:p>
            <w:pPr>
              <w:jc w:val="right"/>
              <w:spacing w:after="0" w:line="210" w:lineRule="exact"/>
              <w:rPr>
                <w:sz w:val="20"/>
                <w:szCs w:val="20"/>
                <w:color w:val="auto"/>
              </w:rPr>
            </w:pPr>
            <w:r>
              <w:rPr>
                <w:rFonts w:ascii="Calibri" w:cs="Calibri" w:eastAsia="Calibri" w:hAnsi="Calibri"/>
                <w:sz w:val="18"/>
                <w:szCs w:val="18"/>
                <w:color w:val="auto"/>
              </w:rPr>
              <w:t>—</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gridSpan w:val="2"/>
          </w:tcPr>
          <w:p>
            <w:pPr>
              <w:spacing w:after="0" w:line="210" w:lineRule="exact"/>
              <w:rPr>
                <w:sz w:val="20"/>
                <w:szCs w:val="20"/>
                <w:color w:val="auto"/>
              </w:rPr>
            </w:pPr>
            <w:r>
              <w:rPr>
                <w:rFonts w:ascii="Calibri" w:cs="Calibri" w:eastAsia="Calibri" w:hAnsi="Calibri"/>
                <w:sz w:val="18"/>
                <w:szCs w:val="18"/>
                <w:color w:val="auto"/>
              </w:rPr>
              <w:t>—</w:t>
            </w:r>
          </w:p>
        </w:tc>
        <w:tc>
          <w:tcPr>
            <w:tcW w:w="580" w:type="dxa"/>
            <w:vAlign w:val="bottom"/>
          </w:tcPr>
          <w:p>
            <w:pPr>
              <w:jc w:val="right"/>
              <w:spacing w:after="0" w:line="210" w:lineRule="exact"/>
              <w:rPr>
                <w:sz w:val="20"/>
                <w:szCs w:val="20"/>
                <w:color w:val="auto"/>
              </w:rPr>
            </w:pPr>
            <w:r>
              <w:rPr>
                <w:rFonts w:ascii="Calibri" w:cs="Calibri" w:eastAsia="Calibri" w:hAnsi="Calibri"/>
                <w:sz w:val="18"/>
                <w:szCs w:val="18"/>
                <w:color w:val="auto"/>
              </w:rPr>
              <w:t>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ind w:left="500"/>
              <w:spacing w:after="0" w:line="210" w:lineRule="exact"/>
              <w:rPr>
                <w:sz w:val="20"/>
                <w:szCs w:val="20"/>
                <w:color w:val="auto"/>
              </w:rPr>
            </w:pPr>
            <w:r>
              <w:rPr>
                <w:rFonts w:ascii="Calibri" w:cs="Calibri" w:eastAsia="Calibri" w:hAnsi="Calibri"/>
                <w:sz w:val="18"/>
                <w:szCs w:val="18"/>
                <w:color w:val="auto"/>
              </w:rPr>
              <w:t>—</w:t>
            </w:r>
          </w:p>
        </w:tc>
        <w:tc>
          <w:tcPr>
            <w:tcW w:w="120" w:type="dxa"/>
            <w:vAlign w:val="bottom"/>
          </w:tcPr>
          <w:p>
            <w:pPr>
              <w:spacing w:after="0"/>
              <w:rPr>
                <w:sz w:val="18"/>
                <w:szCs w:val="18"/>
                <w:color w:val="auto"/>
              </w:rPr>
            </w:pPr>
          </w:p>
        </w:tc>
        <w:tc>
          <w:tcPr>
            <w:tcW w:w="740" w:type="dxa"/>
            <w:vAlign w:val="bottom"/>
          </w:tcPr>
          <w:p>
            <w:pPr>
              <w:jc w:val="right"/>
              <w:spacing w:after="0" w:line="210" w:lineRule="exact"/>
              <w:rPr>
                <w:sz w:val="20"/>
                <w:szCs w:val="20"/>
                <w:color w:val="auto"/>
              </w:rPr>
            </w:pPr>
            <w:r>
              <w:rPr>
                <w:rFonts w:ascii="Calibri" w:cs="Calibri" w:eastAsia="Calibri" w:hAnsi="Calibri"/>
                <w:sz w:val="18"/>
                <w:szCs w:val="18"/>
                <w:color w:val="auto"/>
              </w:rPr>
              <w:t>170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160"/>
              <w:spacing w:after="0" w:line="210" w:lineRule="exact"/>
              <w:rPr>
                <w:sz w:val="20"/>
                <w:szCs w:val="20"/>
                <w:color w:val="auto"/>
              </w:rPr>
            </w:pPr>
            <w:r>
              <w:rPr>
                <w:rFonts w:ascii="Calibri" w:cs="Calibri" w:eastAsia="Calibri" w:hAnsi="Calibri"/>
                <w:sz w:val="18"/>
                <w:szCs w:val="18"/>
                <w:color w:val="auto"/>
              </w:rPr>
              <w:t>—</w:t>
            </w:r>
          </w:p>
        </w:tc>
        <w:tc>
          <w:tcPr>
            <w:tcW w:w="120" w:type="dxa"/>
            <w:vAlign w:val="bottom"/>
          </w:tcPr>
          <w:p>
            <w:pPr>
              <w:spacing w:after="0"/>
              <w:rPr>
                <w:sz w:val="18"/>
                <w:szCs w:val="18"/>
                <w:color w:val="auto"/>
              </w:rPr>
            </w:pPr>
          </w:p>
        </w:tc>
        <w:tc>
          <w:tcPr>
            <w:tcW w:w="1180" w:type="dxa"/>
            <w:vAlign w:val="bottom"/>
            <w:gridSpan w:val="2"/>
          </w:tcPr>
          <w:p>
            <w:pPr>
              <w:jc w:val="right"/>
              <w:ind w:right="160"/>
              <w:spacing w:after="0" w:line="210" w:lineRule="exact"/>
              <w:rPr>
                <w:sz w:val="20"/>
                <w:szCs w:val="20"/>
                <w:color w:val="auto"/>
              </w:rPr>
            </w:pPr>
            <w:r>
              <w:rPr>
                <w:rFonts w:ascii="Calibri" w:cs="Calibri" w:eastAsia="Calibri" w:hAnsi="Calibri"/>
                <w:sz w:val="18"/>
                <w:szCs w:val="18"/>
                <w:color w:val="auto"/>
              </w:rPr>
              <w:t>—</w:t>
            </w:r>
          </w:p>
        </w:tc>
        <w:tc>
          <w:tcPr>
            <w:tcW w:w="120" w:type="dxa"/>
            <w:vAlign w:val="bottom"/>
          </w:tcPr>
          <w:p>
            <w:pPr>
              <w:spacing w:after="0"/>
              <w:rPr>
                <w:sz w:val="18"/>
                <w:szCs w:val="18"/>
                <w:color w:val="auto"/>
              </w:rPr>
            </w:pPr>
          </w:p>
        </w:tc>
        <w:tc>
          <w:tcPr>
            <w:tcW w:w="960" w:type="dxa"/>
            <w:vAlign w:val="bottom"/>
          </w:tcPr>
          <w:p>
            <w:pPr>
              <w:jc w:val="right"/>
              <w:spacing w:after="0" w:line="210" w:lineRule="exact"/>
              <w:rPr>
                <w:sz w:val="20"/>
                <w:szCs w:val="20"/>
                <w:color w:val="auto"/>
              </w:rPr>
            </w:pPr>
            <w:r>
              <w:rPr>
                <w:rFonts w:ascii="Calibri" w:cs="Calibri" w:eastAsia="Calibri" w:hAnsi="Calibri"/>
                <w:sz w:val="18"/>
                <w:szCs w:val="18"/>
                <w:color w:val="auto"/>
              </w:rPr>
              <w:t>170</w:t>
            </w:r>
          </w:p>
        </w:tc>
        <w:tc>
          <w:tcPr>
            <w:tcW w:w="0" w:type="dxa"/>
            <w:vAlign w:val="bottom"/>
          </w:tcPr>
          <w:p>
            <w:pPr>
              <w:spacing w:after="0"/>
              <w:rPr>
                <w:sz w:val="1"/>
                <w:szCs w:val="1"/>
                <w:color w:val="auto"/>
              </w:rPr>
            </w:pPr>
          </w:p>
        </w:tc>
      </w:tr>
      <w:tr>
        <w:trPr>
          <w:trHeight w:val="232"/>
        </w:trPr>
        <w:tc>
          <w:tcPr>
            <w:tcW w:w="3520" w:type="dxa"/>
            <w:vAlign w:val="bottom"/>
            <w:shd w:val="clear" w:color="auto" w:fill="CCEEFF"/>
          </w:tcPr>
          <w:p>
            <w:pPr>
              <w:ind w:left="20"/>
              <w:spacing w:after="0" w:line="217" w:lineRule="exact"/>
              <w:rPr>
                <w:sz w:val="20"/>
                <w:szCs w:val="20"/>
                <w:color w:val="auto"/>
              </w:rPr>
            </w:pPr>
            <w:r>
              <w:rPr>
                <w:rFonts w:ascii="Calibri" w:cs="Calibri" w:eastAsia="Calibri" w:hAnsi="Calibri"/>
                <w:sz w:val="18"/>
                <w:szCs w:val="18"/>
                <w:color w:val="auto"/>
              </w:rPr>
              <w:t>Stock-based compensaton</w:t>
            </w:r>
          </w:p>
        </w:tc>
        <w:tc>
          <w:tcPr>
            <w:tcW w:w="580" w:type="dxa"/>
            <w:vAlign w:val="bottom"/>
            <w:shd w:val="clear" w:color="auto" w:fill="CCEEFF"/>
          </w:tcPr>
          <w:p>
            <w:pPr>
              <w:jc w:val="right"/>
              <w:spacing w:after="0" w:line="217" w:lineRule="exact"/>
              <w:rPr>
                <w:sz w:val="20"/>
                <w:szCs w:val="20"/>
                <w:color w:val="auto"/>
              </w:rPr>
            </w:pPr>
            <w:r>
              <w:rPr>
                <w:rFonts w:ascii="Calibri" w:cs="Calibri" w:eastAsia="Calibri" w:hAnsi="Calibri"/>
                <w:sz w:val="18"/>
                <w:szCs w:val="18"/>
                <w:color w:val="auto"/>
              </w:rPr>
              <w:t>—</w:t>
            </w: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340" w:type="dxa"/>
            <w:vAlign w:val="bottom"/>
            <w:gridSpan w:val="2"/>
            <w:shd w:val="clear" w:color="auto" w:fill="CCEEFF"/>
          </w:tcPr>
          <w:p>
            <w:pPr>
              <w:spacing w:after="0" w:line="217" w:lineRule="exact"/>
              <w:rPr>
                <w:sz w:val="20"/>
                <w:szCs w:val="20"/>
                <w:color w:val="auto"/>
              </w:rPr>
            </w:pPr>
            <w:r>
              <w:rPr>
                <w:rFonts w:ascii="Calibri" w:cs="Calibri" w:eastAsia="Calibri" w:hAnsi="Calibri"/>
                <w:sz w:val="18"/>
                <w:szCs w:val="18"/>
                <w:color w:val="auto"/>
              </w:rPr>
              <w:t>—</w:t>
            </w:r>
          </w:p>
        </w:tc>
        <w:tc>
          <w:tcPr>
            <w:tcW w:w="680" w:type="dxa"/>
            <w:vAlign w:val="bottom"/>
            <w:gridSpan w:val="2"/>
            <w:shd w:val="clear" w:color="auto" w:fill="CCEEFF"/>
          </w:tcPr>
          <w:p>
            <w:pPr>
              <w:jc w:val="right"/>
              <w:ind w:right="160"/>
              <w:spacing w:after="0" w:line="217" w:lineRule="exact"/>
              <w:rPr>
                <w:sz w:val="20"/>
                <w:szCs w:val="20"/>
                <w:color w:val="auto"/>
              </w:rPr>
            </w:pPr>
            <w:r>
              <w:rPr>
                <w:rFonts w:ascii="Calibri" w:cs="Calibri" w:eastAsia="Calibri" w:hAnsi="Calibri"/>
                <w:sz w:val="18"/>
                <w:szCs w:val="18"/>
                <w:color w:val="auto"/>
              </w:rPr>
              <w:t>—</w:t>
            </w:r>
          </w:p>
        </w:tc>
        <w:tc>
          <w:tcPr>
            <w:tcW w:w="120" w:type="dxa"/>
            <w:vAlign w:val="bottom"/>
            <w:shd w:val="clear" w:color="auto" w:fill="CCEEFF"/>
          </w:tcPr>
          <w:p>
            <w:pPr>
              <w:spacing w:after="0"/>
              <w:rPr>
                <w:sz w:val="20"/>
                <w:szCs w:val="20"/>
                <w:color w:val="auto"/>
              </w:rPr>
            </w:pPr>
          </w:p>
        </w:tc>
        <w:tc>
          <w:tcPr>
            <w:tcW w:w="820" w:type="dxa"/>
            <w:vAlign w:val="bottom"/>
            <w:gridSpan w:val="2"/>
            <w:shd w:val="clear" w:color="auto" w:fill="CCEEFF"/>
          </w:tcPr>
          <w:p>
            <w:pPr>
              <w:ind w:left="500"/>
              <w:spacing w:after="0" w:line="217" w:lineRule="exact"/>
              <w:rPr>
                <w:sz w:val="20"/>
                <w:szCs w:val="20"/>
                <w:color w:val="auto"/>
              </w:rPr>
            </w:pPr>
            <w:r>
              <w:rPr>
                <w:rFonts w:ascii="Calibri" w:cs="Calibri" w:eastAsia="Calibri" w:hAnsi="Calibri"/>
                <w:sz w:val="18"/>
                <w:szCs w:val="18"/>
                <w:color w:val="auto"/>
              </w:rPr>
              <w:t>—</w:t>
            </w:r>
          </w:p>
        </w:tc>
        <w:tc>
          <w:tcPr>
            <w:tcW w:w="12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line="217" w:lineRule="exact"/>
              <w:rPr>
                <w:sz w:val="20"/>
                <w:szCs w:val="20"/>
                <w:color w:val="auto"/>
              </w:rPr>
            </w:pPr>
            <w:r>
              <w:rPr>
                <w:rFonts w:ascii="Calibri" w:cs="Calibri" w:eastAsia="Calibri" w:hAnsi="Calibri"/>
                <w:sz w:val="18"/>
                <w:szCs w:val="18"/>
                <w:color w:val="auto"/>
              </w:rPr>
              <w:t>1,704</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60"/>
              <w:spacing w:after="0" w:line="217" w:lineRule="exact"/>
              <w:rPr>
                <w:sz w:val="20"/>
                <w:szCs w:val="20"/>
                <w:color w:val="auto"/>
              </w:rPr>
            </w:pPr>
            <w:r>
              <w:rPr>
                <w:rFonts w:ascii="Calibri" w:cs="Calibri" w:eastAsia="Calibri" w:hAnsi="Calibri"/>
                <w:sz w:val="18"/>
                <w:szCs w:val="18"/>
                <w:color w:val="auto"/>
              </w:rPr>
              <w:t>—</w:t>
            </w:r>
          </w:p>
        </w:tc>
        <w:tc>
          <w:tcPr>
            <w:tcW w:w="12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60"/>
              <w:spacing w:after="0" w:line="217" w:lineRule="exact"/>
              <w:rPr>
                <w:sz w:val="20"/>
                <w:szCs w:val="20"/>
                <w:color w:val="auto"/>
              </w:rPr>
            </w:pPr>
            <w:r>
              <w:rPr>
                <w:rFonts w:ascii="Calibri" w:cs="Calibri" w:eastAsia="Calibri" w:hAnsi="Calibri"/>
                <w:sz w:val="18"/>
                <w:szCs w:val="18"/>
                <w:color w:val="auto"/>
              </w:rPr>
              <w:t>—</w:t>
            </w:r>
          </w:p>
        </w:tc>
        <w:tc>
          <w:tcPr>
            <w:tcW w:w="12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line="217" w:lineRule="exact"/>
              <w:rPr>
                <w:sz w:val="20"/>
                <w:szCs w:val="20"/>
                <w:color w:val="auto"/>
              </w:rPr>
            </w:pPr>
            <w:r>
              <w:rPr>
                <w:rFonts w:ascii="Calibri" w:cs="Calibri" w:eastAsia="Calibri" w:hAnsi="Calibri"/>
                <w:sz w:val="18"/>
                <w:szCs w:val="18"/>
                <w:color w:val="auto"/>
              </w:rPr>
              <w:t>1,704</w:t>
            </w:r>
          </w:p>
        </w:tc>
        <w:tc>
          <w:tcPr>
            <w:tcW w:w="0" w:type="dxa"/>
            <w:vAlign w:val="bottom"/>
          </w:tcPr>
          <w:p>
            <w:pPr>
              <w:spacing w:after="0"/>
              <w:rPr>
                <w:sz w:val="1"/>
                <w:szCs w:val="1"/>
                <w:color w:val="auto"/>
              </w:rPr>
            </w:pPr>
          </w:p>
        </w:tc>
      </w:tr>
      <w:tr>
        <w:trPr>
          <w:trHeight w:val="164"/>
        </w:trPr>
        <w:tc>
          <w:tcPr>
            <w:tcW w:w="3520" w:type="dxa"/>
            <w:vAlign w:val="bottom"/>
          </w:tcPr>
          <w:p>
            <w:pPr>
              <w:ind w:left="20"/>
              <w:spacing w:after="0" w:line="164" w:lineRule="exact"/>
              <w:rPr>
                <w:sz w:val="20"/>
                <w:szCs w:val="20"/>
                <w:color w:val="auto"/>
              </w:rPr>
            </w:pPr>
            <w:r>
              <w:rPr>
                <w:rFonts w:ascii="Calibri" w:cs="Calibri" w:eastAsia="Calibri" w:hAnsi="Calibri"/>
                <w:sz w:val="17"/>
                <w:szCs w:val="17"/>
                <w:color w:val="auto"/>
              </w:rPr>
              <w:t>Shares repurchased for tax withholdings on</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3520" w:type="dxa"/>
            <w:vAlign w:val="bottom"/>
          </w:tcPr>
          <w:p>
            <w:pPr>
              <w:ind w:left="180"/>
              <w:spacing w:after="0" w:line="210" w:lineRule="exact"/>
              <w:rPr>
                <w:sz w:val="20"/>
                <w:szCs w:val="20"/>
                <w:color w:val="auto"/>
              </w:rPr>
            </w:pPr>
            <w:r>
              <w:rPr>
                <w:rFonts w:ascii="Calibri" w:cs="Calibri" w:eastAsia="Calibri" w:hAnsi="Calibri"/>
                <w:sz w:val="18"/>
                <w:szCs w:val="18"/>
                <w:color w:val="auto"/>
              </w:rPr>
              <w:t>vestng of equity awards</w:t>
            </w:r>
          </w:p>
        </w:tc>
        <w:tc>
          <w:tcPr>
            <w:tcW w:w="580" w:type="dxa"/>
            <w:vAlign w:val="bottom"/>
          </w:tcPr>
          <w:p>
            <w:pPr>
              <w:jc w:val="right"/>
              <w:spacing w:after="0"/>
              <w:rPr>
                <w:sz w:val="20"/>
                <w:szCs w:val="20"/>
                <w:color w:val="auto"/>
              </w:rPr>
            </w:pPr>
            <w:r>
              <w:rPr>
                <w:rFonts w:ascii="Calibri" w:cs="Calibri" w:eastAsia="Calibri" w:hAnsi="Calibri"/>
                <w:sz w:val="18"/>
                <w:szCs w:val="18"/>
                <w:color w:val="auto"/>
              </w:rPr>
              <w:t>—</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40" w:type="dxa"/>
            <w:vAlign w:val="bottom"/>
            <w:gridSpan w:val="2"/>
          </w:tcPr>
          <w:p>
            <w:pPr>
              <w:spacing w:after="0"/>
              <w:rPr>
                <w:sz w:val="20"/>
                <w:szCs w:val="20"/>
                <w:color w:val="auto"/>
              </w:rPr>
            </w:pPr>
            <w:r>
              <w:rPr>
                <w:rFonts w:ascii="Calibri" w:cs="Calibri" w:eastAsia="Calibri" w:hAnsi="Calibri"/>
                <w:sz w:val="18"/>
                <w:szCs w:val="18"/>
                <w:color w:val="auto"/>
              </w:rPr>
              <w:t>—</w:t>
            </w:r>
          </w:p>
        </w:tc>
        <w:tc>
          <w:tcPr>
            <w:tcW w:w="580" w:type="dxa"/>
            <w:vAlign w:val="bottom"/>
          </w:tcPr>
          <w:p>
            <w:pPr>
              <w:jc w:val="right"/>
              <w:spacing w:after="0"/>
              <w:rPr>
                <w:sz w:val="20"/>
                <w:szCs w:val="20"/>
                <w:color w:val="auto"/>
              </w:rPr>
            </w:pPr>
            <w:r>
              <w:rPr>
                <w:rFonts w:ascii="Calibri" w:cs="Calibri" w:eastAsia="Calibri" w:hAnsi="Calibri"/>
                <w:sz w:val="18"/>
                <w:szCs w:val="18"/>
                <w:color w:val="auto"/>
              </w:rPr>
              <w:t>(3)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gridSpan w:val="2"/>
          </w:tcPr>
          <w:p>
            <w:pPr>
              <w:ind w:left="500"/>
              <w:spacing w:after="0"/>
              <w:rPr>
                <w:sz w:val="20"/>
                <w:szCs w:val="20"/>
                <w:color w:val="auto"/>
              </w:rPr>
            </w:pPr>
            <w:r>
              <w:rPr>
                <w:rFonts w:ascii="Calibri" w:cs="Calibri" w:eastAsia="Calibri" w:hAnsi="Calibri"/>
                <w:sz w:val="18"/>
                <w:szCs w:val="18"/>
                <w:color w:val="auto"/>
              </w:rPr>
              <w:t>—</w:t>
            </w: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Calibri" w:cs="Calibri" w:eastAsia="Calibri" w:hAnsi="Calibri"/>
                <w:sz w:val="18"/>
                <w:szCs w:val="18"/>
                <w:color w:val="auto"/>
              </w:rPr>
              <w:t>(1,302)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Calibri" w:cs="Calibri" w:eastAsia="Calibri" w:hAnsi="Calibri"/>
                <w:sz w:val="18"/>
                <w:szCs w:val="18"/>
                <w:color w:val="auto"/>
              </w:rPr>
              <w:t>—</w:t>
            </w:r>
          </w:p>
        </w:tc>
        <w:tc>
          <w:tcPr>
            <w:tcW w:w="12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Calibri" w:cs="Calibri" w:eastAsia="Calibri" w:hAnsi="Calibri"/>
                <w:sz w:val="18"/>
                <w:szCs w:val="18"/>
                <w:color w:val="auto"/>
              </w:rPr>
              <w:t>—</w:t>
            </w: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Calibri" w:cs="Calibri" w:eastAsia="Calibri" w:hAnsi="Calibri"/>
                <w:sz w:val="18"/>
                <w:szCs w:val="18"/>
                <w:color w:val="auto"/>
              </w:rPr>
              <w:t>(1,302)</w:t>
            </w:r>
          </w:p>
        </w:tc>
        <w:tc>
          <w:tcPr>
            <w:tcW w:w="0" w:type="dxa"/>
            <w:vAlign w:val="bottom"/>
          </w:tcPr>
          <w:p>
            <w:pPr>
              <w:spacing w:after="0"/>
              <w:rPr>
                <w:sz w:val="1"/>
                <w:szCs w:val="1"/>
                <w:color w:val="auto"/>
              </w:rPr>
            </w:pPr>
          </w:p>
        </w:tc>
      </w:tr>
      <w:tr>
        <w:trPr>
          <w:trHeight w:val="22"/>
        </w:trPr>
        <w:tc>
          <w:tcPr>
            <w:tcW w:w="352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8"/>
        </w:trPr>
        <w:tc>
          <w:tcPr>
            <w:tcW w:w="3520" w:type="dxa"/>
            <w:vAlign w:val="bottom"/>
            <w:shd w:val="clear" w:color="auto" w:fill="CCEEFF"/>
          </w:tcPr>
          <w:p>
            <w:pPr>
              <w:ind w:left="20"/>
              <w:spacing w:after="0" w:line="196" w:lineRule="exact"/>
              <w:rPr>
                <w:sz w:val="20"/>
                <w:szCs w:val="20"/>
                <w:color w:val="auto"/>
              </w:rPr>
            </w:pPr>
            <w:r>
              <w:rPr>
                <w:rFonts w:ascii="Calibri" w:cs="Calibri" w:eastAsia="Calibri" w:hAnsi="Calibri"/>
                <w:sz w:val="18"/>
                <w:szCs w:val="18"/>
                <w:b w:val="1"/>
                <w:bCs w:val="1"/>
                <w:color w:val="auto"/>
              </w:rPr>
              <w:t>Balance as of October 31, 2021</w:t>
            </w:r>
          </w:p>
        </w:tc>
        <w:tc>
          <w:tcPr>
            <w:tcW w:w="580" w:type="dxa"/>
            <w:vAlign w:val="bottom"/>
            <w:shd w:val="clear" w:color="auto" w:fill="CCEEFF"/>
          </w:tcPr>
          <w:p>
            <w:pPr>
              <w:jc w:val="right"/>
              <w:spacing w:after="0" w:line="210" w:lineRule="exact"/>
              <w:rPr>
                <w:sz w:val="20"/>
                <w:szCs w:val="20"/>
                <w:color w:val="auto"/>
              </w:rPr>
            </w:pPr>
            <w:r>
              <w:rPr>
                <w:rFonts w:ascii="Calibri" w:cs="Calibri" w:eastAsia="Calibri" w:hAnsi="Calibri"/>
                <w:sz w:val="18"/>
                <w:szCs w:val="18"/>
                <w:color w:val="auto"/>
              </w:rPr>
              <w:t>4</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line="210" w:lineRule="exact"/>
              <w:rPr>
                <w:sz w:val="20"/>
                <w:szCs w:val="20"/>
                <w:color w:val="auto"/>
              </w:rPr>
            </w:pPr>
            <w:r>
              <w:rPr>
                <w:rFonts w:ascii="Calibri" w:cs="Calibri" w:eastAsia="Calibri" w:hAnsi="Calibri"/>
                <w:sz w:val="18"/>
                <w:szCs w:val="18"/>
                <w:color w:val="auto"/>
              </w:rPr>
              <w:t>—</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line="210" w:lineRule="exact"/>
              <w:rPr>
                <w:sz w:val="20"/>
                <w:szCs w:val="20"/>
                <w:color w:val="auto"/>
              </w:rPr>
            </w:pPr>
            <w:r>
              <w:rPr>
                <w:rFonts w:ascii="Calibri" w:cs="Calibri" w:eastAsia="Calibri" w:hAnsi="Calibri"/>
                <w:sz w:val="18"/>
                <w:szCs w:val="18"/>
                <w:color w:val="auto"/>
              </w:rPr>
              <w:t>413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ind w:left="500"/>
              <w:spacing w:after="0" w:line="210" w:lineRule="exact"/>
              <w:rPr>
                <w:sz w:val="20"/>
                <w:szCs w:val="20"/>
                <w:color w:val="auto"/>
              </w:rPr>
            </w:pPr>
            <w:r>
              <w:rPr>
                <w:rFonts w:ascii="Calibri" w:cs="Calibri" w:eastAsia="Calibri" w:hAnsi="Calibri"/>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line="210" w:lineRule="exact"/>
              <w:rPr>
                <w:sz w:val="20"/>
                <w:szCs w:val="20"/>
                <w:color w:val="auto"/>
              </w:rPr>
            </w:pPr>
            <w:r>
              <w:rPr>
                <w:rFonts w:ascii="Calibri" w:cs="Calibri" w:eastAsia="Calibri" w:hAnsi="Calibri"/>
                <w:sz w:val="18"/>
                <w:szCs w:val="18"/>
                <w:color w:val="auto"/>
              </w:rPr>
              <w:t>24,330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line="210" w:lineRule="exact"/>
              <w:rPr>
                <w:sz w:val="20"/>
                <w:szCs w:val="20"/>
                <w:color w:val="auto"/>
              </w:rPr>
            </w:pPr>
            <w:r>
              <w:rPr>
                <w:rFonts w:ascii="Calibri" w:cs="Calibri" w:eastAsia="Calibri" w:hAnsi="Calibri"/>
                <w:sz w:val="18"/>
                <w:szCs w:val="18"/>
                <w:color w:val="auto"/>
              </w:rPr>
              <w:t>748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line="210" w:lineRule="exact"/>
              <w:rPr>
                <w:sz w:val="20"/>
                <w:szCs w:val="20"/>
                <w:color w:val="auto"/>
              </w:rPr>
            </w:pPr>
            <w:r>
              <w:rPr>
                <w:rFonts w:ascii="Calibri" w:cs="Calibri" w:eastAsia="Calibri" w:hAnsi="Calibri"/>
                <w:sz w:val="18"/>
                <w:szCs w:val="18"/>
                <w:color w:val="auto"/>
              </w:rPr>
              <w:t>(116)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line="210" w:lineRule="exact"/>
              <w:rPr>
                <w:sz w:val="20"/>
                <w:szCs w:val="20"/>
                <w:color w:val="auto"/>
              </w:rPr>
            </w:pPr>
            <w:r>
              <w:rPr>
                <w:rFonts w:ascii="Calibri" w:cs="Calibri" w:eastAsia="Calibri" w:hAnsi="Calibri"/>
                <w:sz w:val="18"/>
                <w:szCs w:val="18"/>
                <w:color w:val="auto"/>
              </w:rPr>
              <w:t>24,962</w:t>
            </w:r>
          </w:p>
        </w:tc>
        <w:tc>
          <w:tcPr>
            <w:tcW w:w="0" w:type="dxa"/>
            <w:vAlign w:val="bottom"/>
          </w:tcPr>
          <w:p>
            <w:pPr>
              <w:spacing w:after="0"/>
              <w:rPr>
                <w:sz w:val="1"/>
                <w:szCs w:val="1"/>
                <w:color w:val="auto"/>
              </w:rPr>
            </w:pPr>
          </w:p>
        </w:tc>
      </w:tr>
      <w:tr>
        <w:trPr>
          <w:trHeight w:val="217"/>
        </w:trPr>
        <w:tc>
          <w:tcPr>
            <w:tcW w:w="3520" w:type="dxa"/>
            <w:vAlign w:val="bottom"/>
          </w:tcPr>
          <w:p>
            <w:pPr>
              <w:ind w:left="20"/>
              <w:spacing w:after="0" w:line="210" w:lineRule="exact"/>
              <w:rPr>
                <w:sz w:val="20"/>
                <w:szCs w:val="20"/>
                <w:color w:val="auto"/>
              </w:rPr>
            </w:pPr>
            <w:r>
              <w:rPr>
                <w:rFonts w:ascii="Calibri" w:cs="Calibri" w:eastAsia="Calibri" w:hAnsi="Calibri"/>
                <w:sz w:val="18"/>
                <w:szCs w:val="18"/>
                <w:color w:val="auto"/>
              </w:rPr>
              <w:t>Net income</w:t>
            </w:r>
          </w:p>
        </w:tc>
        <w:tc>
          <w:tcPr>
            <w:tcW w:w="580" w:type="dxa"/>
            <w:vAlign w:val="bottom"/>
          </w:tcPr>
          <w:p>
            <w:pPr>
              <w:jc w:val="right"/>
              <w:spacing w:after="0" w:line="210" w:lineRule="exact"/>
              <w:rPr>
                <w:sz w:val="20"/>
                <w:szCs w:val="20"/>
                <w:color w:val="auto"/>
              </w:rPr>
            </w:pPr>
            <w:r>
              <w:rPr>
                <w:rFonts w:ascii="Calibri" w:cs="Calibri" w:eastAsia="Calibri" w:hAnsi="Calibri"/>
                <w:sz w:val="18"/>
                <w:szCs w:val="18"/>
                <w:color w:val="auto"/>
              </w:rPr>
              <w:t>—</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gridSpan w:val="2"/>
          </w:tcPr>
          <w:p>
            <w:pPr>
              <w:spacing w:after="0" w:line="210" w:lineRule="exact"/>
              <w:rPr>
                <w:sz w:val="20"/>
                <w:szCs w:val="20"/>
                <w:color w:val="auto"/>
              </w:rPr>
            </w:pPr>
            <w:r>
              <w:rPr>
                <w:rFonts w:ascii="Calibri" w:cs="Calibri" w:eastAsia="Calibri" w:hAnsi="Calibri"/>
                <w:sz w:val="18"/>
                <w:szCs w:val="18"/>
                <w:color w:val="auto"/>
              </w:rPr>
              <w:t>—</w:t>
            </w:r>
          </w:p>
        </w:tc>
        <w:tc>
          <w:tcPr>
            <w:tcW w:w="680" w:type="dxa"/>
            <w:vAlign w:val="bottom"/>
            <w:gridSpan w:val="2"/>
          </w:tcPr>
          <w:p>
            <w:pPr>
              <w:jc w:val="right"/>
              <w:ind w:right="160"/>
              <w:spacing w:after="0" w:line="210" w:lineRule="exact"/>
              <w:rPr>
                <w:sz w:val="20"/>
                <w:szCs w:val="20"/>
                <w:color w:val="auto"/>
              </w:rPr>
            </w:pPr>
            <w:r>
              <w:rPr>
                <w:rFonts w:ascii="Calibri" w:cs="Calibri" w:eastAsia="Calibri" w:hAnsi="Calibri"/>
                <w:sz w:val="18"/>
                <w:szCs w:val="18"/>
                <w:color w:val="auto"/>
              </w:rPr>
              <w:t>—</w:t>
            </w:r>
          </w:p>
        </w:tc>
        <w:tc>
          <w:tcPr>
            <w:tcW w:w="120" w:type="dxa"/>
            <w:vAlign w:val="bottom"/>
          </w:tcPr>
          <w:p>
            <w:pPr>
              <w:spacing w:after="0"/>
              <w:rPr>
                <w:sz w:val="18"/>
                <w:szCs w:val="18"/>
                <w:color w:val="auto"/>
              </w:rPr>
            </w:pPr>
          </w:p>
        </w:tc>
        <w:tc>
          <w:tcPr>
            <w:tcW w:w="820" w:type="dxa"/>
            <w:vAlign w:val="bottom"/>
            <w:gridSpan w:val="2"/>
          </w:tcPr>
          <w:p>
            <w:pPr>
              <w:ind w:left="500"/>
              <w:spacing w:after="0" w:line="210" w:lineRule="exact"/>
              <w:rPr>
                <w:sz w:val="20"/>
                <w:szCs w:val="20"/>
                <w:color w:val="auto"/>
              </w:rPr>
            </w:pPr>
            <w:r>
              <w:rPr>
                <w:rFonts w:ascii="Calibri" w:cs="Calibri" w:eastAsia="Calibri" w:hAnsi="Calibri"/>
                <w:sz w:val="18"/>
                <w:szCs w:val="18"/>
                <w:color w:val="auto"/>
              </w:rPr>
              <w:t>—</w:t>
            </w:r>
          </w:p>
        </w:tc>
        <w:tc>
          <w:tcPr>
            <w:tcW w:w="120" w:type="dxa"/>
            <w:vAlign w:val="bottom"/>
          </w:tcPr>
          <w:p>
            <w:pPr>
              <w:spacing w:after="0"/>
              <w:rPr>
                <w:sz w:val="18"/>
                <w:szCs w:val="18"/>
                <w:color w:val="auto"/>
              </w:rPr>
            </w:pPr>
          </w:p>
        </w:tc>
        <w:tc>
          <w:tcPr>
            <w:tcW w:w="840" w:type="dxa"/>
            <w:vAlign w:val="bottom"/>
            <w:gridSpan w:val="2"/>
          </w:tcPr>
          <w:p>
            <w:pPr>
              <w:jc w:val="right"/>
              <w:ind w:right="160"/>
              <w:spacing w:after="0" w:line="210" w:lineRule="exact"/>
              <w:rPr>
                <w:sz w:val="20"/>
                <w:szCs w:val="20"/>
                <w:color w:val="auto"/>
              </w:rPr>
            </w:pPr>
            <w:r>
              <w:rPr>
                <w:rFonts w:ascii="Calibri" w:cs="Calibri" w:eastAsia="Calibri" w:hAnsi="Calibri"/>
                <w:sz w:val="18"/>
                <w:szCs w:val="18"/>
                <w:color w:val="auto"/>
              </w:rPr>
              <w:t>—</w:t>
            </w:r>
          </w:p>
        </w:tc>
        <w:tc>
          <w:tcPr>
            <w:tcW w:w="160" w:type="dxa"/>
            <w:vAlign w:val="bottom"/>
          </w:tcPr>
          <w:p>
            <w:pPr>
              <w:spacing w:after="0"/>
              <w:rPr>
                <w:sz w:val="18"/>
                <w:szCs w:val="18"/>
                <w:color w:val="auto"/>
              </w:rPr>
            </w:pPr>
          </w:p>
        </w:tc>
        <w:tc>
          <w:tcPr>
            <w:tcW w:w="840" w:type="dxa"/>
            <w:vAlign w:val="bottom"/>
          </w:tcPr>
          <w:p>
            <w:pPr>
              <w:jc w:val="right"/>
              <w:spacing w:after="0" w:line="210" w:lineRule="exact"/>
              <w:rPr>
                <w:sz w:val="20"/>
                <w:szCs w:val="20"/>
                <w:color w:val="auto"/>
              </w:rPr>
            </w:pPr>
            <w:r>
              <w:rPr>
                <w:rFonts w:ascii="Calibri" w:cs="Calibri" w:eastAsia="Calibri" w:hAnsi="Calibri"/>
                <w:sz w:val="18"/>
                <w:szCs w:val="18"/>
                <w:color w:val="auto"/>
              </w:rPr>
              <w:t>11,495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160"/>
              <w:spacing w:after="0" w:line="210" w:lineRule="exact"/>
              <w:rPr>
                <w:sz w:val="20"/>
                <w:szCs w:val="20"/>
                <w:color w:val="auto"/>
              </w:rPr>
            </w:pPr>
            <w:r>
              <w:rPr>
                <w:rFonts w:ascii="Calibri" w:cs="Calibri" w:eastAsia="Calibri" w:hAnsi="Calibri"/>
                <w:sz w:val="18"/>
                <w:szCs w:val="18"/>
                <w:color w:val="auto"/>
              </w:rPr>
              <w:t>—</w:t>
            </w:r>
          </w:p>
        </w:tc>
        <w:tc>
          <w:tcPr>
            <w:tcW w:w="120" w:type="dxa"/>
            <w:vAlign w:val="bottom"/>
          </w:tcPr>
          <w:p>
            <w:pPr>
              <w:spacing w:after="0"/>
              <w:rPr>
                <w:sz w:val="18"/>
                <w:szCs w:val="18"/>
                <w:color w:val="auto"/>
              </w:rPr>
            </w:pPr>
          </w:p>
        </w:tc>
        <w:tc>
          <w:tcPr>
            <w:tcW w:w="960" w:type="dxa"/>
            <w:vAlign w:val="bottom"/>
          </w:tcPr>
          <w:p>
            <w:pPr>
              <w:jc w:val="right"/>
              <w:spacing w:after="0" w:line="210" w:lineRule="exact"/>
              <w:rPr>
                <w:sz w:val="20"/>
                <w:szCs w:val="20"/>
                <w:color w:val="auto"/>
              </w:rPr>
            </w:pPr>
            <w:r>
              <w:rPr>
                <w:rFonts w:ascii="Calibri" w:cs="Calibri" w:eastAsia="Calibri" w:hAnsi="Calibri"/>
                <w:sz w:val="18"/>
                <w:szCs w:val="18"/>
                <w:color w:val="auto"/>
              </w:rPr>
              <w:t>11,495</w:t>
            </w:r>
          </w:p>
        </w:tc>
        <w:tc>
          <w:tcPr>
            <w:tcW w:w="0" w:type="dxa"/>
            <w:vAlign w:val="bottom"/>
          </w:tcPr>
          <w:p>
            <w:pPr>
              <w:spacing w:after="0"/>
              <w:rPr>
                <w:sz w:val="1"/>
                <w:szCs w:val="1"/>
                <w:color w:val="auto"/>
              </w:rPr>
            </w:pPr>
          </w:p>
        </w:tc>
      </w:tr>
      <w:tr>
        <w:trPr>
          <w:trHeight w:val="232"/>
        </w:trPr>
        <w:tc>
          <w:tcPr>
            <w:tcW w:w="3520" w:type="dxa"/>
            <w:vAlign w:val="bottom"/>
            <w:shd w:val="clear" w:color="auto" w:fill="CCEEFF"/>
          </w:tcPr>
          <w:p>
            <w:pPr>
              <w:ind w:left="20"/>
              <w:spacing w:after="0" w:line="217" w:lineRule="exact"/>
              <w:rPr>
                <w:sz w:val="20"/>
                <w:szCs w:val="20"/>
                <w:color w:val="auto"/>
              </w:rPr>
            </w:pPr>
            <w:r>
              <w:rPr>
                <w:rFonts w:ascii="Calibri" w:cs="Calibri" w:eastAsia="Calibri" w:hAnsi="Calibri"/>
                <w:sz w:val="18"/>
                <w:szCs w:val="18"/>
                <w:color w:val="auto"/>
              </w:rPr>
              <w:t>Other comprehensive income</w:t>
            </w:r>
          </w:p>
        </w:tc>
        <w:tc>
          <w:tcPr>
            <w:tcW w:w="580" w:type="dxa"/>
            <w:vAlign w:val="bottom"/>
            <w:shd w:val="clear" w:color="auto" w:fill="CCEEFF"/>
          </w:tcPr>
          <w:p>
            <w:pPr>
              <w:jc w:val="right"/>
              <w:spacing w:after="0" w:line="217" w:lineRule="exact"/>
              <w:rPr>
                <w:sz w:val="20"/>
                <w:szCs w:val="20"/>
                <w:color w:val="auto"/>
              </w:rPr>
            </w:pPr>
            <w:r>
              <w:rPr>
                <w:rFonts w:ascii="Calibri" w:cs="Calibri" w:eastAsia="Calibri" w:hAnsi="Calibri"/>
                <w:sz w:val="18"/>
                <w:szCs w:val="18"/>
                <w:color w:val="auto"/>
              </w:rPr>
              <w:t>—</w:t>
            </w: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340" w:type="dxa"/>
            <w:vAlign w:val="bottom"/>
            <w:gridSpan w:val="2"/>
            <w:shd w:val="clear" w:color="auto" w:fill="CCEEFF"/>
          </w:tcPr>
          <w:p>
            <w:pPr>
              <w:spacing w:after="0" w:line="217" w:lineRule="exact"/>
              <w:rPr>
                <w:sz w:val="20"/>
                <w:szCs w:val="20"/>
                <w:color w:val="auto"/>
              </w:rPr>
            </w:pPr>
            <w:r>
              <w:rPr>
                <w:rFonts w:ascii="Calibri" w:cs="Calibri" w:eastAsia="Calibri" w:hAnsi="Calibri"/>
                <w:sz w:val="18"/>
                <w:szCs w:val="18"/>
                <w:color w:val="auto"/>
              </w:rPr>
              <w:t>—</w:t>
            </w:r>
          </w:p>
        </w:tc>
        <w:tc>
          <w:tcPr>
            <w:tcW w:w="680" w:type="dxa"/>
            <w:vAlign w:val="bottom"/>
            <w:gridSpan w:val="2"/>
            <w:shd w:val="clear" w:color="auto" w:fill="CCEEFF"/>
          </w:tcPr>
          <w:p>
            <w:pPr>
              <w:jc w:val="right"/>
              <w:ind w:right="160"/>
              <w:spacing w:after="0" w:line="217" w:lineRule="exact"/>
              <w:rPr>
                <w:sz w:val="20"/>
                <w:szCs w:val="20"/>
                <w:color w:val="auto"/>
              </w:rPr>
            </w:pPr>
            <w:r>
              <w:rPr>
                <w:rFonts w:ascii="Calibri" w:cs="Calibri" w:eastAsia="Calibri" w:hAnsi="Calibri"/>
                <w:sz w:val="18"/>
                <w:szCs w:val="18"/>
                <w:color w:val="auto"/>
              </w:rPr>
              <w:t>—</w:t>
            </w:r>
          </w:p>
        </w:tc>
        <w:tc>
          <w:tcPr>
            <w:tcW w:w="120" w:type="dxa"/>
            <w:vAlign w:val="bottom"/>
            <w:shd w:val="clear" w:color="auto" w:fill="CCEEFF"/>
          </w:tcPr>
          <w:p>
            <w:pPr>
              <w:spacing w:after="0"/>
              <w:rPr>
                <w:sz w:val="20"/>
                <w:szCs w:val="20"/>
                <w:color w:val="auto"/>
              </w:rPr>
            </w:pPr>
          </w:p>
        </w:tc>
        <w:tc>
          <w:tcPr>
            <w:tcW w:w="820" w:type="dxa"/>
            <w:vAlign w:val="bottom"/>
            <w:gridSpan w:val="2"/>
            <w:shd w:val="clear" w:color="auto" w:fill="CCEEFF"/>
          </w:tcPr>
          <w:p>
            <w:pPr>
              <w:ind w:left="500"/>
              <w:spacing w:after="0" w:line="217" w:lineRule="exact"/>
              <w:rPr>
                <w:sz w:val="20"/>
                <w:szCs w:val="20"/>
                <w:color w:val="auto"/>
              </w:rPr>
            </w:pPr>
            <w:r>
              <w:rPr>
                <w:rFonts w:ascii="Calibri" w:cs="Calibri" w:eastAsia="Calibri" w:hAnsi="Calibri"/>
                <w:sz w:val="18"/>
                <w:szCs w:val="18"/>
                <w:color w:val="auto"/>
              </w:rPr>
              <w:t>—</w:t>
            </w:r>
          </w:p>
        </w:tc>
        <w:tc>
          <w:tcPr>
            <w:tcW w:w="12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60"/>
              <w:spacing w:after="0" w:line="217" w:lineRule="exact"/>
              <w:rPr>
                <w:sz w:val="20"/>
                <w:szCs w:val="20"/>
                <w:color w:val="auto"/>
              </w:rPr>
            </w:pPr>
            <w:r>
              <w:rPr>
                <w:rFonts w:ascii="Calibri" w:cs="Calibri" w:eastAsia="Calibri" w:hAnsi="Calibri"/>
                <w:sz w:val="18"/>
                <w:szCs w:val="18"/>
                <w:color w:val="auto"/>
              </w:rPr>
              <w:t>—</w:t>
            </w:r>
          </w:p>
        </w:tc>
        <w:tc>
          <w:tcPr>
            <w:tcW w:w="16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60"/>
              <w:spacing w:after="0" w:line="217" w:lineRule="exact"/>
              <w:rPr>
                <w:sz w:val="20"/>
                <w:szCs w:val="20"/>
                <w:color w:val="auto"/>
              </w:rPr>
            </w:pPr>
            <w:r>
              <w:rPr>
                <w:rFonts w:ascii="Calibri" w:cs="Calibri" w:eastAsia="Calibri" w:hAnsi="Calibri"/>
                <w:sz w:val="18"/>
                <w:szCs w:val="18"/>
                <w:color w:val="auto"/>
              </w:rPr>
              <w:t>—</w:t>
            </w:r>
          </w:p>
        </w:tc>
        <w:tc>
          <w:tcPr>
            <w:tcW w:w="12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line="217" w:lineRule="exact"/>
              <w:rPr>
                <w:sz w:val="20"/>
                <w:szCs w:val="20"/>
                <w:color w:val="auto"/>
              </w:rPr>
            </w:pPr>
            <w:r>
              <w:rPr>
                <w:rFonts w:ascii="Calibri" w:cs="Calibri" w:eastAsia="Calibri" w:hAnsi="Calibri"/>
                <w:sz w:val="18"/>
                <w:szCs w:val="18"/>
                <w:color w:val="auto"/>
              </w:rPr>
              <w:t>62</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line="217" w:lineRule="exact"/>
              <w:rPr>
                <w:sz w:val="20"/>
                <w:szCs w:val="20"/>
                <w:color w:val="auto"/>
              </w:rPr>
            </w:pPr>
            <w:r>
              <w:rPr>
                <w:rFonts w:ascii="Calibri" w:cs="Calibri" w:eastAsia="Calibri" w:hAnsi="Calibri"/>
                <w:sz w:val="18"/>
                <w:szCs w:val="18"/>
                <w:color w:val="auto"/>
              </w:rPr>
              <w:t>62</w:t>
            </w:r>
          </w:p>
        </w:tc>
        <w:tc>
          <w:tcPr>
            <w:tcW w:w="0" w:type="dxa"/>
            <w:vAlign w:val="bottom"/>
          </w:tcPr>
          <w:p>
            <w:pPr>
              <w:spacing w:after="0"/>
              <w:rPr>
                <w:sz w:val="1"/>
                <w:szCs w:val="1"/>
                <w:color w:val="auto"/>
              </w:rPr>
            </w:pPr>
          </w:p>
        </w:tc>
      </w:tr>
      <w:tr>
        <w:trPr>
          <w:trHeight w:val="164"/>
        </w:trPr>
        <w:tc>
          <w:tcPr>
            <w:tcW w:w="3520" w:type="dxa"/>
            <w:vAlign w:val="bottom"/>
          </w:tcPr>
          <w:p>
            <w:pPr>
              <w:ind w:left="20"/>
              <w:spacing w:after="0" w:line="164" w:lineRule="exact"/>
              <w:rPr>
                <w:sz w:val="20"/>
                <w:szCs w:val="20"/>
                <w:color w:val="auto"/>
              </w:rPr>
            </w:pPr>
            <w:r>
              <w:rPr>
                <w:rFonts w:ascii="Calibri" w:cs="Calibri" w:eastAsia="Calibri" w:hAnsi="Calibri"/>
                <w:sz w:val="17"/>
                <w:szCs w:val="17"/>
                <w:color w:val="auto"/>
              </w:rPr>
              <w:t>Fair value of partally vested equity awards</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3520" w:type="dxa"/>
            <w:vAlign w:val="bottom"/>
          </w:tcPr>
          <w:p>
            <w:pPr>
              <w:ind w:left="180"/>
              <w:spacing w:after="0" w:line="210" w:lineRule="exact"/>
              <w:rPr>
                <w:sz w:val="20"/>
                <w:szCs w:val="20"/>
                <w:color w:val="auto"/>
              </w:rPr>
            </w:pPr>
            <w:r>
              <w:rPr>
                <w:rFonts w:ascii="Calibri" w:cs="Calibri" w:eastAsia="Calibri" w:hAnsi="Calibri"/>
                <w:sz w:val="18"/>
                <w:szCs w:val="18"/>
                <w:color w:val="auto"/>
              </w:rPr>
              <w:t>assumed in connecton with an acquisiton</w:t>
            </w:r>
          </w:p>
        </w:tc>
        <w:tc>
          <w:tcPr>
            <w:tcW w:w="580" w:type="dxa"/>
            <w:vAlign w:val="bottom"/>
          </w:tcPr>
          <w:p>
            <w:pPr>
              <w:jc w:val="right"/>
              <w:spacing w:after="0"/>
              <w:rPr>
                <w:sz w:val="20"/>
                <w:szCs w:val="20"/>
                <w:color w:val="auto"/>
              </w:rPr>
            </w:pPr>
            <w:r>
              <w:rPr>
                <w:rFonts w:ascii="Calibri" w:cs="Calibri" w:eastAsia="Calibri" w:hAnsi="Calibri"/>
                <w:sz w:val="18"/>
                <w:szCs w:val="18"/>
                <w:color w:val="auto"/>
              </w:rPr>
              <w:t>—</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40" w:type="dxa"/>
            <w:vAlign w:val="bottom"/>
            <w:gridSpan w:val="2"/>
          </w:tcPr>
          <w:p>
            <w:pPr>
              <w:spacing w:after="0"/>
              <w:rPr>
                <w:sz w:val="20"/>
                <w:szCs w:val="20"/>
                <w:color w:val="auto"/>
              </w:rPr>
            </w:pPr>
            <w:r>
              <w:rPr>
                <w:rFonts w:ascii="Calibri" w:cs="Calibri" w:eastAsia="Calibri" w:hAnsi="Calibri"/>
                <w:sz w:val="18"/>
                <w:szCs w:val="18"/>
                <w:color w:val="auto"/>
              </w:rPr>
              <w:t>—</w:t>
            </w:r>
          </w:p>
        </w:tc>
        <w:tc>
          <w:tcPr>
            <w:tcW w:w="680" w:type="dxa"/>
            <w:vAlign w:val="bottom"/>
            <w:gridSpan w:val="2"/>
          </w:tcPr>
          <w:p>
            <w:pPr>
              <w:jc w:val="right"/>
              <w:ind w:right="160"/>
              <w:spacing w:after="0"/>
              <w:rPr>
                <w:sz w:val="20"/>
                <w:szCs w:val="20"/>
                <w:color w:val="auto"/>
              </w:rPr>
            </w:pPr>
            <w:r>
              <w:rPr>
                <w:rFonts w:ascii="Calibri" w:cs="Calibri" w:eastAsia="Calibri" w:hAnsi="Calibri"/>
                <w:sz w:val="18"/>
                <w:szCs w:val="18"/>
                <w:color w:val="auto"/>
              </w:rPr>
              <w:t>—</w:t>
            </w:r>
          </w:p>
        </w:tc>
        <w:tc>
          <w:tcPr>
            <w:tcW w:w="120" w:type="dxa"/>
            <w:vAlign w:val="bottom"/>
          </w:tcPr>
          <w:p>
            <w:pPr>
              <w:spacing w:after="0"/>
              <w:rPr>
                <w:sz w:val="19"/>
                <w:szCs w:val="19"/>
                <w:color w:val="auto"/>
              </w:rPr>
            </w:pPr>
          </w:p>
        </w:tc>
        <w:tc>
          <w:tcPr>
            <w:tcW w:w="820" w:type="dxa"/>
            <w:vAlign w:val="bottom"/>
            <w:gridSpan w:val="2"/>
          </w:tcPr>
          <w:p>
            <w:pPr>
              <w:ind w:left="500"/>
              <w:spacing w:after="0"/>
              <w:rPr>
                <w:sz w:val="20"/>
                <w:szCs w:val="20"/>
                <w:color w:val="auto"/>
              </w:rPr>
            </w:pPr>
            <w:r>
              <w:rPr>
                <w:rFonts w:ascii="Calibri" w:cs="Calibri" w:eastAsia="Calibri" w:hAnsi="Calibri"/>
                <w:sz w:val="18"/>
                <w:szCs w:val="18"/>
                <w:color w:val="auto"/>
              </w:rPr>
              <w:t>—</w:t>
            </w: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Calibri" w:cs="Calibri" w:eastAsia="Calibri" w:hAnsi="Calibri"/>
                <w:sz w:val="18"/>
                <w:szCs w:val="18"/>
                <w:color w:val="auto"/>
              </w:rPr>
              <w:t>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Calibri" w:cs="Calibri" w:eastAsia="Calibri" w:hAnsi="Calibri"/>
                <w:sz w:val="18"/>
                <w:szCs w:val="18"/>
                <w:color w:val="auto"/>
              </w:rPr>
              <w:t>—</w:t>
            </w:r>
          </w:p>
        </w:tc>
        <w:tc>
          <w:tcPr>
            <w:tcW w:w="12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Calibri" w:cs="Calibri" w:eastAsia="Calibri" w:hAnsi="Calibri"/>
                <w:sz w:val="18"/>
                <w:szCs w:val="18"/>
                <w:color w:val="auto"/>
              </w:rPr>
              <w:t>—</w:t>
            </w: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Calibri" w:cs="Calibri" w:eastAsia="Calibri" w:hAnsi="Calibri"/>
                <w:sz w:val="18"/>
                <w:szCs w:val="18"/>
                <w:color w:val="auto"/>
              </w:rPr>
              <w:t>4</w:t>
            </w:r>
          </w:p>
        </w:tc>
        <w:tc>
          <w:tcPr>
            <w:tcW w:w="0" w:type="dxa"/>
            <w:vAlign w:val="bottom"/>
          </w:tcPr>
          <w:p>
            <w:pPr>
              <w:spacing w:after="0"/>
              <w:rPr>
                <w:sz w:val="1"/>
                <w:szCs w:val="1"/>
                <w:color w:val="auto"/>
              </w:rPr>
            </w:pPr>
          </w:p>
        </w:tc>
      </w:tr>
      <w:tr>
        <w:trPr>
          <w:trHeight w:val="22"/>
        </w:trPr>
        <w:tc>
          <w:tcPr>
            <w:tcW w:w="35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3520" w:type="dxa"/>
            <w:vAlign w:val="bottom"/>
            <w:shd w:val="clear" w:color="auto" w:fill="CCEEFF"/>
          </w:tcPr>
          <w:p>
            <w:pPr>
              <w:ind w:left="20"/>
              <w:spacing w:after="0" w:line="210" w:lineRule="exact"/>
              <w:rPr>
                <w:sz w:val="20"/>
                <w:szCs w:val="20"/>
                <w:color w:val="auto"/>
              </w:rPr>
            </w:pPr>
            <w:r>
              <w:rPr>
                <w:rFonts w:ascii="Calibri" w:cs="Calibri" w:eastAsia="Calibri" w:hAnsi="Calibri"/>
                <w:sz w:val="18"/>
                <w:szCs w:val="18"/>
                <w:color w:val="auto"/>
              </w:rPr>
              <w:t>Dividends to common stockholders</w:t>
            </w:r>
          </w:p>
        </w:tc>
        <w:tc>
          <w:tcPr>
            <w:tcW w:w="580" w:type="dxa"/>
            <w:vAlign w:val="bottom"/>
            <w:shd w:val="clear" w:color="auto" w:fill="CCEEFF"/>
          </w:tcPr>
          <w:p>
            <w:pPr>
              <w:jc w:val="right"/>
              <w:spacing w:after="0" w:line="210" w:lineRule="exact"/>
              <w:rPr>
                <w:sz w:val="20"/>
                <w:szCs w:val="20"/>
                <w:color w:val="auto"/>
              </w:rPr>
            </w:pPr>
            <w:r>
              <w:rPr>
                <w:rFonts w:ascii="Calibri" w:cs="Calibri" w:eastAsia="Calibri" w:hAnsi="Calibri"/>
                <w:sz w:val="18"/>
                <w:szCs w:val="18"/>
                <w:color w:val="auto"/>
              </w:rPr>
              <w:t>—</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340" w:type="dxa"/>
            <w:vAlign w:val="bottom"/>
            <w:gridSpan w:val="2"/>
            <w:shd w:val="clear" w:color="auto" w:fill="CCEEFF"/>
          </w:tcPr>
          <w:p>
            <w:pPr>
              <w:spacing w:after="0" w:line="210" w:lineRule="exact"/>
              <w:rPr>
                <w:sz w:val="20"/>
                <w:szCs w:val="20"/>
                <w:color w:val="auto"/>
              </w:rPr>
            </w:pPr>
            <w:r>
              <w:rPr>
                <w:rFonts w:ascii="Calibri" w:cs="Calibri" w:eastAsia="Calibri" w:hAnsi="Calibri"/>
                <w:sz w:val="18"/>
                <w:szCs w:val="18"/>
                <w:color w:val="auto"/>
              </w:rPr>
              <w:t>—</w:t>
            </w:r>
          </w:p>
        </w:tc>
        <w:tc>
          <w:tcPr>
            <w:tcW w:w="680" w:type="dxa"/>
            <w:vAlign w:val="bottom"/>
            <w:gridSpan w:val="2"/>
            <w:shd w:val="clear" w:color="auto" w:fill="CCEEFF"/>
          </w:tcPr>
          <w:p>
            <w:pPr>
              <w:jc w:val="right"/>
              <w:ind w:right="160"/>
              <w:spacing w:after="0" w:line="210" w:lineRule="exact"/>
              <w:rPr>
                <w:sz w:val="20"/>
                <w:szCs w:val="20"/>
                <w:color w:val="auto"/>
              </w:rPr>
            </w:pPr>
            <w:r>
              <w:rPr>
                <w:rFonts w:ascii="Calibri" w:cs="Calibri" w:eastAsia="Calibri" w:hAnsi="Calibri"/>
                <w:sz w:val="18"/>
                <w:szCs w:val="18"/>
                <w:color w:val="auto"/>
              </w:rPr>
              <w:t>—</w:t>
            </w:r>
          </w:p>
        </w:tc>
        <w:tc>
          <w:tcPr>
            <w:tcW w:w="1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ind w:left="500"/>
              <w:spacing w:after="0" w:line="210" w:lineRule="exact"/>
              <w:rPr>
                <w:sz w:val="20"/>
                <w:szCs w:val="20"/>
                <w:color w:val="auto"/>
              </w:rPr>
            </w:pPr>
            <w:r>
              <w:rPr>
                <w:rFonts w:ascii="Calibri" w:cs="Calibri" w:eastAsia="Calibri" w:hAnsi="Calibri"/>
                <w:sz w:val="18"/>
                <w:szCs w:val="18"/>
                <w:color w:val="auto"/>
              </w:rPr>
              <w:t>—</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line="210" w:lineRule="exact"/>
              <w:rPr>
                <w:sz w:val="20"/>
                <w:szCs w:val="20"/>
                <w:color w:val="auto"/>
              </w:rPr>
            </w:pPr>
            <w:r>
              <w:rPr>
                <w:rFonts w:ascii="Calibri" w:cs="Calibri" w:eastAsia="Calibri" w:hAnsi="Calibri"/>
                <w:sz w:val="18"/>
                <w:szCs w:val="18"/>
                <w:color w:val="auto"/>
              </w:rPr>
              <w:t>(50)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line="210" w:lineRule="exact"/>
              <w:rPr>
                <w:sz w:val="20"/>
                <w:szCs w:val="20"/>
                <w:color w:val="auto"/>
              </w:rPr>
            </w:pPr>
            <w:r>
              <w:rPr>
                <w:rFonts w:ascii="Calibri" w:cs="Calibri" w:eastAsia="Calibri" w:hAnsi="Calibri"/>
                <w:sz w:val="18"/>
                <w:szCs w:val="18"/>
                <w:color w:val="auto"/>
              </w:rPr>
              <w:t>(6,683)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line="210" w:lineRule="exact"/>
              <w:rPr>
                <w:sz w:val="20"/>
                <w:szCs w:val="20"/>
                <w:color w:val="auto"/>
              </w:rPr>
            </w:pPr>
            <w:r>
              <w:rPr>
                <w:rFonts w:ascii="Calibri" w:cs="Calibri" w:eastAsia="Calibri" w:hAnsi="Calibri"/>
                <w:sz w:val="18"/>
                <w:szCs w:val="18"/>
                <w:color w:val="auto"/>
              </w:rPr>
              <w:t>—</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line="210" w:lineRule="exact"/>
              <w:rPr>
                <w:sz w:val="20"/>
                <w:szCs w:val="20"/>
                <w:color w:val="auto"/>
              </w:rPr>
            </w:pPr>
            <w:r>
              <w:rPr>
                <w:rFonts w:ascii="Calibri" w:cs="Calibri" w:eastAsia="Calibri" w:hAnsi="Calibri"/>
                <w:sz w:val="18"/>
                <w:szCs w:val="18"/>
                <w:color w:val="auto"/>
              </w:rPr>
              <w:t>(6,733)</w:t>
            </w:r>
          </w:p>
        </w:tc>
        <w:tc>
          <w:tcPr>
            <w:tcW w:w="0" w:type="dxa"/>
            <w:vAlign w:val="bottom"/>
          </w:tcPr>
          <w:p>
            <w:pPr>
              <w:spacing w:after="0"/>
              <w:rPr>
                <w:sz w:val="1"/>
                <w:szCs w:val="1"/>
                <w:color w:val="auto"/>
              </w:rPr>
            </w:pPr>
          </w:p>
        </w:tc>
      </w:tr>
      <w:tr>
        <w:trPr>
          <w:trHeight w:val="217"/>
        </w:trPr>
        <w:tc>
          <w:tcPr>
            <w:tcW w:w="3520" w:type="dxa"/>
            <w:vAlign w:val="bottom"/>
          </w:tcPr>
          <w:p>
            <w:pPr>
              <w:ind w:left="20"/>
              <w:spacing w:after="0" w:line="210" w:lineRule="exact"/>
              <w:rPr>
                <w:sz w:val="20"/>
                <w:szCs w:val="20"/>
                <w:color w:val="auto"/>
              </w:rPr>
            </w:pPr>
            <w:r>
              <w:rPr>
                <w:rFonts w:ascii="Calibri" w:cs="Calibri" w:eastAsia="Calibri" w:hAnsi="Calibri"/>
                <w:sz w:val="18"/>
                <w:szCs w:val="18"/>
                <w:color w:val="auto"/>
              </w:rPr>
              <w:t>Dividends to preferred stockholders</w:t>
            </w:r>
          </w:p>
        </w:tc>
        <w:tc>
          <w:tcPr>
            <w:tcW w:w="580" w:type="dxa"/>
            <w:vAlign w:val="bottom"/>
          </w:tcPr>
          <w:p>
            <w:pPr>
              <w:jc w:val="right"/>
              <w:spacing w:after="0" w:line="210" w:lineRule="exact"/>
              <w:rPr>
                <w:sz w:val="20"/>
                <w:szCs w:val="20"/>
                <w:color w:val="auto"/>
              </w:rPr>
            </w:pPr>
            <w:r>
              <w:rPr>
                <w:rFonts w:ascii="Calibri" w:cs="Calibri" w:eastAsia="Calibri" w:hAnsi="Calibri"/>
                <w:sz w:val="18"/>
                <w:szCs w:val="18"/>
                <w:color w:val="auto"/>
              </w:rPr>
              <w:t>—</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gridSpan w:val="2"/>
          </w:tcPr>
          <w:p>
            <w:pPr>
              <w:spacing w:after="0" w:line="210" w:lineRule="exact"/>
              <w:rPr>
                <w:sz w:val="20"/>
                <w:szCs w:val="20"/>
                <w:color w:val="auto"/>
              </w:rPr>
            </w:pPr>
            <w:r>
              <w:rPr>
                <w:rFonts w:ascii="Calibri" w:cs="Calibri" w:eastAsia="Calibri" w:hAnsi="Calibri"/>
                <w:sz w:val="18"/>
                <w:szCs w:val="18"/>
                <w:color w:val="auto"/>
              </w:rPr>
              <w:t>—</w:t>
            </w:r>
          </w:p>
        </w:tc>
        <w:tc>
          <w:tcPr>
            <w:tcW w:w="680" w:type="dxa"/>
            <w:vAlign w:val="bottom"/>
            <w:gridSpan w:val="2"/>
          </w:tcPr>
          <w:p>
            <w:pPr>
              <w:jc w:val="right"/>
              <w:ind w:right="160"/>
              <w:spacing w:after="0" w:line="210" w:lineRule="exact"/>
              <w:rPr>
                <w:sz w:val="20"/>
                <w:szCs w:val="20"/>
                <w:color w:val="auto"/>
              </w:rPr>
            </w:pPr>
            <w:r>
              <w:rPr>
                <w:rFonts w:ascii="Calibri" w:cs="Calibri" w:eastAsia="Calibri" w:hAnsi="Calibri"/>
                <w:sz w:val="18"/>
                <w:szCs w:val="18"/>
                <w:color w:val="auto"/>
              </w:rPr>
              <w:t>—</w:t>
            </w:r>
          </w:p>
        </w:tc>
        <w:tc>
          <w:tcPr>
            <w:tcW w:w="120" w:type="dxa"/>
            <w:vAlign w:val="bottom"/>
          </w:tcPr>
          <w:p>
            <w:pPr>
              <w:spacing w:after="0"/>
              <w:rPr>
                <w:sz w:val="18"/>
                <w:szCs w:val="18"/>
                <w:color w:val="auto"/>
              </w:rPr>
            </w:pPr>
          </w:p>
        </w:tc>
        <w:tc>
          <w:tcPr>
            <w:tcW w:w="820" w:type="dxa"/>
            <w:vAlign w:val="bottom"/>
            <w:gridSpan w:val="2"/>
          </w:tcPr>
          <w:p>
            <w:pPr>
              <w:ind w:left="500"/>
              <w:spacing w:after="0" w:line="210" w:lineRule="exact"/>
              <w:rPr>
                <w:sz w:val="20"/>
                <w:szCs w:val="20"/>
                <w:color w:val="auto"/>
              </w:rPr>
            </w:pPr>
            <w:r>
              <w:rPr>
                <w:rFonts w:ascii="Calibri" w:cs="Calibri" w:eastAsia="Calibri" w:hAnsi="Calibri"/>
                <w:sz w:val="18"/>
                <w:szCs w:val="18"/>
                <w:color w:val="auto"/>
              </w:rPr>
              <w:t>—</w:t>
            </w:r>
          </w:p>
        </w:tc>
        <w:tc>
          <w:tcPr>
            <w:tcW w:w="120" w:type="dxa"/>
            <w:vAlign w:val="bottom"/>
          </w:tcPr>
          <w:p>
            <w:pPr>
              <w:spacing w:after="0"/>
              <w:rPr>
                <w:sz w:val="18"/>
                <w:szCs w:val="18"/>
                <w:color w:val="auto"/>
              </w:rPr>
            </w:pPr>
          </w:p>
        </w:tc>
        <w:tc>
          <w:tcPr>
            <w:tcW w:w="840" w:type="dxa"/>
            <w:vAlign w:val="bottom"/>
            <w:gridSpan w:val="2"/>
          </w:tcPr>
          <w:p>
            <w:pPr>
              <w:jc w:val="right"/>
              <w:ind w:right="160"/>
              <w:spacing w:after="0" w:line="210" w:lineRule="exact"/>
              <w:rPr>
                <w:sz w:val="20"/>
                <w:szCs w:val="20"/>
                <w:color w:val="auto"/>
              </w:rPr>
            </w:pPr>
            <w:r>
              <w:rPr>
                <w:rFonts w:ascii="Calibri" w:cs="Calibri" w:eastAsia="Calibri" w:hAnsi="Calibri"/>
                <w:sz w:val="18"/>
                <w:szCs w:val="18"/>
                <w:color w:val="auto"/>
              </w:rPr>
              <w:t>—</w:t>
            </w:r>
          </w:p>
        </w:tc>
        <w:tc>
          <w:tcPr>
            <w:tcW w:w="160" w:type="dxa"/>
            <w:vAlign w:val="bottom"/>
          </w:tcPr>
          <w:p>
            <w:pPr>
              <w:spacing w:after="0"/>
              <w:rPr>
                <w:sz w:val="18"/>
                <w:szCs w:val="18"/>
                <w:color w:val="auto"/>
              </w:rPr>
            </w:pPr>
          </w:p>
        </w:tc>
        <w:tc>
          <w:tcPr>
            <w:tcW w:w="840" w:type="dxa"/>
            <w:vAlign w:val="bottom"/>
          </w:tcPr>
          <w:p>
            <w:pPr>
              <w:jc w:val="right"/>
              <w:spacing w:after="0" w:line="210" w:lineRule="exact"/>
              <w:rPr>
                <w:sz w:val="20"/>
                <w:szCs w:val="20"/>
                <w:color w:val="auto"/>
              </w:rPr>
            </w:pPr>
            <w:r>
              <w:rPr>
                <w:rFonts w:ascii="Calibri" w:cs="Calibri" w:eastAsia="Calibri" w:hAnsi="Calibri"/>
                <w:sz w:val="18"/>
                <w:szCs w:val="18"/>
                <w:color w:val="auto"/>
              </w:rPr>
              <w:t>(272)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160"/>
              <w:spacing w:after="0" w:line="210" w:lineRule="exact"/>
              <w:rPr>
                <w:sz w:val="20"/>
                <w:szCs w:val="20"/>
                <w:color w:val="auto"/>
              </w:rPr>
            </w:pPr>
            <w:r>
              <w:rPr>
                <w:rFonts w:ascii="Calibri" w:cs="Calibri" w:eastAsia="Calibri" w:hAnsi="Calibri"/>
                <w:sz w:val="18"/>
                <w:szCs w:val="18"/>
                <w:color w:val="auto"/>
              </w:rPr>
              <w:t>—</w:t>
            </w:r>
          </w:p>
        </w:tc>
        <w:tc>
          <w:tcPr>
            <w:tcW w:w="120" w:type="dxa"/>
            <w:vAlign w:val="bottom"/>
          </w:tcPr>
          <w:p>
            <w:pPr>
              <w:spacing w:after="0"/>
              <w:rPr>
                <w:sz w:val="18"/>
                <w:szCs w:val="18"/>
                <w:color w:val="auto"/>
              </w:rPr>
            </w:pPr>
          </w:p>
        </w:tc>
        <w:tc>
          <w:tcPr>
            <w:tcW w:w="960" w:type="dxa"/>
            <w:vAlign w:val="bottom"/>
          </w:tcPr>
          <w:p>
            <w:pPr>
              <w:jc w:val="right"/>
              <w:spacing w:after="0" w:line="210" w:lineRule="exact"/>
              <w:rPr>
                <w:sz w:val="20"/>
                <w:szCs w:val="20"/>
                <w:color w:val="auto"/>
              </w:rPr>
            </w:pPr>
            <w:r>
              <w:rPr>
                <w:rFonts w:ascii="Calibri" w:cs="Calibri" w:eastAsia="Calibri" w:hAnsi="Calibri"/>
                <w:sz w:val="18"/>
                <w:szCs w:val="18"/>
                <w:color w:val="auto"/>
              </w:rPr>
              <w:t>(272)</w:t>
            </w:r>
          </w:p>
        </w:tc>
        <w:tc>
          <w:tcPr>
            <w:tcW w:w="0" w:type="dxa"/>
            <w:vAlign w:val="bottom"/>
          </w:tcPr>
          <w:p>
            <w:pPr>
              <w:spacing w:after="0"/>
              <w:rPr>
                <w:sz w:val="1"/>
                <w:szCs w:val="1"/>
                <w:color w:val="auto"/>
              </w:rPr>
            </w:pPr>
          </w:p>
        </w:tc>
      </w:tr>
      <w:tr>
        <w:trPr>
          <w:trHeight w:val="232"/>
        </w:trPr>
        <w:tc>
          <w:tcPr>
            <w:tcW w:w="3520" w:type="dxa"/>
            <w:vAlign w:val="bottom"/>
            <w:shd w:val="clear" w:color="auto" w:fill="CCEEFF"/>
          </w:tcPr>
          <w:p>
            <w:pPr>
              <w:ind w:left="20"/>
              <w:spacing w:after="0" w:line="217" w:lineRule="exact"/>
              <w:rPr>
                <w:sz w:val="20"/>
                <w:szCs w:val="20"/>
                <w:color w:val="auto"/>
              </w:rPr>
            </w:pPr>
            <w:r>
              <w:rPr>
                <w:rFonts w:ascii="Calibri" w:cs="Calibri" w:eastAsia="Calibri" w:hAnsi="Calibri"/>
                <w:sz w:val="18"/>
                <w:szCs w:val="18"/>
                <w:color w:val="auto"/>
              </w:rPr>
              <w:t>Common stock issued</w:t>
            </w:r>
          </w:p>
        </w:tc>
        <w:tc>
          <w:tcPr>
            <w:tcW w:w="580" w:type="dxa"/>
            <w:vAlign w:val="bottom"/>
            <w:shd w:val="clear" w:color="auto" w:fill="CCEEFF"/>
          </w:tcPr>
          <w:p>
            <w:pPr>
              <w:jc w:val="right"/>
              <w:spacing w:after="0" w:line="217" w:lineRule="exact"/>
              <w:rPr>
                <w:sz w:val="20"/>
                <w:szCs w:val="20"/>
                <w:color w:val="auto"/>
              </w:rPr>
            </w:pPr>
            <w:r>
              <w:rPr>
                <w:rFonts w:ascii="Calibri" w:cs="Calibri" w:eastAsia="Calibri" w:hAnsi="Calibri"/>
                <w:sz w:val="18"/>
                <w:szCs w:val="18"/>
                <w:color w:val="auto"/>
              </w:rPr>
              <w:t>—</w:t>
            </w: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340" w:type="dxa"/>
            <w:vAlign w:val="bottom"/>
            <w:gridSpan w:val="2"/>
            <w:shd w:val="clear" w:color="auto" w:fill="CCEEFF"/>
          </w:tcPr>
          <w:p>
            <w:pPr>
              <w:spacing w:after="0" w:line="217" w:lineRule="exact"/>
              <w:rPr>
                <w:sz w:val="20"/>
                <w:szCs w:val="20"/>
                <w:color w:val="auto"/>
              </w:rPr>
            </w:pPr>
            <w:r>
              <w:rPr>
                <w:rFonts w:ascii="Calibri" w:cs="Calibri" w:eastAsia="Calibri" w:hAnsi="Calibri"/>
                <w:sz w:val="18"/>
                <w:szCs w:val="18"/>
                <w:color w:val="auto"/>
              </w:rPr>
              <w:t>—</w:t>
            </w:r>
          </w:p>
        </w:tc>
        <w:tc>
          <w:tcPr>
            <w:tcW w:w="580" w:type="dxa"/>
            <w:vAlign w:val="bottom"/>
            <w:shd w:val="clear" w:color="auto" w:fill="CCEEFF"/>
          </w:tcPr>
          <w:p>
            <w:pPr>
              <w:jc w:val="right"/>
              <w:spacing w:after="0" w:line="217" w:lineRule="exact"/>
              <w:rPr>
                <w:sz w:val="20"/>
                <w:szCs w:val="20"/>
                <w:color w:val="auto"/>
              </w:rPr>
            </w:pPr>
            <w:r>
              <w:rPr>
                <w:rFonts w:ascii="Calibri" w:cs="Calibri" w:eastAsia="Calibri" w:hAnsi="Calibri"/>
                <w:sz w:val="18"/>
                <w:szCs w:val="18"/>
                <w:color w:val="auto"/>
              </w:rPr>
              <w:t>8</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20" w:type="dxa"/>
            <w:vAlign w:val="bottom"/>
            <w:gridSpan w:val="2"/>
            <w:shd w:val="clear" w:color="auto" w:fill="CCEEFF"/>
          </w:tcPr>
          <w:p>
            <w:pPr>
              <w:ind w:left="500"/>
              <w:spacing w:after="0" w:line="217" w:lineRule="exact"/>
              <w:rPr>
                <w:sz w:val="20"/>
                <w:szCs w:val="20"/>
                <w:color w:val="auto"/>
              </w:rPr>
            </w:pPr>
            <w:r>
              <w:rPr>
                <w:rFonts w:ascii="Calibri" w:cs="Calibri" w:eastAsia="Calibri" w:hAnsi="Calibri"/>
                <w:sz w:val="18"/>
                <w:szCs w:val="18"/>
                <w:color w:val="auto"/>
              </w:rPr>
              <w:t>—</w:t>
            </w:r>
          </w:p>
        </w:tc>
        <w:tc>
          <w:tcPr>
            <w:tcW w:w="12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line="217" w:lineRule="exact"/>
              <w:rPr>
                <w:sz w:val="20"/>
                <w:szCs w:val="20"/>
                <w:color w:val="auto"/>
              </w:rPr>
            </w:pPr>
            <w:r>
              <w:rPr>
                <w:rFonts w:ascii="Calibri" w:cs="Calibri" w:eastAsia="Calibri" w:hAnsi="Calibri"/>
                <w:sz w:val="18"/>
                <w:szCs w:val="18"/>
                <w:color w:val="auto"/>
              </w:rPr>
              <w:t>114</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60"/>
              <w:spacing w:after="0" w:line="217" w:lineRule="exact"/>
              <w:rPr>
                <w:sz w:val="20"/>
                <w:szCs w:val="20"/>
                <w:color w:val="auto"/>
              </w:rPr>
            </w:pPr>
            <w:r>
              <w:rPr>
                <w:rFonts w:ascii="Calibri" w:cs="Calibri" w:eastAsia="Calibri" w:hAnsi="Calibri"/>
                <w:sz w:val="18"/>
                <w:szCs w:val="18"/>
                <w:color w:val="auto"/>
              </w:rPr>
              <w:t>—</w:t>
            </w:r>
          </w:p>
        </w:tc>
        <w:tc>
          <w:tcPr>
            <w:tcW w:w="12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60"/>
              <w:spacing w:after="0" w:line="217" w:lineRule="exact"/>
              <w:rPr>
                <w:sz w:val="20"/>
                <w:szCs w:val="20"/>
                <w:color w:val="auto"/>
              </w:rPr>
            </w:pPr>
            <w:r>
              <w:rPr>
                <w:rFonts w:ascii="Calibri" w:cs="Calibri" w:eastAsia="Calibri" w:hAnsi="Calibri"/>
                <w:sz w:val="18"/>
                <w:szCs w:val="18"/>
                <w:color w:val="auto"/>
              </w:rPr>
              <w:t>—</w:t>
            </w:r>
          </w:p>
        </w:tc>
        <w:tc>
          <w:tcPr>
            <w:tcW w:w="12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line="217" w:lineRule="exact"/>
              <w:rPr>
                <w:sz w:val="20"/>
                <w:szCs w:val="20"/>
                <w:color w:val="auto"/>
              </w:rPr>
            </w:pPr>
            <w:r>
              <w:rPr>
                <w:rFonts w:ascii="Calibri" w:cs="Calibri" w:eastAsia="Calibri" w:hAnsi="Calibri"/>
                <w:sz w:val="18"/>
                <w:szCs w:val="18"/>
                <w:color w:val="auto"/>
              </w:rPr>
              <w:t>114</w:t>
            </w:r>
          </w:p>
        </w:tc>
        <w:tc>
          <w:tcPr>
            <w:tcW w:w="0" w:type="dxa"/>
            <w:vAlign w:val="bottom"/>
          </w:tcPr>
          <w:p>
            <w:pPr>
              <w:spacing w:after="0"/>
              <w:rPr>
                <w:sz w:val="1"/>
                <w:szCs w:val="1"/>
                <w:color w:val="auto"/>
              </w:rPr>
            </w:pPr>
          </w:p>
        </w:tc>
      </w:tr>
      <w:tr>
        <w:trPr>
          <w:trHeight w:val="217"/>
        </w:trPr>
        <w:tc>
          <w:tcPr>
            <w:tcW w:w="3520" w:type="dxa"/>
            <w:vAlign w:val="bottom"/>
          </w:tcPr>
          <w:p>
            <w:pPr>
              <w:ind w:left="20"/>
              <w:spacing w:after="0" w:line="210" w:lineRule="exact"/>
              <w:rPr>
                <w:sz w:val="20"/>
                <w:szCs w:val="20"/>
                <w:color w:val="auto"/>
              </w:rPr>
            </w:pPr>
            <w:r>
              <w:rPr>
                <w:rFonts w:ascii="Calibri" w:cs="Calibri" w:eastAsia="Calibri" w:hAnsi="Calibri"/>
                <w:sz w:val="18"/>
                <w:szCs w:val="18"/>
                <w:color w:val="auto"/>
              </w:rPr>
              <w:t>Stock-based compensaton</w:t>
            </w:r>
          </w:p>
        </w:tc>
        <w:tc>
          <w:tcPr>
            <w:tcW w:w="580" w:type="dxa"/>
            <w:vAlign w:val="bottom"/>
          </w:tcPr>
          <w:p>
            <w:pPr>
              <w:jc w:val="right"/>
              <w:spacing w:after="0" w:line="210" w:lineRule="exact"/>
              <w:rPr>
                <w:sz w:val="20"/>
                <w:szCs w:val="20"/>
                <w:color w:val="auto"/>
              </w:rPr>
            </w:pPr>
            <w:r>
              <w:rPr>
                <w:rFonts w:ascii="Calibri" w:cs="Calibri" w:eastAsia="Calibri" w:hAnsi="Calibri"/>
                <w:sz w:val="18"/>
                <w:szCs w:val="18"/>
                <w:color w:val="auto"/>
              </w:rPr>
              <w:t>—</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gridSpan w:val="2"/>
          </w:tcPr>
          <w:p>
            <w:pPr>
              <w:spacing w:after="0" w:line="210" w:lineRule="exact"/>
              <w:rPr>
                <w:sz w:val="20"/>
                <w:szCs w:val="20"/>
                <w:color w:val="auto"/>
              </w:rPr>
            </w:pPr>
            <w:r>
              <w:rPr>
                <w:rFonts w:ascii="Calibri" w:cs="Calibri" w:eastAsia="Calibri" w:hAnsi="Calibri"/>
                <w:sz w:val="18"/>
                <w:szCs w:val="18"/>
                <w:color w:val="auto"/>
              </w:rPr>
              <w:t>—</w:t>
            </w:r>
          </w:p>
        </w:tc>
        <w:tc>
          <w:tcPr>
            <w:tcW w:w="680" w:type="dxa"/>
            <w:vAlign w:val="bottom"/>
            <w:gridSpan w:val="2"/>
          </w:tcPr>
          <w:p>
            <w:pPr>
              <w:jc w:val="right"/>
              <w:ind w:right="160"/>
              <w:spacing w:after="0" w:line="210" w:lineRule="exact"/>
              <w:rPr>
                <w:sz w:val="20"/>
                <w:szCs w:val="20"/>
                <w:color w:val="auto"/>
              </w:rPr>
            </w:pPr>
            <w:r>
              <w:rPr>
                <w:rFonts w:ascii="Calibri" w:cs="Calibri" w:eastAsia="Calibri" w:hAnsi="Calibri"/>
                <w:sz w:val="18"/>
                <w:szCs w:val="18"/>
                <w:color w:val="auto"/>
              </w:rPr>
              <w:t>—</w:t>
            </w:r>
          </w:p>
        </w:tc>
        <w:tc>
          <w:tcPr>
            <w:tcW w:w="120" w:type="dxa"/>
            <w:vAlign w:val="bottom"/>
          </w:tcPr>
          <w:p>
            <w:pPr>
              <w:spacing w:after="0"/>
              <w:rPr>
                <w:sz w:val="18"/>
                <w:szCs w:val="18"/>
                <w:color w:val="auto"/>
              </w:rPr>
            </w:pPr>
          </w:p>
        </w:tc>
        <w:tc>
          <w:tcPr>
            <w:tcW w:w="820" w:type="dxa"/>
            <w:vAlign w:val="bottom"/>
            <w:gridSpan w:val="2"/>
          </w:tcPr>
          <w:p>
            <w:pPr>
              <w:ind w:left="500"/>
              <w:spacing w:after="0" w:line="210" w:lineRule="exact"/>
              <w:rPr>
                <w:sz w:val="20"/>
                <w:szCs w:val="20"/>
                <w:color w:val="auto"/>
              </w:rPr>
            </w:pPr>
            <w:r>
              <w:rPr>
                <w:rFonts w:ascii="Calibri" w:cs="Calibri" w:eastAsia="Calibri" w:hAnsi="Calibri"/>
                <w:sz w:val="18"/>
                <w:szCs w:val="18"/>
                <w:color w:val="auto"/>
              </w:rPr>
              <w:t>—</w:t>
            </w:r>
          </w:p>
        </w:tc>
        <w:tc>
          <w:tcPr>
            <w:tcW w:w="120" w:type="dxa"/>
            <w:vAlign w:val="bottom"/>
          </w:tcPr>
          <w:p>
            <w:pPr>
              <w:spacing w:after="0"/>
              <w:rPr>
                <w:sz w:val="18"/>
                <w:szCs w:val="18"/>
                <w:color w:val="auto"/>
              </w:rPr>
            </w:pPr>
          </w:p>
        </w:tc>
        <w:tc>
          <w:tcPr>
            <w:tcW w:w="740" w:type="dxa"/>
            <w:vAlign w:val="bottom"/>
          </w:tcPr>
          <w:p>
            <w:pPr>
              <w:jc w:val="right"/>
              <w:spacing w:after="0" w:line="210" w:lineRule="exact"/>
              <w:rPr>
                <w:sz w:val="20"/>
                <w:szCs w:val="20"/>
                <w:color w:val="auto"/>
              </w:rPr>
            </w:pPr>
            <w:r>
              <w:rPr>
                <w:rFonts w:ascii="Calibri" w:cs="Calibri" w:eastAsia="Calibri" w:hAnsi="Calibri"/>
                <w:sz w:val="18"/>
                <w:szCs w:val="18"/>
                <w:color w:val="auto"/>
              </w:rPr>
              <w:t>1,533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160"/>
              <w:spacing w:after="0" w:line="210" w:lineRule="exact"/>
              <w:rPr>
                <w:sz w:val="20"/>
                <w:szCs w:val="20"/>
                <w:color w:val="auto"/>
              </w:rPr>
            </w:pPr>
            <w:r>
              <w:rPr>
                <w:rFonts w:ascii="Calibri" w:cs="Calibri" w:eastAsia="Calibri" w:hAnsi="Calibri"/>
                <w:sz w:val="18"/>
                <w:szCs w:val="18"/>
                <w:color w:val="auto"/>
              </w:rPr>
              <w:t>—</w:t>
            </w:r>
          </w:p>
        </w:tc>
        <w:tc>
          <w:tcPr>
            <w:tcW w:w="120" w:type="dxa"/>
            <w:vAlign w:val="bottom"/>
          </w:tcPr>
          <w:p>
            <w:pPr>
              <w:spacing w:after="0"/>
              <w:rPr>
                <w:sz w:val="18"/>
                <w:szCs w:val="18"/>
                <w:color w:val="auto"/>
              </w:rPr>
            </w:pPr>
          </w:p>
        </w:tc>
        <w:tc>
          <w:tcPr>
            <w:tcW w:w="1180" w:type="dxa"/>
            <w:vAlign w:val="bottom"/>
            <w:gridSpan w:val="2"/>
          </w:tcPr>
          <w:p>
            <w:pPr>
              <w:jc w:val="right"/>
              <w:ind w:right="160"/>
              <w:spacing w:after="0" w:line="210" w:lineRule="exact"/>
              <w:rPr>
                <w:sz w:val="20"/>
                <w:szCs w:val="20"/>
                <w:color w:val="auto"/>
              </w:rPr>
            </w:pPr>
            <w:r>
              <w:rPr>
                <w:rFonts w:ascii="Calibri" w:cs="Calibri" w:eastAsia="Calibri" w:hAnsi="Calibri"/>
                <w:sz w:val="18"/>
                <w:szCs w:val="18"/>
                <w:color w:val="auto"/>
              </w:rPr>
              <w:t>—</w:t>
            </w:r>
          </w:p>
        </w:tc>
        <w:tc>
          <w:tcPr>
            <w:tcW w:w="120" w:type="dxa"/>
            <w:vAlign w:val="bottom"/>
          </w:tcPr>
          <w:p>
            <w:pPr>
              <w:spacing w:after="0"/>
              <w:rPr>
                <w:sz w:val="18"/>
                <w:szCs w:val="18"/>
                <w:color w:val="auto"/>
              </w:rPr>
            </w:pPr>
          </w:p>
        </w:tc>
        <w:tc>
          <w:tcPr>
            <w:tcW w:w="960" w:type="dxa"/>
            <w:vAlign w:val="bottom"/>
          </w:tcPr>
          <w:p>
            <w:pPr>
              <w:jc w:val="right"/>
              <w:spacing w:after="0" w:line="210" w:lineRule="exact"/>
              <w:rPr>
                <w:sz w:val="20"/>
                <w:szCs w:val="20"/>
                <w:color w:val="auto"/>
              </w:rPr>
            </w:pPr>
            <w:r>
              <w:rPr>
                <w:rFonts w:ascii="Calibri" w:cs="Calibri" w:eastAsia="Calibri" w:hAnsi="Calibri"/>
                <w:sz w:val="18"/>
                <w:szCs w:val="18"/>
                <w:color w:val="auto"/>
              </w:rPr>
              <w:t>1,533</w:t>
            </w:r>
          </w:p>
        </w:tc>
        <w:tc>
          <w:tcPr>
            <w:tcW w:w="0" w:type="dxa"/>
            <w:vAlign w:val="bottom"/>
          </w:tcPr>
          <w:p>
            <w:pPr>
              <w:spacing w:after="0"/>
              <w:rPr>
                <w:sz w:val="1"/>
                <w:szCs w:val="1"/>
                <w:color w:val="auto"/>
              </w:rPr>
            </w:pPr>
          </w:p>
        </w:tc>
      </w:tr>
      <w:tr>
        <w:trPr>
          <w:trHeight w:val="232"/>
        </w:trPr>
        <w:tc>
          <w:tcPr>
            <w:tcW w:w="3520" w:type="dxa"/>
            <w:vAlign w:val="bottom"/>
            <w:shd w:val="clear" w:color="auto" w:fill="CCEEFF"/>
          </w:tcPr>
          <w:p>
            <w:pPr>
              <w:ind w:left="20"/>
              <w:spacing w:after="0" w:line="217" w:lineRule="exact"/>
              <w:rPr>
                <w:sz w:val="20"/>
                <w:szCs w:val="20"/>
                <w:color w:val="auto"/>
              </w:rPr>
            </w:pPr>
            <w:r>
              <w:rPr>
                <w:rFonts w:ascii="Calibri" w:cs="Calibri" w:eastAsia="Calibri" w:hAnsi="Calibri"/>
                <w:sz w:val="18"/>
                <w:szCs w:val="18"/>
                <w:color w:val="auto"/>
              </w:rPr>
              <w:t>Repurchases of common stock</w:t>
            </w:r>
          </w:p>
        </w:tc>
        <w:tc>
          <w:tcPr>
            <w:tcW w:w="580" w:type="dxa"/>
            <w:vAlign w:val="bottom"/>
            <w:shd w:val="clear" w:color="auto" w:fill="CCEEFF"/>
          </w:tcPr>
          <w:p>
            <w:pPr>
              <w:jc w:val="right"/>
              <w:spacing w:after="0" w:line="217" w:lineRule="exact"/>
              <w:rPr>
                <w:sz w:val="20"/>
                <w:szCs w:val="20"/>
                <w:color w:val="auto"/>
              </w:rPr>
            </w:pPr>
            <w:r>
              <w:rPr>
                <w:rFonts w:ascii="Calibri" w:cs="Calibri" w:eastAsia="Calibri" w:hAnsi="Calibri"/>
                <w:sz w:val="18"/>
                <w:szCs w:val="18"/>
                <w:color w:val="auto"/>
              </w:rPr>
              <w:t>—</w:t>
            </w: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340" w:type="dxa"/>
            <w:vAlign w:val="bottom"/>
            <w:gridSpan w:val="2"/>
            <w:shd w:val="clear" w:color="auto" w:fill="CCEEFF"/>
          </w:tcPr>
          <w:p>
            <w:pPr>
              <w:spacing w:after="0" w:line="217" w:lineRule="exact"/>
              <w:rPr>
                <w:sz w:val="20"/>
                <w:szCs w:val="20"/>
                <w:color w:val="auto"/>
              </w:rPr>
            </w:pPr>
            <w:r>
              <w:rPr>
                <w:rFonts w:ascii="Calibri" w:cs="Calibri" w:eastAsia="Calibri" w:hAnsi="Calibri"/>
                <w:sz w:val="18"/>
                <w:szCs w:val="18"/>
                <w:color w:val="auto"/>
              </w:rPr>
              <w:t>—</w:t>
            </w:r>
          </w:p>
        </w:tc>
        <w:tc>
          <w:tcPr>
            <w:tcW w:w="580" w:type="dxa"/>
            <w:vAlign w:val="bottom"/>
            <w:shd w:val="clear" w:color="auto" w:fill="CCEEFF"/>
          </w:tcPr>
          <w:p>
            <w:pPr>
              <w:jc w:val="right"/>
              <w:spacing w:after="0" w:line="217" w:lineRule="exact"/>
              <w:rPr>
                <w:sz w:val="20"/>
                <w:szCs w:val="20"/>
                <w:color w:val="auto"/>
              </w:rPr>
            </w:pPr>
            <w:r>
              <w:rPr>
                <w:rFonts w:ascii="Calibri" w:cs="Calibri" w:eastAsia="Calibri" w:hAnsi="Calibri"/>
                <w:sz w:val="18"/>
                <w:szCs w:val="18"/>
                <w:color w:val="auto"/>
              </w:rPr>
              <w:t>(12)</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20" w:type="dxa"/>
            <w:vAlign w:val="bottom"/>
            <w:gridSpan w:val="2"/>
            <w:shd w:val="clear" w:color="auto" w:fill="CCEEFF"/>
          </w:tcPr>
          <w:p>
            <w:pPr>
              <w:ind w:left="500"/>
              <w:spacing w:after="0" w:line="217" w:lineRule="exact"/>
              <w:rPr>
                <w:sz w:val="20"/>
                <w:szCs w:val="20"/>
                <w:color w:val="auto"/>
              </w:rPr>
            </w:pPr>
            <w:r>
              <w:rPr>
                <w:rFonts w:ascii="Calibri" w:cs="Calibri" w:eastAsia="Calibri" w:hAnsi="Calibri"/>
                <w:sz w:val="18"/>
                <w:szCs w:val="18"/>
                <w:color w:val="auto"/>
              </w:rPr>
              <w:t>—</w:t>
            </w:r>
          </w:p>
        </w:tc>
        <w:tc>
          <w:tcPr>
            <w:tcW w:w="12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line="217" w:lineRule="exact"/>
              <w:rPr>
                <w:sz w:val="20"/>
                <w:szCs w:val="20"/>
                <w:color w:val="auto"/>
              </w:rPr>
            </w:pPr>
            <w:r>
              <w:rPr>
                <w:rFonts w:ascii="Calibri" w:cs="Calibri" w:eastAsia="Calibri" w:hAnsi="Calibri"/>
                <w:sz w:val="18"/>
                <w:szCs w:val="18"/>
                <w:color w:val="auto"/>
              </w:rPr>
              <w:t>(3,316)</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line="217" w:lineRule="exact"/>
              <w:rPr>
                <w:sz w:val="20"/>
                <w:szCs w:val="20"/>
                <w:color w:val="auto"/>
              </w:rPr>
            </w:pPr>
            <w:r>
              <w:rPr>
                <w:rFonts w:ascii="Calibri" w:cs="Calibri" w:eastAsia="Calibri" w:hAnsi="Calibri"/>
                <w:sz w:val="18"/>
                <w:szCs w:val="18"/>
                <w:color w:val="auto"/>
              </w:rPr>
              <w:t>(3,684)</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60"/>
              <w:spacing w:after="0" w:line="217" w:lineRule="exact"/>
              <w:rPr>
                <w:sz w:val="20"/>
                <w:szCs w:val="20"/>
                <w:color w:val="auto"/>
              </w:rPr>
            </w:pPr>
            <w:r>
              <w:rPr>
                <w:rFonts w:ascii="Calibri" w:cs="Calibri" w:eastAsia="Calibri" w:hAnsi="Calibri"/>
                <w:sz w:val="18"/>
                <w:szCs w:val="18"/>
                <w:color w:val="auto"/>
              </w:rPr>
              <w:t>—</w:t>
            </w:r>
          </w:p>
        </w:tc>
        <w:tc>
          <w:tcPr>
            <w:tcW w:w="12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line="217" w:lineRule="exact"/>
              <w:rPr>
                <w:sz w:val="20"/>
                <w:szCs w:val="20"/>
                <w:color w:val="auto"/>
              </w:rPr>
            </w:pPr>
            <w:r>
              <w:rPr>
                <w:rFonts w:ascii="Calibri" w:cs="Calibri" w:eastAsia="Calibri" w:hAnsi="Calibri"/>
                <w:sz w:val="18"/>
                <w:szCs w:val="18"/>
                <w:color w:val="auto"/>
              </w:rPr>
              <w:t>(7,000)</w:t>
            </w:r>
          </w:p>
        </w:tc>
        <w:tc>
          <w:tcPr>
            <w:tcW w:w="0" w:type="dxa"/>
            <w:vAlign w:val="bottom"/>
          </w:tcPr>
          <w:p>
            <w:pPr>
              <w:spacing w:after="0"/>
              <w:rPr>
                <w:sz w:val="1"/>
                <w:szCs w:val="1"/>
                <w:color w:val="auto"/>
              </w:rPr>
            </w:pPr>
          </w:p>
        </w:tc>
      </w:tr>
      <w:tr>
        <w:trPr>
          <w:trHeight w:val="164"/>
        </w:trPr>
        <w:tc>
          <w:tcPr>
            <w:tcW w:w="3520" w:type="dxa"/>
            <w:vAlign w:val="bottom"/>
          </w:tcPr>
          <w:p>
            <w:pPr>
              <w:ind w:left="20"/>
              <w:spacing w:after="0" w:line="164" w:lineRule="exact"/>
              <w:rPr>
                <w:sz w:val="20"/>
                <w:szCs w:val="20"/>
                <w:color w:val="auto"/>
              </w:rPr>
            </w:pPr>
            <w:r>
              <w:rPr>
                <w:rFonts w:ascii="Calibri" w:cs="Calibri" w:eastAsia="Calibri" w:hAnsi="Calibri"/>
                <w:sz w:val="17"/>
                <w:szCs w:val="17"/>
                <w:color w:val="auto"/>
              </w:rPr>
              <w:t>Common stock issued in connecton with</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3520" w:type="dxa"/>
            <w:vAlign w:val="bottom"/>
          </w:tcPr>
          <w:p>
            <w:pPr>
              <w:ind w:left="180"/>
              <w:spacing w:after="0" w:line="185" w:lineRule="exact"/>
              <w:rPr>
                <w:sz w:val="20"/>
                <w:szCs w:val="20"/>
                <w:color w:val="auto"/>
              </w:rPr>
            </w:pPr>
            <w:r>
              <w:rPr>
                <w:rFonts w:ascii="Calibri" w:cs="Calibri" w:eastAsia="Calibri" w:hAnsi="Calibri"/>
                <w:sz w:val="18"/>
                <w:szCs w:val="18"/>
                <w:color w:val="auto"/>
              </w:rPr>
              <w:t>Mandatory Convertble Preferred Stock</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520" w:type="dxa"/>
            <w:vAlign w:val="bottom"/>
          </w:tcPr>
          <w:p>
            <w:pPr>
              <w:ind w:left="180"/>
              <w:spacing w:after="0" w:line="210" w:lineRule="exact"/>
              <w:rPr>
                <w:sz w:val="20"/>
                <w:szCs w:val="20"/>
                <w:color w:val="auto"/>
              </w:rPr>
            </w:pPr>
            <w:r>
              <w:rPr>
                <w:rFonts w:ascii="Calibri" w:cs="Calibri" w:eastAsia="Calibri" w:hAnsi="Calibri"/>
                <w:sz w:val="18"/>
                <w:szCs w:val="18"/>
                <w:color w:val="auto"/>
              </w:rPr>
              <w:t>conversion</w:t>
            </w:r>
          </w:p>
        </w:tc>
        <w:tc>
          <w:tcPr>
            <w:tcW w:w="580" w:type="dxa"/>
            <w:vAlign w:val="bottom"/>
          </w:tcPr>
          <w:p>
            <w:pPr>
              <w:jc w:val="right"/>
              <w:spacing w:after="0" w:line="210" w:lineRule="exact"/>
              <w:rPr>
                <w:sz w:val="20"/>
                <w:szCs w:val="20"/>
                <w:color w:val="auto"/>
              </w:rPr>
            </w:pPr>
            <w:r>
              <w:rPr>
                <w:rFonts w:ascii="Calibri" w:cs="Calibri" w:eastAsia="Calibri" w:hAnsi="Calibri"/>
                <w:sz w:val="18"/>
                <w:szCs w:val="18"/>
                <w:color w:val="auto"/>
              </w:rPr>
              <w:t>(4)</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gridSpan w:val="2"/>
          </w:tcPr>
          <w:p>
            <w:pPr>
              <w:spacing w:after="0" w:line="210" w:lineRule="exact"/>
              <w:rPr>
                <w:sz w:val="20"/>
                <w:szCs w:val="20"/>
                <w:color w:val="auto"/>
              </w:rPr>
            </w:pPr>
            <w:r>
              <w:rPr>
                <w:rFonts w:ascii="Calibri" w:cs="Calibri" w:eastAsia="Calibri" w:hAnsi="Calibri"/>
                <w:sz w:val="18"/>
                <w:szCs w:val="18"/>
                <w:color w:val="auto"/>
              </w:rPr>
              <w:t>—</w:t>
            </w:r>
          </w:p>
        </w:tc>
        <w:tc>
          <w:tcPr>
            <w:tcW w:w="580" w:type="dxa"/>
            <w:vAlign w:val="bottom"/>
          </w:tcPr>
          <w:p>
            <w:pPr>
              <w:jc w:val="right"/>
              <w:spacing w:after="0" w:line="210" w:lineRule="exact"/>
              <w:rPr>
                <w:sz w:val="20"/>
                <w:szCs w:val="20"/>
                <w:color w:val="auto"/>
              </w:rPr>
            </w:pPr>
            <w:r>
              <w:rPr>
                <w:rFonts w:ascii="Calibri" w:cs="Calibri" w:eastAsia="Calibri" w:hAnsi="Calibri"/>
                <w:sz w:val="18"/>
                <w:szCs w:val="18"/>
                <w:color w:val="auto"/>
              </w:rPr>
              <w:t>12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ind w:left="500"/>
              <w:spacing w:after="0" w:line="210" w:lineRule="exact"/>
              <w:rPr>
                <w:sz w:val="20"/>
                <w:szCs w:val="20"/>
                <w:color w:val="auto"/>
              </w:rPr>
            </w:pPr>
            <w:r>
              <w:rPr>
                <w:rFonts w:ascii="Calibri" w:cs="Calibri" w:eastAsia="Calibri" w:hAnsi="Calibri"/>
                <w:sz w:val="18"/>
                <w:szCs w:val="18"/>
                <w:color w:val="auto"/>
              </w:rPr>
              <w:t>—</w:t>
            </w:r>
          </w:p>
        </w:tc>
        <w:tc>
          <w:tcPr>
            <w:tcW w:w="120" w:type="dxa"/>
            <w:vAlign w:val="bottom"/>
          </w:tcPr>
          <w:p>
            <w:pPr>
              <w:spacing w:after="0"/>
              <w:rPr>
                <w:sz w:val="18"/>
                <w:szCs w:val="18"/>
                <w:color w:val="auto"/>
              </w:rPr>
            </w:pPr>
          </w:p>
        </w:tc>
        <w:tc>
          <w:tcPr>
            <w:tcW w:w="840" w:type="dxa"/>
            <w:vAlign w:val="bottom"/>
            <w:gridSpan w:val="2"/>
          </w:tcPr>
          <w:p>
            <w:pPr>
              <w:jc w:val="right"/>
              <w:ind w:right="160"/>
              <w:spacing w:after="0" w:line="210" w:lineRule="exact"/>
              <w:rPr>
                <w:sz w:val="20"/>
                <w:szCs w:val="20"/>
                <w:color w:val="auto"/>
              </w:rPr>
            </w:pPr>
            <w:r>
              <w:rPr>
                <w:rFonts w:ascii="Calibri" w:cs="Calibri" w:eastAsia="Calibri" w:hAnsi="Calibri"/>
                <w:sz w:val="18"/>
                <w:szCs w:val="18"/>
                <w:color w:val="auto"/>
              </w:rPr>
              <w:t>—</w:t>
            </w:r>
          </w:p>
        </w:tc>
        <w:tc>
          <w:tcPr>
            <w:tcW w:w="160" w:type="dxa"/>
            <w:vAlign w:val="bottom"/>
          </w:tcPr>
          <w:p>
            <w:pPr>
              <w:spacing w:after="0"/>
              <w:rPr>
                <w:sz w:val="18"/>
                <w:szCs w:val="18"/>
                <w:color w:val="auto"/>
              </w:rPr>
            </w:pPr>
          </w:p>
        </w:tc>
        <w:tc>
          <w:tcPr>
            <w:tcW w:w="940" w:type="dxa"/>
            <w:vAlign w:val="bottom"/>
            <w:gridSpan w:val="2"/>
          </w:tcPr>
          <w:p>
            <w:pPr>
              <w:jc w:val="right"/>
              <w:ind w:right="160"/>
              <w:spacing w:after="0" w:line="210" w:lineRule="exact"/>
              <w:rPr>
                <w:sz w:val="20"/>
                <w:szCs w:val="20"/>
                <w:color w:val="auto"/>
              </w:rPr>
            </w:pPr>
            <w:r>
              <w:rPr>
                <w:rFonts w:ascii="Calibri" w:cs="Calibri" w:eastAsia="Calibri" w:hAnsi="Calibri"/>
                <w:sz w:val="18"/>
                <w:szCs w:val="18"/>
                <w:color w:val="auto"/>
              </w:rPr>
              <w:t>—</w:t>
            </w:r>
          </w:p>
        </w:tc>
        <w:tc>
          <w:tcPr>
            <w:tcW w:w="120" w:type="dxa"/>
            <w:vAlign w:val="bottom"/>
          </w:tcPr>
          <w:p>
            <w:pPr>
              <w:spacing w:after="0"/>
              <w:rPr>
                <w:sz w:val="18"/>
                <w:szCs w:val="18"/>
                <w:color w:val="auto"/>
              </w:rPr>
            </w:pPr>
          </w:p>
        </w:tc>
        <w:tc>
          <w:tcPr>
            <w:tcW w:w="1180" w:type="dxa"/>
            <w:vAlign w:val="bottom"/>
            <w:gridSpan w:val="2"/>
          </w:tcPr>
          <w:p>
            <w:pPr>
              <w:jc w:val="right"/>
              <w:ind w:right="160"/>
              <w:spacing w:after="0" w:line="210" w:lineRule="exact"/>
              <w:rPr>
                <w:sz w:val="20"/>
                <w:szCs w:val="20"/>
                <w:color w:val="auto"/>
              </w:rPr>
            </w:pPr>
            <w:r>
              <w:rPr>
                <w:rFonts w:ascii="Calibri" w:cs="Calibri" w:eastAsia="Calibri" w:hAnsi="Calibri"/>
                <w:sz w:val="18"/>
                <w:szCs w:val="18"/>
                <w:color w:val="auto"/>
              </w:rPr>
              <w:t>—</w:t>
            </w:r>
          </w:p>
        </w:tc>
        <w:tc>
          <w:tcPr>
            <w:tcW w:w="120" w:type="dxa"/>
            <w:vAlign w:val="bottom"/>
          </w:tcPr>
          <w:p>
            <w:pPr>
              <w:spacing w:after="0"/>
              <w:rPr>
                <w:sz w:val="18"/>
                <w:szCs w:val="18"/>
                <w:color w:val="auto"/>
              </w:rPr>
            </w:pPr>
          </w:p>
        </w:tc>
        <w:tc>
          <w:tcPr>
            <w:tcW w:w="960" w:type="dxa"/>
            <w:vAlign w:val="bottom"/>
          </w:tcPr>
          <w:p>
            <w:pPr>
              <w:jc w:val="right"/>
              <w:spacing w:after="0" w:line="210" w:lineRule="exact"/>
              <w:rPr>
                <w:sz w:val="20"/>
                <w:szCs w:val="20"/>
                <w:color w:val="auto"/>
              </w:rPr>
            </w:pPr>
            <w:r>
              <w:rPr>
                <w:rFonts w:ascii="Calibri" w:cs="Calibri" w:eastAsia="Calibri" w:hAnsi="Calibri"/>
                <w:sz w:val="18"/>
                <w:szCs w:val="18"/>
                <w:color w:val="auto"/>
              </w:rPr>
              <w:t>—</w:t>
            </w:r>
          </w:p>
        </w:tc>
        <w:tc>
          <w:tcPr>
            <w:tcW w:w="0" w:type="dxa"/>
            <w:vAlign w:val="bottom"/>
          </w:tcPr>
          <w:p>
            <w:pPr>
              <w:spacing w:after="0"/>
              <w:rPr>
                <w:sz w:val="1"/>
                <w:szCs w:val="1"/>
                <w:color w:val="auto"/>
              </w:rPr>
            </w:pPr>
          </w:p>
        </w:tc>
      </w:tr>
      <w:tr>
        <w:trPr>
          <w:trHeight w:val="22"/>
        </w:trPr>
        <w:tc>
          <w:tcPr>
            <w:tcW w:w="35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3520" w:type="dxa"/>
            <w:vAlign w:val="bottom"/>
            <w:shd w:val="clear" w:color="auto" w:fill="CCEEFF"/>
          </w:tcPr>
          <w:p>
            <w:pPr>
              <w:ind w:left="20"/>
              <w:spacing w:after="0" w:line="164" w:lineRule="exact"/>
              <w:rPr>
                <w:sz w:val="20"/>
                <w:szCs w:val="20"/>
                <w:color w:val="auto"/>
              </w:rPr>
            </w:pPr>
            <w:r>
              <w:rPr>
                <w:rFonts w:ascii="Calibri" w:cs="Calibri" w:eastAsia="Calibri" w:hAnsi="Calibri"/>
                <w:sz w:val="17"/>
                <w:szCs w:val="17"/>
                <w:color w:val="auto"/>
              </w:rPr>
              <w:t>Shares repurchased for tax withholdings on</w:t>
            </w: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3520" w:type="dxa"/>
            <w:vAlign w:val="bottom"/>
            <w:tcBorders>
              <w:bottom w:val="single" w:sz="8" w:color="CCEEFF"/>
            </w:tcBorders>
            <w:shd w:val="clear" w:color="auto" w:fill="CCEEFF"/>
          </w:tcPr>
          <w:p>
            <w:pPr>
              <w:ind w:left="180"/>
              <w:spacing w:after="0" w:line="210" w:lineRule="exact"/>
              <w:rPr>
                <w:sz w:val="20"/>
                <w:szCs w:val="20"/>
                <w:color w:val="auto"/>
              </w:rPr>
            </w:pPr>
            <w:r>
              <w:rPr>
                <w:rFonts w:ascii="Calibri" w:cs="Calibri" w:eastAsia="Calibri" w:hAnsi="Calibri"/>
                <w:sz w:val="18"/>
                <w:szCs w:val="18"/>
                <w:color w:val="auto"/>
              </w:rPr>
              <w:t>vestng of equity awards</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gridSpan w:val="2"/>
            <w:shd w:val="clear" w:color="auto" w:fill="CCEEFF"/>
          </w:tcPr>
          <w:p>
            <w:pPr>
              <w:spacing w:after="0"/>
              <w:rPr>
                <w:sz w:val="20"/>
                <w:szCs w:val="20"/>
                <w:color w:val="auto"/>
              </w:rPr>
            </w:pPr>
            <w:r>
              <w:rPr>
                <w:rFonts w:ascii="Calibri" w:cs="Calibri" w:eastAsia="Calibri" w:hAnsi="Calibri"/>
                <w:sz w:val="18"/>
                <w:szCs w:val="18"/>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ind w:left="500"/>
              <w:spacing w:after="0"/>
              <w:rPr>
                <w:sz w:val="20"/>
                <w:szCs w:val="20"/>
                <w:color w:val="auto"/>
              </w:rPr>
            </w:pPr>
            <w:r>
              <w:rPr>
                <w:rFonts w:ascii="Calibri" w:cs="Calibri" w:eastAsia="Calibri" w:hAnsi="Calibri"/>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8"/>
                <w:szCs w:val="18"/>
                <w:color w:val="auto"/>
              </w:rPr>
              <w:t>(1,456)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Calibri" w:cs="Calibri" w:eastAsia="Calibri" w:hAnsi="Calibri"/>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Calibri" w:cs="Calibri" w:eastAsia="Calibri" w:hAnsi="Calibri"/>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8"/>
                <w:szCs w:val="18"/>
                <w:color w:val="auto"/>
              </w:rPr>
              <w:t>(1,456)</w:t>
            </w:r>
          </w:p>
        </w:tc>
        <w:tc>
          <w:tcPr>
            <w:tcW w:w="0" w:type="dxa"/>
            <w:vAlign w:val="bottom"/>
          </w:tcPr>
          <w:p>
            <w:pPr>
              <w:spacing w:after="0"/>
              <w:rPr>
                <w:sz w:val="1"/>
                <w:szCs w:val="1"/>
                <w:color w:val="auto"/>
              </w:rPr>
            </w:pPr>
          </w:p>
        </w:tc>
      </w:tr>
      <w:tr>
        <w:trPr>
          <w:trHeight w:val="210"/>
        </w:trPr>
        <w:tc>
          <w:tcPr>
            <w:tcW w:w="3520" w:type="dxa"/>
            <w:vAlign w:val="bottom"/>
          </w:tcPr>
          <w:p>
            <w:pPr>
              <w:ind w:left="20"/>
              <w:spacing w:after="0" w:line="196" w:lineRule="exact"/>
              <w:rPr>
                <w:sz w:val="20"/>
                <w:szCs w:val="20"/>
                <w:color w:val="auto"/>
              </w:rPr>
            </w:pPr>
            <w:r>
              <w:rPr>
                <w:rFonts w:ascii="Calibri" w:cs="Calibri" w:eastAsia="Calibri" w:hAnsi="Calibri"/>
                <w:sz w:val="18"/>
                <w:szCs w:val="18"/>
                <w:b w:val="1"/>
                <w:bCs w:val="1"/>
                <w:color w:val="auto"/>
              </w:rPr>
              <w:t>Balance as of October 30, 2022</w:t>
            </w:r>
          </w:p>
        </w:tc>
        <w:tc>
          <w:tcPr>
            <w:tcW w:w="580" w:type="dxa"/>
            <w:vAlign w:val="bottom"/>
            <w:tcBorders>
              <w:top w:val="single" w:sz="8" w:color="auto"/>
            </w:tcBorders>
          </w:tcPr>
          <w:p>
            <w:pPr>
              <w:jc w:val="right"/>
              <w:spacing w:after="0" w:line="210" w:lineRule="exact"/>
              <w:rPr>
                <w:sz w:val="20"/>
                <w:szCs w:val="20"/>
                <w:color w:val="auto"/>
              </w:rPr>
            </w:pPr>
            <w:r>
              <w:rPr>
                <w:rFonts w:ascii="Calibri" w:cs="Calibri" w:eastAsia="Calibri" w:hAnsi="Calibri"/>
                <w:sz w:val="18"/>
                <w:szCs w:val="18"/>
                <w:color w:val="auto"/>
              </w:rPr>
              <w:t>—</w:t>
            </w:r>
          </w:p>
        </w:tc>
        <w:tc>
          <w:tcPr>
            <w:tcW w:w="100" w:type="dxa"/>
            <w:vAlign w:val="bottom"/>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line="210" w:lineRule="exact"/>
              <w:rPr>
                <w:sz w:val="20"/>
                <w:szCs w:val="20"/>
                <w:color w:val="auto"/>
              </w:rPr>
            </w:pPr>
            <w:r>
              <w:rPr>
                <w:rFonts w:ascii="Calibri" w:cs="Calibri" w:eastAsia="Calibri" w:hAnsi="Calibri"/>
                <w:sz w:val="18"/>
                <w:szCs w:val="18"/>
                <w:color w:val="auto"/>
              </w:rPr>
              <w:t>—</w:t>
            </w:r>
          </w:p>
        </w:tc>
        <w:tc>
          <w:tcPr>
            <w:tcW w:w="120" w:type="dxa"/>
            <w:vAlign w:val="bottom"/>
          </w:tcPr>
          <w:p>
            <w:pPr>
              <w:spacing w:after="0"/>
              <w:rPr>
                <w:sz w:val="18"/>
                <w:szCs w:val="18"/>
                <w:color w:val="auto"/>
              </w:rPr>
            </w:pPr>
          </w:p>
        </w:tc>
        <w:tc>
          <w:tcPr>
            <w:tcW w:w="580" w:type="dxa"/>
            <w:vAlign w:val="bottom"/>
            <w:tcBorders>
              <w:top w:val="single" w:sz="8" w:color="auto"/>
            </w:tcBorders>
          </w:tcPr>
          <w:p>
            <w:pPr>
              <w:jc w:val="right"/>
              <w:spacing w:after="0" w:line="210" w:lineRule="exact"/>
              <w:rPr>
                <w:sz w:val="20"/>
                <w:szCs w:val="20"/>
                <w:color w:val="auto"/>
              </w:rPr>
            </w:pPr>
            <w:r>
              <w:rPr>
                <w:rFonts w:ascii="Calibri" w:cs="Calibri" w:eastAsia="Calibri" w:hAnsi="Calibri"/>
                <w:sz w:val="18"/>
                <w:szCs w:val="18"/>
                <w:color w:val="auto"/>
              </w:rPr>
              <w:t>418</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ind w:left="500"/>
              <w:spacing w:after="0" w:line="210" w:lineRule="exact"/>
              <w:rPr>
                <w:sz w:val="20"/>
                <w:szCs w:val="20"/>
                <w:color w:val="auto"/>
              </w:rPr>
            </w:pPr>
            <w:r>
              <w:rPr>
                <w:rFonts w:ascii="Calibri" w:cs="Calibri" w:eastAsia="Calibri" w:hAnsi="Calibri"/>
                <w:sz w:val="18"/>
                <w:szCs w:val="18"/>
                <w:color w:val="auto"/>
              </w:rPr>
              <w:t>—</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line="210" w:lineRule="exact"/>
              <w:rPr>
                <w:sz w:val="20"/>
                <w:szCs w:val="20"/>
                <w:color w:val="auto"/>
              </w:rPr>
            </w:pPr>
            <w:r>
              <w:rPr>
                <w:rFonts w:ascii="Calibri" w:cs="Calibri" w:eastAsia="Calibri" w:hAnsi="Calibri"/>
                <w:sz w:val="18"/>
                <w:szCs w:val="18"/>
                <w:color w:val="auto"/>
              </w:rPr>
              <w:t>21,159</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line="210" w:lineRule="exact"/>
              <w:rPr>
                <w:sz w:val="20"/>
                <w:szCs w:val="20"/>
                <w:color w:val="auto"/>
              </w:rPr>
            </w:pPr>
            <w:r>
              <w:rPr>
                <w:rFonts w:ascii="Calibri" w:cs="Calibri" w:eastAsia="Calibri" w:hAnsi="Calibri"/>
                <w:sz w:val="18"/>
                <w:szCs w:val="18"/>
                <w:color w:val="auto"/>
              </w:rPr>
              <w:t>1,604</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line="210" w:lineRule="exact"/>
              <w:rPr>
                <w:sz w:val="20"/>
                <w:szCs w:val="20"/>
                <w:color w:val="auto"/>
              </w:rPr>
            </w:pPr>
            <w:r>
              <w:rPr>
                <w:rFonts w:ascii="Calibri" w:cs="Calibri" w:eastAsia="Calibri" w:hAnsi="Calibri"/>
                <w:sz w:val="18"/>
                <w:szCs w:val="18"/>
                <w:color w:val="auto"/>
              </w:rPr>
              <w:t>(54)</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line="210" w:lineRule="exact"/>
              <w:rPr>
                <w:sz w:val="20"/>
                <w:szCs w:val="20"/>
                <w:color w:val="auto"/>
              </w:rPr>
            </w:pPr>
            <w:r>
              <w:rPr>
                <w:rFonts w:ascii="Calibri" w:cs="Calibri" w:eastAsia="Calibri" w:hAnsi="Calibri"/>
                <w:sz w:val="18"/>
                <w:szCs w:val="18"/>
                <w:color w:val="auto"/>
              </w:rPr>
              <w:t>22,709</w:t>
            </w:r>
          </w:p>
        </w:tc>
        <w:tc>
          <w:tcPr>
            <w:tcW w:w="0" w:type="dxa"/>
            <w:vAlign w:val="bottom"/>
          </w:tcPr>
          <w:p>
            <w:pPr>
              <w:spacing w:after="0"/>
              <w:rPr>
                <w:sz w:val="1"/>
                <w:szCs w:val="1"/>
                <w:color w:val="auto"/>
              </w:rPr>
            </w:pPr>
          </w:p>
        </w:tc>
      </w:tr>
      <w:tr>
        <w:trPr>
          <w:trHeight w:val="232"/>
        </w:trPr>
        <w:tc>
          <w:tcPr>
            <w:tcW w:w="3520" w:type="dxa"/>
            <w:vAlign w:val="bottom"/>
            <w:shd w:val="clear" w:color="auto" w:fill="CCEEFF"/>
          </w:tcPr>
          <w:p>
            <w:pPr>
              <w:ind w:left="20"/>
              <w:spacing w:after="0" w:line="217" w:lineRule="exact"/>
              <w:rPr>
                <w:sz w:val="20"/>
                <w:szCs w:val="20"/>
                <w:color w:val="auto"/>
              </w:rPr>
            </w:pPr>
            <w:r>
              <w:rPr>
                <w:rFonts w:ascii="Calibri" w:cs="Calibri" w:eastAsia="Calibri" w:hAnsi="Calibri"/>
                <w:sz w:val="18"/>
                <w:szCs w:val="18"/>
                <w:color w:val="auto"/>
              </w:rPr>
              <w:t>Net income</w:t>
            </w:r>
          </w:p>
        </w:tc>
        <w:tc>
          <w:tcPr>
            <w:tcW w:w="580" w:type="dxa"/>
            <w:vAlign w:val="bottom"/>
            <w:shd w:val="clear" w:color="auto" w:fill="CCEEFF"/>
          </w:tcPr>
          <w:p>
            <w:pPr>
              <w:jc w:val="right"/>
              <w:spacing w:after="0" w:line="217" w:lineRule="exact"/>
              <w:rPr>
                <w:sz w:val="20"/>
                <w:szCs w:val="20"/>
                <w:color w:val="auto"/>
              </w:rPr>
            </w:pPr>
            <w:r>
              <w:rPr>
                <w:rFonts w:ascii="Calibri" w:cs="Calibri" w:eastAsia="Calibri" w:hAnsi="Calibri"/>
                <w:sz w:val="18"/>
                <w:szCs w:val="18"/>
                <w:color w:val="auto"/>
              </w:rPr>
              <w:t>—</w:t>
            </w: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340" w:type="dxa"/>
            <w:vAlign w:val="bottom"/>
            <w:gridSpan w:val="2"/>
            <w:shd w:val="clear" w:color="auto" w:fill="CCEEFF"/>
          </w:tcPr>
          <w:p>
            <w:pPr>
              <w:spacing w:after="0" w:line="217" w:lineRule="exact"/>
              <w:rPr>
                <w:sz w:val="20"/>
                <w:szCs w:val="20"/>
                <w:color w:val="auto"/>
              </w:rPr>
            </w:pPr>
            <w:r>
              <w:rPr>
                <w:rFonts w:ascii="Calibri" w:cs="Calibri" w:eastAsia="Calibri" w:hAnsi="Calibri"/>
                <w:sz w:val="18"/>
                <w:szCs w:val="18"/>
                <w:color w:val="auto"/>
              </w:rPr>
              <w:t>—</w:t>
            </w:r>
          </w:p>
        </w:tc>
        <w:tc>
          <w:tcPr>
            <w:tcW w:w="680" w:type="dxa"/>
            <w:vAlign w:val="bottom"/>
            <w:gridSpan w:val="2"/>
            <w:shd w:val="clear" w:color="auto" w:fill="CCEEFF"/>
          </w:tcPr>
          <w:p>
            <w:pPr>
              <w:jc w:val="right"/>
              <w:ind w:right="160"/>
              <w:spacing w:after="0" w:line="217" w:lineRule="exact"/>
              <w:rPr>
                <w:sz w:val="20"/>
                <w:szCs w:val="20"/>
                <w:color w:val="auto"/>
              </w:rPr>
            </w:pPr>
            <w:r>
              <w:rPr>
                <w:rFonts w:ascii="Calibri" w:cs="Calibri" w:eastAsia="Calibri" w:hAnsi="Calibri"/>
                <w:sz w:val="18"/>
                <w:szCs w:val="18"/>
                <w:color w:val="auto"/>
              </w:rPr>
              <w:t>—</w:t>
            </w:r>
          </w:p>
        </w:tc>
        <w:tc>
          <w:tcPr>
            <w:tcW w:w="120" w:type="dxa"/>
            <w:vAlign w:val="bottom"/>
            <w:shd w:val="clear" w:color="auto" w:fill="CCEEFF"/>
          </w:tcPr>
          <w:p>
            <w:pPr>
              <w:spacing w:after="0"/>
              <w:rPr>
                <w:sz w:val="20"/>
                <w:szCs w:val="20"/>
                <w:color w:val="auto"/>
              </w:rPr>
            </w:pPr>
          </w:p>
        </w:tc>
        <w:tc>
          <w:tcPr>
            <w:tcW w:w="820" w:type="dxa"/>
            <w:vAlign w:val="bottom"/>
            <w:gridSpan w:val="2"/>
            <w:shd w:val="clear" w:color="auto" w:fill="CCEEFF"/>
          </w:tcPr>
          <w:p>
            <w:pPr>
              <w:ind w:left="500"/>
              <w:spacing w:after="0" w:line="217" w:lineRule="exact"/>
              <w:rPr>
                <w:sz w:val="20"/>
                <w:szCs w:val="20"/>
                <w:color w:val="auto"/>
              </w:rPr>
            </w:pPr>
            <w:r>
              <w:rPr>
                <w:rFonts w:ascii="Calibri" w:cs="Calibri" w:eastAsia="Calibri" w:hAnsi="Calibri"/>
                <w:sz w:val="18"/>
                <w:szCs w:val="18"/>
                <w:color w:val="auto"/>
              </w:rPr>
              <w:t>—</w:t>
            </w:r>
          </w:p>
        </w:tc>
        <w:tc>
          <w:tcPr>
            <w:tcW w:w="12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60"/>
              <w:spacing w:after="0" w:line="217" w:lineRule="exact"/>
              <w:rPr>
                <w:sz w:val="20"/>
                <w:szCs w:val="20"/>
                <w:color w:val="auto"/>
              </w:rPr>
            </w:pPr>
            <w:r>
              <w:rPr>
                <w:rFonts w:ascii="Calibri" w:cs="Calibri" w:eastAsia="Calibri" w:hAnsi="Calibri"/>
                <w:sz w:val="18"/>
                <w:szCs w:val="18"/>
                <w:color w:val="auto"/>
              </w:rPr>
              <w:t>—</w:t>
            </w:r>
          </w:p>
        </w:tc>
        <w:tc>
          <w:tcPr>
            <w:tcW w:w="16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line="217" w:lineRule="exact"/>
              <w:rPr>
                <w:sz w:val="20"/>
                <w:szCs w:val="20"/>
                <w:color w:val="auto"/>
              </w:rPr>
            </w:pPr>
            <w:r>
              <w:rPr>
                <w:rFonts w:ascii="Calibri" w:cs="Calibri" w:eastAsia="Calibri" w:hAnsi="Calibri"/>
                <w:sz w:val="18"/>
                <w:szCs w:val="18"/>
                <w:color w:val="auto"/>
              </w:rPr>
              <w:t>14,082</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60"/>
              <w:spacing w:after="0" w:line="217" w:lineRule="exact"/>
              <w:rPr>
                <w:sz w:val="20"/>
                <w:szCs w:val="20"/>
                <w:color w:val="auto"/>
              </w:rPr>
            </w:pPr>
            <w:r>
              <w:rPr>
                <w:rFonts w:ascii="Calibri" w:cs="Calibri" w:eastAsia="Calibri" w:hAnsi="Calibri"/>
                <w:sz w:val="18"/>
                <w:szCs w:val="18"/>
                <w:color w:val="auto"/>
              </w:rPr>
              <w:t>—</w:t>
            </w:r>
          </w:p>
        </w:tc>
        <w:tc>
          <w:tcPr>
            <w:tcW w:w="12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line="217" w:lineRule="exact"/>
              <w:rPr>
                <w:sz w:val="20"/>
                <w:szCs w:val="20"/>
                <w:color w:val="auto"/>
              </w:rPr>
            </w:pPr>
            <w:r>
              <w:rPr>
                <w:rFonts w:ascii="Calibri" w:cs="Calibri" w:eastAsia="Calibri" w:hAnsi="Calibri"/>
                <w:sz w:val="18"/>
                <w:szCs w:val="18"/>
                <w:color w:val="auto"/>
              </w:rPr>
              <w:t>14,082</w:t>
            </w:r>
          </w:p>
        </w:tc>
        <w:tc>
          <w:tcPr>
            <w:tcW w:w="0" w:type="dxa"/>
            <w:vAlign w:val="bottom"/>
          </w:tcPr>
          <w:p>
            <w:pPr>
              <w:spacing w:after="0"/>
              <w:rPr>
                <w:sz w:val="1"/>
                <w:szCs w:val="1"/>
                <w:color w:val="auto"/>
              </w:rPr>
            </w:pPr>
          </w:p>
        </w:tc>
      </w:tr>
      <w:tr>
        <w:trPr>
          <w:trHeight w:val="217"/>
        </w:trPr>
        <w:tc>
          <w:tcPr>
            <w:tcW w:w="3520" w:type="dxa"/>
            <w:vAlign w:val="bottom"/>
          </w:tcPr>
          <w:p>
            <w:pPr>
              <w:ind w:left="20"/>
              <w:spacing w:after="0" w:line="210" w:lineRule="exact"/>
              <w:rPr>
                <w:sz w:val="20"/>
                <w:szCs w:val="20"/>
                <w:color w:val="auto"/>
              </w:rPr>
            </w:pPr>
            <w:r>
              <w:rPr>
                <w:rFonts w:ascii="Calibri" w:cs="Calibri" w:eastAsia="Calibri" w:hAnsi="Calibri"/>
                <w:sz w:val="18"/>
                <w:szCs w:val="18"/>
                <w:color w:val="auto"/>
              </w:rPr>
              <w:t>Other comprehensive income</w:t>
            </w:r>
          </w:p>
        </w:tc>
        <w:tc>
          <w:tcPr>
            <w:tcW w:w="580" w:type="dxa"/>
            <w:vAlign w:val="bottom"/>
          </w:tcPr>
          <w:p>
            <w:pPr>
              <w:jc w:val="right"/>
              <w:spacing w:after="0" w:line="210" w:lineRule="exact"/>
              <w:rPr>
                <w:sz w:val="20"/>
                <w:szCs w:val="20"/>
                <w:color w:val="auto"/>
              </w:rPr>
            </w:pPr>
            <w:r>
              <w:rPr>
                <w:rFonts w:ascii="Calibri" w:cs="Calibri" w:eastAsia="Calibri" w:hAnsi="Calibri"/>
                <w:sz w:val="18"/>
                <w:szCs w:val="18"/>
                <w:color w:val="auto"/>
              </w:rPr>
              <w:t>—</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gridSpan w:val="2"/>
          </w:tcPr>
          <w:p>
            <w:pPr>
              <w:spacing w:after="0" w:line="210" w:lineRule="exact"/>
              <w:rPr>
                <w:sz w:val="20"/>
                <w:szCs w:val="20"/>
                <w:color w:val="auto"/>
              </w:rPr>
            </w:pPr>
            <w:r>
              <w:rPr>
                <w:rFonts w:ascii="Calibri" w:cs="Calibri" w:eastAsia="Calibri" w:hAnsi="Calibri"/>
                <w:sz w:val="18"/>
                <w:szCs w:val="18"/>
                <w:color w:val="auto"/>
              </w:rPr>
              <w:t>—</w:t>
            </w:r>
          </w:p>
        </w:tc>
        <w:tc>
          <w:tcPr>
            <w:tcW w:w="680" w:type="dxa"/>
            <w:vAlign w:val="bottom"/>
            <w:gridSpan w:val="2"/>
          </w:tcPr>
          <w:p>
            <w:pPr>
              <w:jc w:val="right"/>
              <w:ind w:right="160"/>
              <w:spacing w:after="0" w:line="210" w:lineRule="exact"/>
              <w:rPr>
                <w:sz w:val="20"/>
                <w:szCs w:val="20"/>
                <w:color w:val="auto"/>
              </w:rPr>
            </w:pPr>
            <w:r>
              <w:rPr>
                <w:rFonts w:ascii="Calibri" w:cs="Calibri" w:eastAsia="Calibri" w:hAnsi="Calibri"/>
                <w:sz w:val="18"/>
                <w:szCs w:val="18"/>
                <w:color w:val="auto"/>
              </w:rPr>
              <w:t>—</w:t>
            </w:r>
          </w:p>
        </w:tc>
        <w:tc>
          <w:tcPr>
            <w:tcW w:w="120" w:type="dxa"/>
            <w:vAlign w:val="bottom"/>
          </w:tcPr>
          <w:p>
            <w:pPr>
              <w:spacing w:after="0"/>
              <w:rPr>
                <w:sz w:val="18"/>
                <w:szCs w:val="18"/>
                <w:color w:val="auto"/>
              </w:rPr>
            </w:pPr>
          </w:p>
        </w:tc>
        <w:tc>
          <w:tcPr>
            <w:tcW w:w="820" w:type="dxa"/>
            <w:vAlign w:val="bottom"/>
            <w:gridSpan w:val="2"/>
          </w:tcPr>
          <w:p>
            <w:pPr>
              <w:ind w:left="500"/>
              <w:spacing w:after="0" w:line="210" w:lineRule="exact"/>
              <w:rPr>
                <w:sz w:val="20"/>
                <w:szCs w:val="20"/>
                <w:color w:val="auto"/>
              </w:rPr>
            </w:pPr>
            <w:r>
              <w:rPr>
                <w:rFonts w:ascii="Calibri" w:cs="Calibri" w:eastAsia="Calibri" w:hAnsi="Calibri"/>
                <w:sz w:val="18"/>
                <w:szCs w:val="18"/>
                <w:color w:val="auto"/>
              </w:rPr>
              <w:t>—</w:t>
            </w:r>
          </w:p>
        </w:tc>
        <w:tc>
          <w:tcPr>
            <w:tcW w:w="120" w:type="dxa"/>
            <w:vAlign w:val="bottom"/>
          </w:tcPr>
          <w:p>
            <w:pPr>
              <w:spacing w:after="0"/>
              <w:rPr>
                <w:sz w:val="18"/>
                <w:szCs w:val="18"/>
                <w:color w:val="auto"/>
              </w:rPr>
            </w:pPr>
          </w:p>
        </w:tc>
        <w:tc>
          <w:tcPr>
            <w:tcW w:w="840" w:type="dxa"/>
            <w:vAlign w:val="bottom"/>
            <w:gridSpan w:val="2"/>
          </w:tcPr>
          <w:p>
            <w:pPr>
              <w:jc w:val="right"/>
              <w:ind w:right="160"/>
              <w:spacing w:after="0" w:line="210" w:lineRule="exact"/>
              <w:rPr>
                <w:sz w:val="20"/>
                <w:szCs w:val="20"/>
                <w:color w:val="auto"/>
              </w:rPr>
            </w:pPr>
            <w:r>
              <w:rPr>
                <w:rFonts w:ascii="Calibri" w:cs="Calibri" w:eastAsia="Calibri" w:hAnsi="Calibri"/>
                <w:sz w:val="18"/>
                <w:szCs w:val="18"/>
                <w:color w:val="auto"/>
              </w:rPr>
              <w:t>—</w:t>
            </w:r>
          </w:p>
        </w:tc>
        <w:tc>
          <w:tcPr>
            <w:tcW w:w="160" w:type="dxa"/>
            <w:vAlign w:val="bottom"/>
          </w:tcPr>
          <w:p>
            <w:pPr>
              <w:spacing w:after="0"/>
              <w:rPr>
                <w:sz w:val="18"/>
                <w:szCs w:val="18"/>
                <w:color w:val="auto"/>
              </w:rPr>
            </w:pPr>
          </w:p>
        </w:tc>
        <w:tc>
          <w:tcPr>
            <w:tcW w:w="940" w:type="dxa"/>
            <w:vAlign w:val="bottom"/>
            <w:gridSpan w:val="2"/>
          </w:tcPr>
          <w:p>
            <w:pPr>
              <w:jc w:val="right"/>
              <w:ind w:right="160"/>
              <w:spacing w:after="0" w:line="210" w:lineRule="exact"/>
              <w:rPr>
                <w:sz w:val="20"/>
                <w:szCs w:val="20"/>
                <w:color w:val="auto"/>
              </w:rPr>
            </w:pPr>
            <w:r>
              <w:rPr>
                <w:rFonts w:ascii="Calibri" w:cs="Calibri" w:eastAsia="Calibri" w:hAnsi="Calibri"/>
                <w:sz w:val="18"/>
                <w:szCs w:val="18"/>
                <w:color w:val="auto"/>
              </w:rPr>
              <w:t>—</w:t>
            </w:r>
          </w:p>
        </w:tc>
        <w:tc>
          <w:tcPr>
            <w:tcW w:w="120" w:type="dxa"/>
            <w:vAlign w:val="bottom"/>
          </w:tcPr>
          <w:p>
            <w:pPr>
              <w:spacing w:after="0"/>
              <w:rPr>
                <w:sz w:val="18"/>
                <w:szCs w:val="18"/>
                <w:color w:val="auto"/>
              </w:rPr>
            </w:pPr>
          </w:p>
        </w:tc>
        <w:tc>
          <w:tcPr>
            <w:tcW w:w="1080" w:type="dxa"/>
            <w:vAlign w:val="bottom"/>
          </w:tcPr>
          <w:p>
            <w:pPr>
              <w:jc w:val="right"/>
              <w:spacing w:after="0" w:line="210" w:lineRule="exact"/>
              <w:rPr>
                <w:sz w:val="20"/>
                <w:szCs w:val="20"/>
                <w:color w:val="auto"/>
              </w:rPr>
            </w:pPr>
            <w:r>
              <w:rPr>
                <w:rFonts w:ascii="Calibri" w:cs="Calibri" w:eastAsia="Calibri" w:hAnsi="Calibri"/>
                <w:sz w:val="18"/>
                <w:szCs w:val="18"/>
                <w:color w:val="auto"/>
              </w:rPr>
              <w:t>261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line="210" w:lineRule="exact"/>
              <w:rPr>
                <w:sz w:val="20"/>
                <w:szCs w:val="20"/>
                <w:color w:val="auto"/>
              </w:rPr>
            </w:pPr>
            <w:r>
              <w:rPr>
                <w:rFonts w:ascii="Calibri" w:cs="Calibri" w:eastAsia="Calibri" w:hAnsi="Calibri"/>
                <w:sz w:val="18"/>
                <w:szCs w:val="18"/>
                <w:color w:val="auto"/>
              </w:rPr>
              <w:t>261</w:t>
            </w:r>
          </w:p>
        </w:tc>
        <w:tc>
          <w:tcPr>
            <w:tcW w:w="0" w:type="dxa"/>
            <w:vAlign w:val="bottom"/>
          </w:tcPr>
          <w:p>
            <w:pPr>
              <w:spacing w:after="0"/>
              <w:rPr>
                <w:sz w:val="1"/>
                <w:szCs w:val="1"/>
                <w:color w:val="auto"/>
              </w:rPr>
            </w:pPr>
          </w:p>
        </w:tc>
      </w:tr>
      <w:tr>
        <w:trPr>
          <w:trHeight w:val="232"/>
        </w:trPr>
        <w:tc>
          <w:tcPr>
            <w:tcW w:w="3520" w:type="dxa"/>
            <w:vAlign w:val="bottom"/>
            <w:shd w:val="clear" w:color="auto" w:fill="CCEEFF"/>
          </w:tcPr>
          <w:p>
            <w:pPr>
              <w:ind w:left="20"/>
              <w:spacing w:after="0" w:line="217" w:lineRule="exact"/>
              <w:rPr>
                <w:sz w:val="20"/>
                <w:szCs w:val="20"/>
                <w:color w:val="auto"/>
              </w:rPr>
            </w:pPr>
            <w:r>
              <w:rPr>
                <w:rFonts w:ascii="Calibri" w:cs="Calibri" w:eastAsia="Calibri" w:hAnsi="Calibri"/>
                <w:sz w:val="18"/>
                <w:szCs w:val="18"/>
                <w:color w:val="auto"/>
              </w:rPr>
              <w:t>Dividends to common stockholders</w:t>
            </w:r>
          </w:p>
        </w:tc>
        <w:tc>
          <w:tcPr>
            <w:tcW w:w="580" w:type="dxa"/>
            <w:vAlign w:val="bottom"/>
            <w:shd w:val="clear" w:color="auto" w:fill="CCEEFF"/>
          </w:tcPr>
          <w:p>
            <w:pPr>
              <w:jc w:val="right"/>
              <w:spacing w:after="0" w:line="217" w:lineRule="exact"/>
              <w:rPr>
                <w:sz w:val="20"/>
                <w:szCs w:val="20"/>
                <w:color w:val="auto"/>
              </w:rPr>
            </w:pPr>
            <w:r>
              <w:rPr>
                <w:rFonts w:ascii="Calibri" w:cs="Calibri" w:eastAsia="Calibri" w:hAnsi="Calibri"/>
                <w:sz w:val="18"/>
                <w:szCs w:val="18"/>
                <w:color w:val="auto"/>
              </w:rPr>
              <w:t>—</w:t>
            </w: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340" w:type="dxa"/>
            <w:vAlign w:val="bottom"/>
            <w:gridSpan w:val="2"/>
            <w:shd w:val="clear" w:color="auto" w:fill="CCEEFF"/>
          </w:tcPr>
          <w:p>
            <w:pPr>
              <w:spacing w:after="0" w:line="217" w:lineRule="exact"/>
              <w:rPr>
                <w:sz w:val="20"/>
                <w:szCs w:val="20"/>
                <w:color w:val="auto"/>
              </w:rPr>
            </w:pPr>
            <w:r>
              <w:rPr>
                <w:rFonts w:ascii="Calibri" w:cs="Calibri" w:eastAsia="Calibri" w:hAnsi="Calibri"/>
                <w:sz w:val="18"/>
                <w:szCs w:val="18"/>
                <w:color w:val="auto"/>
              </w:rPr>
              <w:t>—</w:t>
            </w:r>
          </w:p>
        </w:tc>
        <w:tc>
          <w:tcPr>
            <w:tcW w:w="680" w:type="dxa"/>
            <w:vAlign w:val="bottom"/>
            <w:gridSpan w:val="2"/>
            <w:shd w:val="clear" w:color="auto" w:fill="CCEEFF"/>
          </w:tcPr>
          <w:p>
            <w:pPr>
              <w:jc w:val="right"/>
              <w:ind w:right="160"/>
              <w:spacing w:after="0" w:line="217" w:lineRule="exact"/>
              <w:rPr>
                <w:sz w:val="20"/>
                <w:szCs w:val="20"/>
                <w:color w:val="auto"/>
              </w:rPr>
            </w:pPr>
            <w:r>
              <w:rPr>
                <w:rFonts w:ascii="Calibri" w:cs="Calibri" w:eastAsia="Calibri" w:hAnsi="Calibri"/>
                <w:sz w:val="18"/>
                <w:szCs w:val="18"/>
                <w:color w:val="auto"/>
              </w:rPr>
              <w:t>—</w:t>
            </w:r>
          </w:p>
        </w:tc>
        <w:tc>
          <w:tcPr>
            <w:tcW w:w="120" w:type="dxa"/>
            <w:vAlign w:val="bottom"/>
            <w:shd w:val="clear" w:color="auto" w:fill="CCEEFF"/>
          </w:tcPr>
          <w:p>
            <w:pPr>
              <w:spacing w:after="0"/>
              <w:rPr>
                <w:sz w:val="20"/>
                <w:szCs w:val="20"/>
                <w:color w:val="auto"/>
              </w:rPr>
            </w:pPr>
          </w:p>
        </w:tc>
        <w:tc>
          <w:tcPr>
            <w:tcW w:w="820" w:type="dxa"/>
            <w:vAlign w:val="bottom"/>
            <w:gridSpan w:val="2"/>
            <w:shd w:val="clear" w:color="auto" w:fill="CCEEFF"/>
          </w:tcPr>
          <w:p>
            <w:pPr>
              <w:ind w:left="500"/>
              <w:spacing w:after="0" w:line="217" w:lineRule="exact"/>
              <w:rPr>
                <w:sz w:val="20"/>
                <w:szCs w:val="20"/>
                <w:color w:val="auto"/>
              </w:rPr>
            </w:pPr>
            <w:r>
              <w:rPr>
                <w:rFonts w:ascii="Calibri" w:cs="Calibri" w:eastAsia="Calibri" w:hAnsi="Calibri"/>
                <w:sz w:val="18"/>
                <w:szCs w:val="18"/>
                <w:color w:val="auto"/>
              </w:rPr>
              <w:t>—</w:t>
            </w:r>
          </w:p>
        </w:tc>
        <w:tc>
          <w:tcPr>
            <w:tcW w:w="12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60"/>
              <w:spacing w:after="0" w:line="217" w:lineRule="exact"/>
              <w:rPr>
                <w:sz w:val="20"/>
                <w:szCs w:val="20"/>
                <w:color w:val="auto"/>
              </w:rPr>
            </w:pPr>
            <w:r>
              <w:rPr>
                <w:rFonts w:ascii="Calibri" w:cs="Calibri" w:eastAsia="Calibri" w:hAnsi="Calibri"/>
                <w:sz w:val="18"/>
                <w:szCs w:val="18"/>
                <w:color w:val="auto"/>
              </w:rPr>
              <w:t>—</w:t>
            </w:r>
          </w:p>
        </w:tc>
        <w:tc>
          <w:tcPr>
            <w:tcW w:w="16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line="217" w:lineRule="exact"/>
              <w:rPr>
                <w:sz w:val="20"/>
                <w:szCs w:val="20"/>
                <w:color w:val="auto"/>
              </w:rPr>
            </w:pPr>
            <w:r>
              <w:rPr>
                <w:rFonts w:ascii="Calibri" w:cs="Calibri" w:eastAsia="Calibri" w:hAnsi="Calibri"/>
                <w:sz w:val="18"/>
                <w:szCs w:val="18"/>
                <w:color w:val="auto"/>
              </w:rPr>
              <w:t>(7,645)</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60"/>
              <w:spacing w:after="0" w:line="217" w:lineRule="exact"/>
              <w:rPr>
                <w:sz w:val="20"/>
                <w:szCs w:val="20"/>
                <w:color w:val="auto"/>
              </w:rPr>
            </w:pPr>
            <w:r>
              <w:rPr>
                <w:rFonts w:ascii="Calibri" w:cs="Calibri" w:eastAsia="Calibri" w:hAnsi="Calibri"/>
                <w:sz w:val="18"/>
                <w:szCs w:val="18"/>
                <w:color w:val="auto"/>
              </w:rPr>
              <w:t>—</w:t>
            </w:r>
          </w:p>
        </w:tc>
        <w:tc>
          <w:tcPr>
            <w:tcW w:w="12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line="217" w:lineRule="exact"/>
              <w:rPr>
                <w:sz w:val="20"/>
                <w:szCs w:val="20"/>
                <w:color w:val="auto"/>
              </w:rPr>
            </w:pPr>
            <w:r>
              <w:rPr>
                <w:rFonts w:ascii="Calibri" w:cs="Calibri" w:eastAsia="Calibri" w:hAnsi="Calibri"/>
                <w:sz w:val="18"/>
                <w:szCs w:val="18"/>
                <w:color w:val="auto"/>
              </w:rPr>
              <w:t>(7,645)</w:t>
            </w:r>
          </w:p>
        </w:tc>
        <w:tc>
          <w:tcPr>
            <w:tcW w:w="0" w:type="dxa"/>
            <w:vAlign w:val="bottom"/>
          </w:tcPr>
          <w:p>
            <w:pPr>
              <w:spacing w:after="0"/>
              <w:rPr>
                <w:sz w:val="1"/>
                <w:szCs w:val="1"/>
                <w:color w:val="auto"/>
              </w:rPr>
            </w:pPr>
          </w:p>
        </w:tc>
      </w:tr>
      <w:tr>
        <w:trPr>
          <w:trHeight w:val="217"/>
        </w:trPr>
        <w:tc>
          <w:tcPr>
            <w:tcW w:w="3520" w:type="dxa"/>
            <w:vAlign w:val="bottom"/>
          </w:tcPr>
          <w:p>
            <w:pPr>
              <w:ind w:left="20"/>
              <w:spacing w:after="0" w:line="210" w:lineRule="exact"/>
              <w:rPr>
                <w:sz w:val="20"/>
                <w:szCs w:val="20"/>
                <w:color w:val="auto"/>
              </w:rPr>
            </w:pPr>
            <w:r>
              <w:rPr>
                <w:rFonts w:ascii="Calibri" w:cs="Calibri" w:eastAsia="Calibri" w:hAnsi="Calibri"/>
                <w:sz w:val="18"/>
                <w:szCs w:val="18"/>
                <w:color w:val="auto"/>
              </w:rPr>
              <w:t>Common stock issued</w:t>
            </w:r>
          </w:p>
        </w:tc>
        <w:tc>
          <w:tcPr>
            <w:tcW w:w="580" w:type="dxa"/>
            <w:vAlign w:val="bottom"/>
          </w:tcPr>
          <w:p>
            <w:pPr>
              <w:jc w:val="right"/>
              <w:spacing w:after="0" w:line="210" w:lineRule="exact"/>
              <w:rPr>
                <w:sz w:val="20"/>
                <w:szCs w:val="20"/>
                <w:color w:val="auto"/>
              </w:rPr>
            </w:pPr>
            <w:r>
              <w:rPr>
                <w:rFonts w:ascii="Calibri" w:cs="Calibri" w:eastAsia="Calibri" w:hAnsi="Calibri"/>
                <w:sz w:val="18"/>
                <w:szCs w:val="18"/>
                <w:color w:val="auto"/>
              </w:rPr>
              <w:t>—</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gridSpan w:val="2"/>
          </w:tcPr>
          <w:p>
            <w:pPr>
              <w:spacing w:after="0" w:line="210" w:lineRule="exact"/>
              <w:rPr>
                <w:sz w:val="20"/>
                <w:szCs w:val="20"/>
                <w:color w:val="auto"/>
              </w:rPr>
            </w:pPr>
            <w:r>
              <w:rPr>
                <w:rFonts w:ascii="Calibri" w:cs="Calibri" w:eastAsia="Calibri" w:hAnsi="Calibri"/>
                <w:sz w:val="18"/>
                <w:szCs w:val="18"/>
                <w:color w:val="auto"/>
              </w:rPr>
              <w:t>—</w:t>
            </w:r>
          </w:p>
        </w:tc>
        <w:tc>
          <w:tcPr>
            <w:tcW w:w="580" w:type="dxa"/>
            <w:vAlign w:val="bottom"/>
          </w:tcPr>
          <w:p>
            <w:pPr>
              <w:jc w:val="right"/>
              <w:spacing w:after="0" w:line="210" w:lineRule="exact"/>
              <w:rPr>
                <w:sz w:val="20"/>
                <w:szCs w:val="20"/>
                <w:color w:val="auto"/>
              </w:rPr>
            </w:pPr>
            <w:r>
              <w:rPr>
                <w:rFonts w:ascii="Calibri" w:cs="Calibri" w:eastAsia="Calibri" w:hAnsi="Calibri"/>
                <w:sz w:val="18"/>
                <w:szCs w:val="18"/>
                <w:color w:val="auto"/>
              </w:rPr>
              <w:t>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ind w:left="500"/>
              <w:spacing w:after="0" w:line="210" w:lineRule="exact"/>
              <w:rPr>
                <w:sz w:val="20"/>
                <w:szCs w:val="20"/>
                <w:color w:val="auto"/>
              </w:rPr>
            </w:pPr>
            <w:r>
              <w:rPr>
                <w:rFonts w:ascii="Calibri" w:cs="Calibri" w:eastAsia="Calibri" w:hAnsi="Calibri"/>
                <w:sz w:val="18"/>
                <w:szCs w:val="18"/>
                <w:color w:val="auto"/>
              </w:rPr>
              <w:t>—</w:t>
            </w:r>
          </w:p>
        </w:tc>
        <w:tc>
          <w:tcPr>
            <w:tcW w:w="120" w:type="dxa"/>
            <w:vAlign w:val="bottom"/>
          </w:tcPr>
          <w:p>
            <w:pPr>
              <w:spacing w:after="0"/>
              <w:rPr>
                <w:sz w:val="18"/>
                <w:szCs w:val="18"/>
                <w:color w:val="auto"/>
              </w:rPr>
            </w:pPr>
          </w:p>
        </w:tc>
        <w:tc>
          <w:tcPr>
            <w:tcW w:w="740" w:type="dxa"/>
            <w:vAlign w:val="bottom"/>
          </w:tcPr>
          <w:p>
            <w:pPr>
              <w:jc w:val="right"/>
              <w:spacing w:after="0" w:line="210" w:lineRule="exact"/>
              <w:rPr>
                <w:sz w:val="20"/>
                <w:szCs w:val="20"/>
                <w:color w:val="auto"/>
              </w:rPr>
            </w:pPr>
            <w:r>
              <w:rPr>
                <w:rFonts w:ascii="Calibri" w:cs="Calibri" w:eastAsia="Calibri" w:hAnsi="Calibri"/>
                <w:sz w:val="18"/>
                <w:szCs w:val="18"/>
                <w:color w:val="auto"/>
              </w:rPr>
              <w:t>122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160"/>
              <w:spacing w:after="0" w:line="210" w:lineRule="exact"/>
              <w:rPr>
                <w:sz w:val="20"/>
                <w:szCs w:val="20"/>
                <w:color w:val="auto"/>
              </w:rPr>
            </w:pPr>
            <w:r>
              <w:rPr>
                <w:rFonts w:ascii="Calibri" w:cs="Calibri" w:eastAsia="Calibri" w:hAnsi="Calibri"/>
                <w:sz w:val="18"/>
                <w:szCs w:val="18"/>
                <w:color w:val="auto"/>
              </w:rPr>
              <w:t>—</w:t>
            </w:r>
          </w:p>
        </w:tc>
        <w:tc>
          <w:tcPr>
            <w:tcW w:w="120" w:type="dxa"/>
            <w:vAlign w:val="bottom"/>
          </w:tcPr>
          <w:p>
            <w:pPr>
              <w:spacing w:after="0"/>
              <w:rPr>
                <w:sz w:val="18"/>
                <w:szCs w:val="18"/>
                <w:color w:val="auto"/>
              </w:rPr>
            </w:pPr>
          </w:p>
        </w:tc>
        <w:tc>
          <w:tcPr>
            <w:tcW w:w="1180" w:type="dxa"/>
            <w:vAlign w:val="bottom"/>
            <w:gridSpan w:val="2"/>
          </w:tcPr>
          <w:p>
            <w:pPr>
              <w:jc w:val="right"/>
              <w:ind w:right="160"/>
              <w:spacing w:after="0" w:line="210" w:lineRule="exact"/>
              <w:rPr>
                <w:sz w:val="20"/>
                <w:szCs w:val="20"/>
                <w:color w:val="auto"/>
              </w:rPr>
            </w:pPr>
            <w:r>
              <w:rPr>
                <w:rFonts w:ascii="Calibri" w:cs="Calibri" w:eastAsia="Calibri" w:hAnsi="Calibri"/>
                <w:sz w:val="18"/>
                <w:szCs w:val="18"/>
                <w:color w:val="auto"/>
              </w:rPr>
              <w:t>—</w:t>
            </w:r>
          </w:p>
        </w:tc>
        <w:tc>
          <w:tcPr>
            <w:tcW w:w="120" w:type="dxa"/>
            <w:vAlign w:val="bottom"/>
          </w:tcPr>
          <w:p>
            <w:pPr>
              <w:spacing w:after="0"/>
              <w:rPr>
                <w:sz w:val="18"/>
                <w:szCs w:val="18"/>
                <w:color w:val="auto"/>
              </w:rPr>
            </w:pPr>
          </w:p>
        </w:tc>
        <w:tc>
          <w:tcPr>
            <w:tcW w:w="960" w:type="dxa"/>
            <w:vAlign w:val="bottom"/>
          </w:tcPr>
          <w:p>
            <w:pPr>
              <w:jc w:val="right"/>
              <w:spacing w:after="0" w:line="210" w:lineRule="exact"/>
              <w:rPr>
                <w:sz w:val="20"/>
                <w:szCs w:val="20"/>
                <w:color w:val="auto"/>
              </w:rPr>
            </w:pPr>
            <w:r>
              <w:rPr>
                <w:rFonts w:ascii="Calibri" w:cs="Calibri" w:eastAsia="Calibri" w:hAnsi="Calibri"/>
                <w:sz w:val="18"/>
                <w:szCs w:val="18"/>
                <w:color w:val="auto"/>
              </w:rPr>
              <w:t>122</w:t>
            </w:r>
          </w:p>
        </w:tc>
        <w:tc>
          <w:tcPr>
            <w:tcW w:w="0" w:type="dxa"/>
            <w:vAlign w:val="bottom"/>
          </w:tcPr>
          <w:p>
            <w:pPr>
              <w:spacing w:after="0"/>
              <w:rPr>
                <w:sz w:val="1"/>
                <w:szCs w:val="1"/>
                <w:color w:val="auto"/>
              </w:rPr>
            </w:pPr>
          </w:p>
        </w:tc>
      </w:tr>
      <w:tr>
        <w:trPr>
          <w:trHeight w:val="232"/>
        </w:trPr>
        <w:tc>
          <w:tcPr>
            <w:tcW w:w="3520" w:type="dxa"/>
            <w:vAlign w:val="bottom"/>
            <w:shd w:val="clear" w:color="auto" w:fill="CCEEFF"/>
          </w:tcPr>
          <w:p>
            <w:pPr>
              <w:ind w:left="20"/>
              <w:spacing w:after="0" w:line="217" w:lineRule="exact"/>
              <w:rPr>
                <w:sz w:val="20"/>
                <w:szCs w:val="20"/>
                <w:color w:val="auto"/>
              </w:rPr>
            </w:pPr>
            <w:r>
              <w:rPr>
                <w:rFonts w:ascii="Calibri" w:cs="Calibri" w:eastAsia="Calibri" w:hAnsi="Calibri"/>
                <w:sz w:val="18"/>
                <w:szCs w:val="18"/>
                <w:color w:val="auto"/>
              </w:rPr>
              <w:t>Stock-based compensaton</w:t>
            </w:r>
          </w:p>
        </w:tc>
        <w:tc>
          <w:tcPr>
            <w:tcW w:w="580" w:type="dxa"/>
            <w:vAlign w:val="bottom"/>
            <w:shd w:val="clear" w:color="auto" w:fill="CCEEFF"/>
          </w:tcPr>
          <w:p>
            <w:pPr>
              <w:jc w:val="right"/>
              <w:spacing w:after="0" w:line="217" w:lineRule="exact"/>
              <w:rPr>
                <w:sz w:val="20"/>
                <w:szCs w:val="20"/>
                <w:color w:val="auto"/>
              </w:rPr>
            </w:pPr>
            <w:r>
              <w:rPr>
                <w:rFonts w:ascii="Calibri" w:cs="Calibri" w:eastAsia="Calibri" w:hAnsi="Calibri"/>
                <w:sz w:val="18"/>
                <w:szCs w:val="18"/>
                <w:color w:val="auto"/>
              </w:rPr>
              <w:t>—</w:t>
            </w: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340" w:type="dxa"/>
            <w:vAlign w:val="bottom"/>
            <w:gridSpan w:val="2"/>
            <w:shd w:val="clear" w:color="auto" w:fill="CCEEFF"/>
          </w:tcPr>
          <w:p>
            <w:pPr>
              <w:spacing w:after="0" w:line="217" w:lineRule="exact"/>
              <w:rPr>
                <w:sz w:val="20"/>
                <w:szCs w:val="20"/>
                <w:color w:val="auto"/>
              </w:rPr>
            </w:pPr>
            <w:r>
              <w:rPr>
                <w:rFonts w:ascii="Calibri" w:cs="Calibri" w:eastAsia="Calibri" w:hAnsi="Calibri"/>
                <w:sz w:val="18"/>
                <w:szCs w:val="18"/>
                <w:color w:val="auto"/>
              </w:rPr>
              <w:t>—</w:t>
            </w:r>
          </w:p>
        </w:tc>
        <w:tc>
          <w:tcPr>
            <w:tcW w:w="680" w:type="dxa"/>
            <w:vAlign w:val="bottom"/>
            <w:gridSpan w:val="2"/>
            <w:shd w:val="clear" w:color="auto" w:fill="CCEEFF"/>
          </w:tcPr>
          <w:p>
            <w:pPr>
              <w:jc w:val="right"/>
              <w:ind w:right="160"/>
              <w:spacing w:after="0" w:line="217" w:lineRule="exact"/>
              <w:rPr>
                <w:sz w:val="20"/>
                <w:szCs w:val="20"/>
                <w:color w:val="auto"/>
              </w:rPr>
            </w:pPr>
            <w:r>
              <w:rPr>
                <w:rFonts w:ascii="Calibri" w:cs="Calibri" w:eastAsia="Calibri" w:hAnsi="Calibri"/>
                <w:sz w:val="18"/>
                <w:szCs w:val="18"/>
                <w:color w:val="auto"/>
              </w:rPr>
              <w:t>—</w:t>
            </w:r>
          </w:p>
        </w:tc>
        <w:tc>
          <w:tcPr>
            <w:tcW w:w="120" w:type="dxa"/>
            <w:vAlign w:val="bottom"/>
            <w:shd w:val="clear" w:color="auto" w:fill="CCEEFF"/>
          </w:tcPr>
          <w:p>
            <w:pPr>
              <w:spacing w:after="0"/>
              <w:rPr>
                <w:sz w:val="20"/>
                <w:szCs w:val="20"/>
                <w:color w:val="auto"/>
              </w:rPr>
            </w:pPr>
          </w:p>
        </w:tc>
        <w:tc>
          <w:tcPr>
            <w:tcW w:w="820" w:type="dxa"/>
            <w:vAlign w:val="bottom"/>
            <w:gridSpan w:val="2"/>
            <w:shd w:val="clear" w:color="auto" w:fill="CCEEFF"/>
          </w:tcPr>
          <w:p>
            <w:pPr>
              <w:ind w:left="500"/>
              <w:spacing w:after="0" w:line="217" w:lineRule="exact"/>
              <w:rPr>
                <w:sz w:val="20"/>
                <w:szCs w:val="20"/>
                <w:color w:val="auto"/>
              </w:rPr>
            </w:pPr>
            <w:r>
              <w:rPr>
                <w:rFonts w:ascii="Calibri" w:cs="Calibri" w:eastAsia="Calibri" w:hAnsi="Calibri"/>
                <w:sz w:val="18"/>
                <w:szCs w:val="18"/>
                <w:color w:val="auto"/>
              </w:rPr>
              <w:t>—</w:t>
            </w:r>
          </w:p>
        </w:tc>
        <w:tc>
          <w:tcPr>
            <w:tcW w:w="12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line="217" w:lineRule="exact"/>
              <w:rPr>
                <w:sz w:val="20"/>
                <w:szCs w:val="20"/>
                <w:color w:val="auto"/>
              </w:rPr>
            </w:pPr>
            <w:r>
              <w:rPr>
                <w:rFonts w:ascii="Calibri" w:cs="Calibri" w:eastAsia="Calibri" w:hAnsi="Calibri"/>
                <w:sz w:val="18"/>
                <w:szCs w:val="18"/>
                <w:color w:val="auto"/>
              </w:rPr>
              <w:t>2,171</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60"/>
              <w:spacing w:after="0" w:line="217" w:lineRule="exact"/>
              <w:rPr>
                <w:sz w:val="20"/>
                <w:szCs w:val="20"/>
                <w:color w:val="auto"/>
              </w:rPr>
            </w:pPr>
            <w:r>
              <w:rPr>
                <w:rFonts w:ascii="Calibri" w:cs="Calibri" w:eastAsia="Calibri" w:hAnsi="Calibri"/>
                <w:sz w:val="18"/>
                <w:szCs w:val="18"/>
                <w:color w:val="auto"/>
              </w:rPr>
              <w:t>—</w:t>
            </w:r>
          </w:p>
        </w:tc>
        <w:tc>
          <w:tcPr>
            <w:tcW w:w="12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60"/>
              <w:spacing w:after="0" w:line="217" w:lineRule="exact"/>
              <w:rPr>
                <w:sz w:val="20"/>
                <w:szCs w:val="20"/>
                <w:color w:val="auto"/>
              </w:rPr>
            </w:pPr>
            <w:r>
              <w:rPr>
                <w:rFonts w:ascii="Calibri" w:cs="Calibri" w:eastAsia="Calibri" w:hAnsi="Calibri"/>
                <w:sz w:val="18"/>
                <w:szCs w:val="18"/>
                <w:color w:val="auto"/>
              </w:rPr>
              <w:t>—</w:t>
            </w:r>
          </w:p>
        </w:tc>
        <w:tc>
          <w:tcPr>
            <w:tcW w:w="12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line="217" w:lineRule="exact"/>
              <w:rPr>
                <w:sz w:val="20"/>
                <w:szCs w:val="20"/>
                <w:color w:val="auto"/>
              </w:rPr>
            </w:pPr>
            <w:r>
              <w:rPr>
                <w:rFonts w:ascii="Calibri" w:cs="Calibri" w:eastAsia="Calibri" w:hAnsi="Calibri"/>
                <w:sz w:val="18"/>
                <w:szCs w:val="18"/>
                <w:color w:val="auto"/>
              </w:rPr>
              <w:t>2,171</w:t>
            </w:r>
          </w:p>
        </w:tc>
        <w:tc>
          <w:tcPr>
            <w:tcW w:w="0" w:type="dxa"/>
            <w:vAlign w:val="bottom"/>
          </w:tcPr>
          <w:p>
            <w:pPr>
              <w:spacing w:after="0"/>
              <w:rPr>
                <w:sz w:val="1"/>
                <w:szCs w:val="1"/>
                <w:color w:val="auto"/>
              </w:rPr>
            </w:pPr>
          </w:p>
        </w:tc>
      </w:tr>
      <w:tr>
        <w:trPr>
          <w:trHeight w:val="217"/>
        </w:trPr>
        <w:tc>
          <w:tcPr>
            <w:tcW w:w="3520" w:type="dxa"/>
            <w:vAlign w:val="bottom"/>
          </w:tcPr>
          <w:p>
            <w:pPr>
              <w:ind w:left="20"/>
              <w:spacing w:after="0" w:line="210" w:lineRule="exact"/>
              <w:rPr>
                <w:sz w:val="20"/>
                <w:szCs w:val="20"/>
                <w:color w:val="auto"/>
              </w:rPr>
            </w:pPr>
            <w:r>
              <w:rPr>
                <w:rFonts w:ascii="Calibri" w:cs="Calibri" w:eastAsia="Calibri" w:hAnsi="Calibri"/>
                <w:sz w:val="18"/>
                <w:szCs w:val="18"/>
                <w:color w:val="auto"/>
              </w:rPr>
              <w:t>Repurchases of common stock</w:t>
            </w:r>
          </w:p>
        </w:tc>
        <w:tc>
          <w:tcPr>
            <w:tcW w:w="580" w:type="dxa"/>
            <w:vAlign w:val="bottom"/>
          </w:tcPr>
          <w:p>
            <w:pPr>
              <w:jc w:val="right"/>
              <w:spacing w:after="0" w:line="210" w:lineRule="exact"/>
              <w:rPr>
                <w:sz w:val="20"/>
                <w:szCs w:val="20"/>
                <w:color w:val="auto"/>
              </w:rPr>
            </w:pPr>
            <w:r>
              <w:rPr>
                <w:rFonts w:ascii="Calibri" w:cs="Calibri" w:eastAsia="Calibri" w:hAnsi="Calibri"/>
                <w:sz w:val="18"/>
                <w:szCs w:val="18"/>
                <w:color w:val="auto"/>
              </w:rPr>
              <w:t>—</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gridSpan w:val="2"/>
          </w:tcPr>
          <w:p>
            <w:pPr>
              <w:spacing w:after="0" w:line="210" w:lineRule="exact"/>
              <w:rPr>
                <w:sz w:val="20"/>
                <w:szCs w:val="20"/>
                <w:color w:val="auto"/>
              </w:rPr>
            </w:pPr>
            <w:r>
              <w:rPr>
                <w:rFonts w:ascii="Calibri" w:cs="Calibri" w:eastAsia="Calibri" w:hAnsi="Calibri"/>
                <w:sz w:val="18"/>
                <w:szCs w:val="18"/>
                <w:color w:val="auto"/>
              </w:rPr>
              <w:t>—</w:t>
            </w:r>
          </w:p>
        </w:tc>
        <w:tc>
          <w:tcPr>
            <w:tcW w:w="580" w:type="dxa"/>
            <w:vAlign w:val="bottom"/>
          </w:tcPr>
          <w:p>
            <w:pPr>
              <w:jc w:val="right"/>
              <w:spacing w:after="0" w:line="210" w:lineRule="exact"/>
              <w:rPr>
                <w:sz w:val="20"/>
                <w:szCs w:val="20"/>
                <w:color w:val="auto"/>
              </w:rPr>
            </w:pPr>
            <w:r>
              <w:rPr>
                <w:rFonts w:ascii="Calibri" w:cs="Calibri" w:eastAsia="Calibri" w:hAnsi="Calibri"/>
                <w:sz w:val="18"/>
                <w:szCs w:val="18"/>
                <w:color w:val="auto"/>
              </w:rPr>
              <w:t>(9)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ind w:left="500"/>
              <w:spacing w:after="0" w:line="210" w:lineRule="exact"/>
              <w:rPr>
                <w:sz w:val="20"/>
                <w:szCs w:val="20"/>
                <w:color w:val="auto"/>
              </w:rPr>
            </w:pPr>
            <w:r>
              <w:rPr>
                <w:rFonts w:ascii="Calibri" w:cs="Calibri" w:eastAsia="Calibri" w:hAnsi="Calibri"/>
                <w:sz w:val="18"/>
                <w:szCs w:val="18"/>
                <w:color w:val="auto"/>
              </w:rPr>
              <w:t>—</w:t>
            </w:r>
          </w:p>
        </w:tc>
        <w:tc>
          <w:tcPr>
            <w:tcW w:w="120" w:type="dxa"/>
            <w:vAlign w:val="bottom"/>
          </w:tcPr>
          <w:p>
            <w:pPr>
              <w:spacing w:after="0"/>
              <w:rPr>
                <w:sz w:val="18"/>
                <w:szCs w:val="18"/>
                <w:color w:val="auto"/>
              </w:rPr>
            </w:pPr>
          </w:p>
        </w:tc>
        <w:tc>
          <w:tcPr>
            <w:tcW w:w="740" w:type="dxa"/>
            <w:vAlign w:val="bottom"/>
          </w:tcPr>
          <w:p>
            <w:pPr>
              <w:jc w:val="right"/>
              <w:spacing w:after="0" w:line="210" w:lineRule="exact"/>
              <w:rPr>
                <w:sz w:val="20"/>
                <w:szCs w:val="20"/>
                <w:color w:val="auto"/>
              </w:rPr>
            </w:pPr>
            <w:r>
              <w:rPr>
                <w:rFonts w:ascii="Calibri" w:cs="Calibri" w:eastAsia="Calibri" w:hAnsi="Calibri"/>
                <w:sz w:val="18"/>
                <w:szCs w:val="18"/>
                <w:color w:val="auto"/>
              </w:rPr>
              <w:t>(481)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line="210" w:lineRule="exact"/>
              <w:rPr>
                <w:sz w:val="20"/>
                <w:szCs w:val="20"/>
                <w:color w:val="auto"/>
              </w:rPr>
            </w:pPr>
            <w:r>
              <w:rPr>
                <w:rFonts w:ascii="Calibri" w:cs="Calibri" w:eastAsia="Calibri" w:hAnsi="Calibri"/>
                <w:sz w:val="18"/>
                <w:szCs w:val="18"/>
                <w:color w:val="auto"/>
              </w:rPr>
              <w:t>(5,359)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160"/>
              <w:spacing w:after="0" w:line="210" w:lineRule="exact"/>
              <w:rPr>
                <w:sz w:val="20"/>
                <w:szCs w:val="20"/>
                <w:color w:val="auto"/>
              </w:rPr>
            </w:pPr>
            <w:r>
              <w:rPr>
                <w:rFonts w:ascii="Calibri" w:cs="Calibri" w:eastAsia="Calibri" w:hAnsi="Calibri"/>
                <w:sz w:val="18"/>
                <w:szCs w:val="18"/>
                <w:color w:val="auto"/>
              </w:rPr>
              <w:t>—</w:t>
            </w:r>
          </w:p>
        </w:tc>
        <w:tc>
          <w:tcPr>
            <w:tcW w:w="120" w:type="dxa"/>
            <w:vAlign w:val="bottom"/>
          </w:tcPr>
          <w:p>
            <w:pPr>
              <w:spacing w:after="0"/>
              <w:rPr>
                <w:sz w:val="18"/>
                <w:szCs w:val="18"/>
                <w:color w:val="auto"/>
              </w:rPr>
            </w:pPr>
          </w:p>
        </w:tc>
        <w:tc>
          <w:tcPr>
            <w:tcW w:w="960" w:type="dxa"/>
            <w:vAlign w:val="bottom"/>
          </w:tcPr>
          <w:p>
            <w:pPr>
              <w:jc w:val="right"/>
              <w:spacing w:after="0" w:line="210" w:lineRule="exact"/>
              <w:rPr>
                <w:sz w:val="20"/>
                <w:szCs w:val="20"/>
                <w:color w:val="auto"/>
              </w:rPr>
            </w:pPr>
            <w:r>
              <w:rPr>
                <w:rFonts w:ascii="Calibri" w:cs="Calibri" w:eastAsia="Calibri" w:hAnsi="Calibri"/>
                <w:sz w:val="18"/>
                <w:szCs w:val="18"/>
                <w:color w:val="auto"/>
              </w:rPr>
              <w:t>(5,840)</w:t>
            </w:r>
          </w:p>
        </w:tc>
        <w:tc>
          <w:tcPr>
            <w:tcW w:w="0" w:type="dxa"/>
            <w:vAlign w:val="bottom"/>
          </w:tcPr>
          <w:p>
            <w:pPr>
              <w:spacing w:after="0"/>
              <w:rPr>
                <w:sz w:val="1"/>
                <w:szCs w:val="1"/>
                <w:color w:val="auto"/>
              </w:rPr>
            </w:pPr>
          </w:p>
        </w:tc>
      </w:tr>
      <w:tr>
        <w:trPr>
          <w:trHeight w:val="171"/>
        </w:trPr>
        <w:tc>
          <w:tcPr>
            <w:tcW w:w="3520" w:type="dxa"/>
            <w:vAlign w:val="bottom"/>
            <w:shd w:val="clear" w:color="auto" w:fill="CCEEFF"/>
          </w:tcPr>
          <w:p>
            <w:pPr>
              <w:ind w:left="20"/>
              <w:spacing w:after="0" w:line="172" w:lineRule="exact"/>
              <w:rPr>
                <w:sz w:val="20"/>
                <w:szCs w:val="20"/>
                <w:color w:val="auto"/>
              </w:rPr>
            </w:pPr>
            <w:r>
              <w:rPr>
                <w:rFonts w:ascii="Calibri" w:cs="Calibri" w:eastAsia="Calibri" w:hAnsi="Calibri"/>
                <w:sz w:val="18"/>
                <w:szCs w:val="18"/>
                <w:color w:val="auto"/>
              </w:rPr>
              <w:t>Shares repurchased for tax withholdings on</w:t>
            </w: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3520" w:type="dxa"/>
            <w:vAlign w:val="bottom"/>
            <w:tcBorders>
              <w:bottom w:val="single" w:sz="8" w:color="CCEEFF"/>
            </w:tcBorders>
            <w:shd w:val="clear" w:color="auto" w:fill="CCEEFF"/>
          </w:tcPr>
          <w:p>
            <w:pPr>
              <w:ind w:left="180"/>
              <w:spacing w:after="0" w:line="210" w:lineRule="exact"/>
              <w:rPr>
                <w:sz w:val="20"/>
                <w:szCs w:val="20"/>
                <w:color w:val="auto"/>
              </w:rPr>
            </w:pPr>
            <w:r>
              <w:rPr>
                <w:rFonts w:ascii="Calibri" w:cs="Calibri" w:eastAsia="Calibri" w:hAnsi="Calibri"/>
                <w:sz w:val="18"/>
                <w:szCs w:val="18"/>
                <w:color w:val="auto"/>
              </w:rPr>
              <w:t>vestng of equity awards</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gridSpan w:val="2"/>
            <w:shd w:val="clear" w:color="auto" w:fill="CCEEFF"/>
          </w:tcPr>
          <w:p>
            <w:pPr>
              <w:spacing w:after="0"/>
              <w:rPr>
                <w:sz w:val="20"/>
                <w:szCs w:val="20"/>
                <w:color w:val="auto"/>
              </w:rPr>
            </w:pPr>
            <w:r>
              <w:rPr>
                <w:rFonts w:ascii="Calibri" w:cs="Calibri" w:eastAsia="Calibri" w:hAnsi="Calibri"/>
                <w:sz w:val="18"/>
                <w:szCs w:val="18"/>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ind w:left="500"/>
              <w:spacing w:after="0"/>
              <w:rPr>
                <w:sz w:val="20"/>
                <w:szCs w:val="20"/>
                <w:color w:val="auto"/>
              </w:rPr>
            </w:pPr>
            <w:r>
              <w:rPr>
                <w:rFonts w:ascii="Calibri" w:cs="Calibri" w:eastAsia="Calibri" w:hAnsi="Calibri"/>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8"/>
                <w:szCs w:val="18"/>
                <w:color w:val="auto"/>
              </w:rPr>
              <w:t>(1,872)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Calibri" w:cs="Calibri" w:eastAsia="Calibri" w:hAnsi="Calibri"/>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Calibri" w:cs="Calibri" w:eastAsia="Calibri" w:hAnsi="Calibri"/>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8"/>
                <w:szCs w:val="18"/>
                <w:color w:val="auto"/>
              </w:rPr>
              <w:t>(1,872)</w:t>
            </w:r>
          </w:p>
        </w:tc>
        <w:tc>
          <w:tcPr>
            <w:tcW w:w="0" w:type="dxa"/>
            <w:vAlign w:val="bottom"/>
          </w:tcPr>
          <w:p>
            <w:pPr>
              <w:spacing w:after="0"/>
              <w:rPr>
                <w:sz w:val="1"/>
                <w:szCs w:val="1"/>
                <w:color w:val="auto"/>
              </w:rPr>
            </w:pPr>
          </w:p>
        </w:tc>
      </w:tr>
      <w:tr>
        <w:trPr>
          <w:trHeight w:val="218"/>
        </w:trPr>
        <w:tc>
          <w:tcPr>
            <w:tcW w:w="3520" w:type="dxa"/>
            <w:vAlign w:val="bottom"/>
          </w:tcPr>
          <w:p>
            <w:pPr>
              <w:ind w:left="20"/>
              <w:spacing w:after="0" w:line="217" w:lineRule="exact"/>
              <w:rPr>
                <w:sz w:val="20"/>
                <w:szCs w:val="20"/>
                <w:color w:val="auto"/>
              </w:rPr>
            </w:pPr>
            <w:r>
              <w:rPr>
                <w:rFonts w:ascii="Calibri" w:cs="Calibri" w:eastAsia="Calibri" w:hAnsi="Calibri"/>
                <w:sz w:val="18"/>
                <w:szCs w:val="18"/>
                <w:b w:val="1"/>
                <w:bCs w:val="1"/>
                <w:color w:val="auto"/>
              </w:rPr>
              <w:t>Balance as of October 29, 2023</w:t>
            </w:r>
          </w:p>
        </w:tc>
        <w:tc>
          <w:tcPr>
            <w:tcW w:w="580" w:type="dxa"/>
            <w:vAlign w:val="bottom"/>
            <w:tcBorders>
              <w:top w:val="single" w:sz="8" w:color="auto"/>
              <w:bottom w:val="single" w:sz="8" w:color="auto"/>
            </w:tcBorders>
          </w:tcPr>
          <w:p>
            <w:pPr>
              <w:jc w:val="right"/>
              <w:spacing w:after="0" w:line="210" w:lineRule="exact"/>
              <w:rPr>
                <w:sz w:val="20"/>
                <w:szCs w:val="20"/>
                <w:color w:val="auto"/>
              </w:rPr>
            </w:pPr>
            <w:r>
              <w:rPr>
                <w:rFonts w:ascii="Calibri" w:cs="Calibri" w:eastAsia="Calibri" w:hAnsi="Calibri"/>
                <w:sz w:val="18"/>
                <w:szCs w:val="18"/>
                <w:color w:val="auto"/>
              </w:rPr>
              <w:t>—</w:t>
            </w:r>
          </w:p>
        </w:tc>
        <w:tc>
          <w:tcPr>
            <w:tcW w:w="100" w:type="dxa"/>
            <w:vAlign w:val="bottom"/>
          </w:tcPr>
          <w:p>
            <w:pPr>
              <w:spacing w:after="0"/>
              <w:rPr>
                <w:sz w:val="18"/>
                <w:szCs w:val="18"/>
                <w:color w:val="auto"/>
              </w:rPr>
            </w:pPr>
          </w:p>
        </w:tc>
        <w:tc>
          <w:tcPr>
            <w:tcW w:w="600" w:type="dxa"/>
            <w:vAlign w:val="bottom"/>
            <w:tcBorders>
              <w:top w:val="single" w:sz="8" w:color="auto"/>
              <w:bottom w:val="single" w:sz="8" w:color="auto"/>
            </w:tcBorders>
          </w:tcPr>
          <w:p>
            <w:pPr>
              <w:jc w:val="center"/>
              <w:ind w:right="401"/>
              <w:spacing w:after="0" w:line="210" w:lineRule="exact"/>
              <w:rPr>
                <w:sz w:val="20"/>
                <w:szCs w:val="20"/>
                <w:color w:val="auto"/>
              </w:rPr>
            </w:pPr>
            <w:r>
              <w:rPr>
                <w:rFonts w:ascii="Calibri" w:cs="Calibri" w:eastAsia="Calibri" w:hAnsi="Calibri"/>
                <w:sz w:val="18"/>
                <w:szCs w:val="18"/>
                <w:color w:val="auto"/>
                <w:w w:val="87"/>
              </w:rPr>
              <w:t>$</w:t>
            </w:r>
          </w:p>
        </w:tc>
        <w:tc>
          <w:tcPr>
            <w:tcW w:w="220" w:type="dxa"/>
            <w:vAlign w:val="bottom"/>
            <w:tcBorders>
              <w:top w:val="single" w:sz="8" w:color="auto"/>
              <w:bottom w:val="single" w:sz="8" w:color="auto"/>
            </w:tcBorders>
          </w:tcPr>
          <w:p>
            <w:pPr>
              <w:spacing w:after="0" w:line="210" w:lineRule="exact"/>
              <w:rPr>
                <w:sz w:val="20"/>
                <w:szCs w:val="20"/>
                <w:color w:val="auto"/>
              </w:rPr>
            </w:pPr>
            <w:r>
              <w:rPr>
                <w:rFonts w:ascii="Calibri" w:cs="Calibri" w:eastAsia="Calibri" w:hAnsi="Calibri"/>
                <w:sz w:val="18"/>
                <w:szCs w:val="18"/>
                <w:color w:val="auto"/>
              </w:rPr>
              <w:t>—</w:t>
            </w:r>
          </w:p>
        </w:tc>
        <w:tc>
          <w:tcPr>
            <w:tcW w:w="120" w:type="dxa"/>
            <w:vAlign w:val="bottom"/>
          </w:tcPr>
          <w:p>
            <w:pPr>
              <w:spacing w:after="0"/>
              <w:rPr>
                <w:sz w:val="18"/>
                <w:szCs w:val="18"/>
                <w:color w:val="auto"/>
              </w:rPr>
            </w:pPr>
          </w:p>
        </w:tc>
        <w:tc>
          <w:tcPr>
            <w:tcW w:w="580" w:type="dxa"/>
            <w:vAlign w:val="bottom"/>
            <w:tcBorders>
              <w:top w:val="single" w:sz="8" w:color="auto"/>
              <w:bottom w:val="single" w:sz="8" w:color="auto"/>
            </w:tcBorders>
          </w:tcPr>
          <w:p>
            <w:pPr>
              <w:jc w:val="right"/>
              <w:spacing w:after="0" w:line="210" w:lineRule="exact"/>
              <w:rPr>
                <w:sz w:val="20"/>
                <w:szCs w:val="20"/>
                <w:color w:val="auto"/>
              </w:rPr>
            </w:pPr>
            <w:r>
              <w:rPr>
                <w:rFonts w:ascii="Calibri" w:cs="Calibri" w:eastAsia="Calibri" w:hAnsi="Calibri"/>
                <w:sz w:val="18"/>
                <w:szCs w:val="18"/>
                <w:color w:val="auto"/>
              </w:rPr>
              <w:t>414</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center"/>
              <w:spacing w:after="0" w:line="210" w:lineRule="exact"/>
              <w:rPr>
                <w:sz w:val="20"/>
                <w:szCs w:val="20"/>
                <w:color w:val="auto"/>
              </w:rPr>
            </w:pPr>
            <w:r>
              <w:rPr>
                <w:rFonts w:ascii="Calibri" w:cs="Calibri" w:eastAsia="Calibri" w:hAnsi="Calibri"/>
                <w:sz w:val="18"/>
                <w:szCs w:val="18"/>
                <w:color w:val="auto"/>
                <w:w w:val="87"/>
              </w:rPr>
              <w:t>$</w:t>
            </w:r>
          </w:p>
        </w:tc>
        <w:tc>
          <w:tcPr>
            <w:tcW w:w="720" w:type="dxa"/>
            <w:vAlign w:val="bottom"/>
            <w:tcBorders>
              <w:top w:val="single" w:sz="8" w:color="auto"/>
              <w:bottom w:val="single" w:sz="8" w:color="auto"/>
            </w:tcBorders>
          </w:tcPr>
          <w:p>
            <w:pPr>
              <w:ind w:left="500"/>
              <w:spacing w:after="0" w:line="210" w:lineRule="exact"/>
              <w:rPr>
                <w:sz w:val="20"/>
                <w:szCs w:val="20"/>
                <w:color w:val="auto"/>
              </w:rPr>
            </w:pPr>
            <w:r>
              <w:rPr>
                <w:rFonts w:ascii="Calibri" w:cs="Calibri" w:eastAsia="Calibri" w:hAnsi="Calibri"/>
                <w:sz w:val="18"/>
                <w:szCs w:val="18"/>
                <w:color w:val="auto"/>
              </w:rPr>
              <w:t>—</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line="210" w:lineRule="exact"/>
              <w:rPr>
                <w:sz w:val="20"/>
                <w:szCs w:val="20"/>
                <w:color w:val="auto"/>
              </w:rPr>
            </w:pPr>
            <w:r>
              <w:rPr>
                <w:rFonts w:ascii="Calibri" w:cs="Calibri" w:eastAsia="Calibri" w:hAnsi="Calibri"/>
                <w:sz w:val="18"/>
                <w:szCs w:val="18"/>
                <w:color w:val="auto"/>
                <w:w w:val="87"/>
              </w:rPr>
              <w:t>$</w:t>
            </w:r>
          </w:p>
        </w:tc>
        <w:tc>
          <w:tcPr>
            <w:tcW w:w="740" w:type="dxa"/>
            <w:vAlign w:val="bottom"/>
            <w:tcBorders>
              <w:top w:val="single" w:sz="8" w:color="auto"/>
              <w:bottom w:val="single" w:sz="8" w:color="auto"/>
            </w:tcBorders>
          </w:tcPr>
          <w:p>
            <w:pPr>
              <w:jc w:val="right"/>
              <w:spacing w:after="0" w:line="210" w:lineRule="exact"/>
              <w:rPr>
                <w:sz w:val="20"/>
                <w:szCs w:val="20"/>
                <w:color w:val="auto"/>
              </w:rPr>
            </w:pPr>
            <w:r>
              <w:rPr>
                <w:rFonts w:ascii="Calibri" w:cs="Calibri" w:eastAsia="Calibri" w:hAnsi="Calibri"/>
                <w:sz w:val="18"/>
                <w:szCs w:val="18"/>
                <w:color w:val="auto"/>
              </w:rPr>
              <w:t>21,099</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line="210" w:lineRule="exact"/>
              <w:rPr>
                <w:sz w:val="20"/>
                <w:szCs w:val="20"/>
                <w:color w:val="auto"/>
              </w:rPr>
            </w:pPr>
            <w:r>
              <w:rPr>
                <w:rFonts w:ascii="Calibri" w:cs="Calibri" w:eastAsia="Calibri" w:hAnsi="Calibri"/>
                <w:sz w:val="18"/>
                <w:szCs w:val="18"/>
                <w:color w:val="auto"/>
              </w:rPr>
              <w:t>$</w:t>
            </w:r>
          </w:p>
        </w:tc>
        <w:tc>
          <w:tcPr>
            <w:tcW w:w="840" w:type="dxa"/>
            <w:vAlign w:val="bottom"/>
            <w:tcBorders>
              <w:top w:val="single" w:sz="8" w:color="auto"/>
              <w:bottom w:val="single" w:sz="8" w:color="auto"/>
            </w:tcBorders>
          </w:tcPr>
          <w:p>
            <w:pPr>
              <w:jc w:val="right"/>
              <w:spacing w:after="0" w:line="210" w:lineRule="exact"/>
              <w:rPr>
                <w:sz w:val="20"/>
                <w:szCs w:val="20"/>
                <w:color w:val="auto"/>
              </w:rPr>
            </w:pPr>
            <w:r>
              <w:rPr>
                <w:rFonts w:ascii="Calibri" w:cs="Calibri" w:eastAsia="Calibri" w:hAnsi="Calibri"/>
                <w:sz w:val="18"/>
                <w:szCs w:val="18"/>
                <w:color w:val="auto"/>
              </w:rPr>
              <w:t>2,682</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line="210" w:lineRule="exact"/>
              <w:rPr>
                <w:sz w:val="20"/>
                <w:szCs w:val="20"/>
                <w:color w:val="auto"/>
              </w:rPr>
            </w:pPr>
            <w:r>
              <w:rPr>
                <w:rFonts w:ascii="Calibri" w:cs="Calibri" w:eastAsia="Calibri" w:hAnsi="Calibri"/>
                <w:sz w:val="18"/>
                <w:szCs w:val="18"/>
                <w:color w:val="auto"/>
                <w:w w:val="87"/>
              </w:rPr>
              <w:t>$</w:t>
            </w:r>
          </w:p>
        </w:tc>
        <w:tc>
          <w:tcPr>
            <w:tcW w:w="1080" w:type="dxa"/>
            <w:vAlign w:val="bottom"/>
            <w:tcBorders>
              <w:top w:val="single" w:sz="8" w:color="auto"/>
              <w:bottom w:val="single" w:sz="8" w:color="auto"/>
            </w:tcBorders>
          </w:tcPr>
          <w:p>
            <w:pPr>
              <w:jc w:val="right"/>
              <w:spacing w:after="0" w:line="210" w:lineRule="exact"/>
              <w:rPr>
                <w:sz w:val="20"/>
                <w:szCs w:val="20"/>
                <w:color w:val="auto"/>
              </w:rPr>
            </w:pPr>
            <w:r>
              <w:rPr>
                <w:rFonts w:ascii="Calibri" w:cs="Calibri" w:eastAsia="Calibri" w:hAnsi="Calibri"/>
                <w:sz w:val="18"/>
                <w:szCs w:val="18"/>
                <w:color w:val="auto"/>
              </w:rPr>
              <w:t>207</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line="210" w:lineRule="exact"/>
              <w:rPr>
                <w:sz w:val="20"/>
                <w:szCs w:val="20"/>
                <w:color w:val="auto"/>
              </w:rPr>
            </w:pPr>
            <w:r>
              <w:rPr>
                <w:rFonts w:ascii="Calibri" w:cs="Calibri" w:eastAsia="Calibri" w:hAnsi="Calibri"/>
                <w:sz w:val="18"/>
                <w:szCs w:val="18"/>
                <w:color w:val="auto"/>
              </w:rPr>
              <w:t>$</w:t>
            </w:r>
          </w:p>
        </w:tc>
        <w:tc>
          <w:tcPr>
            <w:tcW w:w="960" w:type="dxa"/>
            <w:vAlign w:val="bottom"/>
            <w:tcBorders>
              <w:top w:val="single" w:sz="8" w:color="auto"/>
              <w:bottom w:val="single" w:sz="8" w:color="auto"/>
            </w:tcBorders>
          </w:tcPr>
          <w:p>
            <w:pPr>
              <w:jc w:val="right"/>
              <w:spacing w:after="0" w:line="210" w:lineRule="exact"/>
              <w:rPr>
                <w:sz w:val="20"/>
                <w:szCs w:val="20"/>
                <w:color w:val="auto"/>
              </w:rPr>
            </w:pPr>
            <w:r>
              <w:rPr>
                <w:rFonts w:ascii="Calibri" w:cs="Calibri" w:eastAsia="Calibri" w:hAnsi="Calibri"/>
                <w:sz w:val="18"/>
                <w:szCs w:val="18"/>
                <w:color w:val="auto"/>
              </w:rPr>
              <w:t>23,988</w:t>
            </w:r>
          </w:p>
        </w:tc>
        <w:tc>
          <w:tcPr>
            <w:tcW w:w="0" w:type="dxa"/>
            <w:vAlign w:val="bottom"/>
          </w:tcPr>
          <w:p>
            <w:pPr>
              <w:spacing w:after="0"/>
              <w:rPr>
                <w:sz w:val="1"/>
                <w:szCs w:val="1"/>
                <w:color w:val="auto"/>
              </w:rPr>
            </w:pPr>
          </w:p>
        </w:tc>
      </w:tr>
      <w:tr>
        <w:trPr>
          <w:trHeight w:val="20"/>
        </w:trPr>
        <w:tc>
          <w:tcPr>
            <w:tcW w:w="35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8"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The accompanying notes are an integral part of these consolidated fnancial statements.</w:t>
      </w:r>
    </w:p>
    <w:p>
      <w:pPr>
        <w:spacing w:after="0" w:line="335" w:lineRule="exact"/>
        <w:rPr>
          <w:sz w:val="20"/>
          <w:szCs w:val="20"/>
          <w:color w:val="auto"/>
        </w:rPr>
      </w:pPr>
    </w:p>
    <w:p>
      <w:pPr>
        <w:jc w:val="center"/>
        <w:ind w:right="-39"/>
        <w:spacing w:after="0"/>
        <w:rPr>
          <w:sz w:val="20"/>
          <w:szCs w:val="20"/>
          <w:color w:val="auto"/>
        </w:rPr>
      </w:pPr>
      <w:r>
        <w:rPr>
          <w:rFonts w:ascii="Calibri" w:cs="Calibri" w:eastAsia="Calibri" w:hAnsi="Calibri"/>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09" w:right="359" w:bottom="1440" w:gutter="0" w:footer="0" w:header="0"/>
        </w:sectPr>
      </w:pPr>
    </w:p>
    <w:bookmarkStart w:id="56" w:name="page57"/>
    <w:bookmarkEnd w:id="56"/>
    <w:p>
      <w:pPr>
        <w:spacing w:after="0"/>
        <w:rPr>
          <w:sz w:val="20"/>
          <w:szCs w:val="20"/>
          <w:color w:val="auto"/>
        </w:rPr>
      </w:pPr>
      <w:r>
        <w:rPr>
          <w:rFonts w:ascii="Calibri" w:cs="Calibri" w:eastAsia="Calibri" w:hAnsi="Calibri"/>
          <w:sz w:val="18"/>
          <w:szCs w:val="18"/>
          <w:u w:val="single" w:color="auto"/>
          <w:color w:val="0000FF"/>
        </w:rPr>
        <w:t>Table of Contents</w:t>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Calibri" w:cs="Calibri" w:eastAsia="Calibri" w:hAnsi="Calibri"/>
          <w:sz w:val="18"/>
          <w:szCs w:val="18"/>
          <w:b w:val="1"/>
          <w:bCs w:val="1"/>
          <w:color w:val="auto"/>
        </w:rPr>
        <w:t>BROADCOM INC.</w:t>
      </w:r>
    </w:p>
    <w:p>
      <w:pPr>
        <w:jc w:val="center"/>
        <w:spacing w:after="0" w:line="230" w:lineRule="auto"/>
        <w:rPr>
          <w:sz w:val="20"/>
          <w:szCs w:val="20"/>
          <w:color w:val="auto"/>
        </w:rPr>
      </w:pPr>
      <w:r>
        <w:rPr>
          <w:rFonts w:ascii="Calibri" w:cs="Calibri" w:eastAsia="Calibri" w:hAnsi="Calibri"/>
          <w:sz w:val="18"/>
          <w:szCs w:val="18"/>
          <w:b w:val="1"/>
          <w:bCs w:val="1"/>
          <w:color w:val="auto"/>
        </w:rPr>
        <w:t>NOTES TO CONSOLIDATED FINANCIAL STATEMENTS</w:t>
      </w:r>
    </w:p>
    <w:p>
      <w:pPr>
        <w:spacing w:after="0" w:line="98"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1. Overview and Basis of Presentaton</w:t>
      </w:r>
    </w:p>
    <w:p>
      <w:pPr>
        <w:spacing w:after="0" w:line="97"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Overview</w:t>
      </w:r>
    </w:p>
    <w:p>
      <w:pPr>
        <w:spacing w:after="0" w:line="107" w:lineRule="exact"/>
        <w:rPr>
          <w:sz w:val="20"/>
          <w:szCs w:val="20"/>
          <w:color w:val="auto"/>
        </w:rPr>
      </w:pPr>
    </w:p>
    <w:p>
      <w:pPr>
        <w:ind w:firstLine="396"/>
        <w:spacing w:after="0" w:line="244" w:lineRule="auto"/>
        <w:rPr>
          <w:sz w:val="20"/>
          <w:szCs w:val="20"/>
          <w:color w:val="auto"/>
        </w:rPr>
      </w:pPr>
      <w:r>
        <w:rPr>
          <w:rFonts w:ascii="Calibri" w:cs="Calibri" w:eastAsia="Calibri" w:hAnsi="Calibri"/>
          <w:sz w:val="17"/>
          <w:szCs w:val="17"/>
          <w:color w:val="auto"/>
        </w:rPr>
        <w:t>Broadcom Inc. (“Broadcom”), a Delaware corporaton, is a global technology leader that designs, develops and supplies a broad range of semiconductor and infrastructure sofware solutons. We develop semiconductor devices with a focus on complex digital and mixed signal complementary metal oxide semiconductor based devices and analog III-V based products. We have a history of innovaton in the semiconductor industry and ofer thousands of products that are used in end products such as enterprise and data center networking, home connectvity, set-top boxes, broadband access, telecommunicaton equipment, smartphones and base statons, data center servers and storage systems, factory automaton, power generaton and alternatve energy systems, and electronic displays. Our infrastructure sofware solutons enable customers to plan, develop, automate, manage and secure applicatons across mainframe, distributed, mobile and cloud platorms. Our portolio of infrastructure and security sofware is designed to modernize, optmize, and secure the most complex hybrid environments, enabling scalability, agility, automaton, insights, resiliency and security. We also ofer mission critcal fbre channel storage area networking (“FC SAN”) products and related sofware in the form of modules, switches and subsystems incorporatng multple semiconductor products. Unless stated otherwise or the context otherwise requires, references to “Broadcom,” “we,” “our,” and “us” mean Broadcom and its consolidated subsidiaries. We have two reportable segments: semiconductor solutons and infrastructure sofware. See Note 12. “Segment Informaton” for additonal informaton.</w:t>
      </w:r>
    </w:p>
    <w:p>
      <w:pPr>
        <w:spacing w:after="0" w:line="99"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Basis of Presentaton</w:t>
      </w:r>
    </w:p>
    <w:p>
      <w:pPr>
        <w:spacing w:after="0" w:line="107" w:lineRule="exact"/>
        <w:rPr>
          <w:sz w:val="20"/>
          <w:szCs w:val="20"/>
          <w:color w:val="auto"/>
        </w:rPr>
      </w:pPr>
    </w:p>
    <w:p>
      <w:pPr>
        <w:jc w:val="both"/>
        <w:ind w:right="180" w:firstLine="396"/>
        <w:spacing w:after="0" w:line="230" w:lineRule="auto"/>
        <w:rPr>
          <w:sz w:val="20"/>
          <w:szCs w:val="20"/>
          <w:color w:val="auto"/>
        </w:rPr>
      </w:pPr>
      <w:r>
        <w:rPr>
          <w:rFonts w:ascii="Calibri" w:cs="Calibri" w:eastAsia="Calibri" w:hAnsi="Calibri"/>
          <w:sz w:val="18"/>
          <w:szCs w:val="18"/>
          <w:color w:val="auto"/>
        </w:rPr>
        <w:t>We operate on a 52- or 53-week fscal year ending on the Sunday closest to October 31 in a 52-week year and the frst Sunday in November in a 53-week year. Our fscal year ended October 29, 2023 (“fscal year 2023”) was a 52-week fscal year. The frst quarter of our fscal year 2023 ended on January 29, 2023, the second quarter ended on April 30, 2023 and the third quarter ended on July 30, 2023. Our fscal year ended October 30, 2022 (“fscal year 2022”) and fscal year ended October 31, 2021 (“fscal year 2021”) were both 52-week fscal years.</w:t>
      </w:r>
    </w:p>
    <w:p>
      <w:pPr>
        <w:spacing w:after="0" w:line="108" w:lineRule="exact"/>
        <w:rPr>
          <w:sz w:val="20"/>
          <w:szCs w:val="20"/>
          <w:color w:val="auto"/>
        </w:rPr>
      </w:pPr>
    </w:p>
    <w:p>
      <w:pPr>
        <w:ind w:right="300" w:firstLine="396"/>
        <w:spacing w:after="0" w:line="247" w:lineRule="auto"/>
        <w:rPr>
          <w:sz w:val="20"/>
          <w:szCs w:val="20"/>
          <w:color w:val="auto"/>
        </w:rPr>
      </w:pPr>
      <w:r>
        <w:rPr>
          <w:rFonts w:ascii="Calibri" w:cs="Calibri" w:eastAsia="Calibri" w:hAnsi="Calibri"/>
          <w:sz w:val="17"/>
          <w:szCs w:val="17"/>
          <w:color w:val="auto"/>
        </w:rPr>
        <w:t>The accompanying consolidated fnancial statements include the accounts of Broadcom and its subsidiaries and have been prepared in accordance with generally accepted accountng principles in the United States (“GAAP”). All intercompany balances and transactons have been eliminated in consolidaton.</w:t>
      </w:r>
    </w:p>
    <w:p>
      <w:pPr>
        <w:spacing w:after="0" w:line="91"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2. Summary of Signifcant Accountng Policies</w:t>
      </w:r>
    </w:p>
    <w:p>
      <w:pPr>
        <w:spacing w:after="0" w:line="107" w:lineRule="exact"/>
        <w:rPr>
          <w:sz w:val="20"/>
          <w:szCs w:val="20"/>
          <w:color w:val="auto"/>
        </w:rPr>
      </w:pPr>
    </w:p>
    <w:p>
      <w:pPr>
        <w:ind w:right="240" w:firstLine="396"/>
        <w:spacing w:after="0" w:line="245" w:lineRule="auto"/>
        <w:rPr>
          <w:sz w:val="20"/>
          <w:szCs w:val="20"/>
          <w:color w:val="auto"/>
        </w:rPr>
      </w:pPr>
      <w:r>
        <w:rPr>
          <w:rFonts w:ascii="Calibri" w:cs="Calibri" w:eastAsia="Calibri" w:hAnsi="Calibri"/>
          <w:sz w:val="17"/>
          <w:szCs w:val="17"/>
          <w:i w:val="1"/>
          <w:iCs w:val="1"/>
          <w:color w:val="auto"/>
        </w:rPr>
        <w:t xml:space="preserve">Foreign currency remeasurement. </w:t>
      </w:r>
      <w:r>
        <w:rPr>
          <w:rFonts w:ascii="Calibri" w:cs="Calibri" w:eastAsia="Calibri" w:hAnsi="Calibri"/>
          <w:sz w:val="17"/>
          <w:szCs w:val="17"/>
          <w:color w:val="auto"/>
        </w:rPr>
        <w:t>We operate in a U.S. dollar functonal currency environment. Foreign currency assets and liabilites for monetary</w:t>
      </w:r>
      <w:r>
        <w:rPr>
          <w:rFonts w:ascii="Calibri" w:cs="Calibri" w:eastAsia="Calibri" w:hAnsi="Calibri"/>
          <w:sz w:val="17"/>
          <w:szCs w:val="17"/>
          <w:i w:val="1"/>
          <w:iCs w:val="1"/>
          <w:color w:val="auto"/>
        </w:rPr>
        <w:t xml:space="preserve"> </w:t>
      </w:r>
      <w:r>
        <w:rPr>
          <w:rFonts w:ascii="Calibri" w:cs="Calibri" w:eastAsia="Calibri" w:hAnsi="Calibri"/>
          <w:sz w:val="17"/>
          <w:szCs w:val="17"/>
          <w:color w:val="auto"/>
        </w:rPr>
        <w:t>accounts are remeasured into U.S. dollars at current exchange rates. Non-monetary items such as inventory and property, plant and equipment, are measured and recorded at historical exchange rates. The efects of foreign currency remeasurement were not material for any period presented.</w:t>
      </w:r>
    </w:p>
    <w:p>
      <w:pPr>
        <w:spacing w:after="0" w:line="104" w:lineRule="exact"/>
        <w:rPr>
          <w:sz w:val="20"/>
          <w:szCs w:val="20"/>
          <w:color w:val="auto"/>
        </w:rPr>
      </w:pPr>
    </w:p>
    <w:p>
      <w:pPr>
        <w:ind w:right="60" w:firstLine="396"/>
        <w:spacing w:after="0" w:line="230" w:lineRule="auto"/>
        <w:rPr>
          <w:sz w:val="20"/>
          <w:szCs w:val="20"/>
          <w:color w:val="auto"/>
        </w:rPr>
      </w:pPr>
      <w:r>
        <w:rPr>
          <w:rFonts w:ascii="Calibri" w:cs="Calibri" w:eastAsia="Calibri" w:hAnsi="Calibri"/>
          <w:sz w:val="18"/>
          <w:szCs w:val="18"/>
          <w:i w:val="1"/>
          <w:iCs w:val="1"/>
          <w:color w:val="auto"/>
        </w:rPr>
        <w:t xml:space="preserve">Use of estmates. </w:t>
      </w:r>
      <w:r>
        <w:rPr>
          <w:rFonts w:ascii="Calibri" w:cs="Calibri" w:eastAsia="Calibri" w:hAnsi="Calibri"/>
          <w:sz w:val="18"/>
          <w:szCs w:val="18"/>
          <w:color w:val="auto"/>
        </w:rPr>
        <w:t>The preparaton of fnancial statements in conformity with GAAP requires management to make estmates and assumptons that afect</w:t>
      </w:r>
      <w:r>
        <w:rPr>
          <w:rFonts w:ascii="Calibri" w:cs="Calibri" w:eastAsia="Calibri" w:hAnsi="Calibri"/>
          <w:sz w:val="18"/>
          <w:szCs w:val="18"/>
          <w:i w:val="1"/>
          <w:iCs w:val="1"/>
          <w:color w:val="auto"/>
        </w:rPr>
        <w:t xml:space="preserve"> </w:t>
      </w:r>
      <w:r>
        <w:rPr>
          <w:rFonts w:ascii="Calibri" w:cs="Calibri" w:eastAsia="Calibri" w:hAnsi="Calibri"/>
          <w:sz w:val="18"/>
          <w:szCs w:val="18"/>
          <w:color w:val="auto"/>
        </w:rPr>
        <w:t>the reported amounts of assets and liabilites and disclosure of contngent assets and liabilites at the date of the fnancial statements and the reported amounts of revenues and expenses during the reportng period. Actual results could difer materially from these estmates, and such diferences could afect the results of operatons reported in future periods.</w:t>
      </w:r>
    </w:p>
    <w:p>
      <w:pPr>
        <w:spacing w:after="0" w:line="108" w:lineRule="exact"/>
        <w:rPr>
          <w:sz w:val="20"/>
          <w:szCs w:val="20"/>
          <w:color w:val="auto"/>
        </w:rPr>
      </w:pPr>
    </w:p>
    <w:p>
      <w:pPr>
        <w:ind w:right="60" w:firstLine="396"/>
        <w:spacing w:after="0" w:line="230" w:lineRule="auto"/>
        <w:rPr>
          <w:sz w:val="20"/>
          <w:szCs w:val="20"/>
          <w:color w:val="auto"/>
        </w:rPr>
      </w:pPr>
      <w:r>
        <w:rPr>
          <w:rFonts w:ascii="Calibri" w:cs="Calibri" w:eastAsia="Calibri" w:hAnsi="Calibri"/>
          <w:sz w:val="18"/>
          <w:szCs w:val="18"/>
          <w:i w:val="1"/>
          <w:iCs w:val="1"/>
          <w:color w:val="auto"/>
        </w:rPr>
        <w:t xml:space="preserve">Cash and cash equivalents. </w:t>
      </w:r>
      <w:r>
        <w:rPr>
          <w:rFonts w:ascii="Calibri" w:cs="Calibri" w:eastAsia="Calibri" w:hAnsi="Calibri"/>
          <w:sz w:val="18"/>
          <w:szCs w:val="18"/>
          <w:color w:val="auto"/>
        </w:rPr>
        <w:t>We consider all highly liquid investment securites with original maturites of three months or less at the date of purchase to be</w:t>
      </w:r>
      <w:r>
        <w:rPr>
          <w:rFonts w:ascii="Calibri" w:cs="Calibri" w:eastAsia="Calibri" w:hAnsi="Calibri"/>
          <w:sz w:val="18"/>
          <w:szCs w:val="18"/>
          <w:i w:val="1"/>
          <w:iCs w:val="1"/>
          <w:color w:val="auto"/>
        </w:rPr>
        <w:t xml:space="preserve"> </w:t>
      </w:r>
      <w:r>
        <w:rPr>
          <w:rFonts w:ascii="Calibri" w:cs="Calibri" w:eastAsia="Calibri" w:hAnsi="Calibri"/>
          <w:sz w:val="18"/>
          <w:szCs w:val="18"/>
          <w:color w:val="auto"/>
        </w:rPr>
        <w:t>cash equivalents. We determine the appropriate classifcaton of our cash and cash equivalents at the tme of purchase.</w:t>
      </w:r>
    </w:p>
    <w:p>
      <w:pPr>
        <w:spacing w:after="0" w:line="107" w:lineRule="exact"/>
        <w:rPr>
          <w:sz w:val="20"/>
          <w:szCs w:val="20"/>
          <w:color w:val="auto"/>
        </w:rPr>
      </w:pPr>
    </w:p>
    <w:p>
      <w:pPr>
        <w:ind w:right="40" w:firstLine="396"/>
        <w:spacing w:after="0" w:line="230" w:lineRule="auto"/>
        <w:rPr>
          <w:sz w:val="20"/>
          <w:szCs w:val="20"/>
          <w:color w:val="auto"/>
        </w:rPr>
      </w:pPr>
      <w:r>
        <w:rPr>
          <w:rFonts w:ascii="Calibri" w:cs="Calibri" w:eastAsia="Calibri" w:hAnsi="Calibri"/>
          <w:sz w:val="18"/>
          <w:szCs w:val="18"/>
          <w:i w:val="1"/>
          <w:iCs w:val="1"/>
          <w:color w:val="auto"/>
        </w:rPr>
        <w:t xml:space="preserve">Trade accounts receivable, net. </w:t>
      </w:r>
      <w:r>
        <w:rPr>
          <w:rFonts w:ascii="Calibri" w:cs="Calibri" w:eastAsia="Calibri" w:hAnsi="Calibri"/>
          <w:sz w:val="18"/>
          <w:szCs w:val="18"/>
          <w:color w:val="auto"/>
        </w:rPr>
        <w:t>Trade accounts receivable are recognized at the invoiced amount and do not bear interest. Accounts receivable are reduced</w:t>
      </w:r>
      <w:r>
        <w:rPr>
          <w:rFonts w:ascii="Calibri" w:cs="Calibri" w:eastAsia="Calibri" w:hAnsi="Calibri"/>
          <w:sz w:val="18"/>
          <w:szCs w:val="18"/>
          <w:i w:val="1"/>
          <w:iCs w:val="1"/>
          <w:color w:val="auto"/>
        </w:rPr>
        <w:t xml:space="preserve"> </w:t>
      </w:r>
      <w:r>
        <w:rPr>
          <w:rFonts w:ascii="Calibri" w:cs="Calibri" w:eastAsia="Calibri" w:hAnsi="Calibri"/>
          <w:sz w:val="18"/>
          <w:szCs w:val="18"/>
          <w:color w:val="auto"/>
        </w:rPr>
        <w:t>by an allowance for doubtul accounts, which is our best estmate of the expected credit losses in our existng accounts receivable. We determine the allowance based on historical experience and current economic conditons, among other factors. Allowances for doubtul accounts were not material as of October 29, 2023 or October 30, 2022. Accounts receivable are also recognized net of sales returns and distributor credit allowances. These amounts are recognized when it is both probable and estmable that discounts will be granted or products will be returned. Allowances for sales returns and distributor credit allowances as of October 29, 2023 and October 30, 2022 were $137 million and $126 million, respectvely.</w:t>
      </w:r>
    </w:p>
    <w:p>
      <w:pPr>
        <w:spacing w:after="0" w:line="110" w:lineRule="exact"/>
        <w:rPr>
          <w:sz w:val="20"/>
          <w:szCs w:val="20"/>
          <w:color w:val="auto"/>
        </w:rPr>
      </w:pPr>
    </w:p>
    <w:p>
      <w:pPr>
        <w:ind w:firstLine="396"/>
        <w:spacing w:after="0" w:line="230" w:lineRule="auto"/>
        <w:rPr>
          <w:sz w:val="20"/>
          <w:szCs w:val="20"/>
          <w:color w:val="auto"/>
        </w:rPr>
      </w:pPr>
      <w:r>
        <w:rPr>
          <w:rFonts w:ascii="Calibri" w:cs="Calibri" w:eastAsia="Calibri" w:hAnsi="Calibri"/>
          <w:sz w:val="18"/>
          <w:szCs w:val="18"/>
          <w:i w:val="1"/>
          <w:iCs w:val="1"/>
          <w:color w:val="auto"/>
        </w:rPr>
        <w:t xml:space="preserve">Concentratons of credit risk and signifcant customers. </w:t>
      </w:r>
      <w:r>
        <w:rPr>
          <w:rFonts w:ascii="Calibri" w:cs="Calibri" w:eastAsia="Calibri" w:hAnsi="Calibri"/>
          <w:sz w:val="18"/>
          <w:szCs w:val="18"/>
          <w:color w:val="auto"/>
        </w:rPr>
        <w:t>Our cash, cash equivalents and accounts receivable are potentally subject to concentraton of credit</w:t>
      </w:r>
      <w:r>
        <w:rPr>
          <w:rFonts w:ascii="Calibri" w:cs="Calibri" w:eastAsia="Calibri" w:hAnsi="Calibri"/>
          <w:sz w:val="18"/>
          <w:szCs w:val="18"/>
          <w:i w:val="1"/>
          <w:iCs w:val="1"/>
          <w:color w:val="auto"/>
        </w:rPr>
        <w:t xml:space="preserve"> </w:t>
      </w:r>
      <w:r>
        <w:rPr>
          <w:rFonts w:ascii="Calibri" w:cs="Calibri" w:eastAsia="Calibri" w:hAnsi="Calibri"/>
          <w:sz w:val="18"/>
          <w:szCs w:val="18"/>
          <w:color w:val="auto"/>
        </w:rPr>
        <w:t>risk. Cash and cash equivalents may be redeemable upon demand and are maintained with fnancial insttutons that management believes are of high credit quality and therefore bear minimal credit risk. We seek to mitgate our credit risks by spreading such risks across multple counterpartes and monitoring the risk profle</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9" w:right="339" w:bottom="1440" w:gutter="0" w:footer="0" w:header="0"/>
        </w:sectPr>
      </w:pPr>
    </w:p>
    <w:bookmarkStart w:id="57" w:name="page58"/>
    <w:bookmarkEnd w:id="57"/>
    <w:p>
      <w:pPr>
        <w:spacing w:after="0"/>
        <w:rPr>
          <w:sz w:val="20"/>
          <w:szCs w:val="20"/>
          <w:color w:val="auto"/>
        </w:rPr>
      </w:pPr>
      <w:r>
        <w:rPr>
          <w:rFonts w:ascii="Calibri" w:cs="Calibri" w:eastAsia="Calibri" w:hAnsi="Calibri"/>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right="40"/>
        <w:spacing w:after="0" w:line="230" w:lineRule="auto"/>
        <w:rPr>
          <w:sz w:val="20"/>
          <w:szCs w:val="20"/>
          <w:color w:val="auto"/>
        </w:rPr>
      </w:pPr>
      <w:r>
        <w:rPr>
          <w:rFonts w:ascii="Calibri" w:cs="Calibri" w:eastAsia="Calibri" w:hAnsi="Calibri"/>
          <w:sz w:val="18"/>
          <w:szCs w:val="18"/>
          <w:color w:val="auto"/>
        </w:rPr>
        <w:t>of these counterpartes. Our accounts receivable are derived from revenue earned from customers located both within and outside the U.S. We mitgate collecton risks from our customers by performing regular credit evaluatons of our customers’ fnancial conditons, and require collateral, such as leters of credit and bank guarantees, in certain circumstances.</w:t>
      </w:r>
    </w:p>
    <w:p>
      <w:pPr>
        <w:spacing w:after="0" w:line="108" w:lineRule="exact"/>
        <w:rPr>
          <w:sz w:val="20"/>
          <w:szCs w:val="20"/>
          <w:color w:val="auto"/>
        </w:rPr>
      </w:pPr>
    </w:p>
    <w:p>
      <w:pPr>
        <w:ind w:right="160" w:firstLine="396"/>
        <w:spacing w:after="0" w:line="230" w:lineRule="auto"/>
        <w:rPr>
          <w:sz w:val="20"/>
          <w:szCs w:val="20"/>
          <w:color w:val="auto"/>
        </w:rPr>
      </w:pPr>
      <w:r>
        <w:rPr>
          <w:rFonts w:ascii="Calibri" w:cs="Calibri" w:eastAsia="Calibri" w:hAnsi="Calibri"/>
          <w:sz w:val="18"/>
          <w:szCs w:val="18"/>
          <w:i w:val="1"/>
          <w:iCs w:val="1"/>
          <w:color w:val="auto"/>
        </w:rPr>
        <w:t xml:space="preserve">Concentraton of other risks. </w:t>
      </w:r>
      <w:r>
        <w:rPr>
          <w:rFonts w:ascii="Calibri" w:cs="Calibri" w:eastAsia="Calibri" w:hAnsi="Calibri"/>
          <w:sz w:val="18"/>
          <w:szCs w:val="18"/>
          <w:color w:val="auto"/>
        </w:rPr>
        <w:t>We operate in markets that are highly compettve and rapidly changing. Signifcant technological changes, shifing customer</w:t>
      </w:r>
      <w:r>
        <w:rPr>
          <w:rFonts w:ascii="Calibri" w:cs="Calibri" w:eastAsia="Calibri" w:hAnsi="Calibri"/>
          <w:sz w:val="18"/>
          <w:szCs w:val="18"/>
          <w:i w:val="1"/>
          <w:iCs w:val="1"/>
          <w:color w:val="auto"/>
        </w:rPr>
        <w:t xml:space="preserve"> </w:t>
      </w:r>
      <w:r>
        <w:rPr>
          <w:rFonts w:ascii="Calibri" w:cs="Calibri" w:eastAsia="Calibri" w:hAnsi="Calibri"/>
          <w:sz w:val="18"/>
          <w:szCs w:val="18"/>
          <w:color w:val="auto"/>
        </w:rPr>
        <w:t>needs, the emergence of compettve products with new capabilites, general economic conditons worldwide, the ability to safeguard patents and other intellectual property (“IP”) in a rapidly evolving market and reliance on assembly and test subcontractors, third-party wafer fabricators and independent distributors and other factors could afect our fnancial results.</w:t>
      </w:r>
    </w:p>
    <w:p>
      <w:pPr>
        <w:spacing w:after="0" w:line="108" w:lineRule="exact"/>
        <w:rPr>
          <w:sz w:val="20"/>
          <w:szCs w:val="20"/>
          <w:color w:val="auto"/>
        </w:rPr>
      </w:pPr>
    </w:p>
    <w:p>
      <w:pPr>
        <w:ind w:right="40" w:firstLine="396"/>
        <w:spacing w:after="0" w:line="230" w:lineRule="auto"/>
        <w:rPr>
          <w:sz w:val="20"/>
          <w:szCs w:val="20"/>
          <w:color w:val="auto"/>
        </w:rPr>
      </w:pPr>
      <w:r>
        <w:rPr>
          <w:rFonts w:ascii="Calibri" w:cs="Calibri" w:eastAsia="Calibri" w:hAnsi="Calibri"/>
          <w:sz w:val="18"/>
          <w:szCs w:val="18"/>
          <w:i w:val="1"/>
          <w:iCs w:val="1"/>
          <w:color w:val="auto"/>
        </w:rPr>
        <w:t xml:space="preserve">Inventory. </w:t>
      </w:r>
      <w:r>
        <w:rPr>
          <w:rFonts w:ascii="Calibri" w:cs="Calibri" w:eastAsia="Calibri" w:hAnsi="Calibri"/>
          <w:sz w:val="18"/>
          <w:szCs w:val="18"/>
          <w:color w:val="auto"/>
        </w:rPr>
        <w:t>We value our inventory at the lower of actual cost or net realizable value of the inventory, with cost being determined under the frst-in, frst-out</w:t>
      </w:r>
      <w:r>
        <w:rPr>
          <w:rFonts w:ascii="Calibri" w:cs="Calibri" w:eastAsia="Calibri" w:hAnsi="Calibri"/>
          <w:sz w:val="18"/>
          <w:szCs w:val="18"/>
          <w:i w:val="1"/>
          <w:iCs w:val="1"/>
          <w:color w:val="auto"/>
        </w:rPr>
        <w:t xml:space="preserve"> </w:t>
      </w:r>
      <w:r>
        <w:rPr>
          <w:rFonts w:ascii="Calibri" w:cs="Calibri" w:eastAsia="Calibri" w:hAnsi="Calibri"/>
          <w:sz w:val="18"/>
          <w:szCs w:val="18"/>
          <w:color w:val="auto"/>
        </w:rPr>
        <w:t>method. We record a provision for excess and obsolete inventory based primarily on our forecast of product demand and producton requirements. The excess and obsolete balance determined by this analysis becomes the basis for our excess and obsolete inventory charge and the writen-down value of the inventory becomes its new cost basis.</w:t>
      </w:r>
    </w:p>
    <w:p>
      <w:pPr>
        <w:spacing w:after="0" w:line="108" w:lineRule="exact"/>
        <w:rPr>
          <w:sz w:val="20"/>
          <w:szCs w:val="20"/>
          <w:color w:val="auto"/>
        </w:rPr>
      </w:pPr>
    </w:p>
    <w:p>
      <w:pPr>
        <w:ind w:right="120" w:firstLine="396"/>
        <w:spacing w:after="0" w:line="230" w:lineRule="auto"/>
        <w:rPr>
          <w:sz w:val="20"/>
          <w:szCs w:val="20"/>
          <w:color w:val="auto"/>
        </w:rPr>
      </w:pPr>
      <w:r>
        <w:rPr>
          <w:rFonts w:ascii="Calibri" w:cs="Calibri" w:eastAsia="Calibri" w:hAnsi="Calibri"/>
          <w:sz w:val="18"/>
          <w:szCs w:val="18"/>
          <w:i w:val="1"/>
          <w:iCs w:val="1"/>
          <w:color w:val="auto"/>
        </w:rPr>
        <w:t xml:space="preserve">Retrement beneft plans. </w:t>
      </w:r>
      <w:r>
        <w:rPr>
          <w:rFonts w:ascii="Calibri" w:cs="Calibri" w:eastAsia="Calibri" w:hAnsi="Calibri"/>
          <w:sz w:val="18"/>
          <w:szCs w:val="18"/>
          <w:color w:val="auto"/>
        </w:rPr>
        <w:t>For defned beneft pension plans, we consider various factors in determining our respectve beneft obligatons and net periodic</w:t>
      </w:r>
      <w:r>
        <w:rPr>
          <w:rFonts w:ascii="Calibri" w:cs="Calibri" w:eastAsia="Calibri" w:hAnsi="Calibri"/>
          <w:sz w:val="18"/>
          <w:szCs w:val="18"/>
          <w:i w:val="1"/>
          <w:iCs w:val="1"/>
          <w:color w:val="auto"/>
        </w:rPr>
        <w:t xml:space="preserve"> </w:t>
      </w:r>
      <w:r>
        <w:rPr>
          <w:rFonts w:ascii="Calibri" w:cs="Calibri" w:eastAsia="Calibri" w:hAnsi="Calibri"/>
          <w:sz w:val="18"/>
          <w:szCs w:val="18"/>
          <w:color w:val="auto"/>
        </w:rPr>
        <w:t>beneft cost, including the number of employees that we expect to receive benefts, their salary levels and years of service, the expected return on plan assets, the discount rate, the tming of the payment of benefts, and other actuarial assumptons. If the actual results and events of the beneft plans difer from our current assumptons, the beneft obligatons may be over- or under-valued.</w:t>
      </w:r>
    </w:p>
    <w:p>
      <w:pPr>
        <w:spacing w:after="0" w:line="108" w:lineRule="exact"/>
        <w:rPr>
          <w:sz w:val="20"/>
          <w:szCs w:val="20"/>
          <w:color w:val="auto"/>
        </w:rPr>
      </w:pPr>
    </w:p>
    <w:p>
      <w:pPr>
        <w:ind w:right="200" w:firstLine="396"/>
        <w:spacing w:after="0" w:line="230" w:lineRule="auto"/>
        <w:rPr>
          <w:sz w:val="20"/>
          <w:szCs w:val="20"/>
          <w:color w:val="auto"/>
        </w:rPr>
      </w:pPr>
      <w:r>
        <w:rPr>
          <w:rFonts w:ascii="Calibri" w:cs="Calibri" w:eastAsia="Calibri" w:hAnsi="Calibri"/>
          <w:sz w:val="18"/>
          <w:szCs w:val="18"/>
          <w:color w:val="auto"/>
        </w:rPr>
        <w:t>The key assumptons are the discount rate and the expected rate of return on plan assets. The U.S. discount rates are based on a hypothetcal yield curve constructed using high-quality corporate bonds selected to yield cash fows that match the expected tming and amount of the beneft payments. The U.S. expected rate of return on plan assets is set equal to the discount rate due to the implementaton of our fully-matched, liability-driven investment strategy. We evaluate these assumptons at least annually. For the non-U.S. plans, we set assumptons specifc to each country. We have elected to measure defned beneft pension plan assets and liabilites as of October 31, which is the month end that is closest to our fscal year end.</w:t>
      </w:r>
    </w:p>
    <w:p>
      <w:pPr>
        <w:spacing w:after="0" w:line="109" w:lineRule="exact"/>
        <w:rPr>
          <w:sz w:val="20"/>
          <w:szCs w:val="20"/>
          <w:color w:val="auto"/>
        </w:rPr>
      </w:pPr>
    </w:p>
    <w:p>
      <w:pPr>
        <w:ind w:right="680" w:firstLine="396"/>
        <w:spacing w:after="0" w:line="230" w:lineRule="auto"/>
        <w:rPr>
          <w:sz w:val="20"/>
          <w:szCs w:val="20"/>
          <w:color w:val="auto"/>
        </w:rPr>
      </w:pPr>
      <w:r>
        <w:rPr>
          <w:rFonts w:ascii="Calibri" w:cs="Calibri" w:eastAsia="Calibri" w:hAnsi="Calibri"/>
          <w:sz w:val="18"/>
          <w:szCs w:val="18"/>
          <w:i w:val="1"/>
          <w:iCs w:val="1"/>
          <w:color w:val="auto"/>
        </w:rPr>
        <w:t xml:space="preserve">Derivatve instruments. </w:t>
      </w:r>
      <w:r>
        <w:rPr>
          <w:rFonts w:ascii="Calibri" w:cs="Calibri" w:eastAsia="Calibri" w:hAnsi="Calibri"/>
          <w:sz w:val="18"/>
          <w:szCs w:val="18"/>
          <w:color w:val="auto"/>
        </w:rPr>
        <w:t>We use derivatve fnancial instruments to manage exposure to foreign exchange risk and interest rate risk. We do not use</w:t>
      </w:r>
      <w:r>
        <w:rPr>
          <w:rFonts w:ascii="Calibri" w:cs="Calibri" w:eastAsia="Calibri" w:hAnsi="Calibri"/>
          <w:sz w:val="18"/>
          <w:szCs w:val="18"/>
          <w:i w:val="1"/>
          <w:iCs w:val="1"/>
          <w:color w:val="auto"/>
        </w:rPr>
        <w:t xml:space="preserve"> </w:t>
      </w:r>
      <w:r>
        <w:rPr>
          <w:rFonts w:ascii="Calibri" w:cs="Calibri" w:eastAsia="Calibri" w:hAnsi="Calibri"/>
          <w:sz w:val="18"/>
          <w:szCs w:val="18"/>
          <w:color w:val="auto"/>
        </w:rPr>
        <w:t>derivatve fnancial instruments for speculatve or trading purposes.</w:t>
      </w:r>
    </w:p>
    <w:p>
      <w:pPr>
        <w:spacing w:after="0" w:line="107" w:lineRule="exact"/>
        <w:rPr>
          <w:sz w:val="20"/>
          <w:szCs w:val="20"/>
          <w:color w:val="auto"/>
        </w:rPr>
      </w:pPr>
    </w:p>
    <w:p>
      <w:pPr>
        <w:ind w:right="40" w:firstLine="396"/>
        <w:spacing w:after="0" w:line="230" w:lineRule="auto"/>
        <w:rPr>
          <w:sz w:val="20"/>
          <w:szCs w:val="20"/>
          <w:color w:val="auto"/>
        </w:rPr>
      </w:pPr>
      <w:r>
        <w:rPr>
          <w:rFonts w:ascii="Calibri" w:cs="Calibri" w:eastAsia="Calibri" w:hAnsi="Calibri"/>
          <w:sz w:val="18"/>
          <w:szCs w:val="18"/>
          <w:color w:val="auto"/>
        </w:rPr>
        <w:t>Outstanding derivatves are recognized as assets or liabilites at their fair values based on Level 2 inputs, as defned in the fair value hierarchy. For derivatve instruments designated as cash fow hedges, the changes in fair value are initally recognized in other comprehensive income (loss), net of tax in the period of change, and are subsequently reclassifed and recognized in the same line item as the hedged item when either the hedged transactons afect earnings or it becomes probable that the hedged transactons will not occur.</w:t>
      </w:r>
    </w:p>
    <w:p>
      <w:pPr>
        <w:spacing w:after="0" w:line="108" w:lineRule="exact"/>
        <w:rPr>
          <w:sz w:val="20"/>
          <w:szCs w:val="20"/>
          <w:color w:val="auto"/>
        </w:rPr>
      </w:pPr>
    </w:p>
    <w:p>
      <w:pPr>
        <w:ind w:right="80" w:firstLine="396"/>
        <w:spacing w:after="0" w:line="230" w:lineRule="auto"/>
        <w:rPr>
          <w:sz w:val="20"/>
          <w:szCs w:val="20"/>
          <w:color w:val="auto"/>
        </w:rPr>
      </w:pPr>
      <w:r>
        <w:rPr>
          <w:rFonts w:ascii="Calibri" w:cs="Calibri" w:eastAsia="Calibri" w:hAnsi="Calibri"/>
          <w:sz w:val="18"/>
          <w:szCs w:val="18"/>
          <w:color w:val="auto"/>
        </w:rPr>
        <w:t>We use foreign exchange forward contracts to manage exposure to foreign exchange risk. These forward contracts are not designated as hedging instruments, and the changes in fair value are recognized in other income (expense), net in the period of change. We did not have any outstanding foreign exchange forward contracts as of October 29, 2023 or October 30, 2022. The gains and losses recorded in other income (expense), net for derivatve instruments not designated as hedges were not material.</w:t>
      </w:r>
    </w:p>
    <w:p>
      <w:pPr>
        <w:spacing w:after="0" w:line="108" w:lineRule="exact"/>
        <w:rPr>
          <w:sz w:val="20"/>
          <w:szCs w:val="20"/>
          <w:color w:val="auto"/>
        </w:rPr>
      </w:pPr>
    </w:p>
    <w:p>
      <w:pPr>
        <w:ind w:firstLine="396"/>
        <w:spacing w:after="0" w:line="244" w:lineRule="auto"/>
        <w:rPr>
          <w:sz w:val="20"/>
          <w:szCs w:val="20"/>
          <w:color w:val="auto"/>
        </w:rPr>
      </w:pPr>
      <w:r>
        <w:rPr>
          <w:rFonts w:ascii="Calibri" w:cs="Calibri" w:eastAsia="Calibri" w:hAnsi="Calibri"/>
          <w:sz w:val="17"/>
          <w:szCs w:val="17"/>
          <w:color w:val="auto"/>
        </w:rPr>
        <w:t>During fscal years 2023 and 2022, we entered into treasury rate lock contracts that mature in approximately one year to hedge variability of cash fows due to changes in the benchmark interest rate of antcipated future debt issuances. These treasury rate locks were designated and accounted for as cash fow hedging instruments. As of October 30, 2022, the total notonal amount of these contracts was $1.3 billion, and the fair value of these contracts was $47 million, which was recorded as a derivatve asset with the gains recorded net of tax as a component of accumulated other comprehensive loss on our consolidated balance sheet. In August 2023, we early setled all treasury rate lock contracts, which had a $5.5 billion notonal amount, for a cumulatve gain of $371 million, which was recorded net of tax as a component of accumulated other comprehensive income as of October 29, 2023. The cumulatve gain will be amortzed to interest expense associated with future debt to be issued referencing the respectve hedged treasury rates. The cash receipts were included in cash fows from operatng actvites in the consolidated statements of cash fows. No derivatve instruments that hedge interest rate risk were outstanding as of October 29, 2023.</w:t>
      </w:r>
    </w:p>
    <w:p>
      <w:pPr>
        <w:spacing w:after="0" w:line="108" w:lineRule="exact"/>
        <w:rPr>
          <w:sz w:val="20"/>
          <w:szCs w:val="20"/>
          <w:color w:val="auto"/>
        </w:rPr>
      </w:pPr>
    </w:p>
    <w:p>
      <w:pPr>
        <w:ind w:firstLine="396"/>
        <w:spacing w:after="0" w:line="230" w:lineRule="auto"/>
        <w:rPr>
          <w:sz w:val="20"/>
          <w:szCs w:val="20"/>
          <w:color w:val="auto"/>
        </w:rPr>
      </w:pPr>
      <w:r>
        <w:rPr>
          <w:rFonts w:ascii="Calibri" w:cs="Calibri" w:eastAsia="Calibri" w:hAnsi="Calibri"/>
          <w:sz w:val="18"/>
          <w:szCs w:val="18"/>
          <w:i w:val="1"/>
          <w:iCs w:val="1"/>
          <w:color w:val="auto"/>
        </w:rPr>
        <w:t xml:space="preserve">Property, plant and equipment. </w:t>
      </w:r>
      <w:r>
        <w:rPr>
          <w:rFonts w:ascii="Calibri" w:cs="Calibri" w:eastAsia="Calibri" w:hAnsi="Calibri"/>
          <w:sz w:val="18"/>
          <w:szCs w:val="18"/>
          <w:color w:val="auto"/>
        </w:rPr>
        <w:t>Property, plant and equipment are stated at cost less accumulated depreciaton and amortzaton. Additons, improvements</w:t>
      </w:r>
      <w:r>
        <w:rPr>
          <w:rFonts w:ascii="Calibri" w:cs="Calibri" w:eastAsia="Calibri" w:hAnsi="Calibri"/>
          <w:sz w:val="18"/>
          <w:szCs w:val="18"/>
          <w:i w:val="1"/>
          <w:iCs w:val="1"/>
          <w:color w:val="auto"/>
        </w:rPr>
        <w:t xml:space="preserve"> </w:t>
      </w:r>
      <w:r>
        <w:rPr>
          <w:rFonts w:ascii="Calibri" w:cs="Calibri" w:eastAsia="Calibri" w:hAnsi="Calibri"/>
          <w:sz w:val="18"/>
          <w:szCs w:val="18"/>
          <w:color w:val="auto"/>
        </w:rPr>
        <w:t>and major renewals are capitalized, and maintenance, repairs and minor renewals are expensed as incurred. Assets are held in constructon in progress untl placed in service, upon which date, we begin to depreciate these assets. When assets are retred or disposed of, the assets and related accumulated depreciaton and amortzaton are removed from our property, plant and equipment balances and the resultng gain or loss is refected in the consolidated statements of operatons. Buildings and leasehold improvements are generally depreciated over 15 to 40 years,</w:t>
      </w: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9" w:right="339" w:bottom="1440" w:gutter="0" w:footer="0" w:header="0"/>
        </w:sectPr>
      </w:pPr>
    </w:p>
    <w:bookmarkStart w:id="58" w:name="page59"/>
    <w:bookmarkEnd w:id="58"/>
    <w:p>
      <w:pPr>
        <w:spacing w:after="0"/>
        <w:rPr>
          <w:sz w:val="20"/>
          <w:szCs w:val="20"/>
          <w:color w:val="auto"/>
        </w:rPr>
      </w:pPr>
      <w:r>
        <w:rPr>
          <w:rFonts w:ascii="Calibri" w:cs="Calibri" w:eastAsia="Calibri" w:hAnsi="Calibri"/>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right="260"/>
        <w:spacing w:after="0" w:line="230" w:lineRule="auto"/>
        <w:rPr>
          <w:sz w:val="20"/>
          <w:szCs w:val="20"/>
          <w:color w:val="auto"/>
        </w:rPr>
      </w:pPr>
      <w:r>
        <w:rPr>
          <w:rFonts w:ascii="Calibri" w:cs="Calibri" w:eastAsia="Calibri" w:hAnsi="Calibri"/>
          <w:sz w:val="18"/>
          <w:szCs w:val="18"/>
          <w:color w:val="auto"/>
        </w:rPr>
        <w:t>or over the lease period, whichever is shorter, and machinery and equipment are generally depreciated over 3 to 10 years. We use the straight-line method of depreciaton for all property, plant and equipment.</w:t>
      </w:r>
    </w:p>
    <w:p>
      <w:pPr>
        <w:spacing w:after="0" w:line="107" w:lineRule="exact"/>
        <w:rPr>
          <w:sz w:val="20"/>
          <w:szCs w:val="20"/>
          <w:color w:val="auto"/>
        </w:rPr>
      </w:pPr>
    </w:p>
    <w:p>
      <w:pPr>
        <w:ind w:firstLine="396"/>
        <w:spacing w:after="0" w:line="230" w:lineRule="auto"/>
        <w:rPr>
          <w:sz w:val="20"/>
          <w:szCs w:val="20"/>
          <w:color w:val="auto"/>
        </w:rPr>
      </w:pPr>
      <w:r>
        <w:rPr>
          <w:rFonts w:ascii="Calibri" w:cs="Calibri" w:eastAsia="Calibri" w:hAnsi="Calibri"/>
          <w:sz w:val="18"/>
          <w:szCs w:val="18"/>
          <w:i w:val="1"/>
          <w:iCs w:val="1"/>
          <w:color w:val="auto"/>
        </w:rPr>
        <w:t xml:space="preserve">Leases. </w:t>
      </w:r>
      <w:r>
        <w:rPr>
          <w:rFonts w:ascii="Calibri" w:cs="Calibri" w:eastAsia="Calibri" w:hAnsi="Calibri"/>
          <w:sz w:val="18"/>
          <w:szCs w:val="18"/>
          <w:color w:val="auto"/>
        </w:rPr>
        <w:t>We determine if an arrangement is a lease, or contains a lease, at the incepton of the arrangement and evaluate whether the lease is an operatng</w:t>
      </w:r>
      <w:r>
        <w:rPr>
          <w:rFonts w:ascii="Calibri" w:cs="Calibri" w:eastAsia="Calibri" w:hAnsi="Calibri"/>
          <w:sz w:val="18"/>
          <w:szCs w:val="18"/>
          <w:i w:val="1"/>
          <w:iCs w:val="1"/>
          <w:color w:val="auto"/>
        </w:rPr>
        <w:t xml:space="preserve"> </w:t>
      </w:r>
      <w:r>
        <w:rPr>
          <w:rFonts w:ascii="Calibri" w:cs="Calibri" w:eastAsia="Calibri" w:hAnsi="Calibri"/>
          <w:sz w:val="18"/>
          <w:szCs w:val="18"/>
          <w:color w:val="auto"/>
        </w:rPr>
        <w:t>lease or a fnance lease at the commencement date. We recognize right-of-use (“ROU”) assets and lease liabilites for operatng and fnance leases with terms greater than 12 months, and account for the lease and non-lease components as a single component. ROU assets represent our right to use an asset for the lease term, while lease liabilites represent our obligaton to make lease payments. Operatng and fnance lease ROU assets and liabilites are recognized based on the present value of lease payments over the lease term at the lease commencement date. We use the implicit interest rate or, if not readily determinable, our incremental borrowing rate as of the lease commencement date to determine the present value of lease payments. The incremental borrowing rate is based on our unsecured borrowing rate, adjusted for the efects of collateral. Operatng and fnance lease ROU assets are recognized net of any lease prepayments and incentves. Lease terms may include optons to extend or terminate the lease when it is reasonably certain that we will exercise that opton. Operatng lease expense is recognized on a straight-line basis over the lease term. Finance lease expense is recognized based on the efectve-interest method over the lease term.</w:t>
      </w:r>
    </w:p>
    <w:p>
      <w:pPr>
        <w:spacing w:after="0" w:line="113" w:lineRule="exact"/>
        <w:rPr>
          <w:sz w:val="20"/>
          <w:szCs w:val="20"/>
          <w:color w:val="auto"/>
        </w:rPr>
      </w:pPr>
    </w:p>
    <w:p>
      <w:pPr>
        <w:ind w:right="40" w:firstLine="396"/>
        <w:spacing w:after="0" w:line="230" w:lineRule="auto"/>
        <w:rPr>
          <w:sz w:val="20"/>
          <w:szCs w:val="20"/>
          <w:color w:val="auto"/>
        </w:rPr>
      </w:pPr>
      <w:r>
        <w:rPr>
          <w:rFonts w:ascii="Calibri" w:cs="Calibri" w:eastAsia="Calibri" w:hAnsi="Calibri"/>
          <w:sz w:val="18"/>
          <w:szCs w:val="18"/>
          <w:i w:val="1"/>
          <w:iCs w:val="1"/>
          <w:color w:val="auto"/>
        </w:rPr>
        <w:t xml:space="preserve">Fair value measurement. </w:t>
      </w:r>
      <w:r>
        <w:rPr>
          <w:rFonts w:ascii="Calibri" w:cs="Calibri" w:eastAsia="Calibri" w:hAnsi="Calibri"/>
          <w:sz w:val="18"/>
          <w:szCs w:val="18"/>
          <w:color w:val="auto"/>
        </w:rPr>
        <w:t>Fair value is defned as the price that would be received upon sale of an asset or paid to transfer a liability in an orderly</w:t>
      </w:r>
      <w:r>
        <w:rPr>
          <w:rFonts w:ascii="Calibri" w:cs="Calibri" w:eastAsia="Calibri" w:hAnsi="Calibri"/>
          <w:sz w:val="18"/>
          <w:szCs w:val="18"/>
          <w:i w:val="1"/>
          <w:iCs w:val="1"/>
          <w:color w:val="auto"/>
        </w:rPr>
        <w:t xml:space="preserve"> </w:t>
      </w:r>
      <w:r>
        <w:rPr>
          <w:rFonts w:ascii="Calibri" w:cs="Calibri" w:eastAsia="Calibri" w:hAnsi="Calibri"/>
          <w:sz w:val="18"/>
          <w:szCs w:val="18"/>
          <w:color w:val="auto"/>
        </w:rPr>
        <w:t>transacton between market partcipants at the measurement date. A three-level hierarchy is applied to prioritze the inputs to valuaton techniques used to measure fair value. The hierarchy gives the highest priority to unadjusted quoted prices in actve markets for identcal assets or liabilites (Level 1 measurements) and the lowest priority to unobservable inputs (Level 3 measurements).</w:t>
      </w:r>
    </w:p>
    <w:p>
      <w:pPr>
        <w:spacing w:after="0" w:line="99" w:lineRule="exact"/>
        <w:rPr>
          <w:sz w:val="20"/>
          <w:szCs w:val="20"/>
          <w:color w:val="auto"/>
        </w:rPr>
      </w:pPr>
    </w:p>
    <w:p>
      <w:pPr>
        <w:ind w:left="400"/>
        <w:spacing w:after="0"/>
        <w:rPr>
          <w:sz w:val="20"/>
          <w:szCs w:val="20"/>
          <w:color w:val="auto"/>
        </w:rPr>
      </w:pPr>
      <w:r>
        <w:rPr>
          <w:rFonts w:ascii="Calibri" w:cs="Calibri" w:eastAsia="Calibri" w:hAnsi="Calibri"/>
          <w:sz w:val="18"/>
          <w:szCs w:val="18"/>
          <w:color w:val="auto"/>
        </w:rPr>
        <w:t>The three levels of the fair value hierarchy under the guidance on fair value measurements are described below:</w:t>
      </w:r>
    </w:p>
    <w:p>
      <w:pPr>
        <w:spacing w:after="0" w:line="107" w:lineRule="exact"/>
        <w:rPr>
          <w:sz w:val="20"/>
          <w:szCs w:val="20"/>
          <w:color w:val="auto"/>
        </w:rPr>
      </w:pPr>
    </w:p>
    <w:p>
      <w:pPr>
        <w:ind w:right="140" w:firstLine="396"/>
        <w:spacing w:after="0" w:line="230" w:lineRule="auto"/>
        <w:rPr>
          <w:sz w:val="20"/>
          <w:szCs w:val="20"/>
          <w:color w:val="auto"/>
        </w:rPr>
      </w:pPr>
      <w:r>
        <w:rPr>
          <w:rFonts w:ascii="Calibri" w:cs="Calibri" w:eastAsia="Calibri" w:hAnsi="Calibri"/>
          <w:sz w:val="18"/>
          <w:szCs w:val="18"/>
          <w:color w:val="auto"/>
        </w:rPr>
        <w:t>Level 1 — Level 1 inputs are quoted prices (unadjusted) in actve markets for identcal assets or liabilites that the reportng entty has the ability to access at the measurement date. Our Level 1 assets include cash equivalents, banker's acceptances, trading securites investments and investment funds. We measure trading securites investments and investment funds at quoted market prices as they are traded in actve markets with sufcient volume and frequency of transactons.</w:t>
      </w:r>
    </w:p>
    <w:p>
      <w:pPr>
        <w:spacing w:after="0" w:line="108" w:lineRule="exact"/>
        <w:rPr>
          <w:sz w:val="20"/>
          <w:szCs w:val="20"/>
          <w:color w:val="auto"/>
        </w:rPr>
      </w:pPr>
    </w:p>
    <w:p>
      <w:pPr>
        <w:ind w:left="400"/>
        <w:spacing w:after="0"/>
        <w:rPr>
          <w:sz w:val="20"/>
          <w:szCs w:val="20"/>
          <w:color w:val="auto"/>
        </w:rPr>
      </w:pPr>
      <w:r>
        <w:rPr>
          <w:rFonts w:ascii="Calibri" w:cs="Calibri" w:eastAsia="Calibri" w:hAnsi="Calibri"/>
          <w:sz w:val="17"/>
          <w:szCs w:val="17"/>
          <w:color w:val="auto"/>
        </w:rPr>
        <w:t>Level 2 — Level 2 inputs are inputs other than quoted prices included within Level 1 that are observable for the asset or liability, either directly or indirectly.</w:t>
      </w:r>
    </w:p>
    <w:p>
      <w:pPr>
        <w:spacing w:after="0" w:line="233" w:lineRule="auto"/>
        <w:rPr>
          <w:sz w:val="20"/>
          <w:szCs w:val="20"/>
          <w:color w:val="auto"/>
        </w:rPr>
      </w:pPr>
      <w:r>
        <w:rPr>
          <w:rFonts w:ascii="Calibri" w:cs="Calibri" w:eastAsia="Calibri" w:hAnsi="Calibri"/>
          <w:sz w:val="18"/>
          <w:szCs w:val="18"/>
          <w:color w:val="auto"/>
        </w:rPr>
        <w:t>If the asset or liability has a specifed contractual term, a Level 2 input must be observable for substantally the full term of the asset or liability.</w:t>
      </w:r>
    </w:p>
    <w:p>
      <w:pPr>
        <w:spacing w:after="0" w:line="107" w:lineRule="exact"/>
        <w:rPr>
          <w:sz w:val="20"/>
          <w:szCs w:val="20"/>
          <w:color w:val="auto"/>
        </w:rPr>
      </w:pPr>
    </w:p>
    <w:p>
      <w:pPr>
        <w:ind w:right="100" w:firstLine="396"/>
        <w:spacing w:after="0" w:line="245" w:lineRule="auto"/>
        <w:rPr>
          <w:sz w:val="20"/>
          <w:szCs w:val="20"/>
          <w:color w:val="auto"/>
        </w:rPr>
      </w:pPr>
      <w:r>
        <w:rPr>
          <w:rFonts w:ascii="Calibri" w:cs="Calibri" w:eastAsia="Calibri" w:hAnsi="Calibri"/>
          <w:sz w:val="17"/>
          <w:szCs w:val="17"/>
          <w:color w:val="auto"/>
        </w:rPr>
        <w:t>Level 3 — Level 3 inputs are unobservable inputs for the asset or liability in which there is litle, if any, market actvity for the asset or liability at the measurement date. Level 3 assets and liabilites include investment in equity securites without readily determinable fair values, goodwill, intangible assets, and property, plant and equipment, which are measured at fair value using a discounted cash fow approach when they are impaired. Quanttatve informaton for Level 3 assets and liabilites reviewed at each reportng period includes indicators of signifcant deterioraton in the earnings performance, credit ratng, asset quality, business prospects of the investee, and fnancial indicators of the investee's ability to contnue as a going concern.</w:t>
      </w:r>
    </w:p>
    <w:p>
      <w:pPr>
        <w:spacing w:after="0" w:line="103" w:lineRule="exact"/>
        <w:rPr>
          <w:sz w:val="20"/>
          <w:szCs w:val="20"/>
          <w:color w:val="auto"/>
        </w:rPr>
      </w:pPr>
    </w:p>
    <w:p>
      <w:pPr>
        <w:ind w:firstLine="396"/>
        <w:spacing w:after="0" w:line="244" w:lineRule="auto"/>
        <w:rPr>
          <w:sz w:val="20"/>
          <w:szCs w:val="20"/>
          <w:color w:val="auto"/>
        </w:rPr>
      </w:pPr>
      <w:r>
        <w:rPr>
          <w:rFonts w:ascii="Calibri" w:cs="Calibri" w:eastAsia="Calibri" w:hAnsi="Calibri"/>
          <w:sz w:val="17"/>
          <w:szCs w:val="17"/>
          <w:i w:val="1"/>
          <w:iCs w:val="1"/>
          <w:color w:val="auto"/>
        </w:rPr>
        <w:t xml:space="preserve">Business combinatons. </w:t>
      </w:r>
      <w:r>
        <w:rPr>
          <w:rFonts w:ascii="Calibri" w:cs="Calibri" w:eastAsia="Calibri" w:hAnsi="Calibri"/>
          <w:sz w:val="17"/>
          <w:szCs w:val="17"/>
          <w:color w:val="auto"/>
        </w:rPr>
        <w:t>We account for business combinatons under the acquisiton method of accountng, which requires us to recognize separately from</w:t>
      </w:r>
      <w:r>
        <w:rPr>
          <w:rFonts w:ascii="Calibri" w:cs="Calibri" w:eastAsia="Calibri" w:hAnsi="Calibri"/>
          <w:sz w:val="17"/>
          <w:szCs w:val="17"/>
          <w:i w:val="1"/>
          <w:iCs w:val="1"/>
          <w:color w:val="auto"/>
        </w:rPr>
        <w:t xml:space="preserve"> </w:t>
      </w:r>
      <w:r>
        <w:rPr>
          <w:rFonts w:ascii="Calibri" w:cs="Calibri" w:eastAsia="Calibri" w:hAnsi="Calibri"/>
          <w:sz w:val="17"/>
          <w:szCs w:val="17"/>
          <w:color w:val="auto"/>
        </w:rPr>
        <w:t>goodwill the assets acquired and the liabilites assumed at their acquisiton date fair values, except for revenue contracts acquired, which are recognized in accordance with our revenue recogniton policy. While we use our best estmates and assumptons to accurately value assets acquired and liabilites assumed at the acquisiton date as well as contngent consideraton, where applicable, our estmates are inherently uncertain and subject to refnement. As a result, during the measurement period, which may be up to one year from the acquisiton date, we record adjustments to the assets acquired and liabilites assumed with the corresponding ofset to goodwill. Upon the conclusion of the measurement period or fnal determinaton of the values of assets acquired or liabilites assumed, whichever comes frst, any subsequent adjustments are recognized in our consolidated statements of operatons. Accountng for business combinatons requires our management to make signifcant estmates and assumptons, especially at the acquisiton date including our estmates for intangible assets, contractual obligatons assumed, restructuring liabilites, pre-acquisiton contngencies, and contngent consideraton, where applicable. Although we believe the assumptons and estmates we have made in the past have been reasonable and appropriate, they are based, in part, on historical experience and informaton obtained from the management of the acquired companies and are inherently uncertain. Critcal estmates in valuing certain acquired intangible assets under the income approach include growth in future expected cash fows from product sales, customer contracts and acquired technologies, revenue growth rate, customer ramp-up period, technology obsolescence rates, expected costs to develop in-process research and development (“IPR&amp;D”) into commercially viable products, estmated cash fows from the projects when completed and discount rates. Unantcipated events and circumstances may occur which could afect the accuracy or validity of such assumptons, estmates or actual results.</w:t>
      </w: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09" w:right="359" w:bottom="1440" w:gutter="0" w:footer="0" w:header="0"/>
        </w:sectPr>
      </w:pPr>
    </w:p>
    <w:bookmarkStart w:id="59" w:name="page60"/>
    <w:bookmarkEnd w:id="59"/>
    <w:p>
      <w:pPr>
        <w:spacing w:after="0"/>
        <w:rPr>
          <w:sz w:val="20"/>
          <w:szCs w:val="20"/>
          <w:color w:val="auto"/>
        </w:rPr>
      </w:pPr>
      <w:r>
        <w:rPr>
          <w:rFonts w:ascii="Calibri" w:cs="Calibri" w:eastAsia="Calibri" w:hAnsi="Calibri"/>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right="160" w:firstLine="396"/>
        <w:spacing w:after="0" w:line="244" w:lineRule="auto"/>
        <w:rPr>
          <w:sz w:val="20"/>
          <w:szCs w:val="20"/>
          <w:color w:val="auto"/>
        </w:rPr>
      </w:pPr>
      <w:r>
        <w:rPr>
          <w:rFonts w:ascii="Calibri" w:cs="Calibri" w:eastAsia="Calibri" w:hAnsi="Calibri"/>
          <w:sz w:val="17"/>
          <w:szCs w:val="17"/>
          <w:i w:val="1"/>
          <w:iCs w:val="1"/>
          <w:color w:val="auto"/>
        </w:rPr>
        <w:t xml:space="preserve">Goodwill. </w:t>
      </w:r>
      <w:r>
        <w:rPr>
          <w:rFonts w:ascii="Calibri" w:cs="Calibri" w:eastAsia="Calibri" w:hAnsi="Calibri"/>
          <w:sz w:val="17"/>
          <w:szCs w:val="17"/>
          <w:color w:val="auto"/>
        </w:rPr>
        <w:t>Goodwill represents the excess of purchase price and related costs over the value assigned to the net tangible and identfable intangible assets</w:t>
      </w:r>
      <w:r>
        <w:rPr>
          <w:rFonts w:ascii="Calibri" w:cs="Calibri" w:eastAsia="Calibri" w:hAnsi="Calibri"/>
          <w:sz w:val="17"/>
          <w:szCs w:val="17"/>
          <w:i w:val="1"/>
          <w:iCs w:val="1"/>
          <w:color w:val="auto"/>
        </w:rPr>
        <w:t xml:space="preserve"> </w:t>
      </w:r>
      <w:r>
        <w:rPr>
          <w:rFonts w:ascii="Calibri" w:cs="Calibri" w:eastAsia="Calibri" w:hAnsi="Calibri"/>
          <w:sz w:val="17"/>
          <w:szCs w:val="17"/>
          <w:color w:val="auto"/>
        </w:rPr>
        <w:t>of businesses acquired. Goodwill is not amortzed but is reviewed annually (or more frequently if impairment indicators arise) for impairment. To review for impairment we frst assess qualitatve factors to determine whether events or circumstances lead to a determinaton that it is more likely than not that the fair value of any of our reportng units is less than its carrying amount. Our qualitatve assessment of the recoverability of goodwill, whether performed annually or based on specifc events or circumstances, considers various macroeconomic, industry-specifc and company-specifc factors. Those factors include: (i) severe adverse industry or economic trends; (ii) signifcant company-specifc actons, including exitng an actvity in conjuncton with restructuring of operatons;</w:t>
      </w:r>
    </w:p>
    <w:p>
      <w:pPr>
        <w:spacing w:after="0" w:line="2" w:lineRule="exact"/>
        <w:rPr>
          <w:sz w:val="20"/>
          <w:szCs w:val="20"/>
          <w:color w:val="auto"/>
        </w:rPr>
      </w:pPr>
    </w:p>
    <w:p>
      <w:pPr>
        <w:ind w:firstLine="6"/>
        <w:spacing w:after="0" w:line="244" w:lineRule="auto"/>
        <w:tabs>
          <w:tab w:leader="none" w:pos="261" w:val="left"/>
        </w:tabs>
        <w:numPr>
          <w:ilvl w:val="0"/>
          <w:numId w:val="27"/>
        </w:numPr>
        <w:rPr>
          <w:rFonts w:ascii="Calibri" w:cs="Calibri" w:eastAsia="Calibri" w:hAnsi="Calibri"/>
          <w:sz w:val="17"/>
          <w:szCs w:val="17"/>
          <w:color w:val="auto"/>
        </w:rPr>
      </w:pPr>
      <w:r>
        <w:rPr>
          <w:rFonts w:ascii="Calibri" w:cs="Calibri" w:eastAsia="Calibri" w:hAnsi="Calibri"/>
          <w:sz w:val="17"/>
          <w:szCs w:val="17"/>
          <w:color w:val="auto"/>
        </w:rPr>
        <w:t>current, historical or projected deterioraton of our fnancial performance; or (iv) a sustained decrease in our market capitalizaton below our net book value. Afer assessing the totality of events and circumstances, if we determine that it is not more likely than not that the fair value of any of our reportng units is less than its carrying amount, no further assessment is performed. If we determine that it is more likely than not that the fair value of any of our reportng units is less than its carrying amount, we calculate the fair value of that reportng unit and compare the fair value to the reportng unit’s net book value. If the fair value of the reportng unit is greater than its net book value, there is no impairment. Otherwise, we calculate the implied fair value of goodwill by deductng the fair value of all tangible and intangible assets, excluding goodwill, of the reportng unit from the fair value of the reportng unit. The implied fair value of goodwill is compared to the carrying value of goodwill. If the implied fair value of goodwill is less than the carrying value of goodwill, an impairment loss is recognized equal to the diference. Determining the fair value of a reportng unit involves the use of signifcant estmates and assumptons.</w:t>
      </w:r>
    </w:p>
    <w:p>
      <w:pPr>
        <w:spacing w:after="0" w:line="108" w:lineRule="exact"/>
        <w:rPr>
          <w:sz w:val="20"/>
          <w:szCs w:val="20"/>
          <w:color w:val="auto"/>
        </w:rPr>
      </w:pPr>
    </w:p>
    <w:p>
      <w:pPr>
        <w:ind w:firstLine="396"/>
        <w:spacing w:after="0" w:line="244" w:lineRule="auto"/>
        <w:rPr>
          <w:sz w:val="20"/>
          <w:szCs w:val="20"/>
          <w:color w:val="auto"/>
        </w:rPr>
      </w:pPr>
      <w:r>
        <w:rPr>
          <w:rFonts w:ascii="Calibri" w:cs="Calibri" w:eastAsia="Calibri" w:hAnsi="Calibri"/>
          <w:sz w:val="17"/>
          <w:szCs w:val="17"/>
          <w:i w:val="1"/>
          <w:iCs w:val="1"/>
          <w:color w:val="auto"/>
        </w:rPr>
        <w:t xml:space="preserve">Long-lived assets. </w:t>
      </w:r>
      <w:r>
        <w:rPr>
          <w:rFonts w:ascii="Calibri" w:cs="Calibri" w:eastAsia="Calibri" w:hAnsi="Calibri"/>
          <w:sz w:val="17"/>
          <w:szCs w:val="17"/>
          <w:color w:val="auto"/>
        </w:rPr>
        <w:t>Purchased fnite-lived intangible assets are carried at cost less accumulated amortzaton. Amortzaton is recognized over the periods</w:t>
      </w:r>
      <w:r>
        <w:rPr>
          <w:rFonts w:ascii="Calibri" w:cs="Calibri" w:eastAsia="Calibri" w:hAnsi="Calibri"/>
          <w:sz w:val="17"/>
          <w:szCs w:val="17"/>
          <w:i w:val="1"/>
          <w:iCs w:val="1"/>
          <w:color w:val="auto"/>
        </w:rPr>
        <w:t xml:space="preserve"> </w:t>
      </w:r>
      <w:r>
        <w:rPr>
          <w:rFonts w:ascii="Calibri" w:cs="Calibri" w:eastAsia="Calibri" w:hAnsi="Calibri"/>
          <w:sz w:val="17"/>
          <w:szCs w:val="17"/>
          <w:color w:val="auto"/>
        </w:rPr>
        <w:t>during which the intangible assets are expected to contribute to our cash fows. Purchased IPR&amp;D projects are capitalized at fair value as an indefnite-lived intangible asset and assessed for impairment thereafer. Upon completon of each underlying project, IPR&amp;D assets are reclassifed as amortzable purchased intangible assets and amortzed over their estmated useful lives. If an IPR&amp;D project is abandoned, we recognize the carrying value of the related intangible asset in our consolidated statements of operatons in the period it is abandoned. On a quarterly basis, we monitor factors and changes in circumstances that could indicate carrying amounts of long-lived assets, including purchased intangible assets, ROU assets, and property, plant and equipment, may not be recoverable. Factors we consider important which could trigger an impairment review include: (i) signifcant under-performance relatve to historical or projected future operatng results, (ii) signifcant changes in the manner of our use of the acquired assets or the strategy for our overall business, and (iii) signifcant negatve industry or economic trends. An impairment loss must be measured if the sum of the expected future cash fows (undiscounted and before interest) from the use and eventual dispositon of the asset (or asset group) is less than the net book value of the asset (or asset group). The amount of the impairment loss will generally be measured as the diference between the net book value of the asset (or asset group) and the estmated fair value.</w:t>
      </w:r>
    </w:p>
    <w:p>
      <w:pPr>
        <w:spacing w:after="0" w:line="109" w:lineRule="exact"/>
        <w:rPr>
          <w:sz w:val="20"/>
          <w:szCs w:val="20"/>
          <w:color w:val="auto"/>
        </w:rPr>
      </w:pPr>
    </w:p>
    <w:p>
      <w:pPr>
        <w:ind w:right="40" w:firstLine="396"/>
        <w:spacing w:after="0" w:line="230" w:lineRule="auto"/>
        <w:rPr>
          <w:sz w:val="20"/>
          <w:szCs w:val="20"/>
          <w:color w:val="auto"/>
        </w:rPr>
      </w:pPr>
      <w:r>
        <w:rPr>
          <w:rFonts w:ascii="Calibri" w:cs="Calibri" w:eastAsia="Calibri" w:hAnsi="Calibri"/>
          <w:sz w:val="18"/>
          <w:szCs w:val="18"/>
          <w:i w:val="1"/>
          <w:iCs w:val="1"/>
          <w:color w:val="auto"/>
        </w:rPr>
        <w:t xml:space="preserve">Warranty. </w:t>
      </w:r>
      <w:r>
        <w:rPr>
          <w:rFonts w:ascii="Calibri" w:cs="Calibri" w:eastAsia="Calibri" w:hAnsi="Calibri"/>
          <w:sz w:val="18"/>
          <w:szCs w:val="18"/>
          <w:color w:val="auto"/>
        </w:rPr>
        <w:t>We accrue for the estmated costs of product warrantes at the tme revenue is recognized. Product warranty costs are estmated based upon</w:t>
      </w:r>
      <w:r>
        <w:rPr>
          <w:rFonts w:ascii="Calibri" w:cs="Calibri" w:eastAsia="Calibri" w:hAnsi="Calibri"/>
          <w:sz w:val="18"/>
          <w:szCs w:val="18"/>
          <w:i w:val="1"/>
          <w:iCs w:val="1"/>
          <w:color w:val="auto"/>
        </w:rPr>
        <w:t xml:space="preserve"> </w:t>
      </w:r>
      <w:r>
        <w:rPr>
          <w:rFonts w:ascii="Calibri" w:cs="Calibri" w:eastAsia="Calibri" w:hAnsi="Calibri"/>
          <w:sz w:val="18"/>
          <w:szCs w:val="18"/>
          <w:color w:val="auto"/>
        </w:rPr>
        <w:t>our historical experience and specifc identfcaton of the product requirements, which may fuctuate based on product mix. Additonally, we accrue for warranty costs associated with occasional or unantcipated product quality issues if a loss is probable and can be reasonably estmated.</w:t>
      </w:r>
    </w:p>
    <w:p>
      <w:pPr>
        <w:spacing w:after="0" w:line="108" w:lineRule="exact"/>
        <w:rPr>
          <w:sz w:val="20"/>
          <w:szCs w:val="20"/>
          <w:color w:val="auto"/>
        </w:rPr>
      </w:pPr>
    </w:p>
    <w:p>
      <w:pPr>
        <w:ind w:right="40" w:firstLine="396"/>
        <w:spacing w:after="0" w:line="230" w:lineRule="auto"/>
        <w:rPr>
          <w:sz w:val="20"/>
          <w:szCs w:val="20"/>
          <w:color w:val="auto"/>
        </w:rPr>
      </w:pPr>
      <w:r>
        <w:rPr>
          <w:rFonts w:ascii="Calibri" w:cs="Calibri" w:eastAsia="Calibri" w:hAnsi="Calibri"/>
          <w:sz w:val="18"/>
          <w:szCs w:val="18"/>
          <w:i w:val="1"/>
          <w:iCs w:val="1"/>
          <w:color w:val="auto"/>
        </w:rPr>
        <w:t xml:space="preserve">Revenue recogniton. </w:t>
      </w:r>
      <w:r>
        <w:rPr>
          <w:rFonts w:ascii="Calibri" w:cs="Calibri" w:eastAsia="Calibri" w:hAnsi="Calibri"/>
          <w:sz w:val="18"/>
          <w:szCs w:val="18"/>
          <w:color w:val="auto"/>
        </w:rPr>
        <w:t>We account for a contract with a customer when both partes have approved the contract and are commited to perform their</w:t>
      </w:r>
      <w:r>
        <w:rPr>
          <w:rFonts w:ascii="Calibri" w:cs="Calibri" w:eastAsia="Calibri" w:hAnsi="Calibri"/>
          <w:sz w:val="18"/>
          <w:szCs w:val="18"/>
          <w:i w:val="1"/>
          <w:iCs w:val="1"/>
          <w:color w:val="auto"/>
        </w:rPr>
        <w:t xml:space="preserve"> </w:t>
      </w:r>
      <w:r>
        <w:rPr>
          <w:rFonts w:ascii="Calibri" w:cs="Calibri" w:eastAsia="Calibri" w:hAnsi="Calibri"/>
          <w:sz w:val="18"/>
          <w:szCs w:val="18"/>
          <w:color w:val="auto"/>
        </w:rPr>
        <w:t>respectve obligatons, each party’s rights can be identfed, payment terms can be identfed, the contract has commercial substance, and it is probable we will collect substantally all of the consideraton we are enttled to. Revenue is recognized when, or as, performance obligatons are satsfed by transferring control of a promised product or service to a customer.</w:t>
      </w:r>
    </w:p>
    <w:p>
      <w:pPr>
        <w:spacing w:after="0" w:line="99" w:lineRule="exact"/>
        <w:rPr>
          <w:sz w:val="20"/>
          <w:szCs w:val="20"/>
          <w:color w:val="auto"/>
        </w:rPr>
      </w:pPr>
    </w:p>
    <w:p>
      <w:pPr>
        <w:ind w:left="400"/>
        <w:spacing w:after="0"/>
        <w:rPr>
          <w:sz w:val="20"/>
          <w:szCs w:val="20"/>
          <w:color w:val="auto"/>
        </w:rPr>
      </w:pPr>
      <w:r>
        <w:rPr>
          <w:rFonts w:ascii="Calibri" w:cs="Calibri" w:eastAsia="Calibri" w:hAnsi="Calibri"/>
          <w:sz w:val="18"/>
          <w:szCs w:val="18"/>
          <w:i w:val="1"/>
          <w:iCs w:val="1"/>
          <w:color w:val="auto"/>
        </w:rPr>
        <w:t>Nature of Products and Services</w:t>
      </w:r>
    </w:p>
    <w:p>
      <w:pPr>
        <w:spacing w:after="0" w:line="107" w:lineRule="exact"/>
        <w:rPr>
          <w:sz w:val="20"/>
          <w:szCs w:val="20"/>
          <w:color w:val="auto"/>
        </w:rPr>
      </w:pPr>
    </w:p>
    <w:p>
      <w:pPr>
        <w:ind w:right="360" w:firstLine="396"/>
        <w:spacing w:after="0" w:line="230" w:lineRule="auto"/>
        <w:rPr>
          <w:sz w:val="20"/>
          <w:szCs w:val="20"/>
          <w:color w:val="auto"/>
        </w:rPr>
      </w:pPr>
      <w:r>
        <w:rPr>
          <w:rFonts w:ascii="Calibri" w:cs="Calibri" w:eastAsia="Calibri" w:hAnsi="Calibri"/>
          <w:sz w:val="18"/>
          <w:szCs w:val="18"/>
          <w:color w:val="auto"/>
        </w:rPr>
        <w:t>Our products and services can be broadly categorized as sales of products and subscriptons and services. The following is a descripton of the principal actvites from which we generate revenue.</w:t>
      </w:r>
    </w:p>
    <w:p>
      <w:pPr>
        <w:spacing w:after="0" w:line="107" w:lineRule="exact"/>
        <w:rPr>
          <w:sz w:val="20"/>
          <w:szCs w:val="20"/>
          <w:color w:val="auto"/>
        </w:rPr>
      </w:pPr>
    </w:p>
    <w:p>
      <w:pPr>
        <w:ind w:right="160" w:firstLine="396"/>
        <w:spacing w:after="0" w:line="230" w:lineRule="auto"/>
        <w:rPr>
          <w:sz w:val="20"/>
          <w:szCs w:val="20"/>
          <w:color w:val="auto"/>
        </w:rPr>
      </w:pPr>
      <w:r>
        <w:rPr>
          <w:rFonts w:ascii="Calibri" w:cs="Calibri" w:eastAsia="Calibri" w:hAnsi="Calibri"/>
          <w:sz w:val="18"/>
          <w:szCs w:val="18"/>
          <w:i w:val="1"/>
          <w:iCs w:val="1"/>
          <w:color w:val="auto"/>
        </w:rPr>
        <w:t xml:space="preserve">Products. </w:t>
      </w:r>
      <w:r>
        <w:rPr>
          <w:rFonts w:ascii="Calibri" w:cs="Calibri" w:eastAsia="Calibri" w:hAnsi="Calibri"/>
          <w:sz w:val="18"/>
          <w:szCs w:val="18"/>
          <w:color w:val="auto"/>
        </w:rPr>
        <w:t>We recognize revenue from sales to direct customers and distributors when control transfers to the customer. Rebates and incentves ofered to</w:t>
      </w:r>
      <w:r>
        <w:rPr>
          <w:rFonts w:ascii="Calibri" w:cs="Calibri" w:eastAsia="Calibri" w:hAnsi="Calibri"/>
          <w:sz w:val="18"/>
          <w:szCs w:val="18"/>
          <w:i w:val="1"/>
          <w:iCs w:val="1"/>
          <w:color w:val="auto"/>
        </w:rPr>
        <w:t xml:space="preserve"> </w:t>
      </w:r>
      <w:r>
        <w:rPr>
          <w:rFonts w:ascii="Calibri" w:cs="Calibri" w:eastAsia="Calibri" w:hAnsi="Calibri"/>
          <w:sz w:val="18"/>
          <w:szCs w:val="18"/>
          <w:color w:val="auto"/>
        </w:rPr>
        <w:t>distributors, which are earned when sales to end customers are completed, are estmated at the point of revenue recogniton. We have elected to exclude from the transacton price any taxes collected from a customer and to account for shipping and handling actvites performed afer a customer obtains control of the product as actvites to fulfll the promise to transfer the product. From tme to tme, certain customers agree to pay us secure supply fees in exchange for prioritzed fulfllment of product orders. Such fees are included in the transacton price of the product orders and are recognized as revenue in the period that control over the products is transferred to the customer.</w:t>
      </w:r>
    </w:p>
    <w:p>
      <w:pPr>
        <w:spacing w:after="0" w:line="110" w:lineRule="exact"/>
        <w:rPr>
          <w:sz w:val="20"/>
          <w:szCs w:val="20"/>
          <w:color w:val="auto"/>
        </w:rPr>
      </w:pPr>
    </w:p>
    <w:p>
      <w:pPr>
        <w:ind w:right="840" w:firstLine="396"/>
        <w:spacing w:after="0" w:line="230" w:lineRule="auto"/>
        <w:rPr>
          <w:sz w:val="20"/>
          <w:szCs w:val="20"/>
          <w:color w:val="auto"/>
        </w:rPr>
      </w:pPr>
      <w:r>
        <w:rPr>
          <w:rFonts w:ascii="Calibri" w:cs="Calibri" w:eastAsia="Calibri" w:hAnsi="Calibri"/>
          <w:sz w:val="18"/>
          <w:szCs w:val="18"/>
          <w:i w:val="1"/>
          <w:iCs w:val="1"/>
          <w:color w:val="auto"/>
        </w:rPr>
        <w:t xml:space="preserve">Subscriptons and services. </w:t>
      </w:r>
      <w:r>
        <w:rPr>
          <w:rFonts w:ascii="Calibri" w:cs="Calibri" w:eastAsia="Calibri" w:hAnsi="Calibri"/>
          <w:sz w:val="18"/>
          <w:szCs w:val="18"/>
          <w:color w:val="auto"/>
        </w:rPr>
        <w:t>Our subscriptons and services revenue consists of sales and royaltes from sofware arrangements, support services,</w:t>
      </w:r>
      <w:r>
        <w:rPr>
          <w:rFonts w:ascii="Calibri" w:cs="Calibri" w:eastAsia="Calibri" w:hAnsi="Calibri"/>
          <w:sz w:val="18"/>
          <w:szCs w:val="18"/>
          <w:i w:val="1"/>
          <w:iCs w:val="1"/>
          <w:color w:val="auto"/>
        </w:rPr>
        <w:t xml:space="preserve"> </w:t>
      </w:r>
      <w:r>
        <w:rPr>
          <w:rFonts w:ascii="Calibri" w:cs="Calibri" w:eastAsia="Calibri" w:hAnsi="Calibri"/>
          <w:sz w:val="18"/>
          <w:szCs w:val="18"/>
          <w:color w:val="auto"/>
        </w:rPr>
        <w:t>professional services, transfer of IP, and non-recurring engineering (“NRE”) arrangements.</w:t>
      </w:r>
    </w:p>
    <w:p>
      <w:pPr>
        <w:spacing w:after="0" w:line="97" w:lineRule="exact"/>
        <w:rPr>
          <w:sz w:val="20"/>
          <w:szCs w:val="20"/>
          <w:color w:val="auto"/>
        </w:rPr>
      </w:pPr>
    </w:p>
    <w:p>
      <w:pPr>
        <w:ind w:left="400"/>
        <w:spacing w:after="0"/>
        <w:rPr>
          <w:sz w:val="20"/>
          <w:szCs w:val="20"/>
          <w:color w:val="auto"/>
        </w:rPr>
      </w:pPr>
      <w:r>
        <w:rPr>
          <w:rFonts w:ascii="Calibri" w:cs="Calibri" w:eastAsia="Calibri" w:hAnsi="Calibri"/>
          <w:sz w:val="18"/>
          <w:szCs w:val="18"/>
          <w:color w:val="auto"/>
        </w:rPr>
        <w:t>Revenue from sofware arrangements primarily consists of fees, which may be paid either at contract incepton or in</w:t>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9" w:right="339" w:bottom="1440" w:gutter="0" w:footer="0" w:header="0"/>
        </w:sectPr>
      </w:pPr>
    </w:p>
    <w:bookmarkStart w:id="60" w:name="page61"/>
    <w:bookmarkEnd w:id="60"/>
    <w:p>
      <w:pPr>
        <w:spacing w:after="0"/>
        <w:rPr>
          <w:sz w:val="20"/>
          <w:szCs w:val="20"/>
          <w:color w:val="auto"/>
        </w:rPr>
      </w:pPr>
      <w:r>
        <w:rPr>
          <w:rFonts w:ascii="Calibri" w:cs="Calibri" w:eastAsia="Calibri" w:hAnsi="Calibri"/>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right="840"/>
        <w:spacing w:after="0" w:line="230" w:lineRule="auto"/>
        <w:rPr>
          <w:sz w:val="20"/>
          <w:szCs w:val="20"/>
          <w:color w:val="auto"/>
        </w:rPr>
      </w:pPr>
      <w:r>
        <w:rPr>
          <w:rFonts w:ascii="Calibri" w:cs="Calibri" w:eastAsia="Calibri" w:hAnsi="Calibri"/>
          <w:sz w:val="18"/>
          <w:szCs w:val="18"/>
          <w:color w:val="auto"/>
        </w:rPr>
        <w:t>installments over the contract term, that provide customers with a right to use the sofware, access general support and maintenance, and utlize our professional services.</w:t>
      </w:r>
    </w:p>
    <w:p>
      <w:pPr>
        <w:spacing w:after="0" w:line="107" w:lineRule="exact"/>
        <w:rPr>
          <w:sz w:val="20"/>
          <w:szCs w:val="20"/>
          <w:color w:val="auto"/>
        </w:rPr>
      </w:pPr>
    </w:p>
    <w:p>
      <w:pPr>
        <w:ind w:firstLine="396"/>
        <w:spacing w:after="0" w:line="230" w:lineRule="auto"/>
        <w:rPr>
          <w:sz w:val="20"/>
          <w:szCs w:val="20"/>
          <w:color w:val="auto"/>
        </w:rPr>
      </w:pPr>
      <w:r>
        <w:rPr>
          <w:rFonts w:ascii="Calibri" w:cs="Calibri" w:eastAsia="Calibri" w:hAnsi="Calibri"/>
          <w:sz w:val="18"/>
          <w:szCs w:val="18"/>
          <w:color w:val="auto"/>
        </w:rPr>
        <w:t>Our sofware licenses have standalone functonality from which customers derive beneft, and the customer obtains control of the sofware when it is delivered or made available for download. We believe that for the majority of sofware arrangements, customers derive signifcant beneft from the ongoing support we provide. The majority of our subscriptons and services arrangements permit our customers to unilaterally terminate or cancel these arrangements at any tme at the customer’s convenience, referred to as terminaton for convenience provisions, without substantve terminaton penalty and receive a pro-rata refund of any prepaid fees. Accordingly, we account for arrangements with these terminaton for convenience provisions as a series of daily contracts, resultng in ratable revenue recogniton of sofware revenue over the contractual period.</w:t>
      </w:r>
    </w:p>
    <w:p>
      <w:pPr>
        <w:spacing w:after="0" w:line="110" w:lineRule="exact"/>
        <w:rPr>
          <w:sz w:val="20"/>
          <w:szCs w:val="20"/>
          <w:color w:val="auto"/>
        </w:rPr>
      </w:pPr>
    </w:p>
    <w:p>
      <w:pPr>
        <w:ind w:right="200" w:firstLine="396"/>
        <w:spacing w:after="0" w:line="230" w:lineRule="auto"/>
        <w:rPr>
          <w:sz w:val="20"/>
          <w:szCs w:val="20"/>
          <w:color w:val="auto"/>
        </w:rPr>
      </w:pPr>
      <w:r>
        <w:rPr>
          <w:rFonts w:ascii="Calibri" w:cs="Calibri" w:eastAsia="Calibri" w:hAnsi="Calibri"/>
          <w:sz w:val="18"/>
          <w:szCs w:val="18"/>
          <w:color w:val="auto"/>
        </w:rPr>
        <w:t>Support services consist primarily of telephone support and the provision of unspecifed updates and upgrades on a when-and-if-available basis. Support services represent stand-ready obligatons for which revenue is recognized ratably over the term of the arrangement.</w:t>
      </w:r>
    </w:p>
    <w:p>
      <w:pPr>
        <w:spacing w:after="0" w:line="107" w:lineRule="exact"/>
        <w:rPr>
          <w:sz w:val="20"/>
          <w:szCs w:val="20"/>
          <w:color w:val="auto"/>
        </w:rPr>
      </w:pPr>
    </w:p>
    <w:p>
      <w:pPr>
        <w:ind w:right="380" w:firstLine="396"/>
        <w:spacing w:after="0" w:line="247" w:lineRule="auto"/>
        <w:rPr>
          <w:sz w:val="20"/>
          <w:szCs w:val="20"/>
          <w:color w:val="auto"/>
        </w:rPr>
      </w:pPr>
      <w:r>
        <w:rPr>
          <w:rFonts w:ascii="Calibri" w:cs="Calibri" w:eastAsia="Calibri" w:hAnsi="Calibri"/>
          <w:sz w:val="17"/>
          <w:szCs w:val="17"/>
          <w:color w:val="auto"/>
        </w:rPr>
        <w:t>Professional services consist of implementaton, consultng, customer educaton and customer training services. The obligaton to provide professional services is generally satsfed over tme, with the customer simultaneously receiving and consuming the benefts as we satsfy our performance obligatons.</w:t>
      </w:r>
    </w:p>
    <w:p>
      <w:pPr>
        <w:spacing w:after="0" w:line="101" w:lineRule="exact"/>
        <w:rPr>
          <w:sz w:val="20"/>
          <w:szCs w:val="20"/>
          <w:color w:val="auto"/>
        </w:rPr>
      </w:pPr>
    </w:p>
    <w:p>
      <w:pPr>
        <w:ind w:right="40" w:firstLine="396"/>
        <w:spacing w:after="0" w:line="230" w:lineRule="auto"/>
        <w:rPr>
          <w:sz w:val="20"/>
          <w:szCs w:val="20"/>
          <w:color w:val="auto"/>
        </w:rPr>
      </w:pPr>
      <w:r>
        <w:rPr>
          <w:rFonts w:ascii="Calibri" w:cs="Calibri" w:eastAsia="Calibri" w:hAnsi="Calibri"/>
          <w:sz w:val="18"/>
          <w:szCs w:val="18"/>
          <w:color w:val="auto"/>
        </w:rPr>
        <w:t>Rights to our IP are either sold or licensed to a customer. IP revenue recogniton is dependent on the nature and terms of each agreement. We recognize IP revenue upon delivery of the IP if there are no substantve future obligatons to perform under the arrangement. Sales-based or usage-based royaltes from the license of IP are recognized at the later of the period the sales or usages occur or the satsfacton of the performance obligaton to which some or all of the sales-based or usage-based royaltes have been allocated.</w:t>
      </w:r>
    </w:p>
    <w:p>
      <w:pPr>
        <w:spacing w:after="0" w:line="108" w:lineRule="exact"/>
        <w:rPr>
          <w:sz w:val="20"/>
          <w:szCs w:val="20"/>
          <w:color w:val="auto"/>
        </w:rPr>
      </w:pPr>
    </w:p>
    <w:p>
      <w:pPr>
        <w:ind w:right="140" w:firstLine="396"/>
        <w:spacing w:after="0" w:line="230" w:lineRule="auto"/>
        <w:rPr>
          <w:sz w:val="20"/>
          <w:szCs w:val="20"/>
          <w:color w:val="auto"/>
        </w:rPr>
      </w:pPr>
      <w:r>
        <w:rPr>
          <w:rFonts w:ascii="Calibri" w:cs="Calibri" w:eastAsia="Calibri" w:hAnsi="Calibri"/>
          <w:sz w:val="18"/>
          <w:szCs w:val="18"/>
          <w:color w:val="auto"/>
        </w:rPr>
        <w:t>There are two main categories of NRE contracts that we enter into with our customers: (a) NRE contracts in which we develop a custom chip and (b) NRE contracts in which we accelerate our development of a new chip upon the customer’s request. The majority of our NRE contract revenues meet the over tme criteria. As such, revenue is recognized over the development period with the measure of progress using the input method based on costs incurred to total cost as the services are provided. For NRE contracts that do not meet the over tme criteria, revenue is recognized at a point in tme when the NRE services are complete.</w:t>
      </w:r>
    </w:p>
    <w:p>
      <w:pPr>
        <w:spacing w:after="0" w:line="109" w:lineRule="exact"/>
        <w:rPr>
          <w:sz w:val="20"/>
          <w:szCs w:val="20"/>
          <w:color w:val="auto"/>
        </w:rPr>
      </w:pPr>
    </w:p>
    <w:p>
      <w:pPr>
        <w:ind w:right="180" w:firstLine="396"/>
        <w:spacing w:after="0" w:line="230" w:lineRule="auto"/>
        <w:rPr>
          <w:sz w:val="20"/>
          <w:szCs w:val="20"/>
          <w:color w:val="auto"/>
        </w:rPr>
      </w:pPr>
      <w:r>
        <w:rPr>
          <w:rFonts w:ascii="Calibri" w:cs="Calibri" w:eastAsia="Calibri" w:hAnsi="Calibri"/>
          <w:sz w:val="18"/>
          <w:szCs w:val="18"/>
          <w:i w:val="1"/>
          <w:iCs w:val="1"/>
          <w:color w:val="auto"/>
        </w:rPr>
        <w:t xml:space="preserve">Material rights. </w:t>
      </w:r>
      <w:r>
        <w:rPr>
          <w:rFonts w:ascii="Calibri" w:cs="Calibri" w:eastAsia="Calibri" w:hAnsi="Calibri"/>
          <w:sz w:val="18"/>
          <w:szCs w:val="18"/>
          <w:color w:val="auto"/>
        </w:rPr>
        <w:t>Contracts with customers may also include material rights that are also performance obligatons. These include the right to renew or</w:t>
      </w:r>
      <w:r>
        <w:rPr>
          <w:rFonts w:ascii="Calibri" w:cs="Calibri" w:eastAsia="Calibri" w:hAnsi="Calibri"/>
          <w:sz w:val="18"/>
          <w:szCs w:val="18"/>
          <w:i w:val="1"/>
          <w:iCs w:val="1"/>
          <w:color w:val="auto"/>
        </w:rPr>
        <w:t xml:space="preserve"> </w:t>
      </w:r>
      <w:r>
        <w:rPr>
          <w:rFonts w:ascii="Calibri" w:cs="Calibri" w:eastAsia="Calibri" w:hAnsi="Calibri"/>
          <w:sz w:val="18"/>
          <w:szCs w:val="18"/>
          <w:color w:val="auto"/>
        </w:rPr>
        <w:t>receive products or services at a discounted price in the future. Revenue allocated to material rights is recognized when the customer exercises the right or the right expires.</w:t>
      </w:r>
    </w:p>
    <w:p>
      <w:pPr>
        <w:spacing w:after="0" w:line="98" w:lineRule="exact"/>
        <w:rPr>
          <w:sz w:val="20"/>
          <w:szCs w:val="20"/>
          <w:color w:val="auto"/>
        </w:rPr>
      </w:pPr>
    </w:p>
    <w:p>
      <w:pPr>
        <w:ind w:left="400"/>
        <w:spacing w:after="0"/>
        <w:rPr>
          <w:sz w:val="20"/>
          <w:szCs w:val="20"/>
          <w:color w:val="auto"/>
        </w:rPr>
      </w:pPr>
      <w:r>
        <w:rPr>
          <w:rFonts w:ascii="Calibri" w:cs="Calibri" w:eastAsia="Calibri" w:hAnsi="Calibri"/>
          <w:sz w:val="18"/>
          <w:szCs w:val="18"/>
          <w:i w:val="1"/>
          <w:iCs w:val="1"/>
          <w:color w:val="auto"/>
        </w:rPr>
        <w:t>Arrangements with Multple Performance Obligatons</w:t>
      </w:r>
    </w:p>
    <w:p>
      <w:pPr>
        <w:spacing w:after="0" w:line="107" w:lineRule="exact"/>
        <w:rPr>
          <w:sz w:val="20"/>
          <w:szCs w:val="20"/>
          <w:color w:val="auto"/>
        </w:rPr>
      </w:pPr>
    </w:p>
    <w:p>
      <w:pPr>
        <w:ind w:right="280" w:firstLine="396"/>
        <w:spacing w:after="0" w:line="230" w:lineRule="auto"/>
        <w:rPr>
          <w:sz w:val="20"/>
          <w:szCs w:val="20"/>
          <w:color w:val="auto"/>
        </w:rPr>
      </w:pPr>
      <w:r>
        <w:rPr>
          <w:rFonts w:ascii="Calibri" w:cs="Calibri" w:eastAsia="Calibri" w:hAnsi="Calibri"/>
          <w:sz w:val="18"/>
          <w:szCs w:val="18"/>
          <w:color w:val="auto"/>
        </w:rPr>
        <w:t>Our contracts may contain more than one of the products and services listed above, each of which is separately accounted for as a distnct performance obligaton.</w:t>
      </w:r>
    </w:p>
    <w:p>
      <w:pPr>
        <w:spacing w:after="0" w:line="107" w:lineRule="exact"/>
        <w:rPr>
          <w:sz w:val="20"/>
          <w:szCs w:val="20"/>
          <w:color w:val="auto"/>
        </w:rPr>
      </w:pPr>
    </w:p>
    <w:p>
      <w:pPr>
        <w:ind w:right="100" w:firstLine="396"/>
        <w:spacing w:after="0" w:line="230" w:lineRule="auto"/>
        <w:rPr>
          <w:sz w:val="20"/>
          <w:szCs w:val="20"/>
          <w:color w:val="auto"/>
        </w:rPr>
      </w:pPr>
      <w:r>
        <w:rPr>
          <w:rFonts w:ascii="Calibri" w:cs="Calibri" w:eastAsia="Calibri" w:hAnsi="Calibri"/>
          <w:sz w:val="18"/>
          <w:szCs w:val="18"/>
          <w:i w:val="1"/>
          <w:iCs w:val="1"/>
          <w:color w:val="auto"/>
        </w:rPr>
        <w:t xml:space="preserve">Allocaton of consideraton. </w:t>
      </w:r>
      <w:r>
        <w:rPr>
          <w:rFonts w:ascii="Calibri" w:cs="Calibri" w:eastAsia="Calibri" w:hAnsi="Calibri"/>
          <w:sz w:val="18"/>
          <w:szCs w:val="18"/>
          <w:color w:val="auto"/>
        </w:rPr>
        <w:t>We allocate total contract consideraton to each distnct performance obligaton in a bundled arrangement on a relatve</w:t>
      </w:r>
      <w:r>
        <w:rPr>
          <w:rFonts w:ascii="Calibri" w:cs="Calibri" w:eastAsia="Calibri" w:hAnsi="Calibri"/>
          <w:sz w:val="18"/>
          <w:szCs w:val="18"/>
          <w:i w:val="1"/>
          <w:iCs w:val="1"/>
          <w:color w:val="auto"/>
        </w:rPr>
        <w:t xml:space="preserve"> </w:t>
      </w:r>
      <w:r>
        <w:rPr>
          <w:rFonts w:ascii="Calibri" w:cs="Calibri" w:eastAsia="Calibri" w:hAnsi="Calibri"/>
          <w:sz w:val="18"/>
          <w:szCs w:val="18"/>
          <w:color w:val="auto"/>
        </w:rPr>
        <w:t>standalone selling price basis. The standalone selling price refects the price we would charge for a specifc product or service if it were sold separately in similar circumstances and to similar customers.</w:t>
      </w:r>
    </w:p>
    <w:p>
      <w:pPr>
        <w:spacing w:after="0" w:line="108" w:lineRule="exact"/>
        <w:rPr>
          <w:sz w:val="20"/>
          <w:szCs w:val="20"/>
          <w:color w:val="auto"/>
        </w:rPr>
      </w:pPr>
    </w:p>
    <w:p>
      <w:pPr>
        <w:ind w:right="200" w:firstLine="396"/>
        <w:spacing w:after="0" w:line="230" w:lineRule="auto"/>
        <w:rPr>
          <w:sz w:val="20"/>
          <w:szCs w:val="20"/>
          <w:color w:val="auto"/>
        </w:rPr>
      </w:pPr>
      <w:r>
        <w:rPr>
          <w:rFonts w:ascii="Calibri" w:cs="Calibri" w:eastAsia="Calibri" w:hAnsi="Calibri"/>
          <w:sz w:val="18"/>
          <w:szCs w:val="18"/>
          <w:i w:val="1"/>
          <w:iCs w:val="1"/>
          <w:color w:val="auto"/>
        </w:rPr>
        <w:t xml:space="preserve">Standalone selling price. </w:t>
      </w:r>
      <w:r>
        <w:rPr>
          <w:rFonts w:ascii="Calibri" w:cs="Calibri" w:eastAsia="Calibri" w:hAnsi="Calibri"/>
          <w:sz w:val="18"/>
          <w:szCs w:val="18"/>
          <w:color w:val="auto"/>
        </w:rPr>
        <w:t>When available, we use directly observable transactons to determine the standalone selling prices for performance obligatons.</w:t>
      </w:r>
      <w:r>
        <w:rPr>
          <w:rFonts w:ascii="Calibri" w:cs="Calibri" w:eastAsia="Calibri" w:hAnsi="Calibri"/>
          <w:sz w:val="18"/>
          <w:szCs w:val="18"/>
          <w:i w:val="1"/>
          <w:iCs w:val="1"/>
          <w:color w:val="auto"/>
        </w:rPr>
        <w:t xml:space="preserve"> </w:t>
      </w:r>
      <w:r>
        <w:rPr>
          <w:rFonts w:ascii="Calibri" w:cs="Calibri" w:eastAsia="Calibri" w:hAnsi="Calibri"/>
          <w:sz w:val="18"/>
          <w:szCs w:val="18"/>
          <w:color w:val="auto"/>
        </w:rPr>
        <w:t>When directly observable transactons are not available, our estmates of standalone selling price for each performance obligaton require judgment that considers multple factors, including, but not limited to, historical discountng trends for products and services and pricing practces through diferent sales channels, gross margin objectves, internal costs, compettor pricing strategies, technology lifecycles and market conditons.</w:t>
      </w:r>
    </w:p>
    <w:p>
      <w:pPr>
        <w:spacing w:after="0" w:line="108" w:lineRule="exact"/>
        <w:rPr>
          <w:sz w:val="20"/>
          <w:szCs w:val="20"/>
          <w:color w:val="auto"/>
        </w:rPr>
      </w:pPr>
    </w:p>
    <w:p>
      <w:pPr>
        <w:ind w:right="440" w:firstLine="396"/>
        <w:spacing w:after="0" w:line="230" w:lineRule="auto"/>
        <w:rPr>
          <w:sz w:val="20"/>
          <w:szCs w:val="20"/>
          <w:color w:val="auto"/>
        </w:rPr>
      </w:pPr>
      <w:r>
        <w:rPr>
          <w:rFonts w:ascii="Calibri" w:cs="Calibri" w:eastAsia="Calibri" w:hAnsi="Calibri"/>
          <w:sz w:val="18"/>
          <w:szCs w:val="18"/>
          <w:color w:val="auto"/>
        </w:rPr>
        <w:t>We separately determine the standalone selling prices by product or service type. Additonally, we segment the standalone selling prices for products where the pricing strategies difer, and where there are diferences in customers and circumstances that warrant segmentaton.</w:t>
      </w:r>
    </w:p>
    <w:p>
      <w:pPr>
        <w:spacing w:after="0" w:line="107" w:lineRule="exact"/>
        <w:rPr>
          <w:sz w:val="20"/>
          <w:szCs w:val="20"/>
          <w:color w:val="auto"/>
        </w:rPr>
      </w:pPr>
    </w:p>
    <w:p>
      <w:pPr>
        <w:ind w:right="120" w:firstLine="396"/>
        <w:spacing w:after="0" w:line="230" w:lineRule="auto"/>
        <w:rPr>
          <w:sz w:val="20"/>
          <w:szCs w:val="20"/>
          <w:color w:val="auto"/>
        </w:rPr>
      </w:pPr>
      <w:r>
        <w:rPr>
          <w:rFonts w:ascii="Calibri" w:cs="Calibri" w:eastAsia="Calibri" w:hAnsi="Calibri"/>
          <w:sz w:val="18"/>
          <w:szCs w:val="18"/>
          <w:color w:val="auto"/>
        </w:rPr>
        <w:t>We also estmate the standalone selling price of our material rights. We estmate the value of the customer’s opton to purchase or receive additonal products or services at a discounted price by estmatng the incremental discount the customer would obtain when exercising the opton and the likelihood that the opton would be exercised.</w:t>
      </w:r>
    </w:p>
    <w:p>
      <w:pPr>
        <w:spacing w:after="0" w:line="98" w:lineRule="exact"/>
        <w:rPr>
          <w:sz w:val="20"/>
          <w:szCs w:val="20"/>
          <w:color w:val="auto"/>
        </w:rPr>
      </w:pPr>
    </w:p>
    <w:p>
      <w:pPr>
        <w:ind w:left="400"/>
        <w:spacing w:after="0"/>
        <w:rPr>
          <w:sz w:val="20"/>
          <w:szCs w:val="20"/>
          <w:color w:val="auto"/>
        </w:rPr>
      </w:pPr>
      <w:r>
        <w:rPr>
          <w:rFonts w:ascii="Calibri" w:cs="Calibri" w:eastAsia="Calibri" w:hAnsi="Calibri"/>
          <w:sz w:val="18"/>
          <w:szCs w:val="18"/>
          <w:i w:val="1"/>
          <w:iCs w:val="1"/>
          <w:color w:val="auto"/>
        </w:rPr>
        <w:t>Other Policies and Judgments</w:t>
      </w:r>
    </w:p>
    <w:p>
      <w:pPr>
        <w:spacing w:after="0" w:line="107" w:lineRule="exact"/>
        <w:rPr>
          <w:sz w:val="20"/>
          <w:szCs w:val="20"/>
          <w:color w:val="auto"/>
        </w:rPr>
      </w:pPr>
    </w:p>
    <w:p>
      <w:pPr>
        <w:ind w:right="240" w:firstLine="396"/>
        <w:spacing w:after="0" w:line="230" w:lineRule="auto"/>
        <w:rPr>
          <w:sz w:val="20"/>
          <w:szCs w:val="20"/>
          <w:color w:val="auto"/>
        </w:rPr>
      </w:pPr>
      <w:r>
        <w:rPr>
          <w:rFonts w:ascii="Calibri" w:cs="Calibri" w:eastAsia="Calibri" w:hAnsi="Calibri"/>
          <w:sz w:val="18"/>
          <w:szCs w:val="18"/>
          <w:i w:val="1"/>
          <w:iCs w:val="1"/>
          <w:color w:val="auto"/>
        </w:rPr>
        <w:t xml:space="preserve">Contract modifcatons. </w:t>
      </w:r>
      <w:r>
        <w:rPr>
          <w:rFonts w:ascii="Calibri" w:cs="Calibri" w:eastAsia="Calibri" w:hAnsi="Calibri"/>
          <w:sz w:val="18"/>
          <w:szCs w:val="18"/>
          <w:color w:val="auto"/>
        </w:rPr>
        <w:t>We may modify contracts to ofer customers additonal products or services. Each of the additonal products and services is</w:t>
      </w:r>
      <w:r>
        <w:rPr>
          <w:rFonts w:ascii="Calibri" w:cs="Calibri" w:eastAsia="Calibri" w:hAnsi="Calibri"/>
          <w:sz w:val="18"/>
          <w:szCs w:val="18"/>
          <w:i w:val="1"/>
          <w:iCs w:val="1"/>
          <w:color w:val="auto"/>
        </w:rPr>
        <w:t xml:space="preserve"> </w:t>
      </w:r>
      <w:r>
        <w:rPr>
          <w:rFonts w:ascii="Calibri" w:cs="Calibri" w:eastAsia="Calibri" w:hAnsi="Calibri"/>
          <w:sz w:val="18"/>
          <w:szCs w:val="18"/>
          <w:color w:val="auto"/>
        </w:rPr>
        <w:t>generally considered distnct from those products or services transferred to the customer before the modifcaton. We evaluate whether the contract price for the additonal products and services refects the</w:t>
      </w:r>
    </w:p>
    <w:p>
      <w:pPr>
        <w:spacing w:after="0" w:line="200" w:lineRule="exact"/>
        <w:rPr>
          <w:sz w:val="20"/>
          <w:szCs w:val="20"/>
          <w:color w:val="auto"/>
        </w:rPr>
      </w:pPr>
    </w:p>
    <w:p>
      <w:pPr>
        <w:spacing w:after="0" w:line="373" w:lineRule="exact"/>
        <w:rPr>
          <w:sz w:val="20"/>
          <w:szCs w:val="20"/>
          <w:color w:val="auto"/>
        </w:rPr>
      </w:pPr>
    </w:p>
    <w:p>
      <w:pPr>
        <w:jc w:val="center"/>
        <w:ind w:right="-39"/>
        <w:spacing w:after="0"/>
        <w:rPr>
          <w:sz w:val="20"/>
          <w:szCs w:val="20"/>
          <w:color w:val="auto"/>
        </w:rPr>
      </w:pPr>
      <w:r>
        <w:rPr>
          <w:rFonts w:ascii="Calibri" w:cs="Calibri" w:eastAsia="Calibri" w:hAnsi="Calibri"/>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09" w:right="359" w:bottom="1440" w:gutter="0" w:footer="0" w:header="0"/>
        </w:sectPr>
      </w:pPr>
    </w:p>
    <w:bookmarkStart w:id="61" w:name="page62"/>
    <w:bookmarkEnd w:id="61"/>
    <w:p>
      <w:pPr>
        <w:spacing w:after="0"/>
        <w:rPr>
          <w:sz w:val="20"/>
          <w:szCs w:val="20"/>
          <w:color w:val="auto"/>
        </w:rPr>
      </w:pPr>
      <w:r>
        <w:rPr>
          <w:rFonts w:ascii="Calibri" w:cs="Calibri" w:eastAsia="Calibri" w:hAnsi="Calibri"/>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right="40"/>
        <w:spacing w:after="0" w:line="230" w:lineRule="auto"/>
        <w:rPr>
          <w:sz w:val="20"/>
          <w:szCs w:val="20"/>
          <w:color w:val="auto"/>
        </w:rPr>
      </w:pPr>
      <w:r>
        <w:rPr>
          <w:rFonts w:ascii="Calibri" w:cs="Calibri" w:eastAsia="Calibri" w:hAnsi="Calibri"/>
          <w:sz w:val="18"/>
          <w:szCs w:val="18"/>
          <w:color w:val="auto"/>
        </w:rPr>
        <w:t>standalone selling price as adjusted for facts and circumstances applicable to that contract. In these cases, we account for the additonal products or services as a separate contract. In other cases where the pricing in the modifcaton does not refect the standalone selling price as adjusted for facts and circumstances applicable to that contract, we account for the additonal products or services as part of the existng contract on a prospectve basis, on a cumulatve catch-up basis, or a combinaton of both based on the nature of the modifcaton. In instances where the pricing in the modifcaton ofers the customer a credit for a prior arrangement, we adjust our variable consideraton reserves for returns and other concessions.</w:t>
      </w:r>
    </w:p>
    <w:p>
      <w:pPr>
        <w:spacing w:after="0" w:line="109" w:lineRule="exact"/>
        <w:rPr>
          <w:sz w:val="20"/>
          <w:szCs w:val="20"/>
          <w:color w:val="auto"/>
        </w:rPr>
      </w:pPr>
    </w:p>
    <w:p>
      <w:pPr>
        <w:ind w:right="140" w:firstLine="396"/>
        <w:spacing w:after="0" w:line="230" w:lineRule="auto"/>
        <w:rPr>
          <w:sz w:val="20"/>
          <w:szCs w:val="20"/>
          <w:color w:val="auto"/>
        </w:rPr>
      </w:pPr>
      <w:r>
        <w:rPr>
          <w:rFonts w:ascii="Calibri" w:cs="Calibri" w:eastAsia="Calibri" w:hAnsi="Calibri"/>
          <w:sz w:val="18"/>
          <w:szCs w:val="18"/>
          <w:i w:val="1"/>
          <w:iCs w:val="1"/>
          <w:color w:val="auto"/>
        </w:rPr>
        <w:t xml:space="preserve">Right of return. </w:t>
      </w:r>
      <w:r>
        <w:rPr>
          <w:rFonts w:ascii="Calibri" w:cs="Calibri" w:eastAsia="Calibri" w:hAnsi="Calibri"/>
          <w:sz w:val="18"/>
          <w:szCs w:val="18"/>
          <w:color w:val="auto"/>
        </w:rPr>
        <w:t>Certain contracts contain a right of return that allows the customer to cancel all or a porton of the product or service and receive a credit.</w:t>
      </w:r>
      <w:r>
        <w:rPr>
          <w:rFonts w:ascii="Calibri" w:cs="Calibri" w:eastAsia="Calibri" w:hAnsi="Calibri"/>
          <w:sz w:val="18"/>
          <w:szCs w:val="18"/>
          <w:i w:val="1"/>
          <w:iCs w:val="1"/>
          <w:color w:val="auto"/>
        </w:rPr>
        <w:t xml:space="preserve"> </w:t>
      </w:r>
      <w:r>
        <w:rPr>
          <w:rFonts w:ascii="Calibri" w:cs="Calibri" w:eastAsia="Calibri" w:hAnsi="Calibri"/>
          <w:sz w:val="18"/>
          <w:szCs w:val="18"/>
          <w:color w:val="auto"/>
        </w:rPr>
        <w:t>We estmate returns based on historical returns data which is constrained to an amount for which a material revenue reversal is not probable. We do not recognize revenue for products or services that are expected to be returned.</w:t>
      </w:r>
    </w:p>
    <w:p>
      <w:pPr>
        <w:spacing w:after="0" w:line="108" w:lineRule="exact"/>
        <w:rPr>
          <w:sz w:val="20"/>
          <w:szCs w:val="20"/>
          <w:color w:val="auto"/>
        </w:rPr>
      </w:pPr>
    </w:p>
    <w:p>
      <w:pPr>
        <w:ind w:right="20" w:firstLine="396"/>
        <w:spacing w:after="0" w:line="230" w:lineRule="auto"/>
        <w:rPr>
          <w:sz w:val="20"/>
          <w:szCs w:val="20"/>
          <w:color w:val="auto"/>
        </w:rPr>
      </w:pPr>
      <w:r>
        <w:rPr>
          <w:rFonts w:ascii="Calibri" w:cs="Calibri" w:eastAsia="Calibri" w:hAnsi="Calibri"/>
          <w:sz w:val="18"/>
          <w:szCs w:val="18"/>
          <w:i w:val="1"/>
          <w:iCs w:val="1"/>
          <w:color w:val="auto"/>
        </w:rPr>
        <w:t xml:space="preserve">Practcal expedient elected. </w:t>
      </w:r>
      <w:r>
        <w:rPr>
          <w:rFonts w:ascii="Calibri" w:cs="Calibri" w:eastAsia="Calibri" w:hAnsi="Calibri"/>
          <w:sz w:val="18"/>
          <w:szCs w:val="18"/>
          <w:color w:val="auto"/>
        </w:rPr>
        <w:t>We do not disclose the value of unsatsfed performance obligatons for (i) contracts with an original expected length of one</w:t>
      </w:r>
      <w:r>
        <w:rPr>
          <w:rFonts w:ascii="Calibri" w:cs="Calibri" w:eastAsia="Calibri" w:hAnsi="Calibri"/>
          <w:sz w:val="18"/>
          <w:szCs w:val="18"/>
          <w:i w:val="1"/>
          <w:iCs w:val="1"/>
          <w:color w:val="auto"/>
        </w:rPr>
        <w:t xml:space="preserve"> </w:t>
      </w:r>
      <w:r>
        <w:rPr>
          <w:rFonts w:ascii="Calibri" w:cs="Calibri" w:eastAsia="Calibri" w:hAnsi="Calibri"/>
          <w:sz w:val="18"/>
          <w:szCs w:val="18"/>
          <w:color w:val="auto"/>
        </w:rPr>
        <w:t>year or less and (ii) contracts for which we recognize revenue at the amount to which we have the right to invoice for services performed. For contracts that were modifed before the beginning of the earliest reportng period presented, we have not retrospectvely restated the contract for those modifcatons. We have disclosed the aggregate efect of all modifcatons when identfying the satsfed and unsatsfed performance obligatons for purposes of determining the transacton price and allocatng the transacton price at transiton.</w:t>
      </w:r>
    </w:p>
    <w:p>
      <w:pPr>
        <w:spacing w:after="0" w:line="109" w:lineRule="exact"/>
        <w:rPr>
          <w:sz w:val="20"/>
          <w:szCs w:val="20"/>
          <w:color w:val="auto"/>
        </w:rPr>
      </w:pPr>
    </w:p>
    <w:p>
      <w:pPr>
        <w:ind w:right="280" w:firstLine="396"/>
        <w:spacing w:after="0" w:line="230" w:lineRule="auto"/>
        <w:rPr>
          <w:sz w:val="20"/>
          <w:szCs w:val="20"/>
          <w:color w:val="auto"/>
        </w:rPr>
      </w:pPr>
      <w:r>
        <w:rPr>
          <w:rFonts w:ascii="Calibri" w:cs="Calibri" w:eastAsia="Calibri" w:hAnsi="Calibri"/>
          <w:sz w:val="18"/>
          <w:szCs w:val="18"/>
          <w:i w:val="1"/>
          <w:iCs w:val="1"/>
          <w:color w:val="auto"/>
        </w:rPr>
        <w:t xml:space="preserve">Research and development. </w:t>
      </w:r>
      <w:r>
        <w:rPr>
          <w:rFonts w:ascii="Calibri" w:cs="Calibri" w:eastAsia="Calibri" w:hAnsi="Calibri"/>
          <w:sz w:val="18"/>
          <w:szCs w:val="18"/>
          <w:color w:val="auto"/>
        </w:rPr>
        <w:t>Research and development expense consists primarily of personnel costs for our engineers and third partes engaged in the</w:t>
      </w:r>
      <w:r>
        <w:rPr>
          <w:rFonts w:ascii="Calibri" w:cs="Calibri" w:eastAsia="Calibri" w:hAnsi="Calibri"/>
          <w:sz w:val="18"/>
          <w:szCs w:val="18"/>
          <w:i w:val="1"/>
          <w:iCs w:val="1"/>
          <w:color w:val="auto"/>
        </w:rPr>
        <w:t xml:space="preserve"> </w:t>
      </w:r>
      <w:r>
        <w:rPr>
          <w:rFonts w:ascii="Calibri" w:cs="Calibri" w:eastAsia="Calibri" w:hAnsi="Calibri"/>
          <w:sz w:val="18"/>
          <w:szCs w:val="18"/>
          <w:color w:val="auto"/>
        </w:rPr>
        <w:t>design and development of our products, sofware and technologies, including salary, bonus and stock-based compensaton expense, project material costs, services and depreciaton. Such costs are charged to research and development expense as they are incurred.</w:t>
      </w:r>
    </w:p>
    <w:p>
      <w:pPr>
        <w:spacing w:after="0" w:line="108" w:lineRule="exact"/>
        <w:rPr>
          <w:sz w:val="20"/>
          <w:szCs w:val="20"/>
          <w:color w:val="auto"/>
        </w:rPr>
      </w:pPr>
    </w:p>
    <w:p>
      <w:pPr>
        <w:ind w:right="40" w:firstLine="396"/>
        <w:spacing w:after="0" w:line="245" w:lineRule="auto"/>
        <w:rPr>
          <w:sz w:val="20"/>
          <w:szCs w:val="20"/>
          <w:color w:val="auto"/>
        </w:rPr>
      </w:pPr>
      <w:r>
        <w:rPr>
          <w:rFonts w:ascii="Calibri" w:cs="Calibri" w:eastAsia="Calibri" w:hAnsi="Calibri"/>
          <w:sz w:val="17"/>
          <w:szCs w:val="17"/>
          <w:i w:val="1"/>
          <w:iCs w:val="1"/>
          <w:color w:val="auto"/>
        </w:rPr>
        <w:t xml:space="preserve">Stock-based compensaton expense. </w:t>
      </w:r>
      <w:r>
        <w:rPr>
          <w:rFonts w:ascii="Calibri" w:cs="Calibri" w:eastAsia="Calibri" w:hAnsi="Calibri"/>
          <w:sz w:val="17"/>
          <w:szCs w:val="17"/>
          <w:color w:val="auto"/>
        </w:rPr>
        <w:t>We recognize compensaton expense for tme-based restricted stock units (“RSUs”) using the straight-line amortzaton</w:t>
      </w:r>
      <w:r>
        <w:rPr>
          <w:rFonts w:ascii="Calibri" w:cs="Calibri" w:eastAsia="Calibri" w:hAnsi="Calibri"/>
          <w:sz w:val="17"/>
          <w:szCs w:val="17"/>
          <w:i w:val="1"/>
          <w:iCs w:val="1"/>
          <w:color w:val="auto"/>
        </w:rPr>
        <w:t xml:space="preserve"> </w:t>
      </w:r>
      <w:r>
        <w:rPr>
          <w:rFonts w:ascii="Calibri" w:cs="Calibri" w:eastAsia="Calibri" w:hAnsi="Calibri"/>
          <w:sz w:val="17"/>
          <w:szCs w:val="17"/>
          <w:color w:val="auto"/>
        </w:rPr>
        <w:t>method based on the fair value of RSUs on the date of grant. The fair value of RSUs is the closing market price of Broadcom common stock on the date of grant, reduced by the present value of dividends expected to be paid on Broadcom common stock prior to vestng. We recognize compensaton expense for tme-based stock optons and employee stock purchase plan rights under the Broadcom Inc. Employee Stock Purchase Plan, as amended (“ESPP”) based on the estmated grant-date fair value determined using the Black-Scholes valuaton model with a straight-line amortzaton method.</w:t>
      </w:r>
    </w:p>
    <w:p>
      <w:pPr>
        <w:spacing w:after="0" w:line="103" w:lineRule="exact"/>
        <w:rPr>
          <w:sz w:val="20"/>
          <w:szCs w:val="20"/>
          <w:color w:val="auto"/>
        </w:rPr>
      </w:pPr>
    </w:p>
    <w:p>
      <w:pPr>
        <w:ind w:right="60" w:firstLine="396"/>
        <w:spacing w:after="0" w:line="247" w:lineRule="auto"/>
        <w:rPr>
          <w:sz w:val="20"/>
          <w:szCs w:val="20"/>
          <w:color w:val="auto"/>
        </w:rPr>
      </w:pPr>
      <w:r>
        <w:rPr>
          <w:rFonts w:ascii="Calibri" w:cs="Calibri" w:eastAsia="Calibri" w:hAnsi="Calibri"/>
          <w:sz w:val="17"/>
          <w:szCs w:val="17"/>
          <w:color w:val="auto"/>
        </w:rPr>
        <w:t>Certain equity awards include both service and market conditons. The fair value of market-based awards is estmated on the date of grant using the Monte Carlo simulaton technique. Compensaton expense for market-based awards is amortzed based upon a graded vestng method over the service period.</w:t>
      </w:r>
    </w:p>
    <w:p>
      <w:pPr>
        <w:spacing w:after="0" w:line="101" w:lineRule="exact"/>
        <w:rPr>
          <w:sz w:val="20"/>
          <w:szCs w:val="20"/>
          <w:color w:val="auto"/>
        </w:rPr>
      </w:pPr>
    </w:p>
    <w:p>
      <w:pPr>
        <w:ind w:right="120" w:firstLine="396"/>
        <w:spacing w:after="0" w:line="230" w:lineRule="auto"/>
        <w:rPr>
          <w:sz w:val="20"/>
          <w:szCs w:val="20"/>
          <w:color w:val="auto"/>
        </w:rPr>
      </w:pPr>
      <w:r>
        <w:rPr>
          <w:rFonts w:ascii="Calibri" w:cs="Calibri" w:eastAsia="Calibri" w:hAnsi="Calibri"/>
          <w:sz w:val="18"/>
          <w:szCs w:val="18"/>
          <w:color w:val="auto"/>
        </w:rPr>
        <w:t>We estmate forfeitures expected to occur and recognize stock-based compensaton expense for such awards expected to vest. Changes in the estmated forfeiture rates can have a signifcant efect on stock-based compensaton expense since the efect of adjustng the rate is recognized in the period the forfeiture estmate is changed.</w:t>
      </w:r>
    </w:p>
    <w:p>
      <w:pPr>
        <w:spacing w:after="0" w:line="108" w:lineRule="exact"/>
        <w:rPr>
          <w:sz w:val="20"/>
          <w:szCs w:val="20"/>
          <w:color w:val="auto"/>
        </w:rPr>
      </w:pPr>
    </w:p>
    <w:p>
      <w:pPr>
        <w:ind w:right="160" w:firstLine="396"/>
        <w:spacing w:after="0" w:line="230" w:lineRule="auto"/>
        <w:rPr>
          <w:sz w:val="20"/>
          <w:szCs w:val="20"/>
          <w:color w:val="auto"/>
        </w:rPr>
      </w:pPr>
      <w:r>
        <w:rPr>
          <w:rFonts w:ascii="Calibri" w:cs="Calibri" w:eastAsia="Calibri" w:hAnsi="Calibri"/>
          <w:sz w:val="18"/>
          <w:szCs w:val="18"/>
          <w:i w:val="1"/>
          <w:iCs w:val="1"/>
          <w:color w:val="auto"/>
        </w:rPr>
        <w:t xml:space="preserve">Shipping and handling costs. </w:t>
      </w:r>
      <w:r>
        <w:rPr>
          <w:rFonts w:ascii="Calibri" w:cs="Calibri" w:eastAsia="Calibri" w:hAnsi="Calibri"/>
          <w:sz w:val="18"/>
          <w:szCs w:val="18"/>
          <w:color w:val="auto"/>
        </w:rPr>
        <w:t>Our shipping and handling costs charged to customers are included in net revenue and the associated expense is included in</w:t>
      </w:r>
      <w:r>
        <w:rPr>
          <w:rFonts w:ascii="Calibri" w:cs="Calibri" w:eastAsia="Calibri" w:hAnsi="Calibri"/>
          <w:sz w:val="18"/>
          <w:szCs w:val="18"/>
          <w:i w:val="1"/>
          <w:iCs w:val="1"/>
          <w:color w:val="auto"/>
        </w:rPr>
        <w:t xml:space="preserve"> </w:t>
      </w:r>
      <w:r>
        <w:rPr>
          <w:rFonts w:ascii="Calibri" w:cs="Calibri" w:eastAsia="Calibri" w:hAnsi="Calibri"/>
          <w:sz w:val="18"/>
          <w:szCs w:val="18"/>
          <w:color w:val="auto"/>
        </w:rPr>
        <w:t>cost of revenue for all periods presented.</w:t>
      </w:r>
    </w:p>
    <w:p>
      <w:pPr>
        <w:spacing w:after="0" w:line="107" w:lineRule="exact"/>
        <w:rPr>
          <w:sz w:val="20"/>
          <w:szCs w:val="20"/>
          <w:color w:val="auto"/>
        </w:rPr>
      </w:pPr>
    </w:p>
    <w:p>
      <w:pPr>
        <w:ind w:right="160" w:firstLine="396"/>
        <w:spacing w:after="0" w:line="230" w:lineRule="auto"/>
        <w:rPr>
          <w:sz w:val="20"/>
          <w:szCs w:val="20"/>
          <w:color w:val="auto"/>
        </w:rPr>
      </w:pPr>
      <w:r>
        <w:rPr>
          <w:rFonts w:ascii="Calibri" w:cs="Calibri" w:eastAsia="Calibri" w:hAnsi="Calibri"/>
          <w:sz w:val="18"/>
          <w:szCs w:val="18"/>
          <w:i w:val="1"/>
          <w:iCs w:val="1"/>
          <w:color w:val="auto"/>
        </w:rPr>
        <w:t xml:space="preserve">Litgaton and setlement costs. </w:t>
      </w:r>
      <w:r>
        <w:rPr>
          <w:rFonts w:ascii="Calibri" w:cs="Calibri" w:eastAsia="Calibri" w:hAnsi="Calibri"/>
          <w:sz w:val="18"/>
          <w:szCs w:val="18"/>
          <w:color w:val="auto"/>
        </w:rPr>
        <w:t>We are involved in legal actons and other maters arising in our recent business acquisitons and in the normal course of</w:t>
      </w:r>
      <w:r>
        <w:rPr>
          <w:rFonts w:ascii="Calibri" w:cs="Calibri" w:eastAsia="Calibri" w:hAnsi="Calibri"/>
          <w:sz w:val="18"/>
          <w:szCs w:val="18"/>
          <w:i w:val="1"/>
          <w:iCs w:val="1"/>
          <w:color w:val="auto"/>
        </w:rPr>
        <w:t xml:space="preserve"> </w:t>
      </w:r>
      <w:r>
        <w:rPr>
          <w:rFonts w:ascii="Calibri" w:cs="Calibri" w:eastAsia="Calibri" w:hAnsi="Calibri"/>
          <w:sz w:val="18"/>
          <w:szCs w:val="18"/>
          <w:color w:val="auto"/>
        </w:rPr>
        <w:t>business. We recognize an estmated loss contngency when the outcome is probable prior to issuance of the consolidated fnancial statements and we are able to reasonably estmate the amount or range of any possible loss.</w:t>
      </w:r>
    </w:p>
    <w:p>
      <w:pPr>
        <w:spacing w:after="0" w:line="108" w:lineRule="exact"/>
        <w:rPr>
          <w:sz w:val="20"/>
          <w:szCs w:val="20"/>
          <w:color w:val="auto"/>
        </w:rPr>
      </w:pPr>
    </w:p>
    <w:p>
      <w:pPr>
        <w:ind w:firstLine="396"/>
        <w:spacing w:after="0" w:line="230" w:lineRule="auto"/>
        <w:rPr>
          <w:sz w:val="20"/>
          <w:szCs w:val="20"/>
          <w:color w:val="auto"/>
        </w:rPr>
      </w:pPr>
      <w:r>
        <w:rPr>
          <w:rFonts w:ascii="Calibri" w:cs="Calibri" w:eastAsia="Calibri" w:hAnsi="Calibri"/>
          <w:sz w:val="18"/>
          <w:szCs w:val="18"/>
          <w:i w:val="1"/>
          <w:iCs w:val="1"/>
          <w:color w:val="auto"/>
        </w:rPr>
        <w:t xml:space="preserve">Income taxes. </w:t>
      </w:r>
      <w:r>
        <w:rPr>
          <w:rFonts w:ascii="Calibri" w:cs="Calibri" w:eastAsia="Calibri" w:hAnsi="Calibri"/>
          <w:sz w:val="18"/>
          <w:szCs w:val="18"/>
          <w:color w:val="auto"/>
        </w:rPr>
        <w:t>We account for income taxes under the asset and liability method, which requires the recogniton of deferred tax assets and liabilites for the</w:t>
      </w:r>
      <w:r>
        <w:rPr>
          <w:rFonts w:ascii="Calibri" w:cs="Calibri" w:eastAsia="Calibri" w:hAnsi="Calibri"/>
          <w:sz w:val="18"/>
          <w:szCs w:val="18"/>
          <w:i w:val="1"/>
          <w:iCs w:val="1"/>
          <w:color w:val="auto"/>
        </w:rPr>
        <w:t xml:space="preserve"> </w:t>
      </w:r>
      <w:r>
        <w:rPr>
          <w:rFonts w:ascii="Calibri" w:cs="Calibri" w:eastAsia="Calibri" w:hAnsi="Calibri"/>
          <w:sz w:val="18"/>
          <w:szCs w:val="18"/>
          <w:color w:val="auto"/>
        </w:rPr>
        <w:t>expected future tax consequences of events that have been included in the consolidated fnancial statements. Under this method, deferred tax assets and liabilites are determined based on the diferences between the consolidated fnancial statements and tax basis of assets and liabilites using enacted tax rates in efect for the year in which the diferences are expected to reverse. The efect of a change in tax rates on deferred tax assets and liabilites is recognized in income in the period that includes the enactment date.</w:t>
      </w:r>
    </w:p>
    <w:p>
      <w:pPr>
        <w:spacing w:after="0" w:line="109" w:lineRule="exact"/>
        <w:rPr>
          <w:sz w:val="20"/>
          <w:szCs w:val="20"/>
          <w:color w:val="auto"/>
        </w:rPr>
      </w:pPr>
    </w:p>
    <w:p>
      <w:pPr>
        <w:ind w:right="80" w:firstLine="396"/>
        <w:spacing w:after="0" w:line="230" w:lineRule="auto"/>
        <w:rPr>
          <w:sz w:val="20"/>
          <w:szCs w:val="20"/>
          <w:color w:val="auto"/>
        </w:rPr>
      </w:pPr>
      <w:r>
        <w:rPr>
          <w:rFonts w:ascii="Calibri" w:cs="Calibri" w:eastAsia="Calibri" w:hAnsi="Calibri"/>
          <w:sz w:val="18"/>
          <w:szCs w:val="18"/>
          <w:color w:val="auto"/>
        </w:rPr>
        <w:t>We recognize net deferred tax assets to the extent we believe these assets will more likely than not be realized. In making such determinaton, we consider all available positve and negatve evidence, including scheduled reversals of deferred tax liabilites, projected future taxable income, tax planning strategies and recent fnancial operatons. If we determine that we are able to realize our deferred income tax assets in the future in excess of their net carrying values, we adjust the valuaton allowance and reduce the provision for income taxes or increase the beneft from income taxes. Likewise, if we determine that we are not able to realize all or part of our net deferred tax assets, we increase the provision for income taxes or decrease the beneft from income taxes in the period such determinaton is made.</w:t>
      </w: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9" w:right="339" w:bottom="1440" w:gutter="0" w:footer="0" w:header="0"/>
        </w:sectPr>
      </w:pPr>
    </w:p>
    <w:bookmarkStart w:id="62" w:name="page63"/>
    <w:bookmarkEnd w:id="62"/>
    <w:p>
      <w:pPr>
        <w:spacing w:after="0"/>
        <w:rPr>
          <w:sz w:val="20"/>
          <w:szCs w:val="20"/>
          <w:color w:val="auto"/>
        </w:rPr>
      </w:pPr>
      <w:r>
        <w:rPr>
          <w:rFonts w:ascii="Calibri" w:cs="Calibri" w:eastAsia="Calibri" w:hAnsi="Calibri"/>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right="400" w:firstLine="396"/>
        <w:spacing w:after="0" w:line="245" w:lineRule="auto"/>
        <w:rPr>
          <w:sz w:val="20"/>
          <w:szCs w:val="20"/>
          <w:color w:val="auto"/>
        </w:rPr>
      </w:pPr>
      <w:r>
        <w:rPr>
          <w:rFonts w:ascii="Calibri" w:cs="Calibri" w:eastAsia="Calibri" w:hAnsi="Calibri"/>
          <w:sz w:val="17"/>
          <w:szCs w:val="17"/>
          <w:color w:val="auto"/>
        </w:rPr>
        <w:t>The U.S. Tax Cuts and Jobs Act enacted on December 22, 2017 (the “2017 Tax Act”) introduced signifcant changes to U.S. income tax law. The Global Intangible Low-Taxed Income (“GILTI”) provisions of the 2017 Tax Act require Broadcom to include in its U.S. income tax return foreign subsidiary earnings in excess of an allowable return on the foreign subsidiary’s tangible assets. We have elected to record the impacts of GILTI during the period incurred.</w:t>
      </w:r>
    </w:p>
    <w:p>
      <w:pPr>
        <w:spacing w:after="0" w:line="104" w:lineRule="exact"/>
        <w:rPr>
          <w:sz w:val="20"/>
          <w:szCs w:val="20"/>
          <w:color w:val="auto"/>
        </w:rPr>
      </w:pPr>
    </w:p>
    <w:p>
      <w:pPr>
        <w:ind w:right="440" w:firstLine="396"/>
        <w:spacing w:after="0" w:line="230" w:lineRule="auto"/>
        <w:rPr>
          <w:sz w:val="20"/>
          <w:szCs w:val="20"/>
          <w:color w:val="auto"/>
        </w:rPr>
      </w:pPr>
      <w:r>
        <w:rPr>
          <w:rFonts w:ascii="Calibri" w:cs="Calibri" w:eastAsia="Calibri" w:hAnsi="Calibri"/>
          <w:sz w:val="18"/>
          <w:szCs w:val="18"/>
          <w:color w:val="auto"/>
        </w:rPr>
        <w:t>We account for uncertainty in income taxes in accordance with the applicable accountng guidance on income taxes. This guidance provides that a tax beneft from an uncertain tax positon may be recognized when it is more likely than not that the positon will be sustained upon examinaton, including resolutons of any related appeals or litgaton processes, based on the technical merits.</w:t>
      </w:r>
    </w:p>
    <w:p>
      <w:pPr>
        <w:spacing w:after="0" w:line="108" w:lineRule="exact"/>
        <w:rPr>
          <w:sz w:val="20"/>
          <w:szCs w:val="20"/>
          <w:color w:val="auto"/>
        </w:rPr>
      </w:pPr>
    </w:p>
    <w:p>
      <w:pPr>
        <w:ind w:right="60" w:firstLine="396"/>
        <w:spacing w:after="0" w:line="245" w:lineRule="auto"/>
        <w:rPr>
          <w:sz w:val="20"/>
          <w:szCs w:val="20"/>
          <w:color w:val="auto"/>
        </w:rPr>
      </w:pPr>
      <w:r>
        <w:rPr>
          <w:rFonts w:ascii="Calibri" w:cs="Calibri" w:eastAsia="Calibri" w:hAnsi="Calibri"/>
          <w:sz w:val="17"/>
          <w:szCs w:val="17"/>
          <w:i w:val="1"/>
          <w:iCs w:val="1"/>
          <w:color w:val="auto"/>
        </w:rPr>
        <w:t xml:space="preserve">Net income per share. </w:t>
      </w:r>
      <w:r>
        <w:rPr>
          <w:rFonts w:ascii="Calibri" w:cs="Calibri" w:eastAsia="Calibri" w:hAnsi="Calibri"/>
          <w:sz w:val="17"/>
          <w:szCs w:val="17"/>
          <w:color w:val="auto"/>
        </w:rPr>
        <w:t>Basic net income per share is computed by dividing net income atributable to common stock by the weighted-average number of</w:t>
      </w:r>
      <w:r>
        <w:rPr>
          <w:rFonts w:ascii="Calibri" w:cs="Calibri" w:eastAsia="Calibri" w:hAnsi="Calibri"/>
          <w:sz w:val="17"/>
          <w:szCs w:val="17"/>
          <w:i w:val="1"/>
          <w:iCs w:val="1"/>
          <w:color w:val="auto"/>
        </w:rPr>
        <w:t xml:space="preserve"> </w:t>
      </w:r>
      <w:r>
        <w:rPr>
          <w:rFonts w:ascii="Calibri" w:cs="Calibri" w:eastAsia="Calibri" w:hAnsi="Calibri"/>
          <w:sz w:val="17"/>
          <w:szCs w:val="17"/>
          <w:color w:val="auto"/>
        </w:rPr>
        <w:t>shares of common stock outstanding during the period. Diluted net income per share is computed by dividing net income atributable to common stock by the weighted-average number of shares of common stock and potentally dilutve shares of common stock outstanding during the period. Diluted shares outstanding include the dilutve efect of unvested RSUs, in-the-money stock optons, and ESPP rights (together referred to as “equity awards”), as well as convertble preferred stock. Potentally dilutve shares whose efect would have been antdilutve are excluded from the computaton of diluted net income per share.</w:t>
      </w:r>
    </w:p>
    <w:p>
      <w:pPr>
        <w:spacing w:after="0" w:line="103" w:lineRule="exact"/>
        <w:rPr>
          <w:sz w:val="20"/>
          <w:szCs w:val="20"/>
          <w:color w:val="auto"/>
        </w:rPr>
      </w:pPr>
    </w:p>
    <w:p>
      <w:pPr>
        <w:ind w:right="20" w:firstLine="396"/>
        <w:spacing w:after="0" w:line="230" w:lineRule="auto"/>
        <w:rPr>
          <w:sz w:val="20"/>
          <w:szCs w:val="20"/>
          <w:color w:val="auto"/>
        </w:rPr>
      </w:pPr>
      <w:r>
        <w:rPr>
          <w:rFonts w:ascii="Calibri" w:cs="Calibri" w:eastAsia="Calibri" w:hAnsi="Calibri"/>
          <w:sz w:val="18"/>
          <w:szCs w:val="18"/>
          <w:color w:val="auto"/>
        </w:rPr>
        <w:t>The dilutve efect of equity awards is calculated based on the average stock price for each fscal period, using the treasury stock method. Under the treasury stock method, the amount the employee must pay for exercising stock optons and purchasing shares under the ESPP and the amount of compensaton cost for future service that we have not yet recognized are collectvely assumed to be used to repurchase shares. The dilutve efect of convertble preferred stock is calculated using the if-converted method. The if-converted method assumes that these securites were converted at the beginning of the reportng period to the extent that the efect is dilutve.</w:t>
      </w:r>
    </w:p>
    <w:p>
      <w:pPr>
        <w:spacing w:after="0" w:line="99"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3. Revenue from Contracts with Customers</w:t>
      </w:r>
    </w:p>
    <w:p>
      <w:pPr>
        <w:spacing w:after="0" w:line="97"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Disaggregaton</w:t>
      </w:r>
    </w:p>
    <w:p>
      <w:pPr>
        <w:spacing w:after="0" w:line="107" w:lineRule="exact"/>
        <w:rPr>
          <w:sz w:val="20"/>
          <w:szCs w:val="20"/>
          <w:color w:val="auto"/>
        </w:rPr>
      </w:pPr>
    </w:p>
    <w:p>
      <w:pPr>
        <w:ind w:right="80" w:firstLine="396"/>
        <w:spacing w:after="0" w:line="230" w:lineRule="auto"/>
        <w:rPr>
          <w:sz w:val="20"/>
          <w:szCs w:val="20"/>
          <w:color w:val="auto"/>
        </w:rPr>
      </w:pPr>
      <w:r>
        <w:rPr>
          <w:rFonts w:ascii="Calibri" w:cs="Calibri" w:eastAsia="Calibri" w:hAnsi="Calibri"/>
          <w:sz w:val="18"/>
          <w:szCs w:val="18"/>
          <w:color w:val="auto"/>
        </w:rPr>
        <w:t>We have considered (1) informaton that is regularly reviewed by our Chief Executve Ofcer, who has been identfed as the chief operatng decision maker (the “CODM”) as defned by the authoritatve guidance on segment reportng, in evaluatng fnancial performance and (2) disclosures presented outside of our fnancial statements in our earnings releases and used in investor presentatons to disaggregate revenues. The principal category we use to disaggregate revenues is the nature of our products and subscriptons and services, as presented in our consolidated statements of operatons. In additon, revenues by reportable segment are presented in Note 12. “Segment Informaton.”</w:t>
      </w:r>
    </w:p>
    <w:p>
      <w:pPr>
        <w:spacing w:after="0" w:line="99" w:lineRule="exact"/>
        <w:rPr>
          <w:sz w:val="20"/>
          <w:szCs w:val="20"/>
          <w:color w:val="auto"/>
        </w:rPr>
      </w:pPr>
    </w:p>
    <w:p>
      <w:pPr>
        <w:ind w:left="400"/>
        <w:spacing w:after="0"/>
        <w:rPr>
          <w:sz w:val="20"/>
          <w:szCs w:val="20"/>
          <w:color w:val="auto"/>
        </w:rPr>
      </w:pPr>
      <w:r>
        <w:rPr>
          <w:rFonts w:ascii="Calibri" w:cs="Calibri" w:eastAsia="Calibri" w:hAnsi="Calibri"/>
          <w:sz w:val="18"/>
          <w:szCs w:val="18"/>
          <w:color w:val="auto"/>
        </w:rPr>
        <w:t>The following tables present revenue disaggregated by type of revenue and by region for the periods presented:</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120" w:type="dxa"/>
            <w:vAlign w:val="bottom"/>
            <w:gridSpan w:val="5"/>
          </w:tcPr>
          <w:p>
            <w:pPr>
              <w:jc w:val="center"/>
              <w:ind w:right="240"/>
              <w:spacing w:after="0"/>
              <w:rPr>
                <w:sz w:val="20"/>
                <w:szCs w:val="20"/>
                <w:color w:val="auto"/>
              </w:rPr>
            </w:pPr>
            <w:r>
              <w:rPr>
                <w:rFonts w:ascii="Calibri" w:cs="Calibri" w:eastAsia="Calibri" w:hAnsi="Calibri"/>
                <w:sz w:val="14"/>
                <w:szCs w:val="14"/>
                <w:b w:val="1"/>
                <w:bCs w:val="1"/>
                <w:color w:val="auto"/>
                <w:w w:val="99"/>
              </w:rPr>
              <w:t>Fiscal Year 2023</w:t>
            </w:r>
          </w:p>
        </w:tc>
        <w:tc>
          <w:tcPr>
            <w:tcW w:w="3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40" w:type="dxa"/>
            <w:vAlign w:val="bottom"/>
          </w:tcPr>
          <w:p>
            <w:pPr>
              <w:spacing w:after="0"/>
              <w:rPr>
                <w:sz w:val="3"/>
                <w:szCs w:val="3"/>
                <w:color w:val="auto"/>
              </w:rPr>
            </w:pPr>
          </w:p>
        </w:tc>
        <w:tc>
          <w:tcPr>
            <w:tcW w:w="452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660" w:type="dxa"/>
            <w:vAlign w:val="bottom"/>
            <w:tcBorders>
              <w:bottom w:val="single" w:sz="8" w:color="auto"/>
            </w:tcBorders>
            <w:gridSpan w:val="2"/>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24"/>
        </w:trPr>
        <w:tc>
          <w:tcPr>
            <w:tcW w:w="40" w:type="dxa"/>
            <w:vAlign w:val="bottom"/>
          </w:tcPr>
          <w:p>
            <w:pPr>
              <w:spacing w:after="0"/>
              <w:rPr>
                <w:sz w:val="10"/>
                <w:szCs w:val="10"/>
                <w:color w:val="auto"/>
              </w:rPr>
            </w:pPr>
          </w:p>
        </w:tc>
        <w:tc>
          <w:tcPr>
            <w:tcW w:w="45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340" w:type="dxa"/>
            <w:vAlign w:val="bottom"/>
            <w:gridSpan w:val="2"/>
            <w:vMerge w:val="restart"/>
          </w:tcPr>
          <w:p>
            <w:pPr>
              <w:ind w:left="200"/>
              <w:spacing w:after="0"/>
              <w:rPr>
                <w:sz w:val="20"/>
                <w:szCs w:val="20"/>
                <w:color w:val="auto"/>
              </w:rPr>
            </w:pPr>
            <w:r>
              <w:rPr>
                <w:rFonts w:ascii="Calibri" w:cs="Calibri" w:eastAsia="Calibri" w:hAnsi="Calibri"/>
                <w:sz w:val="14"/>
                <w:szCs w:val="14"/>
                <w:b w:val="1"/>
                <w:bCs w:val="1"/>
                <w:color w:val="auto"/>
              </w:rPr>
              <w:t>Americas</w:t>
            </w:r>
          </w:p>
        </w:tc>
        <w:tc>
          <w:tcPr>
            <w:tcW w:w="260" w:type="dxa"/>
            <w:vAlign w:val="bottom"/>
          </w:tcPr>
          <w:p>
            <w:pPr>
              <w:spacing w:after="0"/>
              <w:rPr>
                <w:sz w:val="10"/>
                <w:szCs w:val="10"/>
                <w:color w:val="auto"/>
              </w:rPr>
            </w:pPr>
          </w:p>
        </w:tc>
        <w:tc>
          <w:tcPr>
            <w:tcW w:w="1360" w:type="dxa"/>
            <w:vAlign w:val="bottom"/>
            <w:gridSpan w:val="2"/>
            <w:vMerge w:val="restart"/>
          </w:tcPr>
          <w:p>
            <w:pPr>
              <w:ind w:left="160"/>
              <w:spacing w:after="0"/>
              <w:rPr>
                <w:sz w:val="20"/>
                <w:szCs w:val="20"/>
                <w:color w:val="auto"/>
              </w:rPr>
            </w:pPr>
            <w:r>
              <w:rPr>
                <w:rFonts w:ascii="Calibri" w:cs="Calibri" w:eastAsia="Calibri" w:hAnsi="Calibri"/>
                <w:sz w:val="14"/>
                <w:szCs w:val="14"/>
                <w:b w:val="1"/>
                <w:bCs w:val="1"/>
                <w:color w:val="auto"/>
              </w:rPr>
              <w:t>Asia Pacifc</w:t>
            </w:r>
          </w:p>
        </w:tc>
        <w:tc>
          <w:tcPr>
            <w:tcW w:w="100" w:type="dxa"/>
            <w:vAlign w:val="bottom"/>
          </w:tcPr>
          <w:p>
            <w:pPr>
              <w:spacing w:after="0"/>
              <w:rPr>
                <w:sz w:val="10"/>
                <w:szCs w:val="10"/>
                <w:color w:val="auto"/>
              </w:rPr>
            </w:pPr>
          </w:p>
        </w:tc>
        <w:tc>
          <w:tcPr>
            <w:tcW w:w="1660" w:type="dxa"/>
            <w:vAlign w:val="bottom"/>
            <w:gridSpan w:val="2"/>
          </w:tcPr>
          <w:p>
            <w:pPr>
              <w:jc w:val="center"/>
              <w:ind w:right="220"/>
              <w:spacing w:after="0" w:line="124" w:lineRule="exact"/>
              <w:rPr>
                <w:sz w:val="20"/>
                <w:szCs w:val="20"/>
                <w:color w:val="auto"/>
              </w:rPr>
            </w:pPr>
            <w:r>
              <w:rPr>
                <w:rFonts w:ascii="Calibri" w:cs="Calibri" w:eastAsia="Calibri" w:hAnsi="Calibri"/>
                <w:sz w:val="13"/>
                <w:szCs w:val="13"/>
                <w:b w:val="1"/>
                <w:bCs w:val="1"/>
                <w:color w:val="auto"/>
              </w:rPr>
              <w:t>Europe, the Middle East</w:t>
            </w:r>
          </w:p>
        </w:tc>
        <w:tc>
          <w:tcPr>
            <w:tcW w:w="380" w:type="dxa"/>
            <w:vAlign w:val="bottom"/>
          </w:tcPr>
          <w:p>
            <w:pPr>
              <w:spacing w:after="0"/>
              <w:rPr>
                <w:sz w:val="10"/>
                <w:szCs w:val="10"/>
                <w:color w:val="auto"/>
              </w:rPr>
            </w:pPr>
          </w:p>
        </w:tc>
        <w:tc>
          <w:tcPr>
            <w:tcW w:w="1300" w:type="dxa"/>
            <w:vAlign w:val="bottom"/>
            <w:gridSpan w:val="2"/>
            <w:vMerge w:val="restart"/>
          </w:tcPr>
          <w:p>
            <w:pPr>
              <w:ind w:left="300"/>
              <w:spacing w:after="0"/>
              <w:rPr>
                <w:sz w:val="20"/>
                <w:szCs w:val="20"/>
                <w:color w:val="auto"/>
              </w:rPr>
            </w:pPr>
            <w:r>
              <w:rPr>
                <w:rFonts w:ascii="Calibri" w:cs="Calibri" w:eastAsia="Calibri" w:hAnsi="Calibri"/>
                <w:sz w:val="14"/>
                <w:szCs w:val="14"/>
                <w:b w:val="1"/>
                <w:bCs w:val="1"/>
                <w:color w:val="auto"/>
              </w:rPr>
              <w:t>Total</w:t>
            </w:r>
          </w:p>
        </w:tc>
        <w:tc>
          <w:tcPr>
            <w:tcW w:w="0" w:type="dxa"/>
            <w:vAlign w:val="bottom"/>
          </w:tcPr>
          <w:p>
            <w:pPr>
              <w:spacing w:after="0"/>
              <w:rPr>
                <w:sz w:val="1"/>
                <w:szCs w:val="1"/>
                <w:color w:val="auto"/>
              </w:rPr>
            </w:pPr>
          </w:p>
        </w:tc>
      </w:tr>
      <w:tr>
        <w:trPr>
          <w:trHeight w:val="168"/>
        </w:trPr>
        <w:tc>
          <w:tcPr>
            <w:tcW w:w="4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13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gridSpan w:val="2"/>
          </w:tcPr>
          <w:p>
            <w:pPr>
              <w:jc w:val="center"/>
              <w:ind w:right="220"/>
              <w:spacing w:after="0" w:line="168" w:lineRule="exact"/>
              <w:rPr>
                <w:sz w:val="20"/>
                <w:szCs w:val="20"/>
                <w:color w:val="auto"/>
              </w:rPr>
            </w:pPr>
            <w:r>
              <w:rPr>
                <w:rFonts w:ascii="Calibri" w:cs="Calibri" w:eastAsia="Calibri" w:hAnsi="Calibri"/>
                <w:sz w:val="14"/>
                <w:szCs w:val="14"/>
                <w:b w:val="1"/>
                <w:bCs w:val="1"/>
                <w:color w:val="auto"/>
              </w:rPr>
              <w:t>and Africa</w:t>
            </w:r>
          </w:p>
        </w:tc>
        <w:tc>
          <w:tcPr>
            <w:tcW w:w="380" w:type="dxa"/>
            <w:vAlign w:val="bottom"/>
          </w:tcPr>
          <w:p>
            <w:pPr>
              <w:spacing w:after="0"/>
              <w:rPr>
                <w:sz w:val="14"/>
                <w:szCs w:val="14"/>
                <w:color w:val="auto"/>
              </w:rPr>
            </w:pPr>
          </w:p>
        </w:tc>
        <w:tc>
          <w:tcPr>
            <w:tcW w:w="13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2"/>
        </w:trPr>
        <w:tc>
          <w:tcPr>
            <w:tcW w:w="40" w:type="dxa"/>
            <w:vAlign w:val="bottom"/>
          </w:tcPr>
          <w:p>
            <w:pPr>
              <w:spacing w:after="0"/>
              <w:rPr>
                <w:sz w:val="2"/>
                <w:szCs w:val="2"/>
                <w:color w:val="auto"/>
              </w:rPr>
            </w:pPr>
          </w:p>
        </w:tc>
        <w:tc>
          <w:tcPr>
            <w:tcW w:w="45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Borders>
              <w:bottom w:val="single" w:sz="8" w:color="auto"/>
            </w:tcBorders>
            <w:gridSpan w:val="2"/>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40" w:type="dxa"/>
            <w:vAlign w:val="bottom"/>
          </w:tcPr>
          <w:p>
            <w:pPr>
              <w:spacing w:after="0"/>
              <w:rPr>
                <w:sz w:val="16"/>
                <w:szCs w:val="16"/>
                <w:color w:val="auto"/>
              </w:rPr>
            </w:pPr>
          </w:p>
        </w:tc>
        <w:tc>
          <w:tcPr>
            <w:tcW w:w="45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120" w:type="dxa"/>
            <w:vAlign w:val="bottom"/>
            <w:gridSpan w:val="5"/>
          </w:tcPr>
          <w:p>
            <w:pPr>
              <w:jc w:val="center"/>
              <w:ind w:right="220"/>
              <w:spacing w:after="0"/>
              <w:rPr>
                <w:sz w:val="20"/>
                <w:szCs w:val="20"/>
                <w:color w:val="auto"/>
              </w:rPr>
            </w:pPr>
            <w:r>
              <w:rPr>
                <w:rFonts w:ascii="Calibri" w:cs="Calibri" w:eastAsia="Calibri" w:hAnsi="Calibri"/>
                <w:sz w:val="14"/>
                <w:szCs w:val="14"/>
                <w:b w:val="1"/>
                <w:bCs w:val="1"/>
                <w:color w:val="auto"/>
              </w:rPr>
              <w:t>(In millions)</w:t>
            </w:r>
          </w:p>
        </w:tc>
        <w:tc>
          <w:tcPr>
            <w:tcW w:w="3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40" w:type="dxa"/>
            <w:vAlign w:val="bottom"/>
          </w:tcPr>
          <w:p>
            <w:pPr>
              <w:spacing w:after="0"/>
              <w:rPr>
                <w:sz w:val="3"/>
                <w:szCs w:val="3"/>
                <w:color w:val="auto"/>
              </w:rPr>
            </w:pPr>
          </w:p>
        </w:tc>
        <w:tc>
          <w:tcPr>
            <w:tcW w:w="45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540" w:type="dxa"/>
            <w:vAlign w:val="bottom"/>
          </w:tcPr>
          <w:p>
            <w:pPr>
              <w:spacing w:after="0"/>
              <w:rPr>
                <w:sz w:val="3"/>
                <w:szCs w:val="3"/>
                <w:color w:val="auto"/>
              </w:rPr>
            </w:pPr>
          </w:p>
        </w:tc>
        <w:tc>
          <w:tcPr>
            <w:tcW w:w="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4"/>
        </w:trPr>
        <w:tc>
          <w:tcPr>
            <w:tcW w:w="40" w:type="dxa"/>
            <w:vAlign w:val="bottom"/>
          </w:tcPr>
          <w:p>
            <w:pPr>
              <w:spacing w:after="0"/>
              <w:rPr>
                <w:sz w:val="19"/>
                <w:szCs w:val="19"/>
                <w:color w:val="auto"/>
              </w:rPr>
            </w:pPr>
          </w:p>
        </w:tc>
        <w:tc>
          <w:tcPr>
            <w:tcW w:w="4520" w:type="dxa"/>
            <w:vAlign w:val="bottom"/>
            <w:shd w:val="clear" w:color="auto" w:fill="CCEEFF"/>
          </w:tcPr>
          <w:p>
            <w:pPr>
              <w:spacing w:after="0" w:line="210" w:lineRule="exact"/>
              <w:rPr>
                <w:sz w:val="20"/>
                <w:szCs w:val="20"/>
                <w:color w:val="auto"/>
              </w:rPr>
            </w:pPr>
            <w:r>
              <w:rPr>
                <w:rFonts w:ascii="Calibri" w:cs="Calibri" w:eastAsia="Calibri" w:hAnsi="Calibri"/>
                <w:sz w:val="18"/>
                <w:szCs w:val="18"/>
                <w:color w:val="auto"/>
              </w:rPr>
              <w:t>Products</w:t>
            </w:r>
          </w:p>
        </w:tc>
        <w:tc>
          <w:tcPr>
            <w:tcW w:w="280" w:type="dxa"/>
            <w:vAlign w:val="bottom"/>
            <w:shd w:val="clear" w:color="auto" w:fill="CCEEFF"/>
          </w:tcPr>
          <w:p>
            <w:pPr>
              <w:jc w:val="right"/>
              <w:ind w:right="92"/>
              <w:spacing w:after="0" w:line="210" w:lineRule="exact"/>
              <w:rPr>
                <w:sz w:val="20"/>
                <w:szCs w:val="20"/>
                <w:color w:val="auto"/>
              </w:rPr>
            </w:pPr>
            <w:r>
              <w:rPr>
                <w:rFonts w:ascii="Calibri" w:cs="Calibri" w:eastAsia="Calibri" w:hAnsi="Calibri"/>
                <w:sz w:val="18"/>
                <w:szCs w:val="18"/>
                <w:color w:val="auto"/>
                <w:w w:val="87"/>
              </w:rPr>
              <w:t>$</w:t>
            </w:r>
          </w:p>
        </w:tc>
        <w:tc>
          <w:tcPr>
            <w:tcW w:w="1220" w:type="dxa"/>
            <w:vAlign w:val="bottom"/>
            <w:shd w:val="clear" w:color="auto" w:fill="CCEEFF"/>
          </w:tcPr>
          <w:p>
            <w:pPr>
              <w:jc w:val="right"/>
              <w:spacing w:after="0" w:line="210" w:lineRule="exact"/>
              <w:rPr>
                <w:sz w:val="20"/>
                <w:szCs w:val="20"/>
                <w:color w:val="auto"/>
              </w:rPr>
            </w:pPr>
            <w:r>
              <w:rPr>
                <w:rFonts w:ascii="Calibri" w:cs="Calibri" w:eastAsia="Calibri" w:hAnsi="Calibri"/>
                <w:sz w:val="18"/>
                <w:szCs w:val="18"/>
                <w:color w:val="auto"/>
              </w:rPr>
              <w:t>2,601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2"/>
              <w:spacing w:after="0" w:line="210" w:lineRule="exact"/>
              <w:rPr>
                <w:sz w:val="20"/>
                <w:szCs w:val="20"/>
                <w:color w:val="auto"/>
              </w:rPr>
            </w:pPr>
            <w:r>
              <w:rPr>
                <w:rFonts w:ascii="Calibri" w:cs="Calibri" w:eastAsia="Calibri" w:hAnsi="Calibri"/>
                <w:sz w:val="18"/>
                <w:szCs w:val="18"/>
                <w:color w:val="auto"/>
                <w:w w:val="87"/>
              </w:rPr>
              <w:t>$</w:t>
            </w:r>
          </w:p>
        </w:tc>
        <w:tc>
          <w:tcPr>
            <w:tcW w:w="1260" w:type="dxa"/>
            <w:vAlign w:val="bottom"/>
            <w:shd w:val="clear" w:color="auto" w:fill="CCEEFF"/>
          </w:tcPr>
          <w:p>
            <w:pPr>
              <w:jc w:val="right"/>
              <w:ind w:right="1"/>
              <w:spacing w:after="0" w:line="210" w:lineRule="exact"/>
              <w:rPr>
                <w:sz w:val="20"/>
                <w:szCs w:val="20"/>
                <w:color w:val="auto"/>
              </w:rPr>
            </w:pPr>
            <w:r>
              <w:rPr>
                <w:rFonts w:ascii="Calibri" w:cs="Calibri" w:eastAsia="Calibri" w:hAnsi="Calibri"/>
                <w:sz w:val="18"/>
                <w:szCs w:val="18"/>
                <w:color w:val="auto"/>
              </w:rPr>
              <w:t>23,263</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line="210" w:lineRule="exact"/>
              <w:rPr>
                <w:sz w:val="20"/>
                <w:szCs w:val="20"/>
                <w:color w:val="auto"/>
              </w:rPr>
            </w:pPr>
            <w:r>
              <w:rPr>
                <w:rFonts w:ascii="Calibri" w:cs="Calibri" w:eastAsia="Calibri" w:hAnsi="Calibri"/>
                <w:sz w:val="18"/>
                <w:szCs w:val="18"/>
                <w:color w:val="auto"/>
                <w:w w:val="87"/>
              </w:rPr>
              <w:t>$</w:t>
            </w:r>
          </w:p>
        </w:tc>
        <w:tc>
          <w:tcPr>
            <w:tcW w:w="1540" w:type="dxa"/>
            <w:vAlign w:val="bottom"/>
            <w:shd w:val="clear" w:color="auto" w:fill="CCEEFF"/>
          </w:tcPr>
          <w:p>
            <w:pPr>
              <w:jc w:val="right"/>
              <w:spacing w:after="0" w:line="210" w:lineRule="exact"/>
              <w:rPr>
                <w:sz w:val="20"/>
                <w:szCs w:val="20"/>
                <w:color w:val="auto"/>
              </w:rPr>
            </w:pPr>
            <w:r>
              <w:rPr>
                <w:rFonts w:ascii="Calibri" w:cs="Calibri" w:eastAsia="Calibri" w:hAnsi="Calibri"/>
                <w:sz w:val="18"/>
                <w:szCs w:val="18"/>
                <w:color w:val="auto"/>
              </w:rPr>
              <w:t>2,027</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2"/>
              <w:spacing w:after="0" w:line="210" w:lineRule="exact"/>
              <w:rPr>
                <w:sz w:val="20"/>
                <w:szCs w:val="20"/>
                <w:color w:val="auto"/>
              </w:rPr>
            </w:pPr>
            <w:r>
              <w:rPr>
                <w:rFonts w:ascii="Calibri" w:cs="Calibri" w:eastAsia="Calibri" w:hAnsi="Calibri"/>
                <w:sz w:val="18"/>
                <w:szCs w:val="18"/>
                <w:color w:val="auto"/>
                <w:w w:val="87"/>
              </w:rPr>
              <w:t>$</w:t>
            </w:r>
          </w:p>
        </w:tc>
        <w:tc>
          <w:tcPr>
            <w:tcW w:w="1280" w:type="dxa"/>
            <w:vAlign w:val="bottom"/>
            <w:shd w:val="clear" w:color="auto" w:fill="CCEEFF"/>
          </w:tcPr>
          <w:p>
            <w:pPr>
              <w:jc w:val="right"/>
              <w:spacing w:after="0" w:line="210" w:lineRule="exact"/>
              <w:rPr>
                <w:sz w:val="20"/>
                <w:szCs w:val="20"/>
                <w:color w:val="auto"/>
              </w:rPr>
            </w:pPr>
            <w:r>
              <w:rPr>
                <w:rFonts w:ascii="Calibri" w:cs="Calibri" w:eastAsia="Calibri" w:hAnsi="Calibri"/>
                <w:sz w:val="18"/>
                <w:szCs w:val="18"/>
                <w:color w:val="auto"/>
              </w:rPr>
              <w:t>27,891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0" w:type="dxa"/>
            <w:vAlign w:val="bottom"/>
          </w:tcPr>
          <w:p>
            <w:pPr>
              <w:spacing w:after="0"/>
              <w:rPr>
                <w:sz w:val="19"/>
                <w:szCs w:val="19"/>
                <w:color w:val="auto"/>
              </w:rPr>
            </w:pPr>
          </w:p>
        </w:tc>
        <w:tc>
          <w:tcPr>
            <w:tcW w:w="4520" w:type="dxa"/>
            <w:vAlign w:val="bottom"/>
            <w:tcBorders>
              <w:bottom w:val="single" w:sz="8" w:color="CCEEFF"/>
            </w:tcBorders>
          </w:tcPr>
          <w:p>
            <w:pPr>
              <w:spacing w:after="0" w:line="224" w:lineRule="exact"/>
              <w:rPr>
                <w:sz w:val="20"/>
                <w:szCs w:val="20"/>
                <w:color w:val="auto"/>
              </w:rPr>
            </w:pPr>
            <w:r>
              <w:rPr>
                <w:rFonts w:ascii="Calibri" w:cs="Calibri" w:eastAsia="Calibri" w:hAnsi="Calibri"/>
                <w:sz w:val="18"/>
                <w:szCs w:val="18"/>
                <w:color w:val="auto"/>
              </w:rPr>
              <w:t>Subscriptons and services</w:t>
            </w:r>
            <w:r>
              <w:rPr>
                <w:rFonts w:ascii="Calibri" w:cs="Calibri" w:eastAsia="Calibri" w:hAnsi="Calibri"/>
                <w:sz w:val="22"/>
                <w:szCs w:val="22"/>
                <w:color w:val="auto"/>
                <w:vertAlign w:val="superscript"/>
              </w:rPr>
              <w:t>(a)</w:t>
            </w:r>
          </w:p>
        </w:tc>
        <w:tc>
          <w:tcPr>
            <w:tcW w:w="2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line="210" w:lineRule="exact"/>
              <w:rPr>
                <w:sz w:val="20"/>
                <w:szCs w:val="20"/>
                <w:color w:val="auto"/>
              </w:rPr>
            </w:pPr>
            <w:r>
              <w:rPr>
                <w:rFonts w:ascii="Calibri" w:cs="Calibri" w:eastAsia="Calibri" w:hAnsi="Calibri"/>
                <w:sz w:val="18"/>
                <w:szCs w:val="18"/>
                <w:color w:val="auto"/>
              </w:rPr>
              <w:t>5,678</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
              <w:spacing w:after="0" w:line="210" w:lineRule="exact"/>
              <w:rPr>
                <w:sz w:val="20"/>
                <w:szCs w:val="20"/>
                <w:color w:val="auto"/>
              </w:rPr>
            </w:pPr>
            <w:r>
              <w:rPr>
                <w:rFonts w:ascii="Calibri" w:cs="Calibri" w:eastAsia="Calibri" w:hAnsi="Calibri"/>
                <w:sz w:val="18"/>
                <w:szCs w:val="18"/>
                <w:color w:val="auto"/>
              </w:rPr>
              <w:t>657</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line="210" w:lineRule="exact"/>
              <w:rPr>
                <w:sz w:val="20"/>
                <w:szCs w:val="20"/>
                <w:color w:val="auto"/>
              </w:rPr>
            </w:pPr>
            <w:r>
              <w:rPr>
                <w:rFonts w:ascii="Calibri" w:cs="Calibri" w:eastAsia="Calibri" w:hAnsi="Calibri"/>
                <w:sz w:val="18"/>
                <w:szCs w:val="18"/>
                <w:color w:val="auto"/>
              </w:rPr>
              <w:t>1,593</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line="210" w:lineRule="exact"/>
              <w:rPr>
                <w:sz w:val="20"/>
                <w:szCs w:val="20"/>
                <w:color w:val="auto"/>
              </w:rPr>
            </w:pPr>
            <w:r>
              <w:rPr>
                <w:rFonts w:ascii="Calibri" w:cs="Calibri" w:eastAsia="Calibri" w:hAnsi="Calibri"/>
                <w:sz w:val="18"/>
                <w:szCs w:val="18"/>
                <w:color w:val="auto"/>
              </w:rPr>
              <w:t>7,928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0"/>
                <w:szCs w:val="20"/>
                <w:color w:val="auto"/>
              </w:rPr>
            </w:pPr>
          </w:p>
        </w:tc>
        <w:tc>
          <w:tcPr>
            <w:tcW w:w="4520" w:type="dxa"/>
            <w:vAlign w:val="bottom"/>
            <w:tcBorders>
              <w:bottom w:val="single" w:sz="8" w:color="CCEEFF"/>
            </w:tcBorders>
            <w:shd w:val="clear" w:color="auto" w:fill="CCEEFF"/>
          </w:tcPr>
          <w:p>
            <w:pPr>
              <w:ind w:left="120"/>
              <w:spacing w:after="0" w:line="217" w:lineRule="exact"/>
              <w:rPr>
                <w:sz w:val="20"/>
                <w:szCs w:val="20"/>
                <w:color w:val="auto"/>
              </w:rPr>
            </w:pPr>
            <w:r>
              <w:rPr>
                <w:rFonts w:ascii="Calibri" w:cs="Calibri" w:eastAsia="Calibri" w:hAnsi="Calibri"/>
                <w:sz w:val="18"/>
                <w:szCs w:val="18"/>
                <w:color w:val="auto"/>
              </w:rPr>
              <w:t>Total</w:t>
            </w:r>
          </w:p>
        </w:tc>
        <w:tc>
          <w:tcPr>
            <w:tcW w:w="280" w:type="dxa"/>
            <w:vAlign w:val="bottom"/>
            <w:tcBorders>
              <w:bottom w:val="single" w:sz="8" w:color="auto"/>
            </w:tcBorders>
            <w:shd w:val="clear" w:color="auto" w:fill="CCEEFF"/>
          </w:tcPr>
          <w:p>
            <w:pPr>
              <w:jc w:val="right"/>
              <w:ind w:right="92"/>
              <w:spacing w:after="0" w:line="210" w:lineRule="exact"/>
              <w:rPr>
                <w:sz w:val="20"/>
                <w:szCs w:val="20"/>
                <w:color w:val="auto"/>
              </w:rPr>
            </w:pPr>
            <w:r>
              <w:rPr>
                <w:rFonts w:ascii="Calibri" w:cs="Calibri" w:eastAsia="Calibri" w:hAnsi="Calibri"/>
                <w:sz w:val="18"/>
                <w:szCs w:val="18"/>
                <w:color w:val="auto"/>
                <w:w w:val="87"/>
              </w:rPr>
              <w:t>$</w:t>
            </w:r>
          </w:p>
        </w:tc>
        <w:tc>
          <w:tcPr>
            <w:tcW w:w="1220" w:type="dxa"/>
            <w:vAlign w:val="bottom"/>
            <w:tcBorders>
              <w:bottom w:val="single" w:sz="8" w:color="auto"/>
            </w:tcBorders>
            <w:shd w:val="clear" w:color="auto" w:fill="CCEEFF"/>
          </w:tcPr>
          <w:p>
            <w:pPr>
              <w:jc w:val="right"/>
              <w:spacing w:after="0" w:line="210" w:lineRule="exact"/>
              <w:rPr>
                <w:sz w:val="20"/>
                <w:szCs w:val="20"/>
                <w:color w:val="auto"/>
              </w:rPr>
            </w:pPr>
            <w:r>
              <w:rPr>
                <w:rFonts w:ascii="Calibri" w:cs="Calibri" w:eastAsia="Calibri" w:hAnsi="Calibri"/>
                <w:sz w:val="18"/>
                <w:szCs w:val="18"/>
                <w:color w:val="auto"/>
              </w:rPr>
              <w:t>8,279</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2"/>
              <w:spacing w:after="0" w:line="210" w:lineRule="exact"/>
              <w:rPr>
                <w:sz w:val="20"/>
                <w:szCs w:val="20"/>
                <w:color w:val="auto"/>
              </w:rPr>
            </w:pPr>
            <w:r>
              <w:rPr>
                <w:rFonts w:ascii="Calibri" w:cs="Calibri" w:eastAsia="Calibri" w:hAnsi="Calibri"/>
                <w:sz w:val="18"/>
                <w:szCs w:val="18"/>
                <w:color w:val="auto"/>
                <w:w w:val="87"/>
              </w:rPr>
              <w:t>$</w:t>
            </w:r>
          </w:p>
        </w:tc>
        <w:tc>
          <w:tcPr>
            <w:tcW w:w="1260" w:type="dxa"/>
            <w:vAlign w:val="bottom"/>
            <w:tcBorders>
              <w:bottom w:val="single" w:sz="8" w:color="auto"/>
            </w:tcBorders>
            <w:shd w:val="clear" w:color="auto" w:fill="CCEEFF"/>
          </w:tcPr>
          <w:p>
            <w:pPr>
              <w:jc w:val="right"/>
              <w:ind w:right="1"/>
              <w:spacing w:after="0" w:line="210" w:lineRule="exact"/>
              <w:rPr>
                <w:sz w:val="20"/>
                <w:szCs w:val="20"/>
                <w:color w:val="auto"/>
              </w:rPr>
            </w:pPr>
            <w:r>
              <w:rPr>
                <w:rFonts w:ascii="Calibri" w:cs="Calibri" w:eastAsia="Calibri" w:hAnsi="Calibri"/>
                <w:sz w:val="18"/>
                <w:szCs w:val="18"/>
                <w:color w:val="auto"/>
              </w:rPr>
              <w:t>23,920</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line="210" w:lineRule="exact"/>
              <w:rPr>
                <w:sz w:val="20"/>
                <w:szCs w:val="20"/>
                <w:color w:val="auto"/>
              </w:rPr>
            </w:pPr>
            <w:r>
              <w:rPr>
                <w:rFonts w:ascii="Calibri" w:cs="Calibri" w:eastAsia="Calibri" w:hAnsi="Calibri"/>
                <w:sz w:val="18"/>
                <w:szCs w:val="18"/>
                <w:color w:val="auto"/>
                <w:w w:val="87"/>
              </w:rPr>
              <w:t>$</w:t>
            </w:r>
          </w:p>
        </w:tc>
        <w:tc>
          <w:tcPr>
            <w:tcW w:w="1540" w:type="dxa"/>
            <w:vAlign w:val="bottom"/>
            <w:tcBorders>
              <w:bottom w:val="single" w:sz="8" w:color="auto"/>
            </w:tcBorders>
            <w:shd w:val="clear" w:color="auto" w:fill="CCEEFF"/>
          </w:tcPr>
          <w:p>
            <w:pPr>
              <w:jc w:val="right"/>
              <w:spacing w:after="0" w:line="210" w:lineRule="exact"/>
              <w:rPr>
                <w:sz w:val="20"/>
                <w:szCs w:val="20"/>
                <w:color w:val="auto"/>
              </w:rPr>
            </w:pPr>
            <w:r>
              <w:rPr>
                <w:rFonts w:ascii="Calibri" w:cs="Calibri" w:eastAsia="Calibri" w:hAnsi="Calibri"/>
                <w:sz w:val="18"/>
                <w:szCs w:val="18"/>
                <w:color w:val="auto"/>
              </w:rPr>
              <w:t>3,620</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2"/>
              <w:spacing w:after="0" w:line="210" w:lineRule="exact"/>
              <w:rPr>
                <w:sz w:val="20"/>
                <w:szCs w:val="20"/>
                <w:color w:val="auto"/>
              </w:rPr>
            </w:pPr>
            <w:r>
              <w:rPr>
                <w:rFonts w:ascii="Calibri" w:cs="Calibri" w:eastAsia="Calibri" w:hAnsi="Calibri"/>
                <w:sz w:val="18"/>
                <w:szCs w:val="18"/>
                <w:color w:val="auto"/>
                <w:w w:val="87"/>
              </w:rPr>
              <w:t>$</w:t>
            </w:r>
          </w:p>
        </w:tc>
        <w:tc>
          <w:tcPr>
            <w:tcW w:w="1280" w:type="dxa"/>
            <w:vAlign w:val="bottom"/>
            <w:tcBorders>
              <w:bottom w:val="single" w:sz="8" w:color="auto"/>
            </w:tcBorders>
            <w:shd w:val="clear" w:color="auto" w:fill="CCEEFF"/>
          </w:tcPr>
          <w:p>
            <w:pPr>
              <w:jc w:val="right"/>
              <w:spacing w:after="0" w:line="210" w:lineRule="exact"/>
              <w:rPr>
                <w:sz w:val="20"/>
                <w:szCs w:val="20"/>
                <w:color w:val="auto"/>
              </w:rPr>
            </w:pPr>
            <w:r>
              <w:rPr>
                <w:rFonts w:ascii="Calibri" w:cs="Calibri" w:eastAsia="Calibri" w:hAnsi="Calibri"/>
                <w:sz w:val="18"/>
                <w:szCs w:val="18"/>
                <w:color w:val="auto"/>
              </w:rPr>
              <w:t>35,819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5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0"/>
        </w:trPr>
        <w:tc>
          <w:tcPr>
            <w:tcW w:w="4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120" w:type="dxa"/>
            <w:vAlign w:val="bottom"/>
            <w:gridSpan w:val="5"/>
          </w:tcPr>
          <w:p>
            <w:pPr>
              <w:jc w:val="center"/>
              <w:ind w:right="240"/>
              <w:spacing w:after="0"/>
              <w:rPr>
                <w:sz w:val="20"/>
                <w:szCs w:val="20"/>
                <w:color w:val="auto"/>
              </w:rPr>
            </w:pPr>
            <w:r>
              <w:rPr>
                <w:rFonts w:ascii="Calibri" w:cs="Calibri" w:eastAsia="Calibri" w:hAnsi="Calibri"/>
                <w:sz w:val="14"/>
                <w:szCs w:val="14"/>
                <w:b w:val="1"/>
                <w:bCs w:val="1"/>
                <w:color w:val="auto"/>
                <w:w w:val="99"/>
              </w:rPr>
              <w:t>Fiscal Year 2022</w:t>
            </w:r>
          </w:p>
        </w:tc>
        <w:tc>
          <w:tcPr>
            <w:tcW w:w="3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
        </w:trPr>
        <w:tc>
          <w:tcPr>
            <w:tcW w:w="40" w:type="dxa"/>
            <w:vAlign w:val="bottom"/>
          </w:tcPr>
          <w:p>
            <w:pPr>
              <w:spacing w:after="0"/>
              <w:rPr>
                <w:sz w:val="3"/>
                <w:szCs w:val="3"/>
                <w:color w:val="auto"/>
              </w:rPr>
            </w:pPr>
          </w:p>
        </w:tc>
        <w:tc>
          <w:tcPr>
            <w:tcW w:w="452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660" w:type="dxa"/>
            <w:vAlign w:val="bottom"/>
            <w:tcBorders>
              <w:bottom w:val="single" w:sz="8" w:color="auto"/>
            </w:tcBorders>
            <w:gridSpan w:val="2"/>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12"/>
        </w:trPr>
        <w:tc>
          <w:tcPr>
            <w:tcW w:w="40" w:type="dxa"/>
            <w:vAlign w:val="bottom"/>
          </w:tcPr>
          <w:p>
            <w:pPr>
              <w:spacing w:after="0"/>
              <w:rPr>
                <w:sz w:val="9"/>
                <w:szCs w:val="9"/>
                <w:color w:val="auto"/>
              </w:rPr>
            </w:pPr>
          </w:p>
        </w:tc>
        <w:tc>
          <w:tcPr>
            <w:tcW w:w="4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340" w:type="dxa"/>
            <w:vAlign w:val="bottom"/>
            <w:gridSpan w:val="2"/>
            <w:vMerge w:val="restart"/>
          </w:tcPr>
          <w:p>
            <w:pPr>
              <w:ind w:left="200"/>
              <w:spacing w:after="0"/>
              <w:rPr>
                <w:sz w:val="20"/>
                <w:szCs w:val="20"/>
                <w:color w:val="auto"/>
              </w:rPr>
            </w:pPr>
            <w:r>
              <w:rPr>
                <w:rFonts w:ascii="Calibri" w:cs="Calibri" w:eastAsia="Calibri" w:hAnsi="Calibri"/>
                <w:sz w:val="14"/>
                <w:szCs w:val="14"/>
                <w:b w:val="1"/>
                <w:bCs w:val="1"/>
                <w:color w:val="auto"/>
              </w:rPr>
              <w:t>Americas</w:t>
            </w:r>
          </w:p>
        </w:tc>
        <w:tc>
          <w:tcPr>
            <w:tcW w:w="260" w:type="dxa"/>
            <w:vAlign w:val="bottom"/>
          </w:tcPr>
          <w:p>
            <w:pPr>
              <w:spacing w:after="0"/>
              <w:rPr>
                <w:sz w:val="9"/>
                <w:szCs w:val="9"/>
                <w:color w:val="auto"/>
              </w:rPr>
            </w:pPr>
          </w:p>
        </w:tc>
        <w:tc>
          <w:tcPr>
            <w:tcW w:w="1360" w:type="dxa"/>
            <w:vAlign w:val="bottom"/>
            <w:gridSpan w:val="2"/>
            <w:vMerge w:val="restart"/>
          </w:tcPr>
          <w:p>
            <w:pPr>
              <w:ind w:left="160"/>
              <w:spacing w:after="0"/>
              <w:rPr>
                <w:sz w:val="20"/>
                <w:szCs w:val="20"/>
                <w:color w:val="auto"/>
              </w:rPr>
            </w:pPr>
            <w:r>
              <w:rPr>
                <w:rFonts w:ascii="Calibri" w:cs="Calibri" w:eastAsia="Calibri" w:hAnsi="Calibri"/>
                <w:sz w:val="14"/>
                <w:szCs w:val="14"/>
                <w:b w:val="1"/>
                <w:bCs w:val="1"/>
                <w:color w:val="auto"/>
              </w:rPr>
              <w:t>Asia Pacifc</w:t>
            </w:r>
          </w:p>
        </w:tc>
        <w:tc>
          <w:tcPr>
            <w:tcW w:w="100" w:type="dxa"/>
            <w:vAlign w:val="bottom"/>
          </w:tcPr>
          <w:p>
            <w:pPr>
              <w:spacing w:after="0"/>
              <w:rPr>
                <w:sz w:val="9"/>
                <w:szCs w:val="9"/>
                <w:color w:val="auto"/>
              </w:rPr>
            </w:pPr>
          </w:p>
        </w:tc>
        <w:tc>
          <w:tcPr>
            <w:tcW w:w="1660" w:type="dxa"/>
            <w:vAlign w:val="bottom"/>
            <w:gridSpan w:val="2"/>
          </w:tcPr>
          <w:p>
            <w:pPr>
              <w:jc w:val="center"/>
              <w:ind w:right="220"/>
              <w:spacing w:after="0" w:line="112" w:lineRule="exact"/>
              <w:rPr>
                <w:sz w:val="20"/>
                <w:szCs w:val="20"/>
                <w:color w:val="auto"/>
              </w:rPr>
            </w:pPr>
            <w:r>
              <w:rPr>
                <w:rFonts w:ascii="Calibri" w:cs="Calibri" w:eastAsia="Calibri" w:hAnsi="Calibri"/>
                <w:sz w:val="12"/>
                <w:szCs w:val="12"/>
                <w:b w:val="1"/>
                <w:bCs w:val="1"/>
                <w:color w:val="auto"/>
              </w:rPr>
              <w:t>Europe, the Middle East</w:t>
            </w:r>
          </w:p>
        </w:tc>
        <w:tc>
          <w:tcPr>
            <w:tcW w:w="380" w:type="dxa"/>
            <w:vAlign w:val="bottom"/>
          </w:tcPr>
          <w:p>
            <w:pPr>
              <w:spacing w:after="0"/>
              <w:rPr>
                <w:sz w:val="9"/>
                <w:szCs w:val="9"/>
                <w:color w:val="auto"/>
              </w:rPr>
            </w:pPr>
          </w:p>
        </w:tc>
        <w:tc>
          <w:tcPr>
            <w:tcW w:w="1300" w:type="dxa"/>
            <w:vAlign w:val="bottom"/>
            <w:gridSpan w:val="2"/>
            <w:vMerge w:val="restart"/>
          </w:tcPr>
          <w:p>
            <w:pPr>
              <w:ind w:left="300"/>
              <w:spacing w:after="0"/>
              <w:rPr>
                <w:sz w:val="20"/>
                <w:szCs w:val="20"/>
                <w:color w:val="auto"/>
              </w:rPr>
            </w:pPr>
            <w:r>
              <w:rPr>
                <w:rFonts w:ascii="Calibri" w:cs="Calibri" w:eastAsia="Calibri" w:hAnsi="Calibri"/>
                <w:sz w:val="14"/>
                <w:szCs w:val="14"/>
                <w:b w:val="1"/>
                <w:bCs w:val="1"/>
                <w:color w:val="auto"/>
              </w:rPr>
              <w:t>Total</w:t>
            </w:r>
          </w:p>
        </w:tc>
        <w:tc>
          <w:tcPr>
            <w:tcW w:w="0" w:type="dxa"/>
            <w:vAlign w:val="bottom"/>
          </w:tcPr>
          <w:p>
            <w:pPr>
              <w:spacing w:after="0"/>
              <w:rPr>
                <w:sz w:val="1"/>
                <w:szCs w:val="1"/>
                <w:color w:val="auto"/>
              </w:rPr>
            </w:pPr>
          </w:p>
        </w:tc>
      </w:tr>
      <w:tr>
        <w:trPr>
          <w:trHeight w:val="168"/>
        </w:trPr>
        <w:tc>
          <w:tcPr>
            <w:tcW w:w="4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13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gridSpan w:val="2"/>
          </w:tcPr>
          <w:p>
            <w:pPr>
              <w:jc w:val="center"/>
              <w:ind w:right="220"/>
              <w:spacing w:after="0" w:line="168" w:lineRule="exact"/>
              <w:rPr>
                <w:sz w:val="20"/>
                <w:szCs w:val="20"/>
                <w:color w:val="auto"/>
              </w:rPr>
            </w:pPr>
            <w:r>
              <w:rPr>
                <w:rFonts w:ascii="Calibri" w:cs="Calibri" w:eastAsia="Calibri" w:hAnsi="Calibri"/>
                <w:sz w:val="14"/>
                <w:szCs w:val="14"/>
                <w:b w:val="1"/>
                <w:bCs w:val="1"/>
                <w:color w:val="auto"/>
              </w:rPr>
              <w:t>and Africa</w:t>
            </w:r>
          </w:p>
        </w:tc>
        <w:tc>
          <w:tcPr>
            <w:tcW w:w="380" w:type="dxa"/>
            <w:vAlign w:val="bottom"/>
          </w:tcPr>
          <w:p>
            <w:pPr>
              <w:spacing w:after="0"/>
              <w:rPr>
                <w:sz w:val="14"/>
                <w:szCs w:val="14"/>
                <w:color w:val="auto"/>
              </w:rPr>
            </w:pPr>
          </w:p>
        </w:tc>
        <w:tc>
          <w:tcPr>
            <w:tcW w:w="13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40" w:type="dxa"/>
            <w:vAlign w:val="bottom"/>
          </w:tcPr>
          <w:p>
            <w:pPr>
              <w:spacing w:after="0"/>
              <w:rPr>
                <w:sz w:val="3"/>
                <w:szCs w:val="3"/>
                <w:color w:val="auto"/>
              </w:rPr>
            </w:pPr>
          </w:p>
        </w:tc>
        <w:tc>
          <w:tcPr>
            <w:tcW w:w="452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640" w:type="dxa"/>
            <w:vAlign w:val="bottom"/>
            <w:tcBorders>
              <w:bottom w:val="single" w:sz="8" w:color="auto"/>
            </w:tcBorders>
            <w:gridSpan w:val="2"/>
          </w:tcPr>
          <w:p>
            <w:pPr>
              <w:spacing w:after="0"/>
              <w:rPr>
                <w:sz w:val="3"/>
                <w:szCs w:val="3"/>
                <w:color w:val="auto"/>
              </w:rPr>
            </w:pPr>
          </w:p>
        </w:tc>
        <w:tc>
          <w:tcPr>
            <w:tcW w:w="120" w:type="dxa"/>
            <w:vAlign w:val="bottom"/>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40" w:type="dxa"/>
            <w:vAlign w:val="bottom"/>
          </w:tcPr>
          <w:p>
            <w:pPr>
              <w:spacing w:after="0"/>
              <w:rPr>
                <w:sz w:val="16"/>
                <w:szCs w:val="16"/>
                <w:color w:val="auto"/>
              </w:rPr>
            </w:pPr>
          </w:p>
        </w:tc>
        <w:tc>
          <w:tcPr>
            <w:tcW w:w="45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120" w:type="dxa"/>
            <w:vAlign w:val="bottom"/>
            <w:gridSpan w:val="5"/>
          </w:tcPr>
          <w:p>
            <w:pPr>
              <w:jc w:val="center"/>
              <w:ind w:right="220"/>
              <w:spacing w:after="0"/>
              <w:rPr>
                <w:sz w:val="20"/>
                <w:szCs w:val="20"/>
                <w:color w:val="auto"/>
              </w:rPr>
            </w:pPr>
            <w:r>
              <w:rPr>
                <w:rFonts w:ascii="Calibri" w:cs="Calibri" w:eastAsia="Calibri" w:hAnsi="Calibri"/>
                <w:sz w:val="14"/>
                <w:szCs w:val="14"/>
                <w:b w:val="1"/>
                <w:bCs w:val="1"/>
                <w:color w:val="auto"/>
              </w:rPr>
              <w:t>(In millions)</w:t>
            </w:r>
          </w:p>
        </w:tc>
        <w:tc>
          <w:tcPr>
            <w:tcW w:w="3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40" w:type="dxa"/>
            <w:vAlign w:val="bottom"/>
          </w:tcPr>
          <w:p>
            <w:pPr>
              <w:spacing w:after="0"/>
              <w:rPr>
                <w:sz w:val="3"/>
                <w:szCs w:val="3"/>
                <w:color w:val="auto"/>
              </w:rPr>
            </w:pPr>
          </w:p>
        </w:tc>
        <w:tc>
          <w:tcPr>
            <w:tcW w:w="45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540" w:type="dxa"/>
            <w:vAlign w:val="bottom"/>
          </w:tcPr>
          <w:p>
            <w:pPr>
              <w:spacing w:after="0"/>
              <w:rPr>
                <w:sz w:val="3"/>
                <w:szCs w:val="3"/>
                <w:color w:val="auto"/>
              </w:rPr>
            </w:pPr>
          </w:p>
        </w:tc>
        <w:tc>
          <w:tcPr>
            <w:tcW w:w="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4"/>
        </w:trPr>
        <w:tc>
          <w:tcPr>
            <w:tcW w:w="40" w:type="dxa"/>
            <w:vAlign w:val="bottom"/>
          </w:tcPr>
          <w:p>
            <w:pPr>
              <w:spacing w:after="0"/>
              <w:rPr>
                <w:sz w:val="19"/>
                <w:szCs w:val="19"/>
                <w:color w:val="auto"/>
              </w:rPr>
            </w:pPr>
          </w:p>
        </w:tc>
        <w:tc>
          <w:tcPr>
            <w:tcW w:w="4520" w:type="dxa"/>
            <w:vAlign w:val="bottom"/>
            <w:shd w:val="clear" w:color="auto" w:fill="CCEEFF"/>
          </w:tcPr>
          <w:p>
            <w:pPr>
              <w:spacing w:after="0" w:line="210" w:lineRule="exact"/>
              <w:rPr>
                <w:sz w:val="20"/>
                <w:szCs w:val="20"/>
                <w:color w:val="auto"/>
              </w:rPr>
            </w:pPr>
            <w:r>
              <w:rPr>
                <w:rFonts w:ascii="Calibri" w:cs="Calibri" w:eastAsia="Calibri" w:hAnsi="Calibri"/>
                <w:sz w:val="18"/>
                <w:szCs w:val="18"/>
                <w:color w:val="auto"/>
              </w:rPr>
              <w:t>Products</w:t>
            </w:r>
          </w:p>
        </w:tc>
        <w:tc>
          <w:tcPr>
            <w:tcW w:w="280" w:type="dxa"/>
            <w:vAlign w:val="bottom"/>
            <w:shd w:val="clear" w:color="auto" w:fill="CCEEFF"/>
          </w:tcPr>
          <w:p>
            <w:pPr>
              <w:jc w:val="right"/>
              <w:ind w:right="92"/>
              <w:spacing w:after="0" w:line="210" w:lineRule="exact"/>
              <w:rPr>
                <w:sz w:val="20"/>
                <w:szCs w:val="20"/>
                <w:color w:val="auto"/>
              </w:rPr>
            </w:pPr>
            <w:r>
              <w:rPr>
                <w:rFonts w:ascii="Calibri" w:cs="Calibri" w:eastAsia="Calibri" w:hAnsi="Calibri"/>
                <w:sz w:val="18"/>
                <w:szCs w:val="18"/>
                <w:color w:val="auto"/>
                <w:w w:val="87"/>
              </w:rPr>
              <w:t>$</w:t>
            </w:r>
          </w:p>
        </w:tc>
        <w:tc>
          <w:tcPr>
            <w:tcW w:w="1220" w:type="dxa"/>
            <w:vAlign w:val="bottom"/>
            <w:shd w:val="clear" w:color="auto" w:fill="CCEEFF"/>
          </w:tcPr>
          <w:p>
            <w:pPr>
              <w:jc w:val="right"/>
              <w:spacing w:after="0" w:line="210" w:lineRule="exact"/>
              <w:rPr>
                <w:sz w:val="20"/>
                <w:szCs w:val="20"/>
                <w:color w:val="auto"/>
              </w:rPr>
            </w:pPr>
            <w:r>
              <w:rPr>
                <w:rFonts w:ascii="Calibri" w:cs="Calibri" w:eastAsia="Calibri" w:hAnsi="Calibri"/>
                <w:sz w:val="18"/>
                <w:szCs w:val="18"/>
                <w:color w:val="auto"/>
              </w:rPr>
              <w:t>2,371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2"/>
              <w:spacing w:after="0" w:line="210" w:lineRule="exact"/>
              <w:rPr>
                <w:sz w:val="20"/>
                <w:szCs w:val="20"/>
                <w:color w:val="auto"/>
              </w:rPr>
            </w:pPr>
            <w:r>
              <w:rPr>
                <w:rFonts w:ascii="Calibri" w:cs="Calibri" w:eastAsia="Calibri" w:hAnsi="Calibri"/>
                <w:sz w:val="18"/>
                <w:szCs w:val="18"/>
                <w:color w:val="auto"/>
                <w:w w:val="87"/>
              </w:rPr>
              <w:t>$</w:t>
            </w:r>
          </w:p>
        </w:tc>
        <w:tc>
          <w:tcPr>
            <w:tcW w:w="1260" w:type="dxa"/>
            <w:vAlign w:val="bottom"/>
            <w:shd w:val="clear" w:color="auto" w:fill="CCEEFF"/>
          </w:tcPr>
          <w:p>
            <w:pPr>
              <w:jc w:val="right"/>
              <w:ind w:right="1"/>
              <w:spacing w:after="0" w:line="210" w:lineRule="exact"/>
              <w:rPr>
                <w:sz w:val="20"/>
                <w:szCs w:val="20"/>
                <w:color w:val="auto"/>
              </w:rPr>
            </w:pPr>
            <w:r>
              <w:rPr>
                <w:rFonts w:ascii="Calibri" w:cs="Calibri" w:eastAsia="Calibri" w:hAnsi="Calibri"/>
                <w:sz w:val="18"/>
                <w:szCs w:val="18"/>
                <w:color w:val="auto"/>
              </w:rPr>
              <w:t>21,761</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line="210" w:lineRule="exact"/>
              <w:rPr>
                <w:sz w:val="20"/>
                <w:szCs w:val="20"/>
                <w:color w:val="auto"/>
              </w:rPr>
            </w:pPr>
            <w:r>
              <w:rPr>
                <w:rFonts w:ascii="Calibri" w:cs="Calibri" w:eastAsia="Calibri" w:hAnsi="Calibri"/>
                <w:sz w:val="18"/>
                <w:szCs w:val="18"/>
                <w:color w:val="auto"/>
                <w:w w:val="87"/>
              </w:rPr>
              <w:t>$</w:t>
            </w:r>
          </w:p>
        </w:tc>
        <w:tc>
          <w:tcPr>
            <w:tcW w:w="1540" w:type="dxa"/>
            <w:vAlign w:val="bottom"/>
            <w:shd w:val="clear" w:color="auto" w:fill="CCEEFF"/>
          </w:tcPr>
          <w:p>
            <w:pPr>
              <w:jc w:val="right"/>
              <w:spacing w:after="0" w:line="210" w:lineRule="exact"/>
              <w:rPr>
                <w:sz w:val="20"/>
                <w:szCs w:val="20"/>
                <w:color w:val="auto"/>
              </w:rPr>
            </w:pPr>
            <w:r>
              <w:rPr>
                <w:rFonts w:ascii="Calibri" w:cs="Calibri" w:eastAsia="Calibri" w:hAnsi="Calibri"/>
                <w:sz w:val="18"/>
                <w:szCs w:val="18"/>
                <w:color w:val="auto"/>
              </w:rPr>
              <w:t>2,145</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2"/>
              <w:spacing w:after="0" w:line="210" w:lineRule="exact"/>
              <w:rPr>
                <w:sz w:val="20"/>
                <w:szCs w:val="20"/>
                <w:color w:val="auto"/>
              </w:rPr>
            </w:pPr>
            <w:r>
              <w:rPr>
                <w:rFonts w:ascii="Calibri" w:cs="Calibri" w:eastAsia="Calibri" w:hAnsi="Calibri"/>
                <w:sz w:val="18"/>
                <w:szCs w:val="18"/>
                <w:color w:val="auto"/>
                <w:w w:val="87"/>
              </w:rPr>
              <w:t>$</w:t>
            </w:r>
          </w:p>
        </w:tc>
        <w:tc>
          <w:tcPr>
            <w:tcW w:w="1280" w:type="dxa"/>
            <w:vAlign w:val="bottom"/>
            <w:shd w:val="clear" w:color="auto" w:fill="CCEEFF"/>
          </w:tcPr>
          <w:p>
            <w:pPr>
              <w:jc w:val="right"/>
              <w:spacing w:after="0" w:line="210" w:lineRule="exact"/>
              <w:rPr>
                <w:sz w:val="20"/>
                <w:szCs w:val="20"/>
                <w:color w:val="auto"/>
              </w:rPr>
            </w:pPr>
            <w:r>
              <w:rPr>
                <w:rFonts w:ascii="Calibri" w:cs="Calibri" w:eastAsia="Calibri" w:hAnsi="Calibri"/>
                <w:sz w:val="18"/>
                <w:szCs w:val="18"/>
                <w:color w:val="auto"/>
              </w:rPr>
              <w:t>26,277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0" w:type="dxa"/>
            <w:vAlign w:val="bottom"/>
          </w:tcPr>
          <w:p>
            <w:pPr>
              <w:spacing w:after="0"/>
              <w:rPr>
                <w:sz w:val="19"/>
                <w:szCs w:val="19"/>
                <w:color w:val="auto"/>
              </w:rPr>
            </w:pPr>
          </w:p>
        </w:tc>
        <w:tc>
          <w:tcPr>
            <w:tcW w:w="4520" w:type="dxa"/>
            <w:vAlign w:val="bottom"/>
            <w:tcBorders>
              <w:bottom w:val="single" w:sz="8" w:color="CCEEFF"/>
            </w:tcBorders>
          </w:tcPr>
          <w:p>
            <w:pPr>
              <w:spacing w:after="0" w:line="224" w:lineRule="exact"/>
              <w:rPr>
                <w:sz w:val="20"/>
                <w:szCs w:val="20"/>
                <w:color w:val="auto"/>
              </w:rPr>
            </w:pPr>
            <w:r>
              <w:rPr>
                <w:rFonts w:ascii="Calibri" w:cs="Calibri" w:eastAsia="Calibri" w:hAnsi="Calibri"/>
                <w:sz w:val="18"/>
                <w:szCs w:val="18"/>
                <w:color w:val="auto"/>
              </w:rPr>
              <w:t>Subscriptons and services</w:t>
            </w:r>
            <w:r>
              <w:rPr>
                <w:rFonts w:ascii="Calibri" w:cs="Calibri" w:eastAsia="Calibri" w:hAnsi="Calibri"/>
                <w:sz w:val="22"/>
                <w:szCs w:val="22"/>
                <w:color w:val="auto"/>
                <w:vertAlign w:val="superscript"/>
              </w:rPr>
              <w:t>(a)</w:t>
            </w:r>
          </w:p>
        </w:tc>
        <w:tc>
          <w:tcPr>
            <w:tcW w:w="2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line="210" w:lineRule="exact"/>
              <w:rPr>
                <w:sz w:val="20"/>
                <w:szCs w:val="20"/>
                <w:color w:val="auto"/>
              </w:rPr>
            </w:pPr>
            <w:r>
              <w:rPr>
                <w:rFonts w:ascii="Calibri" w:cs="Calibri" w:eastAsia="Calibri" w:hAnsi="Calibri"/>
                <w:sz w:val="18"/>
                <w:szCs w:val="18"/>
                <w:color w:val="auto"/>
              </w:rPr>
              <w:t>4,573</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
              <w:spacing w:after="0" w:line="210" w:lineRule="exact"/>
              <w:rPr>
                <w:sz w:val="20"/>
                <w:szCs w:val="20"/>
                <w:color w:val="auto"/>
              </w:rPr>
            </w:pPr>
            <w:r>
              <w:rPr>
                <w:rFonts w:ascii="Calibri" w:cs="Calibri" w:eastAsia="Calibri" w:hAnsi="Calibri"/>
                <w:sz w:val="18"/>
                <w:szCs w:val="18"/>
                <w:color w:val="auto"/>
              </w:rPr>
              <w:t>744</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line="210" w:lineRule="exact"/>
              <w:rPr>
                <w:sz w:val="20"/>
                <w:szCs w:val="20"/>
                <w:color w:val="auto"/>
              </w:rPr>
            </w:pPr>
            <w:r>
              <w:rPr>
                <w:rFonts w:ascii="Calibri" w:cs="Calibri" w:eastAsia="Calibri" w:hAnsi="Calibri"/>
                <w:sz w:val="18"/>
                <w:szCs w:val="18"/>
                <w:color w:val="auto"/>
              </w:rPr>
              <w:t>1,609</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line="210" w:lineRule="exact"/>
              <w:rPr>
                <w:sz w:val="20"/>
                <w:szCs w:val="20"/>
                <w:color w:val="auto"/>
              </w:rPr>
            </w:pPr>
            <w:r>
              <w:rPr>
                <w:rFonts w:ascii="Calibri" w:cs="Calibri" w:eastAsia="Calibri" w:hAnsi="Calibri"/>
                <w:sz w:val="18"/>
                <w:szCs w:val="18"/>
                <w:color w:val="auto"/>
              </w:rPr>
              <w:t>6,926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0"/>
                <w:szCs w:val="20"/>
                <w:color w:val="auto"/>
              </w:rPr>
            </w:pPr>
          </w:p>
        </w:tc>
        <w:tc>
          <w:tcPr>
            <w:tcW w:w="4520" w:type="dxa"/>
            <w:vAlign w:val="bottom"/>
            <w:tcBorders>
              <w:bottom w:val="single" w:sz="8" w:color="CCEEFF"/>
            </w:tcBorders>
            <w:shd w:val="clear" w:color="auto" w:fill="CCEEFF"/>
          </w:tcPr>
          <w:p>
            <w:pPr>
              <w:ind w:left="120"/>
              <w:spacing w:after="0" w:line="217" w:lineRule="exact"/>
              <w:rPr>
                <w:sz w:val="20"/>
                <w:szCs w:val="20"/>
                <w:color w:val="auto"/>
              </w:rPr>
            </w:pPr>
            <w:r>
              <w:rPr>
                <w:rFonts w:ascii="Calibri" w:cs="Calibri" w:eastAsia="Calibri" w:hAnsi="Calibri"/>
                <w:sz w:val="18"/>
                <w:szCs w:val="18"/>
                <w:color w:val="auto"/>
              </w:rPr>
              <w:t>Total</w:t>
            </w:r>
          </w:p>
        </w:tc>
        <w:tc>
          <w:tcPr>
            <w:tcW w:w="280" w:type="dxa"/>
            <w:vAlign w:val="bottom"/>
            <w:tcBorders>
              <w:bottom w:val="single" w:sz="8" w:color="auto"/>
            </w:tcBorders>
            <w:shd w:val="clear" w:color="auto" w:fill="CCEEFF"/>
          </w:tcPr>
          <w:p>
            <w:pPr>
              <w:jc w:val="right"/>
              <w:ind w:right="92"/>
              <w:spacing w:after="0" w:line="210" w:lineRule="exact"/>
              <w:rPr>
                <w:sz w:val="20"/>
                <w:szCs w:val="20"/>
                <w:color w:val="auto"/>
              </w:rPr>
            </w:pPr>
            <w:r>
              <w:rPr>
                <w:rFonts w:ascii="Calibri" w:cs="Calibri" w:eastAsia="Calibri" w:hAnsi="Calibri"/>
                <w:sz w:val="18"/>
                <w:szCs w:val="18"/>
                <w:color w:val="auto"/>
                <w:w w:val="87"/>
              </w:rPr>
              <w:t>$</w:t>
            </w:r>
          </w:p>
        </w:tc>
        <w:tc>
          <w:tcPr>
            <w:tcW w:w="1220" w:type="dxa"/>
            <w:vAlign w:val="bottom"/>
            <w:tcBorders>
              <w:bottom w:val="single" w:sz="8" w:color="auto"/>
            </w:tcBorders>
            <w:shd w:val="clear" w:color="auto" w:fill="CCEEFF"/>
          </w:tcPr>
          <w:p>
            <w:pPr>
              <w:jc w:val="right"/>
              <w:spacing w:after="0" w:line="210" w:lineRule="exact"/>
              <w:rPr>
                <w:sz w:val="20"/>
                <w:szCs w:val="20"/>
                <w:color w:val="auto"/>
              </w:rPr>
            </w:pPr>
            <w:r>
              <w:rPr>
                <w:rFonts w:ascii="Calibri" w:cs="Calibri" w:eastAsia="Calibri" w:hAnsi="Calibri"/>
                <w:sz w:val="18"/>
                <w:szCs w:val="18"/>
                <w:color w:val="auto"/>
              </w:rPr>
              <w:t>6,944</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2"/>
              <w:spacing w:after="0" w:line="210" w:lineRule="exact"/>
              <w:rPr>
                <w:sz w:val="20"/>
                <w:szCs w:val="20"/>
                <w:color w:val="auto"/>
              </w:rPr>
            </w:pPr>
            <w:r>
              <w:rPr>
                <w:rFonts w:ascii="Calibri" w:cs="Calibri" w:eastAsia="Calibri" w:hAnsi="Calibri"/>
                <w:sz w:val="18"/>
                <w:szCs w:val="18"/>
                <w:color w:val="auto"/>
                <w:w w:val="87"/>
              </w:rPr>
              <w:t>$</w:t>
            </w:r>
          </w:p>
        </w:tc>
        <w:tc>
          <w:tcPr>
            <w:tcW w:w="1260" w:type="dxa"/>
            <w:vAlign w:val="bottom"/>
            <w:tcBorders>
              <w:bottom w:val="single" w:sz="8" w:color="auto"/>
            </w:tcBorders>
            <w:shd w:val="clear" w:color="auto" w:fill="CCEEFF"/>
          </w:tcPr>
          <w:p>
            <w:pPr>
              <w:jc w:val="right"/>
              <w:ind w:right="1"/>
              <w:spacing w:after="0" w:line="210" w:lineRule="exact"/>
              <w:rPr>
                <w:sz w:val="20"/>
                <w:szCs w:val="20"/>
                <w:color w:val="auto"/>
              </w:rPr>
            </w:pPr>
            <w:r>
              <w:rPr>
                <w:rFonts w:ascii="Calibri" w:cs="Calibri" w:eastAsia="Calibri" w:hAnsi="Calibri"/>
                <w:sz w:val="18"/>
                <w:szCs w:val="18"/>
                <w:color w:val="auto"/>
              </w:rPr>
              <w:t>22,505</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line="210" w:lineRule="exact"/>
              <w:rPr>
                <w:sz w:val="20"/>
                <w:szCs w:val="20"/>
                <w:color w:val="auto"/>
              </w:rPr>
            </w:pPr>
            <w:r>
              <w:rPr>
                <w:rFonts w:ascii="Calibri" w:cs="Calibri" w:eastAsia="Calibri" w:hAnsi="Calibri"/>
                <w:sz w:val="18"/>
                <w:szCs w:val="18"/>
                <w:color w:val="auto"/>
                <w:w w:val="87"/>
              </w:rPr>
              <w:t>$</w:t>
            </w:r>
          </w:p>
        </w:tc>
        <w:tc>
          <w:tcPr>
            <w:tcW w:w="1540" w:type="dxa"/>
            <w:vAlign w:val="bottom"/>
            <w:tcBorders>
              <w:bottom w:val="single" w:sz="8" w:color="auto"/>
            </w:tcBorders>
            <w:shd w:val="clear" w:color="auto" w:fill="CCEEFF"/>
          </w:tcPr>
          <w:p>
            <w:pPr>
              <w:jc w:val="right"/>
              <w:spacing w:after="0" w:line="210" w:lineRule="exact"/>
              <w:rPr>
                <w:sz w:val="20"/>
                <w:szCs w:val="20"/>
                <w:color w:val="auto"/>
              </w:rPr>
            </w:pPr>
            <w:r>
              <w:rPr>
                <w:rFonts w:ascii="Calibri" w:cs="Calibri" w:eastAsia="Calibri" w:hAnsi="Calibri"/>
                <w:sz w:val="18"/>
                <w:szCs w:val="18"/>
                <w:color w:val="auto"/>
              </w:rPr>
              <w:t>3,754</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2"/>
              <w:spacing w:after="0" w:line="210" w:lineRule="exact"/>
              <w:rPr>
                <w:sz w:val="20"/>
                <w:szCs w:val="20"/>
                <w:color w:val="auto"/>
              </w:rPr>
            </w:pPr>
            <w:r>
              <w:rPr>
                <w:rFonts w:ascii="Calibri" w:cs="Calibri" w:eastAsia="Calibri" w:hAnsi="Calibri"/>
                <w:sz w:val="18"/>
                <w:szCs w:val="18"/>
                <w:color w:val="auto"/>
                <w:w w:val="87"/>
              </w:rPr>
              <w:t>$</w:t>
            </w:r>
          </w:p>
        </w:tc>
        <w:tc>
          <w:tcPr>
            <w:tcW w:w="1280" w:type="dxa"/>
            <w:vAlign w:val="bottom"/>
            <w:tcBorders>
              <w:bottom w:val="single" w:sz="8" w:color="auto"/>
            </w:tcBorders>
            <w:shd w:val="clear" w:color="auto" w:fill="CCEEFF"/>
          </w:tcPr>
          <w:p>
            <w:pPr>
              <w:jc w:val="right"/>
              <w:spacing w:after="0" w:line="210" w:lineRule="exact"/>
              <w:rPr>
                <w:sz w:val="20"/>
                <w:szCs w:val="20"/>
                <w:color w:val="auto"/>
              </w:rPr>
            </w:pPr>
            <w:r>
              <w:rPr>
                <w:rFonts w:ascii="Calibri" w:cs="Calibri" w:eastAsia="Calibri" w:hAnsi="Calibri"/>
                <w:sz w:val="18"/>
                <w:szCs w:val="18"/>
                <w:color w:val="auto"/>
              </w:rPr>
              <w:t>33,203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5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2"/>
        </w:trPr>
        <w:tc>
          <w:tcPr>
            <w:tcW w:w="4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jc w:val="right"/>
              <w:ind w:right="256"/>
              <w:spacing w:after="0"/>
              <w:rPr>
                <w:sz w:val="20"/>
                <w:szCs w:val="20"/>
                <w:color w:val="auto"/>
              </w:rPr>
            </w:pPr>
            <w:r>
              <w:rPr>
                <w:rFonts w:ascii="Calibri" w:cs="Calibri" w:eastAsia="Calibri" w:hAnsi="Calibri"/>
                <w:sz w:val="18"/>
                <w:szCs w:val="18"/>
                <w:color w:val="auto"/>
              </w:rPr>
              <w:t>61</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40" w:type="dxa"/>
            <w:vAlign w:val="bottom"/>
            <w:tcBorders>
              <w:bottom w:val="single" w:sz="8" w:color="9A9A9A"/>
            </w:tcBorders>
          </w:tcPr>
          <w:p>
            <w:pPr>
              <w:spacing w:after="0"/>
              <w:rPr>
                <w:sz w:val="11"/>
                <w:szCs w:val="11"/>
                <w:color w:val="auto"/>
              </w:rPr>
            </w:pPr>
          </w:p>
        </w:tc>
        <w:tc>
          <w:tcPr>
            <w:tcW w:w="4520" w:type="dxa"/>
            <w:vAlign w:val="bottom"/>
            <w:tcBorders>
              <w:bottom w:val="single" w:sz="8" w:color="9A9A9A"/>
            </w:tcBorders>
          </w:tcPr>
          <w:p>
            <w:pPr>
              <w:spacing w:after="0"/>
              <w:rPr>
                <w:sz w:val="11"/>
                <w:szCs w:val="11"/>
                <w:color w:val="auto"/>
              </w:rPr>
            </w:pPr>
          </w:p>
        </w:tc>
        <w:tc>
          <w:tcPr>
            <w:tcW w:w="280" w:type="dxa"/>
            <w:vAlign w:val="bottom"/>
            <w:tcBorders>
              <w:bottom w:val="single" w:sz="8" w:color="9A9A9A"/>
            </w:tcBorders>
          </w:tcPr>
          <w:p>
            <w:pPr>
              <w:spacing w:after="0"/>
              <w:rPr>
                <w:sz w:val="11"/>
                <w:szCs w:val="11"/>
                <w:color w:val="auto"/>
              </w:rPr>
            </w:pPr>
          </w:p>
        </w:tc>
        <w:tc>
          <w:tcPr>
            <w:tcW w:w="1220" w:type="dxa"/>
            <w:vAlign w:val="bottom"/>
            <w:tcBorders>
              <w:bottom w:val="single" w:sz="8" w:color="9A9A9A"/>
            </w:tcBorders>
          </w:tcPr>
          <w:p>
            <w:pPr>
              <w:spacing w:after="0"/>
              <w:rPr>
                <w:sz w:val="11"/>
                <w:szCs w:val="11"/>
                <w:color w:val="auto"/>
              </w:rPr>
            </w:pPr>
          </w:p>
        </w:tc>
        <w:tc>
          <w:tcPr>
            <w:tcW w:w="120" w:type="dxa"/>
            <w:vAlign w:val="bottom"/>
            <w:tcBorders>
              <w:bottom w:val="single" w:sz="8" w:color="9A9A9A"/>
            </w:tcBorders>
          </w:tcPr>
          <w:p>
            <w:pPr>
              <w:spacing w:after="0"/>
              <w:rPr>
                <w:sz w:val="11"/>
                <w:szCs w:val="11"/>
                <w:color w:val="auto"/>
              </w:rPr>
            </w:pPr>
          </w:p>
        </w:tc>
        <w:tc>
          <w:tcPr>
            <w:tcW w:w="260" w:type="dxa"/>
            <w:vAlign w:val="bottom"/>
            <w:tcBorders>
              <w:bottom w:val="single" w:sz="8" w:color="9A9A9A"/>
            </w:tcBorders>
          </w:tcPr>
          <w:p>
            <w:pPr>
              <w:spacing w:after="0"/>
              <w:rPr>
                <w:sz w:val="11"/>
                <w:szCs w:val="11"/>
                <w:color w:val="auto"/>
              </w:rPr>
            </w:pPr>
          </w:p>
        </w:tc>
        <w:tc>
          <w:tcPr>
            <w:tcW w:w="1260" w:type="dxa"/>
            <w:vAlign w:val="bottom"/>
            <w:tcBorders>
              <w:bottom w:val="single" w:sz="8" w:color="9A9A9A"/>
            </w:tcBorders>
          </w:tcPr>
          <w:p>
            <w:pPr>
              <w:spacing w:after="0"/>
              <w:rPr>
                <w:sz w:val="11"/>
                <w:szCs w:val="11"/>
                <w:color w:val="auto"/>
              </w:rPr>
            </w:pPr>
          </w:p>
        </w:tc>
        <w:tc>
          <w:tcPr>
            <w:tcW w:w="100" w:type="dxa"/>
            <w:vAlign w:val="bottom"/>
            <w:tcBorders>
              <w:bottom w:val="single" w:sz="8" w:color="9A9A9A"/>
            </w:tcBorders>
          </w:tcPr>
          <w:p>
            <w:pPr>
              <w:spacing w:after="0"/>
              <w:rPr>
                <w:sz w:val="11"/>
                <w:szCs w:val="11"/>
                <w:color w:val="auto"/>
              </w:rPr>
            </w:pPr>
          </w:p>
        </w:tc>
        <w:tc>
          <w:tcPr>
            <w:tcW w:w="100" w:type="dxa"/>
            <w:vAlign w:val="bottom"/>
            <w:tcBorders>
              <w:bottom w:val="single" w:sz="8" w:color="9A9A9A"/>
            </w:tcBorders>
          </w:tcPr>
          <w:p>
            <w:pPr>
              <w:spacing w:after="0"/>
              <w:rPr>
                <w:sz w:val="11"/>
                <w:szCs w:val="11"/>
                <w:color w:val="auto"/>
              </w:rPr>
            </w:pPr>
          </w:p>
        </w:tc>
        <w:tc>
          <w:tcPr>
            <w:tcW w:w="1540" w:type="dxa"/>
            <w:vAlign w:val="bottom"/>
            <w:tcBorders>
              <w:bottom w:val="single" w:sz="8" w:color="9A9A9A"/>
            </w:tcBorders>
          </w:tcPr>
          <w:p>
            <w:pPr>
              <w:spacing w:after="0"/>
              <w:rPr>
                <w:sz w:val="11"/>
                <w:szCs w:val="11"/>
                <w:color w:val="auto"/>
              </w:rPr>
            </w:pPr>
          </w:p>
        </w:tc>
        <w:tc>
          <w:tcPr>
            <w:tcW w:w="120" w:type="dxa"/>
            <w:vAlign w:val="bottom"/>
            <w:tcBorders>
              <w:bottom w:val="single" w:sz="8" w:color="9A9A9A"/>
            </w:tcBorders>
          </w:tcPr>
          <w:p>
            <w:pPr>
              <w:spacing w:after="0"/>
              <w:rPr>
                <w:sz w:val="11"/>
                <w:szCs w:val="11"/>
                <w:color w:val="auto"/>
              </w:rPr>
            </w:pPr>
          </w:p>
        </w:tc>
        <w:tc>
          <w:tcPr>
            <w:tcW w:w="380" w:type="dxa"/>
            <w:vAlign w:val="bottom"/>
            <w:tcBorders>
              <w:bottom w:val="single" w:sz="8" w:color="9A9A9A"/>
            </w:tcBorders>
          </w:tcPr>
          <w:p>
            <w:pPr>
              <w:spacing w:after="0"/>
              <w:rPr>
                <w:sz w:val="11"/>
                <w:szCs w:val="11"/>
                <w:color w:val="auto"/>
              </w:rPr>
            </w:pPr>
          </w:p>
        </w:tc>
        <w:tc>
          <w:tcPr>
            <w:tcW w:w="1280" w:type="dxa"/>
            <w:vAlign w:val="bottom"/>
            <w:tcBorders>
              <w:bottom w:val="single" w:sz="8" w:color="9A9A9A"/>
            </w:tcBorders>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-28575</wp:posOffset>
            </wp:positionV>
            <wp:extent cx="33655"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-28575</wp:posOffset>
            </wp:positionV>
            <wp:extent cx="33655" cy="41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09" w:right="339" w:bottom="1440" w:gutter="0" w:footer="0" w:header="0"/>
        </w:sectPr>
      </w:pPr>
    </w:p>
    <w:bookmarkStart w:id="63" w:name="page64"/>
    <w:bookmarkEnd w:id="63"/>
    <w:p>
      <w:pPr>
        <w:spacing w:after="0"/>
        <w:rPr>
          <w:sz w:val="20"/>
          <w:szCs w:val="20"/>
          <w:color w:val="auto"/>
        </w:rPr>
      </w:pPr>
      <w:r>
        <w:rPr>
          <w:rFonts w:ascii="Calibri" w:cs="Calibri" w:eastAsia="Calibri" w:hAnsi="Calibri"/>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5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100" w:type="dxa"/>
            <w:vAlign w:val="bottom"/>
            <w:gridSpan w:val="5"/>
          </w:tcPr>
          <w:p>
            <w:pPr>
              <w:jc w:val="center"/>
              <w:ind w:right="220"/>
              <w:spacing w:after="0"/>
              <w:rPr>
                <w:sz w:val="20"/>
                <w:szCs w:val="20"/>
                <w:color w:val="auto"/>
              </w:rPr>
            </w:pPr>
            <w:r>
              <w:rPr>
                <w:rFonts w:ascii="Calibri" w:cs="Calibri" w:eastAsia="Calibri" w:hAnsi="Calibri"/>
                <w:sz w:val="14"/>
                <w:szCs w:val="14"/>
                <w:b w:val="1"/>
                <w:bCs w:val="1"/>
                <w:color w:val="auto"/>
                <w:w w:val="99"/>
              </w:rPr>
              <w:t>Fiscal Year 2021</w:t>
            </w:r>
          </w:p>
        </w:tc>
        <w:tc>
          <w:tcPr>
            <w:tcW w:w="4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4540" w:type="dxa"/>
            <w:vAlign w:val="bottom"/>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640" w:type="dxa"/>
            <w:vAlign w:val="bottom"/>
            <w:tcBorders>
              <w:bottom w:val="single" w:sz="8" w:color="auto"/>
            </w:tcBorders>
            <w:gridSpan w:val="2"/>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24"/>
        </w:trPr>
        <w:tc>
          <w:tcPr>
            <w:tcW w:w="4540" w:type="dxa"/>
            <w:vAlign w:val="bottom"/>
          </w:tcPr>
          <w:p>
            <w:pPr>
              <w:spacing w:after="0"/>
              <w:rPr>
                <w:sz w:val="10"/>
                <w:szCs w:val="10"/>
                <w:color w:val="auto"/>
              </w:rPr>
            </w:pPr>
          </w:p>
        </w:tc>
        <w:tc>
          <w:tcPr>
            <w:tcW w:w="1040" w:type="dxa"/>
            <w:vAlign w:val="bottom"/>
            <w:vMerge w:val="restart"/>
          </w:tcPr>
          <w:p>
            <w:pPr>
              <w:jc w:val="right"/>
              <w:spacing w:after="0"/>
              <w:rPr>
                <w:sz w:val="20"/>
                <w:szCs w:val="20"/>
                <w:color w:val="auto"/>
              </w:rPr>
            </w:pPr>
            <w:r>
              <w:rPr>
                <w:rFonts w:ascii="Calibri" w:cs="Calibri" w:eastAsia="Calibri" w:hAnsi="Calibri"/>
                <w:sz w:val="14"/>
                <w:szCs w:val="14"/>
                <w:b w:val="1"/>
                <w:bCs w:val="1"/>
                <w:color w:val="auto"/>
              </w:rPr>
              <w:t>Americas</w:t>
            </w: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340" w:type="dxa"/>
            <w:vAlign w:val="bottom"/>
            <w:gridSpan w:val="2"/>
            <w:vMerge w:val="restart"/>
          </w:tcPr>
          <w:p>
            <w:pPr>
              <w:ind w:left="160"/>
              <w:spacing w:after="0"/>
              <w:rPr>
                <w:sz w:val="20"/>
                <w:szCs w:val="20"/>
                <w:color w:val="auto"/>
              </w:rPr>
            </w:pPr>
            <w:r>
              <w:rPr>
                <w:rFonts w:ascii="Calibri" w:cs="Calibri" w:eastAsia="Calibri" w:hAnsi="Calibri"/>
                <w:sz w:val="14"/>
                <w:szCs w:val="14"/>
                <w:b w:val="1"/>
                <w:bCs w:val="1"/>
                <w:color w:val="auto"/>
              </w:rPr>
              <w:t>Asia Pacifc</w:t>
            </w:r>
          </w:p>
        </w:tc>
        <w:tc>
          <w:tcPr>
            <w:tcW w:w="120" w:type="dxa"/>
            <w:vAlign w:val="bottom"/>
          </w:tcPr>
          <w:p>
            <w:pPr>
              <w:spacing w:after="0"/>
              <w:rPr>
                <w:sz w:val="10"/>
                <w:szCs w:val="10"/>
                <w:color w:val="auto"/>
              </w:rPr>
            </w:pPr>
          </w:p>
        </w:tc>
        <w:tc>
          <w:tcPr>
            <w:tcW w:w="1640" w:type="dxa"/>
            <w:vAlign w:val="bottom"/>
            <w:gridSpan w:val="2"/>
          </w:tcPr>
          <w:p>
            <w:pPr>
              <w:jc w:val="center"/>
              <w:ind w:right="200"/>
              <w:spacing w:after="0" w:line="124" w:lineRule="exact"/>
              <w:rPr>
                <w:sz w:val="20"/>
                <w:szCs w:val="20"/>
                <w:color w:val="auto"/>
              </w:rPr>
            </w:pPr>
            <w:r>
              <w:rPr>
                <w:rFonts w:ascii="Calibri" w:cs="Calibri" w:eastAsia="Calibri" w:hAnsi="Calibri"/>
                <w:sz w:val="13"/>
                <w:szCs w:val="13"/>
                <w:b w:val="1"/>
                <w:bCs w:val="1"/>
                <w:color w:val="auto"/>
              </w:rPr>
              <w:t>Europe, the Middle East</w:t>
            </w:r>
          </w:p>
        </w:tc>
        <w:tc>
          <w:tcPr>
            <w:tcW w:w="400" w:type="dxa"/>
            <w:vAlign w:val="bottom"/>
          </w:tcPr>
          <w:p>
            <w:pPr>
              <w:spacing w:after="0"/>
              <w:rPr>
                <w:sz w:val="10"/>
                <w:szCs w:val="10"/>
                <w:color w:val="auto"/>
              </w:rPr>
            </w:pPr>
          </w:p>
        </w:tc>
        <w:tc>
          <w:tcPr>
            <w:tcW w:w="1280" w:type="dxa"/>
            <w:vAlign w:val="bottom"/>
            <w:vMerge w:val="restart"/>
          </w:tcPr>
          <w:p>
            <w:pPr>
              <w:jc w:val="right"/>
              <w:ind w:right="616"/>
              <w:spacing w:after="0"/>
              <w:rPr>
                <w:sz w:val="20"/>
                <w:szCs w:val="20"/>
                <w:color w:val="auto"/>
              </w:rPr>
            </w:pPr>
            <w:r>
              <w:rPr>
                <w:rFonts w:ascii="Calibri" w:cs="Calibri" w:eastAsia="Calibri" w:hAnsi="Calibri"/>
                <w:sz w:val="14"/>
                <w:szCs w:val="14"/>
                <w:b w:val="1"/>
                <w:bCs w:val="1"/>
                <w:color w:val="auto"/>
              </w:rPr>
              <w:t>Total</w:t>
            </w:r>
          </w:p>
        </w:tc>
        <w:tc>
          <w:tcPr>
            <w:tcW w:w="0" w:type="dxa"/>
            <w:vAlign w:val="bottom"/>
          </w:tcPr>
          <w:p>
            <w:pPr>
              <w:spacing w:after="0"/>
              <w:rPr>
                <w:sz w:val="1"/>
                <w:szCs w:val="1"/>
                <w:color w:val="auto"/>
              </w:rPr>
            </w:pPr>
          </w:p>
        </w:tc>
      </w:tr>
      <w:tr>
        <w:trPr>
          <w:trHeight w:val="168"/>
        </w:trPr>
        <w:tc>
          <w:tcPr>
            <w:tcW w:w="454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640" w:type="dxa"/>
            <w:vAlign w:val="bottom"/>
            <w:gridSpan w:val="2"/>
          </w:tcPr>
          <w:p>
            <w:pPr>
              <w:jc w:val="center"/>
              <w:ind w:right="200"/>
              <w:spacing w:after="0" w:line="168" w:lineRule="exact"/>
              <w:rPr>
                <w:sz w:val="20"/>
                <w:szCs w:val="20"/>
                <w:color w:val="auto"/>
              </w:rPr>
            </w:pPr>
            <w:r>
              <w:rPr>
                <w:rFonts w:ascii="Calibri" w:cs="Calibri" w:eastAsia="Calibri" w:hAnsi="Calibri"/>
                <w:sz w:val="14"/>
                <w:szCs w:val="14"/>
                <w:b w:val="1"/>
                <w:bCs w:val="1"/>
                <w:color w:val="auto"/>
              </w:rPr>
              <w:t>and Africa</w:t>
            </w:r>
          </w:p>
        </w:tc>
        <w:tc>
          <w:tcPr>
            <w:tcW w:w="400" w:type="dxa"/>
            <w:vAlign w:val="bottom"/>
          </w:tcPr>
          <w:p>
            <w:pPr>
              <w:spacing w:after="0"/>
              <w:rPr>
                <w:sz w:val="14"/>
                <w:szCs w:val="14"/>
                <w:color w:val="auto"/>
              </w:rPr>
            </w:pPr>
          </w:p>
        </w:tc>
        <w:tc>
          <w:tcPr>
            <w:tcW w:w="12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2"/>
        </w:trPr>
        <w:tc>
          <w:tcPr>
            <w:tcW w:w="454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45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100" w:type="dxa"/>
            <w:vAlign w:val="bottom"/>
            <w:gridSpan w:val="5"/>
          </w:tcPr>
          <w:p>
            <w:pPr>
              <w:jc w:val="center"/>
              <w:ind w:right="200"/>
              <w:spacing w:after="0"/>
              <w:rPr>
                <w:sz w:val="20"/>
                <w:szCs w:val="20"/>
                <w:color w:val="auto"/>
              </w:rPr>
            </w:pPr>
            <w:r>
              <w:rPr>
                <w:rFonts w:ascii="Calibri" w:cs="Calibri" w:eastAsia="Calibri" w:hAnsi="Calibri"/>
                <w:sz w:val="14"/>
                <w:szCs w:val="14"/>
                <w:b w:val="1"/>
                <w:bCs w:val="1"/>
                <w:color w:val="auto"/>
              </w:rPr>
              <w:t>(In millions)</w:t>
            </w:r>
          </w:p>
        </w:tc>
        <w:tc>
          <w:tcPr>
            <w:tcW w:w="4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45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12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4"/>
        </w:trPr>
        <w:tc>
          <w:tcPr>
            <w:tcW w:w="4540" w:type="dxa"/>
            <w:vAlign w:val="bottom"/>
            <w:shd w:val="clear" w:color="auto" w:fill="CCEEFF"/>
          </w:tcPr>
          <w:p>
            <w:pPr>
              <w:ind w:left="20"/>
              <w:spacing w:after="0" w:line="210" w:lineRule="exact"/>
              <w:rPr>
                <w:sz w:val="20"/>
                <w:szCs w:val="20"/>
                <w:color w:val="auto"/>
              </w:rPr>
            </w:pPr>
            <w:r>
              <w:rPr>
                <w:rFonts w:ascii="Calibri" w:cs="Calibri" w:eastAsia="Calibri" w:hAnsi="Calibri"/>
                <w:sz w:val="18"/>
                <w:szCs w:val="18"/>
                <w:color w:val="auto"/>
              </w:rPr>
              <w:t>Products</w:t>
            </w:r>
          </w:p>
        </w:tc>
        <w:tc>
          <w:tcPr>
            <w:tcW w:w="1040" w:type="dxa"/>
            <w:vAlign w:val="bottom"/>
            <w:shd w:val="clear" w:color="auto" w:fill="CCEEFF"/>
          </w:tcPr>
          <w:p>
            <w:pPr>
              <w:jc w:val="right"/>
              <w:ind w:right="858"/>
              <w:spacing w:after="0" w:line="210" w:lineRule="exact"/>
              <w:rPr>
                <w:sz w:val="20"/>
                <w:szCs w:val="20"/>
                <w:color w:val="auto"/>
              </w:rPr>
            </w:pPr>
            <w:r>
              <w:rPr>
                <w:rFonts w:ascii="Calibri" w:cs="Calibri" w:eastAsia="Calibri" w:hAnsi="Calibri"/>
                <w:sz w:val="18"/>
                <w:szCs w:val="18"/>
                <w:color w:val="auto"/>
                <w:w w:val="87"/>
              </w:rPr>
              <w:t>$</w:t>
            </w:r>
          </w:p>
        </w:tc>
        <w:tc>
          <w:tcPr>
            <w:tcW w:w="460" w:type="dxa"/>
            <w:vAlign w:val="bottom"/>
            <w:shd w:val="clear" w:color="auto" w:fill="CCEEFF"/>
          </w:tcPr>
          <w:p>
            <w:pPr>
              <w:jc w:val="right"/>
              <w:spacing w:after="0" w:line="210" w:lineRule="exact"/>
              <w:rPr>
                <w:sz w:val="20"/>
                <w:szCs w:val="20"/>
                <w:color w:val="auto"/>
              </w:rPr>
            </w:pPr>
            <w:r>
              <w:rPr>
                <w:rFonts w:ascii="Calibri" w:cs="Calibri" w:eastAsia="Calibri" w:hAnsi="Calibri"/>
                <w:sz w:val="18"/>
                <w:szCs w:val="18"/>
                <w:color w:val="auto"/>
                <w:w w:val="92"/>
              </w:rPr>
              <w:t>1,809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2"/>
              <w:spacing w:after="0" w:line="210" w:lineRule="exact"/>
              <w:rPr>
                <w:sz w:val="20"/>
                <w:szCs w:val="20"/>
                <w:color w:val="auto"/>
              </w:rPr>
            </w:pPr>
            <w:r>
              <w:rPr>
                <w:rFonts w:ascii="Calibri" w:cs="Calibri" w:eastAsia="Calibri" w:hAnsi="Calibri"/>
                <w:sz w:val="18"/>
                <w:szCs w:val="18"/>
                <w:color w:val="auto"/>
              </w:rPr>
              <w:t>$</w:t>
            </w:r>
          </w:p>
        </w:tc>
        <w:tc>
          <w:tcPr>
            <w:tcW w:w="1240" w:type="dxa"/>
            <w:vAlign w:val="bottom"/>
            <w:shd w:val="clear" w:color="auto" w:fill="CCEEFF"/>
          </w:tcPr>
          <w:p>
            <w:pPr>
              <w:jc w:val="right"/>
              <w:spacing w:after="0" w:line="210" w:lineRule="exact"/>
              <w:rPr>
                <w:sz w:val="20"/>
                <w:szCs w:val="20"/>
                <w:color w:val="auto"/>
              </w:rPr>
            </w:pPr>
            <w:r>
              <w:rPr>
                <w:rFonts w:ascii="Calibri" w:cs="Calibri" w:eastAsia="Calibri" w:hAnsi="Calibri"/>
                <w:sz w:val="18"/>
                <w:szCs w:val="18"/>
                <w:color w:val="auto"/>
              </w:rPr>
              <w:t>17,258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line="210" w:lineRule="exact"/>
              <w:rPr>
                <w:sz w:val="20"/>
                <w:szCs w:val="20"/>
                <w:color w:val="auto"/>
              </w:rPr>
            </w:pPr>
            <w:r>
              <w:rPr>
                <w:rFonts w:ascii="Calibri" w:cs="Calibri" w:eastAsia="Calibri" w:hAnsi="Calibri"/>
                <w:sz w:val="18"/>
                <w:szCs w:val="18"/>
                <w:color w:val="auto"/>
              </w:rPr>
              <w:t>$</w:t>
            </w:r>
          </w:p>
        </w:tc>
        <w:tc>
          <w:tcPr>
            <w:tcW w:w="1540" w:type="dxa"/>
            <w:vAlign w:val="bottom"/>
            <w:shd w:val="clear" w:color="auto" w:fill="CCEEFF"/>
          </w:tcPr>
          <w:p>
            <w:pPr>
              <w:jc w:val="right"/>
              <w:spacing w:after="0" w:line="210" w:lineRule="exact"/>
              <w:rPr>
                <w:sz w:val="20"/>
                <w:szCs w:val="20"/>
                <w:color w:val="auto"/>
              </w:rPr>
            </w:pPr>
            <w:r>
              <w:rPr>
                <w:rFonts w:ascii="Calibri" w:cs="Calibri" w:eastAsia="Calibri" w:hAnsi="Calibri"/>
                <w:sz w:val="18"/>
                <w:szCs w:val="18"/>
                <w:color w:val="auto"/>
              </w:rPr>
              <w:t>1,819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2"/>
              <w:spacing w:after="0" w:line="210" w:lineRule="exact"/>
              <w:rPr>
                <w:sz w:val="20"/>
                <w:szCs w:val="20"/>
                <w:color w:val="auto"/>
              </w:rPr>
            </w:pPr>
            <w:r>
              <w:rPr>
                <w:rFonts w:ascii="Calibri" w:cs="Calibri" w:eastAsia="Calibri" w:hAnsi="Calibri"/>
                <w:sz w:val="18"/>
                <w:szCs w:val="18"/>
                <w:color w:val="auto"/>
              </w:rPr>
              <w:t>$</w:t>
            </w:r>
          </w:p>
        </w:tc>
        <w:tc>
          <w:tcPr>
            <w:tcW w:w="1280" w:type="dxa"/>
            <w:vAlign w:val="bottom"/>
            <w:shd w:val="clear" w:color="auto" w:fill="CCEEFF"/>
          </w:tcPr>
          <w:p>
            <w:pPr>
              <w:jc w:val="right"/>
              <w:spacing w:after="0" w:line="210" w:lineRule="exact"/>
              <w:rPr>
                <w:sz w:val="20"/>
                <w:szCs w:val="20"/>
                <w:color w:val="auto"/>
              </w:rPr>
            </w:pPr>
            <w:r>
              <w:rPr>
                <w:rFonts w:ascii="Calibri" w:cs="Calibri" w:eastAsia="Calibri" w:hAnsi="Calibri"/>
                <w:sz w:val="18"/>
                <w:szCs w:val="18"/>
                <w:color w:val="auto"/>
              </w:rPr>
              <w:t>20,886</w:t>
            </w:r>
          </w:p>
        </w:tc>
        <w:tc>
          <w:tcPr>
            <w:tcW w:w="0" w:type="dxa"/>
            <w:vAlign w:val="bottom"/>
          </w:tcPr>
          <w:p>
            <w:pPr>
              <w:spacing w:after="0"/>
              <w:rPr>
                <w:sz w:val="1"/>
                <w:szCs w:val="1"/>
                <w:color w:val="auto"/>
              </w:rPr>
            </w:pPr>
          </w:p>
        </w:tc>
      </w:tr>
      <w:tr>
        <w:trPr>
          <w:trHeight w:val="224"/>
        </w:trPr>
        <w:tc>
          <w:tcPr>
            <w:tcW w:w="4540" w:type="dxa"/>
            <w:vAlign w:val="bottom"/>
            <w:tcBorders>
              <w:bottom w:val="single" w:sz="8" w:color="CCEEFF"/>
            </w:tcBorders>
          </w:tcPr>
          <w:p>
            <w:pPr>
              <w:ind w:left="20"/>
              <w:spacing w:after="0" w:line="224" w:lineRule="exact"/>
              <w:rPr>
                <w:sz w:val="20"/>
                <w:szCs w:val="20"/>
                <w:color w:val="auto"/>
              </w:rPr>
            </w:pPr>
            <w:r>
              <w:rPr>
                <w:rFonts w:ascii="Calibri" w:cs="Calibri" w:eastAsia="Calibri" w:hAnsi="Calibri"/>
                <w:sz w:val="18"/>
                <w:szCs w:val="18"/>
                <w:color w:val="auto"/>
              </w:rPr>
              <w:t>Subscriptons and services</w:t>
            </w:r>
            <w:r>
              <w:rPr>
                <w:rFonts w:ascii="Calibri" w:cs="Calibri" w:eastAsia="Calibri" w:hAnsi="Calibri"/>
                <w:sz w:val="22"/>
                <w:szCs w:val="22"/>
                <w:color w:val="auto"/>
                <w:vertAlign w:val="superscript"/>
              </w:rPr>
              <w:t>(a)</w:t>
            </w:r>
          </w:p>
        </w:tc>
        <w:tc>
          <w:tcPr>
            <w:tcW w:w="10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line="210" w:lineRule="exact"/>
              <w:rPr>
                <w:sz w:val="20"/>
                <w:szCs w:val="20"/>
                <w:color w:val="auto"/>
              </w:rPr>
            </w:pPr>
            <w:r>
              <w:rPr>
                <w:rFonts w:ascii="Calibri" w:cs="Calibri" w:eastAsia="Calibri" w:hAnsi="Calibri"/>
                <w:sz w:val="18"/>
                <w:szCs w:val="18"/>
                <w:color w:val="auto"/>
                <w:w w:val="92"/>
              </w:rPr>
              <w:t>4,290</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line="210" w:lineRule="exact"/>
              <w:rPr>
                <w:sz w:val="20"/>
                <w:szCs w:val="20"/>
                <w:color w:val="auto"/>
              </w:rPr>
            </w:pPr>
            <w:r>
              <w:rPr>
                <w:rFonts w:ascii="Calibri" w:cs="Calibri" w:eastAsia="Calibri" w:hAnsi="Calibri"/>
                <w:sz w:val="18"/>
                <w:szCs w:val="18"/>
                <w:color w:val="auto"/>
              </w:rPr>
              <w:t>720</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line="210" w:lineRule="exact"/>
              <w:rPr>
                <w:sz w:val="20"/>
                <w:szCs w:val="20"/>
                <w:color w:val="auto"/>
              </w:rPr>
            </w:pPr>
            <w:r>
              <w:rPr>
                <w:rFonts w:ascii="Calibri" w:cs="Calibri" w:eastAsia="Calibri" w:hAnsi="Calibri"/>
                <w:sz w:val="18"/>
                <w:szCs w:val="18"/>
                <w:color w:val="auto"/>
              </w:rPr>
              <w:t>1,554</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line="210" w:lineRule="exact"/>
              <w:rPr>
                <w:sz w:val="20"/>
                <w:szCs w:val="20"/>
                <w:color w:val="auto"/>
              </w:rPr>
            </w:pPr>
            <w:r>
              <w:rPr>
                <w:rFonts w:ascii="Calibri" w:cs="Calibri" w:eastAsia="Calibri" w:hAnsi="Calibri"/>
                <w:sz w:val="18"/>
                <w:szCs w:val="18"/>
                <w:color w:val="auto"/>
              </w:rPr>
              <w:t>6,564</w:t>
            </w:r>
          </w:p>
        </w:tc>
        <w:tc>
          <w:tcPr>
            <w:tcW w:w="0" w:type="dxa"/>
            <w:vAlign w:val="bottom"/>
          </w:tcPr>
          <w:p>
            <w:pPr>
              <w:spacing w:after="0"/>
              <w:rPr>
                <w:sz w:val="1"/>
                <w:szCs w:val="1"/>
                <w:color w:val="auto"/>
              </w:rPr>
            </w:pPr>
          </w:p>
        </w:tc>
      </w:tr>
      <w:tr>
        <w:trPr>
          <w:trHeight w:val="243"/>
        </w:trPr>
        <w:tc>
          <w:tcPr>
            <w:tcW w:w="4540" w:type="dxa"/>
            <w:vAlign w:val="bottom"/>
            <w:tcBorders>
              <w:bottom w:val="single" w:sz="8" w:color="CCEEFF"/>
            </w:tcBorders>
            <w:shd w:val="clear" w:color="auto" w:fill="CCEEFF"/>
          </w:tcPr>
          <w:p>
            <w:pPr>
              <w:ind w:left="140"/>
              <w:spacing w:after="0" w:line="217" w:lineRule="exact"/>
              <w:rPr>
                <w:sz w:val="20"/>
                <w:szCs w:val="20"/>
                <w:color w:val="auto"/>
              </w:rPr>
            </w:pPr>
            <w:r>
              <w:rPr>
                <w:rFonts w:ascii="Calibri" w:cs="Calibri" w:eastAsia="Calibri" w:hAnsi="Calibri"/>
                <w:sz w:val="18"/>
                <w:szCs w:val="18"/>
                <w:color w:val="auto"/>
              </w:rPr>
              <w:t>Total</w:t>
            </w:r>
          </w:p>
        </w:tc>
        <w:tc>
          <w:tcPr>
            <w:tcW w:w="1040" w:type="dxa"/>
            <w:vAlign w:val="bottom"/>
            <w:tcBorders>
              <w:bottom w:val="single" w:sz="8" w:color="auto"/>
            </w:tcBorders>
            <w:shd w:val="clear" w:color="auto" w:fill="CCEEFF"/>
          </w:tcPr>
          <w:p>
            <w:pPr>
              <w:jc w:val="right"/>
              <w:ind w:right="858"/>
              <w:spacing w:after="0" w:line="210" w:lineRule="exact"/>
              <w:rPr>
                <w:sz w:val="20"/>
                <w:szCs w:val="20"/>
                <w:color w:val="auto"/>
              </w:rPr>
            </w:pPr>
            <w:r>
              <w:rPr>
                <w:rFonts w:ascii="Calibri" w:cs="Calibri" w:eastAsia="Calibri" w:hAnsi="Calibri"/>
                <w:sz w:val="18"/>
                <w:szCs w:val="18"/>
                <w:color w:val="auto"/>
                <w:w w:val="87"/>
              </w:rPr>
              <w:t>$</w:t>
            </w:r>
          </w:p>
        </w:tc>
        <w:tc>
          <w:tcPr>
            <w:tcW w:w="460" w:type="dxa"/>
            <w:vAlign w:val="bottom"/>
            <w:tcBorders>
              <w:bottom w:val="single" w:sz="8" w:color="auto"/>
            </w:tcBorders>
            <w:shd w:val="clear" w:color="auto" w:fill="CCEEFF"/>
          </w:tcPr>
          <w:p>
            <w:pPr>
              <w:jc w:val="right"/>
              <w:spacing w:after="0" w:line="210" w:lineRule="exact"/>
              <w:rPr>
                <w:sz w:val="20"/>
                <w:szCs w:val="20"/>
                <w:color w:val="auto"/>
              </w:rPr>
            </w:pPr>
            <w:r>
              <w:rPr>
                <w:rFonts w:ascii="Calibri" w:cs="Calibri" w:eastAsia="Calibri" w:hAnsi="Calibri"/>
                <w:sz w:val="18"/>
                <w:szCs w:val="18"/>
                <w:color w:val="auto"/>
                <w:w w:val="92"/>
              </w:rPr>
              <w:t>6,099</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72"/>
              <w:spacing w:after="0" w:line="210" w:lineRule="exact"/>
              <w:rPr>
                <w:sz w:val="20"/>
                <w:szCs w:val="20"/>
                <w:color w:val="auto"/>
              </w:rPr>
            </w:pPr>
            <w:r>
              <w:rPr>
                <w:rFonts w:ascii="Calibri" w:cs="Calibri" w:eastAsia="Calibri" w:hAnsi="Calibri"/>
                <w:sz w:val="18"/>
                <w:szCs w:val="18"/>
                <w:color w:val="auto"/>
              </w:rPr>
              <w:t>$</w:t>
            </w:r>
          </w:p>
        </w:tc>
        <w:tc>
          <w:tcPr>
            <w:tcW w:w="1240" w:type="dxa"/>
            <w:vAlign w:val="bottom"/>
            <w:tcBorders>
              <w:bottom w:val="single" w:sz="8" w:color="auto"/>
            </w:tcBorders>
            <w:shd w:val="clear" w:color="auto" w:fill="CCEEFF"/>
          </w:tcPr>
          <w:p>
            <w:pPr>
              <w:jc w:val="right"/>
              <w:spacing w:after="0" w:line="210" w:lineRule="exact"/>
              <w:rPr>
                <w:sz w:val="20"/>
                <w:szCs w:val="20"/>
                <w:color w:val="auto"/>
              </w:rPr>
            </w:pPr>
            <w:r>
              <w:rPr>
                <w:rFonts w:ascii="Calibri" w:cs="Calibri" w:eastAsia="Calibri" w:hAnsi="Calibri"/>
                <w:sz w:val="18"/>
                <w:szCs w:val="18"/>
                <w:color w:val="auto"/>
              </w:rPr>
              <w:t>17,978</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line="210" w:lineRule="exact"/>
              <w:rPr>
                <w:sz w:val="20"/>
                <w:szCs w:val="20"/>
                <w:color w:val="auto"/>
              </w:rPr>
            </w:pPr>
            <w:r>
              <w:rPr>
                <w:rFonts w:ascii="Calibri" w:cs="Calibri" w:eastAsia="Calibri" w:hAnsi="Calibri"/>
                <w:sz w:val="18"/>
                <w:szCs w:val="18"/>
                <w:color w:val="auto"/>
              </w:rPr>
              <w:t>$</w:t>
            </w:r>
          </w:p>
        </w:tc>
        <w:tc>
          <w:tcPr>
            <w:tcW w:w="1540" w:type="dxa"/>
            <w:vAlign w:val="bottom"/>
            <w:tcBorders>
              <w:bottom w:val="single" w:sz="8" w:color="auto"/>
            </w:tcBorders>
            <w:shd w:val="clear" w:color="auto" w:fill="CCEEFF"/>
          </w:tcPr>
          <w:p>
            <w:pPr>
              <w:jc w:val="right"/>
              <w:spacing w:after="0" w:line="210" w:lineRule="exact"/>
              <w:rPr>
                <w:sz w:val="20"/>
                <w:szCs w:val="20"/>
                <w:color w:val="auto"/>
              </w:rPr>
            </w:pPr>
            <w:r>
              <w:rPr>
                <w:rFonts w:ascii="Calibri" w:cs="Calibri" w:eastAsia="Calibri" w:hAnsi="Calibri"/>
                <w:sz w:val="18"/>
                <w:szCs w:val="18"/>
                <w:color w:val="auto"/>
              </w:rPr>
              <w:t>3,373</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192"/>
              <w:spacing w:after="0" w:line="210" w:lineRule="exact"/>
              <w:rPr>
                <w:sz w:val="20"/>
                <w:szCs w:val="20"/>
                <w:color w:val="auto"/>
              </w:rPr>
            </w:pPr>
            <w:r>
              <w:rPr>
                <w:rFonts w:ascii="Calibri" w:cs="Calibri" w:eastAsia="Calibri" w:hAnsi="Calibri"/>
                <w:sz w:val="18"/>
                <w:szCs w:val="18"/>
                <w:color w:val="auto"/>
              </w:rPr>
              <w:t>$</w:t>
            </w:r>
          </w:p>
        </w:tc>
        <w:tc>
          <w:tcPr>
            <w:tcW w:w="1280" w:type="dxa"/>
            <w:vAlign w:val="bottom"/>
            <w:tcBorders>
              <w:bottom w:val="single" w:sz="8" w:color="auto"/>
            </w:tcBorders>
            <w:shd w:val="clear" w:color="auto" w:fill="CCEEFF"/>
          </w:tcPr>
          <w:p>
            <w:pPr>
              <w:jc w:val="right"/>
              <w:spacing w:after="0" w:line="210" w:lineRule="exact"/>
              <w:rPr>
                <w:sz w:val="20"/>
                <w:szCs w:val="20"/>
                <w:color w:val="auto"/>
              </w:rPr>
            </w:pPr>
            <w:r>
              <w:rPr>
                <w:rFonts w:ascii="Calibri" w:cs="Calibri" w:eastAsia="Calibri" w:hAnsi="Calibri"/>
                <w:sz w:val="18"/>
                <w:szCs w:val="18"/>
                <w:color w:val="auto"/>
              </w:rPr>
              <w:t>27,450</w:t>
            </w:r>
          </w:p>
        </w:tc>
        <w:tc>
          <w:tcPr>
            <w:tcW w:w="0" w:type="dxa"/>
            <w:vAlign w:val="bottom"/>
          </w:tcPr>
          <w:p>
            <w:pPr>
              <w:spacing w:after="0"/>
              <w:rPr>
                <w:sz w:val="1"/>
                <w:szCs w:val="1"/>
                <w:color w:val="auto"/>
              </w:rPr>
            </w:pPr>
          </w:p>
        </w:tc>
      </w:tr>
      <w:tr>
        <w:trPr>
          <w:trHeight w:val="20"/>
        </w:trPr>
        <w:tc>
          <w:tcPr>
            <w:tcW w:w="45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2" w:lineRule="exact"/>
        <w:rPr>
          <w:sz w:val="20"/>
          <w:szCs w:val="20"/>
          <w:color w:val="auto"/>
        </w:rPr>
      </w:pPr>
    </w:p>
    <w:p>
      <w:pPr>
        <w:spacing w:after="0"/>
        <w:rPr>
          <w:sz w:val="20"/>
          <w:szCs w:val="20"/>
          <w:color w:val="auto"/>
        </w:rPr>
      </w:pPr>
      <w:r>
        <w:rPr>
          <w:rFonts w:ascii="Calibri" w:cs="Calibri" w:eastAsia="Calibri" w:hAnsi="Calibri"/>
          <w:sz w:val="18"/>
          <w:szCs w:val="18"/>
          <w:color w:val="auto"/>
        </w:rPr>
        <w:t>_____________________________</w:t>
      </w:r>
    </w:p>
    <w:p>
      <w:pPr>
        <w:spacing w:after="0" w:line="97" w:lineRule="exact"/>
        <w:rPr>
          <w:sz w:val="20"/>
          <w:szCs w:val="20"/>
          <w:color w:val="auto"/>
        </w:rPr>
      </w:pPr>
    </w:p>
    <w:p>
      <w:pPr>
        <w:spacing w:after="0"/>
        <w:rPr>
          <w:sz w:val="20"/>
          <w:szCs w:val="20"/>
          <w:color w:val="auto"/>
        </w:rPr>
      </w:pPr>
      <w:r>
        <w:rPr>
          <w:rFonts w:ascii="Calibri" w:cs="Calibri" w:eastAsia="Calibri" w:hAnsi="Calibri"/>
          <w:sz w:val="18"/>
          <w:szCs w:val="18"/>
          <w:color w:val="auto"/>
        </w:rPr>
        <w:t>(a) Subscriptons and services predominantly includes sofware licenses with terminaton for convenience clauses.</w:t>
      </w:r>
    </w:p>
    <w:p>
      <w:pPr>
        <w:spacing w:after="0" w:line="107" w:lineRule="exact"/>
        <w:rPr>
          <w:sz w:val="20"/>
          <w:szCs w:val="20"/>
          <w:color w:val="auto"/>
        </w:rPr>
      </w:pPr>
    </w:p>
    <w:p>
      <w:pPr>
        <w:jc w:val="both"/>
        <w:ind w:right="360" w:firstLine="396"/>
        <w:spacing w:after="0" w:line="230" w:lineRule="auto"/>
        <w:rPr>
          <w:sz w:val="20"/>
          <w:szCs w:val="20"/>
          <w:color w:val="auto"/>
        </w:rPr>
      </w:pPr>
      <w:r>
        <w:rPr>
          <w:rFonts w:ascii="Calibri" w:cs="Calibri" w:eastAsia="Calibri" w:hAnsi="Calibri"/>
          <w:sz w:val="18"/>
          <w:szCs w:val="18"/>
          <w:color w:val="auto"/>
        </w:rPr>
        <w:t>Although we recognize revenue for the majority of our products when ttle and control transfer in Penang, Malaysia, we disclose net revenue by region based primarily on the geographic shipment locaton or delivery locaton specifed by our distributors, original equipment manufacturer (“OEM”) customers, contract manufacturers, channel partners, or sofware customers.</w:t>
      </w:r>
    </w:p>
    <w:p>
      <w:pPr>
        <w:spacing w:after="0" w:line="98"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Contract Balances</w:t>
      </w:r>
    </w:p>
    <w:p>
      <w:pPr>
        <w:spacing w:after="0" w:line="97" w:lineRule="exact"/>
        <w:rPr>
          <w:sz w:val="20"/>
          <w:szCs w:val="20"/>
          <w:color w:val="auto"/>
        </w:rPr>
      </w:pPr>
    </w:p>
    <w:p>
      <w:pPr>
        <w:ind w:left="400"/>
        <w:spacing w:after="0"/>
        <w:rPr>
          <w:sz w:val="20"/>
          <w:szCs w:val="20"/>
          <w:color w:val="auto"/>
        </w:rPr>
      </w:pPr>
      <w:r>
        <w:rPr>
          <w:rFonts w:ascii="Calibri" w:cs="Calibri" w:eastAsia="Calibri" w:hAnsi="Calibri"/>
          <w:sz w:val="18"/>
          <w:szCs w:val="18"/>
          <w:color w:val="auto"/>
        </w:rPr>
        <w:t>Contract assets and contract liabilites balances were as follows:</w:t>
      </w:r>
    </w:p>
    <w:tbl>
      <w:tblPr>
        <w:tblLayout w:type="fixed"/>
        <w:tblInd w:w="0" w:type="dxa"/>
        <w:tblCellMar>
          <w:top w:w="0" w:type="dxa"/>
          <w:left w:w="0" w:type="dxa"/>
          <w:bottom w:w="0" w:type="dxa"/>
          <w:right w:w="0" w:type="dxa"/>
        </w:tblCellMar>
      </w:tblPr>
      <w:tr>
        <w:trPr>
          <w:trHeight w:val="167"/>
        </w:trPr>
        <w:tc>
          <w:tcPr>
            <w:tcW w:w="8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60" w:type="dxa"/>
            <w:vAlign w:val="bottom"/>
            <w:gridSpan w:val="2"/>
          </w:tcPr>
          <w:p>
            <w:pPr>
              <w:ind w:left="160"/>
              <w:spacing w:after="0" w:line="167" w:lineRule="exact"/>
              <w:rPr>
                <w:sz w:val="20"/>
                <w:szCs w:val="20"/>
                <w:color w:val="auto"/>
              </w:rPr>
            </w:pPr>
            <w:r>
              <w:rPr>
                <w:rFonts w:ascii="Calibri" w:cs="Calibri" w:eastAsia="Calibri" w:hAnsi="Calibri"/>
                <w:sz w:val="14"/>
                <w:szCs w:val="14"/>
                <w:b w:val="1"/>
                <w:bCs w:val="1"/>
                <w:color w:val="auto"/>
              </w:rPr>
              <w:t>October 29,</w:t>
            </w:r>
          </w:p>
        </w:tc>
        <w:tc>
          <w:tcPr>
            <w:tcW w:w="340" w:type="dxa"/>
            <w:vAlign w:val="bottom"/>
          </w:tcPr>
          <w:p>
            <w:pPr>
              <w:spacing w:after="0"/>
              <w:rPr>
                <w:sz w:val="14"/>
                <w:szCs w:val="14"/>
                <w:color w:val="auto"/>
              </w:rPr>
            </w:pPr>
          </w:p>
        </w:tc>
        <w:tc>
          <w:tcPr>
            <w:tcW w:w="1200" w:type="dxa"/>
            <w:vAlign w:val="bottom"/>
          </w:tcPr>
          <w:p>
            <w:pPr>
              <w:jc w:val="right"/>
              <w:ind w:right="341"/>
              <w:spacing w:after="0" w:line="167" w:lineRule="exact"/>
              <w:rPr>
                <w:sz w:val="20"/>
                <w:szCs w:val="20"/>
                <w:color w:val="auto"/>
              </w:rPr>
            </w:pPr>
            <w:r>
              <w:rPr>
                <w:rFonts w:ascii="Calibri" w:cs="Calibri" w:eastAsia="Calibri" w:hAnsi="Calibri"/>
                <w:sz w:val="14"/>
                <w:szCs w:val="14"/>
                <w:b w:val="1"/>
                <w:bCs w:val="1"/>
                <w:color w:val="auto"/>
              </w:rPr>
              <w:t>October 30,</w:t>
            </w:r>
          </w:p>
        </w:tc>
      </w:tr>
      <w:tr>
        <w:trPr>
          <w:trHeight w:val="168"/>
        </w:trPr>
        <w:tc>
          <w:tcPr>
            <w:tcW w:w="8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tcPr>
          <w:p>
            <w:pPr>
              <w:jc w:val="right"/>
              <w:ind w:right="543"/>
              <w:spacing w:after="0" w:line="168" w:lineRule="exact"/>
              <w:rPr>
                <w:sz w:val="20"/>
                <w:szCs w:val="20"/>
                <w:color w:val="auto"/>
              </w:rPr>
            </w:pPr>
            <w:r>
              <w:rPr>
                <w:rFonts w:ascii="Calibri" w:cs="Calibri" w:eastAsia="Calibri" w:hAnsi="Calibri"/>
                <w:sz w:val="14"/>
                <w:szCs w:val="14"/>
                <w:b w:val="1"/>
                <w:bCs w:val="1"/>
                <w:color w:val="auto"/>
              </w:rPr>
              <w:t>2023</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0" w:type="dxa"/>
            <w:vAlign w:val="bottom"/>
          </w:tcPr>
          <w:p>
            <w:pPr>
              <w:jc w:val="right"/>
              <w:ind w:right="541"/>
              <w:spacing w:after="0" w:line="168" w:lineRule="exact"/>
              <w:rPr>
                <w:sz w:val="20"/>
                <w:szCs w:val="20"/>
                <w:color w:val="auto"/>
              </w:rPr>
            </w:pPr>
            <w:r>
              <w:rPr>
                <w:rFonts w:ascii="Calibri" w:cs="Calibri" w:eastAsia="Calibri" w:hAnsi="Calibri"/>
                <w:sz w:val="14"/>
                <w:szCs w:val="14"/>
                <w:b w:val="1"/>
                <w:bCs w:val="1"/>
                <w:color w:val="auto"/>
              </w:rPr>
              <w:t>2022</w:t>
            </w:r>
          </w:p>
        </w:tc>
      </w:tr>
      <w:tr>
        <w:trPr>
          <w:trHeight w:val="44"/>
        </w:trPr>
        <w:tc>
          <w:tcPr>
            <w:tcW w:w="806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r>
      <w:tr>
        <w:trPr>
          <w:trHeight w:val="186"/>
        </w:trPr>
        <w:tc>
          <w:tcPr>
            <w:tcW w:w="80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700" w:type="dxa"/>
            <w:vAlign w:val="bottom"/>
            <w:gridSpan w:val="3"/>
          </w:tcPr>
          <w:p>
            <w:pPr>
              <w:jc w:val="right"/>
              <w:spacing w:after="0"/>
              <w:rPr>
                <w:sz w:val="20"/>
                <w:szCs w:val="20"/>
                <w:color w:val="auto"/>
              </w:rPr>
            </w:pPr>
            <w:r>
              <w:rPr>
                <w:rFonts w:ascii="Calibri" w:cs="Calibri" w:eastAsia="Calibri" w:hAnsi="Calibri"/>
                <w:sz w:val="14"/>
                <w:szCs w:val="14"/>
                <w:b w:val="1"/>
                <w:bCs w:val="1"/>
                <w:color w:val="auto"/>
              </w:rPr>
              <w:t>(In millions)</w:t>
            </w:r>
          </w:p>
        </w:tc>
        <w:tc>
          <w:tcPr>
            <w:tcW w:w="1200" w:type="dxa"/>
            <w:vAlign w:val="bottom"/>
          </w:tcPr>
          <w:p>
            <w:pPr>
              <w:spacing w:after="0"/>
              <w:rPr>
                <w:sz w:val="16"/>
                <w:szCs w:val="16"/>
                <w:color w:val="auto"/>
              </w:rPr>
            </w:pPr>
          </w:p>
        </w:tc>
      </w:tr>
      <w:tr>
        <w:trPr>
          <w:trHeight w:val="45"/>
        </w:trPr>
        <w:tc>
          <w:tcPr>
            <w:tcW w:w="80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0" w:type="dxa"/>
            <w:vAlign w:val="bottom"/>
          </w:tcPr>
          <w:p>
            <w:pPr>
              <w:spacing w:after="0"/>
              <w:rPr>
                <w:sz w:val="3"/>
                <w:szCs w:val="3"/>
                <w:color w:val="auto"/>
              </w:rPr>
            </w:pPr>
          </w:p>
        </w:tc>
      </w:tr>
      <w:tr>
        <w:trPr>
          <w:trHeight w:val="224"/>
        </w:trPr>
        <w:tc>
          <w:tcPr>
            <w:tcW w:w="8060" w:type="dxa"/>
            <w:vAlign w:val="bottom"/>
            <w:shd w:val="clear" w:color="auto" w:fill="CCEEFF"/>
          </w:tcPr>
          <w:p>
            <w:pPr>
              <w:ind w:left="20"/>
              <w:spacing w:after="0" w:line="210" w:lineRule="exact"/>
              <w:rPr>
                <w:sz w:val="20"/>
                <w:szCs w:val="20"/>
                <w:color w:val="auto"/>
              </w:rPr>
            </w:pPr>
            <w:r>
              <w:rPr>
                <w:rFonts w:ascii="Calibri" w:cs="Calibri" w:eastAsia="Calibri" w:hAnsi="Calibri"/>
                <w:sz w:val="18"/>
                <w:szCs w:val="18"/>
                <w:color w:val="auto"/>
              </w:rPr>
              <w:t>Contract Assets</w:t>
            </w:r>
          </w:p>
        </w:tc>
        <w:tc>
          <w:tcPr>
            <w:tcW w:w="260" w:type="dxa"/>
            <w:vAlign w:val="bottom"/>
            <w:shd w:val="clear" w:color="auto" w:fill="CCEEFF"/>
          </w:tcPr>
          <w:p>
            <w:pPr>
              <w:jc w:val="right"/>
              <w:ind w:right="72"/>
              <w:spacing w:after="0" w:line="210" w:lineRule="exact"/>
              <w:rPr>
                <w:sz w:val="20"/>
                <w:szCs w:val="20"/>
                <w:color w:val="auto"/>
              </w:rPr>
            </w:pPr>
            <w:r>
              <w:rPr>
                <w:rFonts w:ascii="Calibri" w:cs="Calibri" w:eastAsia="Calibri" w:hAnsi="Calibri"/>
                <w:sz w:val="18"/>
                <w:szCs w:val="18"/>
                <w:color w:val="auto"/>
                <w:w w:val="87"/>
              </w:rPr>
              <w:t>$</w:t>
            </w:r>
          </w:p>
        </w:tc>
        <w:tc>
          <w:tcPr>
            <w:tcW w:w="1260" w:type="dxa"/>
            <w:vAlign w:val="bottom"/>
            <w:shd w:val="clear" w:color="auto" w:fill="CCEEFF"/>
          </w:tcPr>
          <w:p>
            <w:pPr>
              <w:jc w:val="right"/>
              <w:spacing w:after="0" w:line="210" w:lineRule="exact"/>
              <w:rPr>
                <w:sz w:val="20"/>
                <w:szCs w:val="20"/>
                <w:color w:val="auto"/>
              </w:rPr>
            </w:pPr>
            <w:r>
              <w:rPr>
                <w:rFonts w:ascii="Calibri" w:cs="Calibri" w:eastAsia="Calibri" w:hAnsi="Calibri"/>
                <w:sz w:val="18"/>
                <w:szCs w:val="18"/>
                <w:color w:val="auto"/>
              </w:rPr>
              <w:t>955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2"/>
              <w:spacing w:after="0" w:line="210" w:lineRule="exact"/>
              <w:rPr>
                <w:sz w:val="20"/>
                <w:szCs w:val="20"/>
                <w:color w:val="auto"/>
              </w:rPr>
            </w:pPr>
            <w:r>
              <w:rPr>
                <w:rFonts w:ascii="Calibri" w:cs="Calibri" w:eastAsia="Calibri" w:hAnsi="Calibri"/>
                <w:sz w:val="18"/>
                <w:szCs w:val="18"/>
                <w:color w:val="auto"/>
              </w:rPr>
              <w:t>$</w:t>
            </w:r>
          </w:p>
        </w:tc>
        <w:tc>
          <w:tcPr>
            <w:tcW w:w="1200" w:type="dxa"/>
            <w:vAlign w:val="bottom"/>
            <w:shd w:val="clear" w:color="auto" w:fill="CCEEFF"/>
          </w:tcPr>
          <w:p>
            <w:pPr>
              <w:jc w:val="right"/>
              <w:spacing w:after="0" w:line="210" w:lineRule="exact"/>
              <w:rPr>
                <w:sz w:val="20"/>
                <w:szCs w:val="20"/>
                <w:color w:val="auto"/>
              </w:rPr>
            </w:pPr>
            <w:r>
              <w:rPr>
                <w:rFonts w:ascii="Calibri" w:cs="Calibri" w:eastAsia="Calibri" w:hAnsi="Calibri"/>
                <w:sz w:val="18"/>
                <w:szCs w:val="18"/>
                <w:color w:val="auto"/>
              </w:rPr>
              <w:t>128</w:t>
            </w:r>
          </w:p>
        </w:tc>
      </w:tr>
      <w:tr>
        <w:trPr>
          <w:trHeight w:val="264"/>
        </w:trPr>
        <w:tc>
          <w:tcPr>
            <w:tcW w:w="80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00" w:type="dxa"/>
            <w:vAlign w:val="bottom"/>
          </w:tcPr>
          <w:p>
            <w:pPr>
              <w:spacing w:after="0"/>
              <w:rPr>
                <w:sz w:val="22"/>
                <w:szCs w:val="22"/>
                <w:color w:val="auto"/>
              </w:rPr>
            </w:pPr>
          </w:p>
        </w:tc>
      </w:tr>
      <w:tr>
        <w:trPr>
          <w:trHeight w:val="224"/>
        </w:trPr>
        <w:tc>
          <w:tcPr>
            <w:tcW w:w="8060" w:type="dxa"/>
            <w:vAlign w:val="bottom"/>
            <w:shd w:val="clear" w:color="auto" w:fill="CCEEFF"/>
          </w:tcPr>
          <w:p>
            <w:pPr>
              <w:ind w:left="20"/>
              <w:spacing w:after="0" w:line="210" w:lineRule="exact"/>
              <w:rPr>
                <w:sz w:val="20"/>
                <w:szCs w:val="20"/>
                <w:color w:val="auto"/>
              </w:rPr>
            </w:pPr>
            <w:r>
              <w:rPr>
                <w:rFonts w:ascii="Calibri" w:cs="Calibri" w:eastAsia="Calibri" w:hAnsi="Calibri"/>
                <w:sz w:val="18"/>
                <w:szCs w:val="18"/>
                <w:color w:val="auto"/>
              </w:rPr>
              <w:t>Contract Liabilites</w:t>
            </w:r>
          </w:p>
        </w:tc>
        <w:tc>
          <w:tcPr>
            <w:tcW w:w="260" w:type="dxa"/>
            <w:vAlign w:val="bottom"/>
            <w:shd w:val="clear" w:color="auto" w:fill="CCEEFF"/>
          </w:tcPr>
          <w:p>
            <w:pPr>
              <w:jc w:val="right"/>
              <w:ind w:right="72"/>
              <w:spacing w:after="0" w:line="210" w:lineRule="exact"/>
              <w:rPr>
                <w:sz w:val="20"/>
                <w:szCs w:val="20"/>
                <w:color w:val="auto"/>
              </w:rPr>
            </w:pPr>
            <w:r>
              <w:rPr>
                <w:rFonts w:ascii="Calibri" w:cs="Calibri" w:eastAsia="Calibri" w:hAnsi="Calibri"/>
                <w:sz w:val="18"/>
                <w:szCs w:val="18"/>
                <w:color w:val="auto"/>
                <w:w w:val="87"/>
              </w:rPr>
              <w:t>$</w:t>
            </w:r>
          </w:p>
        </w:tc>
        <w:tc>
          <w:tcPr>
            <w:tcW w:w="1260" w:type="dxa"/>
            <w:vAlign w:val="bottom"/>
            <w:shd w:val="clear" w:color="auto" w:fill="CCEEFF"/>
          </w:tcPr>
          <w:p>
            <w:pPr>
              <w:jc w:val="right"/>
              <w:spacing w:after="0" w:line="210" w:lineRule="exact"/>
              <w:rPr>
                <w:sz w:val="20"/>
                <w:szCs w:val="20"/>
                <w:color w:val="auto"/>
              </w:rPr>
            </w:pPr>
            <w:r>
              <w:rPr>
                <w:rFonts w:ascii="Calibri" w:cs="Calibri" w:eastAsia="Calibri" w:hAnsi="Calibri"/>
                <w:sz w:val="18"/>
                <w:szCs w:val="18"/>
                <w:color w:val="auto"/>
              </w:rPr>
              <w:t>2,786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2"/>
              <w:spacing w:after="0" w:line="210" w:lineRule="exact"/>
              <w:rPr>
                <w:sz w:val="20"/>
                <w:szCs w:val="20"/>
                <w:color w:val="auto"/>
              </w:rPr>
            </w:pPr>
            <w:r>
              <w:rPr>
                <w:rFonts w:ascii="Calibri" w:cs="Calibri" w:eastAsia="Calibri" w:hAnsi="Calibri"/>
                <w:sz w:val="18"/>
                <w:szCs w:val="18"/>
                <w:color w:val="auto"/>
              </w:rPr>
              <w:t>$</w:t>
            </w:r>
          </w:p>
        </w:tc>
        <w:tc>
          <w:tcPr>
            <w:tcW w:w="1200" w:type="dxa"/>
            <w:vAlign w:val="bottom"/>
            <w:shd w:val="clear" w:color="auto" w:fill="CCEEFF"/>
          </w:tcPr>
          <w:p>
            <w:pPr>
              <w:jc w:val="right"/>
              <w:spacing w:after="0" w:line="210" w:lineRule="exact"/>
              <w:rPr>
                <w:sz w:val="20"/>
                <w:szCs w:val="20"/>
                <w:color w:val="auto"/>
              </w:rPr>
            </w:pPr>
            <w:r>
              <w:rPr>
                <w:rFonts w:ascii="Calibri" w:cs="Calibri" w:eastAsia="Calibri" w:hAnsi="Calibri"/>
                <w:sz w:val="18"/>
                <w:szCs w:val="18"/>
                <w:color w:val="auto"/>
              </w:rPr>
              <w:t>3,341</w:t>
            </w:r>
          </w:p>
        </w:tc>
      </w:tr>
    </w:tbl>
    <w:p>
      <w:pPr>
        <w:spacing w:after="0" w:line="164" w:lineRule="exact"/>
        <w:rPr>
          <w:sz w:val="20"/>
          <w:szCs w:val="20"/>
          <w:color w:val="auto"/>
        </w:rPr>
      </w:pPr>
    </w:p>
    <w:p>
      <w:pPr>
        <w:ind w:firstLine="396"/>
        <w:spacing w:after="0" w:line="230" w:lineRule="auto"/>
        <w:rPr>
          <w:sz w:val="20"/>
          <w:szCs w:val="20"/>
          <w:color w:val="auto"/>
        </w:rPr>
      </w:pPr>
      <w:r>
        <w:rPr>
          <w:rFonts w:ascii="Calibri" w:cs="Calibri" w:eastAsia="Calibri" w:hAnsi="Calibri"/>
          <w:sz w:val="18"/>
          <w:szCs w:val="18"/>
          <w:color w:val="auto"/>
        </w:rPr>
        <w:t>Changes in our contract assets and contract liabilites primarily result from the tming diference between our performance and the customer’s payment. We fulfll our obligatons under a contract with a customer by transferring products and services in exchange for consideraton from the customer. We recognize a contract asset when we transfer products or services to a customer and the right to consideraton is conditonal on something other than the passage of tme. Accounts receivable are recorded when the customer has been billed or the right to consideraton is unconditonal. We recognize contract liabilites when we have received consideraton or an amount of consideraton is due from the customer and we have a future obligaton to transfer products or services. The majority of our contract liabilites represents amounts billed or collected and advanced payments on contracts or arrangements which include terminaton for convenience provisions. The amount of revenue recognized during fscal year 2023 that was included in the contract liabilites balance as of October 30, 2022 was $2,915 million. The amount of revenue recognized during fscal year 2022 that was included in the contract liabilites balance as of October 31, 2021 was $2,615 million.</w:t>
      </w:r>
    </w:p>
    <w:p>
      <w:pPr>
        <w:spacing w:after="0" w:line="102"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Remaining Performance Obligatons</w:t>
      </w:r>
    </w:p>
    <w:p>
      <w:pPr>
        <w:spacing w:after="0" w:line="107" w:lineRule="exact"/>
        <w:rPr>
          <w:sz w:val="20"/>
          <w:szCs w:val="20"/>
          <w:color w:val="auto"/>
        </w:rPr>
      </w:pPr>
    </w:p>
    <w:p>
      <w:pPr>
        <w:ind w:right="20" w:firstLine="396"/>
        <w:spacing w:after="0" w:line="230" w:lineRule="auto"/>
        <w:rPr>
          <w:sz w:val="20"/>
          <w:szCs w:val="20"/>
          <w:color w:val="auto"/>
        </w:rPr>
      </w:pPr>
      <w:r>
        <w:rPr>
          <w:rFonts w:ascii="Calibri" w:cs="Calibri" w:eastAsia="Calibri" w:hAnsi="Calibri"/>
          <w:sz w:val="18"/>
          <w:szCs w:val="18"/>
          <w:color w:val="auto"/>
        </w:rPr>
        <w:t>Revenue allocated to remaining performance obligatons represents the transacton price allocated to unsatsfed or partally unsatsfed performance obligatons. Remaining performance obligatons include unearned revenue and amounts that will be invoiced and recognized as revenue in future periods, but do not include contracts for sofware, subscriptons or services where the customer is not commited. The customer is not considered commited when terminaton for convenience without payment of a substantve penalty exists, either contractually or through customary business practce. The majority of our customer sofware contracts include terminaton for convenience clauses without a substantve penalty and are not considered commited. Additonally, as a practcal expedient, we have not included contracts that have an original duraton of one year or less, nor have we included contracts with sales-based or usage-based royaltes promised in exchange for a license of IP.</w:t>
      </w:r>
    </w:p>
    <w:p>
      <w:pPr>
        <w:spacing w:after="0" w:line="110" w:lineRule="exact"/>
        <w:rPr>
          <w:sz w:val="20"/>
          <w:szCs w:val="20"/>
          <w:color w:val="auto"/>
        </w:rPr>
      </w:pPr>
    </w:p>
    <w:p>
      <w:pPr>
        <w:ind w:right="200" w:firstLine="396"/>
        <w:spacing w:after="0" w:line="230" w:lineRule="auto"/>
        <w:rPr>
          <w:sz w:val="20"/>
          <w:szCs w:val="20"/>
          <w:color w:val="auto"/>
        </w:rPr>
      </w:pPr>
      <w:r>
        <w:rPr>
          <w:rFonts w:ascii="Calibri" w:cs="Calibri" w:eastAsia="Calibri" w:hAnsi="Calibri"/>
          <w:sz w:val="18"/>
          <w:szCs w:val="18"/>
          <w:color w:val="auto"/>
        </w:rPr>
        <w:t>Certain mult-year customer contracts, primarily in our semiconductor solutons segment, contain frmly commited amounts and the remaining performance obligatons under these contracts as of October 29, 2023 were approximately $20.3 billion. We expect approximately 30% of this amount to be recognized as revenue over the next 12 months. Although the majority of our sofware contracts are not deemed to be commited, our customers generally do not exercise their terminaton for convenience rights. In additon, the majority of our contracts for products, subscriptons and services have a duraton of one year or less. Accordingly, our remaining performance obligatons disclosed above are not indicatve of revenue for future periods</w:t>
      </w:r>
      <w:r>
        <w:rPr>
          <w:rFonts w:ascii="Calibri" w:cs="Calibri" w:eastAsia="Calibri" w:hAnsi="Calibri"/>
          <w:sz w:val="18"/>
          <w:szCs w:val="18"/>
          <w:color w:val="222222"/>
        </w:rPr>
        <w:t>.</w:t>
      </w: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9" w:right="339" w:bottom="1440" w:gutter="0" w:footer="0" w:header="0"/>
        </w:sectPr>
      </w:pPr>
    </w:p>
    <w:bookmarkStart w:id="64" w:name="page65"/>
    <w:bookmarkEnd w:id="64"/>
    <w:p>
      <w:pPr>
        <w:spacing w:after="0"/>
        <w:rPr>
          <w:sz w:val="20"/>
          <w:szCs w:val="20"/>
          <w:color w:val="auto"/>
        </w:rPr>
      </w:pPr>
      <w:r>
        <w:rPr>
          <w:rFonts w:ascii="Calibri" w:cs="Calibri" w:eastAsia="Calibri" w:hAnsi="Calibri"/>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4. Supplemental Financial Informaton</w:t>
      </w:r>
    </w:p>
    <w:p>
      <w:pPr>
        <w:spacing w:after="0" w:line="97"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Cash Equivalents</w:t>
      </w:r>
    </w:p>
    <w:p>
      <w:pPr>
        <w:spacing w:after="0" w:line="97" w:lineRule="exact"/>
        <w:rPr>
          <w:sz w:val="20"/>
          <w:szCs w:val="20"/>
          <w:color w:val="auto"/>
        </w:rPr>
      </w:pPr>
    </w:p>
    <w:p>
      <w:pPr>
        <w:ind w:left="400"/>
        <w:spacing w:after="0"/>
        <w:rPr>
          <w:sz w:val="20"/>
          <w:szCs w:val="20"/>
          <w:color w:val="auto"/>
        </w:rPr>
      </w:pPr>
      <w:r>
        <w:rPr>
          <w:rFonts w:ascii="Calibri" w:cs="Calibri" w:eastAsia="Calibri" w:hAnsi="Calibri"/>
          <w:sz w:val="18"/>
          <w:szCs w:val="18"/>
          <w:color w:val="auto"/>
        </w:rPr>
        <w:t>Cash equivalents included $1,470 million and $3,915 million of tme deposits and $1,650 million and $2,365 million of money-market funds as of</w:t>
      </w:r>
    </w:p>
    <w:p>
      <w:pPr>
        <w:spacing w:after="0" w:line="1" w:lineRule="exact"/>
        <w:rPr>
          <w:sz w:val="20"/>
          <w:szCs w:val="20"/>
          <w:color w:val="auto"/>
        </w:rPr>
      </w:pPr>
    </w:p>
    <w:p>
      <w:pPr>
        <w:spacing w:after="0"/>
        <w:rPr>
          <w:sz w:val="20"/>
          <w:szCs w:val="20"/>
          <w:color w:val="auto"/>
        </w:rPr>
      </w:pPr>
      <w:r>
        <w:rPr>
          <w:rFonts w:ascii="Calibri" w:cs="Calibri" w:eastAsia="Calibri" w:hAnsi="Calibri"/>
          <w:sz w:val="17"/>
          <w:szCs w:val="17"/>
          <w:color w:val="auto"/>
        </w:rPr>
        <w:t>October 29, 2023 and October 30, 2022, respectvely. For tme deposits, carrying value approximates fair value due to the short-term nature of the instruments.</w:t>
      </w:r>
    </w:p>
    <w:p>
      <w:pPr>
        <w:spacing w:after="0" w:line="4" w:lineRule="exact"/>
        <w:rPr>
          <w:sz w:val="20"/>
          <w:szCs w:val="20"/>
          <w:color w:val="auto"/>
        </w:rPr>
      </w:pPr>
    </w:p>
    <w:p>
      <w:pPr>
        <w:spacing w:after="0"/>
        <w:rPr>
          <w:sz w:val="20"/>
          <w:szCs w:val="20"/>
          <w:color w:val="auto"/>
        </w:rPr>
      </w:pPr>
      <w:r>
        <w:rPr>
          <w:rFonts w:ascii="Calibri" w:cs="Calibri" w:eastAsia="Calibri" w:hAnsi="Calibri"/>
          <w:sz w:val="17"/>
          <w:szCs w:val="17"/>
          <w:color w:val="auto"/>
        </w:rPr>
        <w:t>The fair value of money-market funds, which was consistent with their carrying value, was determined using unadjusted prices in actve, accessible markets for</w:t>
      </w:r>
    </w:p>
    <w:p>
      <w:pPr>
        <w:spacing w:after="0" w:line="233" w:lineRule="auto"/>
        <w:rPr>
          <w:sz w:val="20"/>
          <w:szCs w:val="20"/>
          <w:color w:val="auto"/>
        </w:rPr>
      </w:pPr>
      <w:r>
        <w:rPr>
          <w:rFonts w:ascii="Calibri" w:cs="Calibri" w:eastAsia="Calibri" w:hAnsi="Calibri"/>
          <w:sz w:val="18"/>
          <w:szCs w:val="18"/>
          <w:color w:val="auto"/>
        </w:rPr>
        <w:t>identcal assets, and as such, they were classifed as Level 1 assets in the fair value hierarchy.</w:t>
      </w:r>
    </w:p>
    <w:p>
      <w:pPr>
        <w:spacing w:after="0" w:line="98"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Accounts Receivable Factoring</w:t>
      </w:r>
    </w:p>
    <w:p>
      <w:pPr>
        <w:spacing w:after="0" w:line="107" w:lineRule="exact"/>
        <w:rPr>
          <w:sz w:val="20"/>
          <w:szCs w:val="20"/>
          <w:color w:val="auto"/>
        </w:rPr>
      </w:pPr>
    </w:p>
    <w:p>
      <w:pPr>
        <w:ind w:right="180" w:firstLine="396"/>
        <w:spacing w:after="0" w:line="244" w:lineRule="auto"/>
        <w:rPr>
          <w:sz w:val="20"/>
          <w:szCs w:val="20"/>
          <w:color w:val="auto"/>
        </w:rPr>
      </w:pPr>
      <w:r>
        <w:rPr>
          <w:rFonts w:ascii="Calibri" w:cs="Calibri" w:eastAsia="Calibri" w:hAnsi="Calibri"/>
          <w:sz w:val="17"/>
          <w:szCs w:val="17"/>
          <w:color w:val="auto"/>
        </w:rPr>
        <w:t>We sell certain of our trade accounts receivable on a non-recourse basis to third-party fnancial insttutons pursuant to factoring arrangements. We account for these transactons as sales of receivables and present cash proceeds as cash provided by operatng actvites in the consolidated statements of cash fows. Total trade accounts receivable sold under the factoring arrangements were $3,975 million, $3,700 million and $4,027 million during fscal years 2023,</w:t>
      </w:r>
    </w:p>
    <w:p>
      <w:pPr>
        <w:spacing w:after="0" w:line="1" w:lineRule="exact"/>
        <w:rPr>
          <w:sz w:val="20"/>
          <w:szCs w:val="20"/>
          <w:color w:val="auto"/>
        </w:rPr>
      </w:pPr>
    </w:p>
    <w:p>
      <w:pPr>
        <w:spacing w:after="0" w:line="230" w:lineRule="auto"/>
        <w:rPr>
          <w:sz w:val="20"/>
          <w:szCs w:val="20"/>
          <w:color w:val="auto"/>
        </w:rPr>
      </w:pPr>
      <w:r>
        <w:rPr>
          <w:rFonts w:ascii="Calibri" w:cs="Calibri" w:eastAsia="Calibri" w:hAnsi="Calibri"/>
          <w:sz w:val="18"/>
          <w:szCs w:val="18"/>
          <w:color w:val="auto"/>
        </w:rPr>
        <w:t>2022 and 2021, respectvely. Factoring fees for the sales of receivables were recorded in other income (expense), net and were not material for any of the periods presented.</w:t>
      </w:r>
    </w:p>
    <w:p>
      <w:pPr>
        <w:spacing w:after="0" w:line="97"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Inventory</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00" w:type="dxa"/>
            <w:vAlign w:val="bottom"/>
            <w:gridSpan w:val="2"/>
          </w:tcPr>
          <w:p>
            <w:pPr>
              <w:jc w:val="center"/>
              <w:ind w:right="360"/>
              <w:spacing w:after="0"/>
              <w:rPr>
                <w:sz w:val="20"/>
                <w:szCs w:val="20"/>
                <w:color w:val="auto"/>
              </w:rPr>
            </w:pPr>
            <w:r>
              <w:rPr>
                <w:rFonts w:ascii="Calibri" w:cs="Calibri" w:eastAsia="Calibri" w:hAnsi="Calibri"/>
                <w:sz w:val="14"/>
                <w:szCs w:val="14"/>
                <w:b w:val="1"/>
                <w:bCs w:val="1"/>
                <w:color w:val="auto"/>
              </w:rPr>
              <w:t>October 29,</w:t>
            </w:r>
          </w:p>
        </w:tc>
        <w:tc>
          <w:tcPr>
            <w:tcW w:w="320" w:type="dxa"/>
            <w:vAlign w:val="bottom"/>
          </w:tcPr>
          <w:p>
            <w:pPr>
              <w:spacing w:after="0"/>
              <w:rPr>
                <w:sz w:val="14"/>
                <w:szCs w:val="14"/>
                <w:color w:val="auto"/>
              </w:rPr>
            </w:pPr>
          </w:p>
        </w:tc>
        <w:tc>
          <w:tcPr>
            <w:tcW w:w="1100" w:type="dxa"/>
            <w:vAlign w:val="bottom"/>
          </w:tcPr>
          <w:p>
            <w:pPr>
              <w:jc w:val="center"/>
              <w:ind w:right="257"/>
              <w:spacing w:after="0"/>
              <w:rPr>
                <w:sz w:val="20"/>
                <w:szCs w:val="20"/>
                <w:color w:val="auto"/>
              </w:rPr>
            </w:pPr>
            <w:r>
              <w:rPr>
                <w:rFonts w:ascii="Calibri" w:cs="Calibri" w:eastAsia="Calibri" w:hAnsi="Calibri"/>
                <w:sz w:val="14"/>
                <w:szCs w:val="14"/>
                <w:b w:val="1"/>
                <w:bCs w:val="1"/>
                <w:color w:val="auto"/>
                <w:w w:val="99"/>
              </w:rPr>
              <w:t>October 30,</w:t>
            </w:r>
          </w:p>
        </w:tc>
        <w:tc>
          <w:tcPr>
            <w:tcW w:w="0" w:type="dxa"/>
            <w:vAlign w:val="bottom"/>
          </w:tcPr>
          <w:p>
            <w:pPr>
              <w:spacing w:after="0"/>
              <w:rPr>
                <w:sz w:val="1"/>
                <w:szCs w:val="1"/>
                <w:color w:val="auto"/>
              </w:rPr>
            </w:pPr>
          </w:p>
        </w:tc>
      </w:tr>
      <w:tr>
        <w:trPr>
          <w:trHeight w:val="168"/>
        </w:trPr>
        <w:tc>
          <w:tcPr>
            <w:tcW w:w="8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tcPr>
          <w:p>
            <w:pPr>
              <w:jc w:val="center"/>
              <w:ind w:right="158"/>
              <w:spacing w:after="0" w:line="168" w:lineRule="exact"/>
              <w:rPr>
                <w:sz w:val="20"/>
                <w:szCs w:val="20"/>
                <w:color w:val="auto"/>
              </w:rPr>
            </w:pPr>
            <w:r>
              <w:rPr>
                <w:rFonts w:ascii="Calibri" w:cs="Calibri" w:eastAsia="Calibri" w:hAnsi="Calibri"/>
                <w:sz w:val="14"/>
                <w:szCs w:val="14"/>
                <w:b w:val="1"/>
                <w:bCs w:val="1"/>
                <w:color w:val="auto"/>
              </w:rPr>
              <w:t>2023</w:t>
            </w: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jc w:val="center"/>
              <w:ind w:right="257"/>
              <w:spacing w:after="0" w:line="168" w:lineRule="exact"/>
              <w:rPr>
                <w:sz w:val="20"/>
                <w:szCs w:val="20"/>
                <w:color w:val="auto"/>
              </w:rPr>
            </w:pPr>
            <w:r>
              <w:rPr>
                <w:rFonts w:ascii="Calibri" w:cs="Calibri" w:eastAsia="Calibri" w:hAnsi="Calibri"/>
                <w:sz w:val="14"/>
                <w:szCs w:val="14"/>
                <w:b w:val="1"/>
                <w:bCs w:val="1"/>
                <w:color w:val="auto"/>
                <w:w w:val="98"/>
              </w:rPr>
              <w:t>2022</w:t>
            </w:r>
          </w:p>
        </w:tc>
        <w:tc>
          <w:tcPr>
            <w:tcW w:w="0" w:type="dxa"/>
            <w:vAlign w:val="bottom"/>
          </w:tcPr>
          <w:p>
            <w:pPr>
              <w:spacing w:after="0"/>
              <w:rPr>
                <w:sz w:val="1"/>
                <w:szCs w:val="1"/>
                <w:color w:val="auto"/>
              </w:rPr>
            </w:pPr>
          </w:p>
        </w:tc>
      </w:tr>
      <w:tr>
        <w:trPr>
          <w:trHeight w:val="32"/>
        </w:trPr>
        <w:tc>
          <w:tcPr>
            <w:tcW w:w="82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8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20" w:type="dxa"/>
            <w:vAlign w:val="bottom"/>
            <w:gridSpan w:val="3"/>
          </w:tcPr>
          <w:p>
            <w:pPr>
              <w:jc w:val="right"/>
              <w:spacing w:after="0"/>
              <w:rPr>
                <w:sz w:val="20"/>
                <w:szCs w:val="20"/>
                <w:color w:val="auto"/>
              </w:rPr>
            </w:pPr>
            <w:r>
              <w:rPr>
                <w:rFonts w:ascii="Calibri" w:cs="Calibri" w:eastAsia="Calibri" w:hAnsi="Calibri"/>
                <w:sz w:val="14"/>
                <w:szCs w:val="14"/>
                <w:b w:val="1"/>
                <w:bCs w:val="1"/>
                <w:color w:val="auto"/>
              </w:rPr>
              <w:t>(In millions)</w:t>
            </w: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82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4"/>
        </w:trPr>
        <w:tc>
          <w:tcPr>
            <w:tcW w:w="8220" w:type="dxa"/>
            <w:vAlign w:val="bottom"/>
            <w:shd w:val="clear" w:color="auto" w:fill="CCEEFF"/>
          </w:tcPr>
          <w:p>
            <w:pPr>
              <w:ind w:left="20"/>
              <w:spacing w:after="0" w:line="210" w:lineRule="exact"/>
              <w:rPr>
                <w:sz w:val="20"/>
                <w:szCs w:val="20"/>
                <w:color w:val="auto"/>
              </w:rPr>
            </w:pPr>
            <w:r>
              <w:rPr>
                <w:rFonts w:ascii="Calibri" w:cs="Calibri" w:eastAsia="Calibri" w:hAnsi="Calibri"/>
                <w:sz w:val="18"/>
                <w:szCs w:val="18"/>
                <w:color w:val="auto"/>
              </w:rPr>
              <w:t>Finished goods</w:t>
            </w:r>
          </w:p>
        </w:tc>
        <w:tc>
          <w:tcPr>
            <w:tcW w:w="240" w:type="dxa"/>
            <w:vAlign w:val="bottom"/>
            <w:shd w:val="clear" w:color="auto" w:fill="CCEEFF"/>
          </w:tcPr>
          <w:p>
            <w:pPr>
              <w:jc w:val="right"/>
              <w:ind w:right="52"/>
              <w:spacing w:after="0" w:line="210" w:lineRule="exact"/>
              <w:rPr>
                <w:sz w:val="20"/>
                <w:szCs w:val="20"/>
                <w:color w:val="auto"/>
              </w:rPr>
            </w:pPr>
            <w:r>
              <w:rPr>
                <w:rFonts w:ascii="Calibri" w:cs="Calibri" w:eastAsia="Calibri" w:hAnsi="Calibri"/>
                <w:sz w:val="18"/>
                <w:szCs w:val="18"/>
                <w:color w:val="auto"/>
                <w:w w:val="87"/>
              </w:rPr>
              <w:t>$</w:t>
            </w:r>
          </w:p>
        </w:tc>
        <w:tc>
          <w:tcPr>
            <w:tcW w:w="1180" w:type="dxa"/>
            <w:vAlign w:val="bottom"/>
            <w:shd w:val="clear" w:color="auto" w:fill="CCEEFF"/>
          </w:tcPr>
          <w:p>
            <w:pPr>
              <w:jc w:val="right"/>
              <w:spacing w:after="0" w:line="210" w:lineRule="exact"/>
              <w:rPr>
                <w:sz w:val="20"/>
                <w:szCs w:val="20"/>
                <w:color w:val="auto"/>
              </w:rPr>
            </w:pPr>
            <w:r>
              <w:rPr>
                <w:rFonts w:ascii="Calibri" w:cs="Calibri" w:eastAsia="Calibri" w:hAnsi="Calibri"/>
                <w:sz w:val="18"/>
                <w:szCs w:val="18"/>
                <w:color w:val="auto"/>
              </w:rPr>
              <w:t>676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2"/>
              <w:spacing w:after="0" w:line="210" w:lineRule="exact"/>
              <w:rPr>
                <w:sz w:val="20"/>
                <w:szCs w:val="20"/>
                <w:color w:val="auto"/>
              </w:rPr>
            </w:pPr>
            <w:r>
              <w:rPr>
                <w:rFonts w:ascii="Calibri" w:cs="Calibri" w:eastAsia="Calibri" w:hAnsi="Calibri"/>
                <w:sz w:val="18"/>
                <w:szCs w:val="18"/>
                <w:color w:val="auto"/>
                <w:w w:val="87"/>
              </w:rPr>
              <w:t>$</w:t>
            </w:r>
          </w:p>
        </w:tc>
        <w:tc>
          <w:tcPr>
            <w:tcW w:w="1100" w:type="dxa"/>
            <w:vAlign w:val="bottom"/>
            <w:shd w:val="clear" w:color="auto" w:fill="CCEEFF"/>
          </w:tcPr>
          <w:p>
            <w:pPr>
              <w:jc w:val="right"/>
              <w:spacing w:after="0" w:line="210" w:lineRule="exact"/>
              <w:rPr>
                <w:sz w:val="20"/>
                <w:szCs w:val="20"/>
                <w:color w:val="auto"/>
              </w:rPr>
            </w:pPr>
            <w:r>
              <w:rPr>
                <w:rFonts w:ascii="Calibri" w:cs="Calibri" w:eastAsia="Calibri" w:hAnsi="Calibri"/>
                <w:sz w:val="18"/>
                <w:szCs w:val="18"/>
                <w:color w:val="auto"/>
              </w:rPr>
              <w:t>780</w:t>
            </w:r>
          </w:p>
        </w:tc>
        <w:tc>
          <w:tcPr>
            <w:tcW w:w="0" w:type="dxa"/>
            <w:vAlign w:val="bottom"/>
          </w:tcPr>
          <w:p>
            <w:pPr>
              <w:spacing w:after="0"/>
              <w:rPr>
                <w:sz w:val="1"/>
                <w:szCs w:val="1"/>
                <w:color w:val="auto"/>
              </w:rPr>
            </w:pPr>
          </w:p>
        </w:tc>
      </w:tr>
      <w:tr>
        <w:trPr>
          <w:trHeight w:val="217"/>
        </w:trPr>
        <w:tc>
          <w:tcPr>
            <w:tcW w:w="8220" w:type="dxa"/>
            <w:vAlign w:val="bottom"/>
          </w:tcPr>
          <w:p>
            <w:pPr>
              <w:ind w:left="20"/>
              <w:spacing w:after="0" w:line="210" w:lineRule="exact"/>
              <w:rPr>
                <w:sz w:val="20"/>
                <w:szCs w:val="20"/>
                <w:color w:val="auto"/>
              </w:rPr>
            </w:pPr>
            <w:r>
              <w:rPr>
                <w:rFonts w:ascii="Calibri" w:cs="Calibri" w:eastAsia="Calibri" w:hAnsi="Calibri"/>
                <w:sz w:val="18"/>
                <w:szCs w:val="18"/>
                <w:color w:val="auto"/>
              </w:rPr>
              <w:t>Work-in-process</w:t>
            </w:r>
          </w:p>
        </w:tc>
        <w:tc>
          <w:tcPr>
            <w:tcW w:w="240" w:type="dxa"/>
            <w:vAlign w:val="bottom"/>
          </w:tcPr>
          <w:p>
            <w:pPr>
              <w:spacing w:after="0"/>
              <w:rPr>
                <w:sz w:val="18"/>
                <w:szCs w:val="18"/>
                <w:color w:val="auto"/>
              </w:rPr>
            </w:pPr>
          </w:p>
        </w:tc>
        <w:tc>
          <w:tcPr>
            <w:tcW w:w="1180" w:type="dxa"/>
            <w:vAlign w:val="bottom"/>
          </w:tcPr>
          <w:p>
            <w:pPr>
              <w:jc w:val="right"/>
              <w:spacing w:after="0" w:line="210" w:lineRule="exact"/>
              <w:rPr>
                <w:sz w:val="20"/>
                <w:szCs w:val="20"/>
                <w:color w:val="auto"/>
              </w:rPr>
            </w:pPr>
            <w:r>
              <w:rPr>
                <w:rFonts w:ascii="Calibri" w:cs="Calibri" w:eastAsia="Calibri" w:hAnsi="Calibri"/>
                <w:sz w:val="18"/>
                <w:szCs w:val="18"/>
                <w:color w:val="auto"/>
              </w:rPr>
              <w:t>901</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line="210" w:lineRule="exact"/>
              <w:rPr>
                <w:sz w:val="20"/>
                <w:szCs w:val="20"/>
                <w:color w:val="auto"/>
              </w:rPr>
            </w:pPr>
            <w:r>
              <w:rPr>
                <w:rFonts w:ascii="Calibri" w:cs="Calibri" w:eastAsia="Calibri" w:hAnsi="Calibri"/>
                <w:sz w:val="18"/>
                <w:szCs w:val="18"/>
                <w:color w:val="auto"/>
              </w:rPr>
              <w:t>966</w:t>
            </w:r>
          </w:p>
        </w:tc>
        <w:tc>
          <w:tcPr>
            <w:tcW w:w="0" w:type="dxa"/>
            <w:vAlign w:val="bottom"/>
          </w:tcPr>
          <w:p>
            <w:pPr>
              <w:spacing w:after="0"/>
              <w:rPr>
                <w:sz w:val="1"/>
                <w:szCs w:val="1"/>
                <w:color w:val="auto"/>
              </w:rPr>
            </w:pPr>
          </w:p>
        </w:tc>
      </w:tr>
      <w:tr>
        <w:trPr>
          <w:trHeight w:val="225"/>
        </w:trPr>
        <w:tc>
          <w:tcPr>
            <w:tcW w:w="8220" w:type="dxa"/>
            <w:vAlign w:val="bottom"/>
            <w:shd w:val="clear" w:color="auto" w:fill="CCEEFF"/>
          </w:tcPr>
          <w:p>
            <w:pPr>
              <w:ind w:left="20"/>
              <w:spacing w:after="0" w:line="217" w:lineRule="exact"/>
              <w:rPr>
                <w:sz w:val="20"/>
                <w:szCs w:val="20"/>
                <w:color w:val="auto"/>
              </w:rPr>
            </w:pPr>
            <w:r>
              <w:rPr>
                <w:rFonts w:ascii="Calibri" w:cs="Calibri" w:eastAsia="Calibri" w:hAnsi="Calibri"/>
                <w:sz w:val="18"/>
                <w:szCs w:val="18"/>
                <w:color w:val="auto"/>
              </w:rPr>
              <w:t>Raw materials</w:t>
            </w: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line="217" w:lineRule="exact"/>
              <w:rPr>
                <w:sz w:val="20"/>
                <w:szCs w:val="20"/>
                <w:color w:val="auto"/>
              </w:rPr>
            </w:pPr>
            <w:r>
              <w:rPr>
                <w:rFonts w:ascii="Calibri" w:cs="Calibri" w:eastAsia="Calibri" w:hAnsi="Calibri"/>
                <w:sz w:val="18"/>
                <w:szCs w:val="18"/>
                <w:color w:val="auto"/>
              </w:rPr>
              <w:t>321</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line="217" w:lineRule="exact"/>
              <w:rPr>
                <w:sz w:val="20"/>
                <w:szCs w:val="20"/>
                <w:color w:val="auto"/>
              </w:rPr>
            </w:pPr>
            <w:r>
              <w:rPr>
                <w:rFonts w:ascii="Calibri" w:cs="Calibri" w:eastAsia="Calibri" w:hAnsi="Calibri"/>
                <w:sz w:val="18"/>
                <w:szCs w:val="18"/>
                <w:color w:val="auto"/>
              </w:rPr>
              <w:t>179</w:t>
            </w:r>
          </w:p>
        </w:tc>
        <w:tc>
          <w:tcPr>
            <w:tcW w:w="0" w:type="dxa"/>
            <w:vAlign w:val="bottom"/>
          </w:tcPr>
          <w:p>
            <w:pPr>
              <w:spacing w:after="0"/>
              <w:rPr>
                <w:sz w:val="1"/>
                <w:szCs w:val="1"/>
                <w:color w:val="auto"/>
              </w:rPr>
            </w:pPr>
          </w:p>
        </w:tc>
      </w:tr>
      <w:tr>
        <w:trPr>
          <w:trHeight w:val="224"/>
        </w:trPr>
        <w:tc>
          <w:tcPr>
            <w:tcW w:w="8220" w:type="dxa"/>
            <w:vAlign w:val="bottom"/>
          </w:tcPr>
          <w:p>
            <w:pPr>
              <w:ind w:left="140"/>
              <w:spacing w:after="0"/>
              <w:rPr>
                <w:sz w:val="20"/>
                <w:szCs w:val="20"/>
                <w:color w:val="auto"/>
              </w:rPr>
            </w:pPr>
            <w:r>
              <w:rPr>
                <w:rFonts w:ascii="Calibri" w:cs="Calibri" w:eastAsia="Calibri" w:hAnsi="Calibri"/>
                <w:sz w:val="18"/>
                <w:szCs w:val="18"/>
                <w:color w:val="auto"/>
              </w:rPr>
              <w:t>Total inventory</w:t>
            </w:r>
          </w:p>
        </w:tc>
        <w:tc>
          <w:tcPr>
            <w:tcW w:w="240" w:type="dxa"/>
            <w:vAlign w:val="bottom"/>
            <w:tcBorders>
              <w:bottom w:val="single" w:sz="8" w:color="auto"/>
            </w:tcBorders>
          </w:tcPr>
          <w:p>
            <w:pPr>
              <w:jc w:val="right"/>
              <w:ind w:right="52"/>
              <w:spacing w:after="0" w:line="210" w:lineRule="exact"/>
              <w:rPr>
                <w:sz w:val="20"/>
                <w:szCs w:val="20"/>
                <w:color w:val="auto"/>
              </w:rPr>
            </w:pPr>
            <w:r>
              <w:rPr>
                <w:rFonts w:ascii="Calibri" w:cs="Calibri" w:eastAsia="Calibri" w:hAnsi="Calibri"/>
                <w:sz w:val="18"/>
                <w:szCs w:val="18"/>
                <w:color w:val="auto"/>
                <w:w w:val="87"/>
              </w:rPr>
              <w:t>$</w:t>
            </w:r>
          </w:p>
        </w:tc>
        <w:tc>
          <w:tcPr>
            <w:tcW w:w="1180" w:type="dxa"/>
            <w:vAlign w:val="bottom"/>
            <w:tcBorders>
              <w:bottom w:val="single" w:sz="8" w:color="auto"/>
            </w:tcBorders>
          </w:tcPr>
          <w:p>
            <w:pPr>
              <w:jc w:val="right"/>
              <w:spacing w:after="0" w:line="210" w:lineRule="exact"/>
              <w:rPr>
                <w:sz w:val="20"/>
                <w:szCs w:val="20"/>
                <w:color w:val="auto"/>
              </w:rPr>
            </w:pPr>
            <w:r>
              <w:rPr>
                <w:rFonts w:ascii="Calibri" w:cs="Calibri" w:eastAsia="Calibri" w:hAnsi="Calibri"/>
                <w:sz w:val="18"/>
                <w:szCs w:val="18"/>
                <w:color w:val="auto"/>
              </w:rPr>
              <w:t>1,898</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2"/>
              <w:spacing w:after="0" w:line="210" w:lineRule="exact"/>
              <w:rPr>
                <w:sz w:val="20"/>
                <w:szCs w:val="20"/>
                <w:color w:val="auto"/>
              </w:rPr>
            </w:pPr>
            <w:r>
              <w:rPr>
                <w:rFonts w:ascii="Calibri" w:cs="Calibri" w:eastAsia="Calibri" w:hAnsi="Calibri"/>
                <w:sz w:val="18"/>
                <w:szCs w:val="18"/>
                <w:color w:val="auto"/>
                <w:w w:val="87"/>
              </w:rPr>
              <w:t>$</w:t>
            </w:r>
          </w:p>
        </w:tc>
        <w:tc>
          <w:tcPr>
            <w:tcW w:w="1100" w:type="dxa"/>
            <w:vAlign w:val="bottom"/>
            <w:tcBorders>
              <w:bottom w:val="single" w:sz="8" w:color="auto"/>
            </w:tcBorders>
          </w:tcPr>
          <w:p>
            <w:pPr>
              <w:jc w:val="right"/>
              <w:spacing w:after="0" w:line="210" w:lineRule="exact"/>
              <w:rPr>
                <w:sz w:val="20"/>
                <w:szCs w:val="20"/>
                <w:color w:val="auto"/>
              </w:rPr>
            </w:pPr>
            <w:r>
              <w:rPr>
                <w:rFonts w:ascii="Calibri" w:cs="Calibri" w:eastAsia="Calibri" w:hAnsi="Calibri"/>
                <w:sz w:val="18"/>
                <w:szCs w:val="18"/>
                <w:color w:val="auto"/>
              </w:rPr>
              <w:t>1,925</w:t>
            </w:r>
          </w:p>
        </w:tc>
        <w:tc>
          <w:tcPr>
            <w:tcW w:w="0" w:type="dxa"/>
            <w:vAlign w:val="bottom"/>
          </w:tcPr>
          <w:p>
            <w:pPr>
              <w:spacing w:after="0"/>
              <w:rPr>
                <w:sz w:val="1"/>
                <w:szCs w:val="1"/>
                <w:color w:val="auto"/>
              </w:rPr>
            </w:pPr>
          </w:p>
        </w:tc>
      </w:tr>
      <w:tr>
        <w:trPr>
          <w:trHeight w:val="20"/>
        </w:trPr>
        <w:tc>
          <w:tcPr>
            <w:tcW w:w="8220" w:type="dxa"/>
            <w:vAlign w:val="bottom"/>
            <w:vMerge w:val="restart"/>
          </w:tcPr>
          <w:p>
            <w:pPr>
              <w:spacing w:after="0"/>
              <w:rPr>
                <w:sz w:val="20"/>
                <w:szCs w:val="20"/>
                <w:color w:val="auto"/>
              </w:rPr>
            </w:pPr>
            <w:r>
              <w:rPr>
                <w:rFonts w:ascii="Calibri" w:cs="Calibri" w:eastAsia="Calibri" w:hAnsi="Calibri"/>
                <w:sz w:val="18"/>
                <w:szCs w:val="18"/>
                <w:b w:val="1"/>
                <w:bCs w:val="1"/>
                <w:i w:val="1"/>
                <w:iCs w:val="1"/>
                <w:color w:val="auto"/>
              </w:rPr>
              <w:t>Property, Plant and Equipment, Net</w:t>
            </w: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0"/>
        </w:trPr>
        <w:tc>
          <w:tcPr>
            <w:tcW w:w="822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3"/>
        </w:trPr>
        <w:tc>
          <w:tcPr>
            <w:tcW w:w="82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00" w:type="dxa"/>
            <w:vAlign w:val="bottom"/>
            <w:gridSpan w:val="2"/>
          </w:tcPr>
          <w:p>
            <w:pPr>
              <w:jc w:val="center"/>
              <w:ind w:right="360"/>
              <w:spacing w:after="0"/>
              <w:rPr>
                <w:sz w:val="20"/>
                <w:szCs w:val="20"/>
                <w:color w:val="auto"/>
              </w:rPr>
            </w:pPr>
            <w:r>
              <w:rPr>
                <w:rFonts w:ascii="Calibri" w:cs="Calibri" w:eastAsia="Calibri" w:hAnsi="Calibri"/>
                <w:sz w:val="14"/>
                <w:szCs w:val="14"/>
                <w:b w:val="1"/>
                <w:bCs w:val="1"/>
                <w:color w:val="auto"/>
              </w:rPr>
              <w:t>October 29,</w:t>
            </w:r>
          </w:p>
        </w:tc>
        <w:tc>
          <w:tcPr>
            <w:tcW w:w="320" w:type="dxa"/>
            <w:vAlign w:val="bottom"/>
          </w:tcPr>
          <w:p>
            <w:pPr>
              <w:spacing w:after="0"/>
              <w:rPr>
                <w:sz w:val="23"/>
                <w:szCs w:val="23"/>
                <w:color w:val="auto"/>
              </w:rPr>
            </w:pPr>
          </w:p>
        </w:tc>
        <w:tc>
          <w:tcPr>
            <w:tcW w:w="1100" w:type="dxa"/>
            <w:vAlign w:val="bottom"/>
          </w:tcPr>
          <w:p>
            <w:pPr>
              <w:jc w:val="center"/>
              <w:ind w:right="257"/>
              <w:spacing w:after="0"/>
              <w:rPr>
                <w:sz w:val="20"/>
                <w:szCs w:val="20"/>
                <w:color w:val="auto"/>
              </w:rPr>
            </w:pPr>
            <w:r>
              <w:rPr>
                <w:rFonts w:ascii="Calibri" w:cs="Calibri" w:eastAsia="Calibri" w:hAnsi="Calibri"/>
                <w:sz w:val="14"/>
                <w:szCs w:val="14"/>
                <w:b w:val="1"/>
                <w:bCs w:val="1"/>
                <w:color w:val="auto"/>
                <w:w w:val="99"/>
              </w:rPr>
              <w:t>October 30,</w:t>
            </w:r>
          </w:p>
        </w:tc>
        <w:tc>
          <w:tcPr>
            <w:tcW w:w="0" w:type="dxa"/>
            <w:vAlign w:val="bottom"/>
          </w:tcPr>
          <w:p>
            <w:pPr>
              <w:spacing w:after="0"/>
              <w:rPr>
                <w:sz w:val="1"/>
                <w:szCs w:val="1"/>
                <w:color w:val="auto"/>
              </w:rPr>
            </w:pPr>
          </w:p>
        </w:tc>
      </w:tr>
      <w:tr>
        <w:trPr>
          <w:trHeight w:val="168"/>
        </w:trPr>
        <w:tc>
          <w:tcPr>
            <w:tcW w:w="8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tcPr>
          <w:p>
            <w:pPr>
              <w:jc w:val="center"/>
              <w:ind w:right="158"/>
              <w:spacing w:after="0" w:line="168" w:lineRule="exact"/>
              <w:rPr>
                <w:sz w:val="20"/>
                <w:szCs w:val="20"/>
                <w:color w:val="auto"/>
              </w:rPr>
            </w:pPr>
            <w:r>
              <w:rPr>
                <w:rFonts w:ascii="Calibri" w:cs="Calibri" w:eastAsia="Calibri" w:hAnsi="Calibri"/>
                <w:sz w:val="14"/>
                <w:szCs w:val="14"/>
                <w:b w:val="1"/>
                <w:bCs w:val="1"/>
                <w:color w:val="auto"/>
              </w:rPr>
              <w:t>2023</w:t>
            </w: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jc w:val="center"/>
              <w:ind w:right="257"/>
              <w:spacing w:after="0" w:line="168" w:lineRule="exact"/>
              <w:rPr>
                <w:sz w:val="20"/>
                <w:szCs w:val="20"/>
                <w:color w:val="auto"/>
              </w:rPr>
            </w:pPr>
            <w:r>
              <w:rPr>
                <w:rFonts w:ascii="Calibri" w:cs="Calibri" w:eastAsia="Calibri" w:hAnsi="Calibri"/>
                <w:sz w:val="14"/>
                <w:szCs w:val="14"/>
                <w:b w:val="1"/>
                <w:bCs w:val="1"/>
                <w:color w:val="auto"/>
                <w:w w:val="98"/>
              </w:rPr>
              <w:t>2022</w:t>
            </w:r>
          </w:p>
        </w:tc>
        <w:tc>
          <w:tcPr>
            <w:tcW w:w="0" w:type="dxa"/>
            <w:vAlign w:val="bottom"/>
          </w:tcPr>
          <w:p>
            <w:pPr>
              <w:spacing w:after="0"/>
              <w:rPr>
                <w:sz w:val="1"/>
                <w:szCs w:val="1"/>
                <w:color w:val="auto"/>
              </w:rPr>
            </w:pPr>
          </w:p>
        </w:tc>
      </w:tr>
      <w:tr>
        <w:trPr>
          <w:trHeight w:val="44"/>
        </w:trPr>
        <w:tc>
          <w:tcPr>
            <w:tcW w:w="822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8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20" w:type="dxa"/>
            <w:vAlign w:val="bottom"/>
            <w:gridSpan w:val="3"/>
          </w:tcPr>
          <w:p>
            <w:pPr>
              <w:jc w:val="right"/>
              <w:spacing w:after="0"/>
              <w:rPr>
                <w:sz w:val="20"/>
                <w:szCs w:val="20"/>
                <w:color w:val="auto"/>
              </w:rPr>
            </w:pPr>
            <w:r>
              <w:rPr>
                <w:rFonts w:ascii="Calibri" w:cs="Calibri" w:eastAsia="Calibri" w:hAnsi="Calibri"/>
                <w:sz w:val="14"/>
                <w:szCs w:val="14"/>
                <w:b w:val="1"/>
                <w:bCs w:val="1"/>
                <w:color w:val="auto"/>
              </w:rPr>
              <w:t>(In millions)</w:t>
            </w: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82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4"/>
        </w:trPr>
        <w:tc>
          <w:tcPr>
            <w:tcW w:w="8220" w:type="dxa"/>
            <w:vAlign w:val="bottom"/>
            <w:shd w:val="clear" w:color="auto" w:fill="CCEEFF"/>
          </w:tcPr>
          <w:p>
            <w:pPr>
              <w:ind w:left="20"/>
              <w:spacing w:after="0" w:line="210" w:lineRule="exact"/>
              <w:rPr>
                <w:sz w:val="20"/>
                <w:szCs w:val="20"/>
                <w:color w:val="auto"/>
              </w:rPr>
            </w:pPr>
            <w:r>
              <w:rPr>
                <w:rFonts w:ascii="Calibri" w:cs="Calibri" w:eastAsia="Calibri" w:hAnsi="Calibri"/>
                <w:sz w:val="18"/>
                <w:szCs w:val="18"/>
                <w:color w:val="auto"/>
              </w:rPr>
              <w:t>Land</w:t>
            </w:r>
          </w:p>
        </w:tc>
        <w:tc>
          <w:tcPr>
            <w:tcW w:w="240" w:type="dxa"/>
            <w:vAlign w:val="bottom"/>
            <w:shd w:val="clear" w:color="auto" w:fill="CCEEFF"/>
          </w:tcPr>
          <w:p>
            <w:pPr>
              <w:jc w:val="right"/>
              <w:ind w:right="52"/>
              <w:spacing w:after="0" w:line="210" w:lineRule="exact"/>
              <w:rPr>
                <w:sz w:val="20"/>
                <w:szCs w:val="20"/>
                <w:color w:val="auto"/>
              </w:rPr>
            </w:pPr>
            <w:r>
              <w:rPr>
                <w:rFonts w:ascii="Calibri" w:cs="Calibri" w:eastAsia="Calibri" w:hAnsi="Calibri"/>
                <w:sz w:val="18"/>
                <w:szCs w:val="18"/>
                <w:color w:val="auto"/>
                <w:w w:val="87"/>
              </w:rPr>
              <w:t>$</w:t>
            </w:r>
          </w:p>
        </w:tc>
        <w:tc>
          <w:tcPr>
            <w:tcW w:w="1180" w:type="dxa"/>
            <w:vAlign w:val="bottom"/>
            <w:shd w:val="clear" w:color="auto" w:fill="CCEEFF"/>
          </w:tcPr>
          <w:p>
            <w:pPr>
              <w:jc w:val="right"/>
              <w:spacing w:after="0" w:line="210" w:lineRule="exact"/>
              <w:rPr>
                <w:sz w:val="20"/>
                <w:szCs w:val="20"/>
                <w:color w:val="auto"/>
              </w:rPr>
            </w:pPr>
            <w:r>
              <w:rPr>
                <w:rFonts w:ascii="Calibri" w:cs="Calibri" w:eastAsia="Calibri" w:hAnsi="Calibri"/>
                <w:sz w:val="18"/>
                <w:szCs w:val="18"/>
                <w:color w:val="auto"/>
              </w:rPr>
              <w:t>195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2"/>
              <w:spacing w:after="0" w:line="210" w:lineRule="exact"/>
              <w:rPr>
                <w:sz w:val="20"/>
                <w:szCs w:val="20"/>
                <w:color w:val="auto"/>
              </w:rPr>
            </w:pPr>
            <w:r>
              <w:rPr>
                <w:rFonts w:ascii="Calibri" w:cs="Calibri" w:eastAsia="Calibri" w:hAnsi="Calibri"/>
                <w:sz w:val="18"/>
                <w:szCs w:val="18"/>
                <w:color w:val="auto"/>
                <w:w w:val="87"/>
              </w:rPr>
              <w:t>$</w:t>
            </w:r>
          </w:p>
        </w:tc>
        <w:tc>
          <w:tcPr>
            <w:tcW w:w="1100" w:type="dxa"/>
            <w:vAlign w:val="bottom"/>
            <w:shd w:val="clear" w:color="auto" w:fill="CCEEFF"/>
          </w:tcPr>
          <w:p>
            <w:pPr>
              <w:jc w:val="right"/>
              <w:spacing w:after="0" w:line="210" w:lineRule="exact"/>
              <w:rPr>
                <w:sz w:val="20"/>
                <w:szCs w:val="20"/>
                <w:color w:val="auto"/>
              </w:rPr>
            </w:pPr>
            <w:r>
              <w:rPr>
                <w:rFonts w:ascii="Calibri" w:cs="Calibri" w:eastAsia="Calibri" w:hAnsi="Calibri"/>
                <w:sz w:val="18"/>
                <w:szCs w:val="18"/>
                <w:color w:val="auto"/>
              </w:rPr>
              <w:t>195</w:t>
            </w:r>
          </w:p>
        </w:tc>
        <w:tc>
          <w:tcPr>
            <w:tcW w:w="0" w:type="dxa"/>
            <w:vAlign w:val="bottom"/>
          </w:tcPr>
          <w:p>
            <w:pPr>
              <w:spacing w:after="0"/>
              <w:rPr>
                <w:sz w:val="1"/>
                <w:szCs w:val="1"/>
                <w:color w:val="auto"/>
              </w:rPr>
            </w:pPr>
          </w:p>
        </w:tc>
      </w:tr>
      <w:tr>
        <w:trPr>
          <w:trHeight w:val="217"/>
        </w:trPr>
        <w:tc>
          <w:tcPr>
            <w:tcW w:w="8220" w:type="dxa"/>
            <w:vAlign w:val="bottom"/>
          </w:tcPr>
          <w:p>
            <w:pPr>
              <w:ind w:left="20"/>
              <w:spacing w:after="0" w:line="210" w:lineRule="exact"/>
              <w:rPr>
                <w:sz w:val="20"/>
                <w:szCs w:val="20"/>
                <w:color w:val="auto"/>
              </w:rPr>
            </w:pPr>
            <w:r>
              <w:rPr>
                <w:rFonts w:ascii="Calibri" w:cs="Calibri" w:eastAsia="Calibri" w:hAnsi="Calibri"/>
                <w:sz w:val="18"/>
                <w:szCs w:val="18"/>
                <w:color w:val="auto"/>
              </w:rPr>
              <w:t>Constructon in progress</w:t>
            </w:r>
          </w:p>
        </w:tc>
        <w:tc>
          <w:tcPr>
            <w:tcW w:w="240" w:type="dxa"/>
            <w:vAlign w:val="bottom"/>
          </w:tcPr>
          <w:p>
            <w:pPr>
              <w:spacing w:after="0"/>
              <w:rPr>
                <w:sz w:val="18"/>
                <w:szCs w:val="18"/>
                <w:color w:val="auto"/>
              </w:rPr>
            </w:pPr>
          </w:p>
        </w:tc>
        <w:tc>
          <w:tcPr>
            <w:tcW w:w="1180" w:type="dxa"/>
            <w:vAlign w:val="bottom"/>
          </w:tcPr>
          <w:p>
            <w:pPr>
              <w:jc w:val="right"/>
              <w:spacing w:after="0" w:line="210" w:lineRule="exact"/>
              <w:rPr>
                <w:sz w:val="20"/>
                <w:szCs w:val="20"/>
                <w:color w:val="auto"/>
              </w:rPr>
            </w:pPr>
            <w:r>
              <w:rPr>
                <w:rFonts w:ascii="Calibri" w:cs="Calibri" w:eastAsia="Calibri" w:hAnsi="Calibri"/>
                <w:sz w:val="18"/>
                <w:szCs w:val="18"/>
                <w:color w:val="auto"/>
              </w:rPr>
              <w:t>63</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line="210" w:lineRule="exact"/>
              <w:rPr>
                <w:sz w:val="20"/>
                <w:szCs w:val="20"/>
                <w:color w:val="auto"/>
              </w:rPr>
            </w:pPr>
            <w:r>
              <w:rPr>
                <w:rFonts w:ascii="Calibri" w:cs="Calibri" w:eastAsia="Calibri" w:hAnsi="Calibri"/>
                <w:sz w:val="18"/>
                <w:szCs w:val="18"/>
                <w:color w:val="auto"/>
              </w:rPr>
              <w:t>63</w:t>
            </w:r>
          </w:p>
        </w:tc>
        <w:tc>
          <w:tcPr>
            <w:tcW w:w="0" w:type="dxa"/>
            <w:vAlign w:val="bottom"/>
          </w:tcPr>
          <w:p>
            <w:pPr>
              <w:spacing w:after="0"/>
              <w:rPr>
                <w:sz w:val="1"/>
                <w:szCs w:val="1"/>
                <w:color w:val="auto"/>
              </w:rPr>
            </w:pPr>
          </w:p>
        </w:tc>
      </w:tr>
      <w:tr>
        <w:trPr>
          <w:trHeight w:val="232"/>
        </w:trPr>
        <w:tc>
          <w:tcPr>
            <w:tcW w:w="8220" w:type="dxa"/>
            <w:vAlign w:val="bottom"/>
            <w:shd w:val="clear" w:color="auto" w:fill="CCEEFF"/>
          </w:tcPr>
          <w:p>
            <w:pPr>
              <w:ind w:left="20"/>
              <w:spacing w:after="0" w:line="217" w:lineRule="exact"/>
              <w:rPr>
                <w:sz w:val="20"/>
                <w:szCs w:val="20"/>
                <w:color w:val="auto"/>
              </w:rPr>
            </w:pPr>
            <w:r>
              <w:rPr>
                <w:rFonts w:ascii="Calibri" w:cs="Calibri" w:eastAsia="Calibri" w:hAnsi="Calibri"/>
                <w:sz w:val="18"/>
                <w:szCs w:val="18"/>
                <w:color w:val="auto"/>
              </w:rPr>
              <w:t>Buildings and leasehold improvements</w:t>
            </w:r>
          </w:p>
        </w:tc>
        <w:tc>
          <w:tcPr>
            <w:tcW w:w="24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line="217" w:lineRule="exact"/>
              <w:rPr>
                <w:sz w:val="20"/>
                <w:szCs w:val="20"/>
                <w:color w:val="auto"/>
              </w:rPr>
            </w:pPr>
            <w:r>
              <w:rPr>
                <w:rFonts w:ascii="Calibri" w:cs="Calibri" w:eastAsia="Calibri" w:hAnsi="Calibri"/>
                <w:sz w:val="18"/>
                <w:szCs w:val="18"/>
                <w:color w:val="auto"/>
              </w:rPr>
              <w:t>1,181</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line="217" w:lineRule="exact"/>
              <w:rPr>
                <w:sz w:val="20"/>
                <w:szCs w:val="20"/>
                <w:color w:val="auto"/>
              </w:rPr>
            </w:pPr>
            <w:r>
              <w:rPr>
                <w:rFonts w:ascii="Calibri" w:cs="Calibri" w:eastAsia="Calibri" w:hAnsi="Calibri"/>
                <w:sz w:val="18"/>
                <w:szCs w:val="18"/>
                <w:color w:val="auto"/>
              </w:rPr>
              <w:t>1,156</w:t>
            </w:r>
          </w:p>
        </w:tc>
        <w:tc>
          <w:tcPr>
            <w:tcW w:w="0" w:type="dxa"/>
            <w:vAlign w:val="bottom"/>
          </w:tcPr>
          <w:p>
            <w:pPr>
              <w:spacing w:after="0"/>
              <w:rPr>
                <w:sz w:val="1"/>
                <w:szCs w:val="1"/>
                <w:color w:val="auto"/>
              </w:rPr>
            </w:pPr>
          </w:p>
        </w:tc>
      </w:tr>
      <w:tr>
        <w:trPr>
          <w:trHeight w:val="218"/>
        </w:trPr>
        <w:tc>
          <w:tcPr>
            <w:tcW w:w="8220" w:type="dxa"/>
            <w:vAlign w:val="bottom"/>
            <w:tcBorders>
              <w:bottom w:val="single" w:sz="8" w:color="CCEEFF"/>
            </w:tcBorders>
          </w:tcPr>
          <w:p>
            <w:pPr>
              <w:ind w:left="20"/>
              <w:spacing w:after="0" w:line="210" w:lineRule="exact"/>
              <w:rPr>
                <w:sz w:val="20"/>
                <w:szCs w:val="20"/>
                <w:color w:val="auto"/>
              </w:rPr>
            </w:pPr>
            <w:r>
              <w:rPr>
                <w:rFonts w:ascii="Calibri" w:cs="Calibri" w:eastAsia="Calibri" w:hAnsi="Calibri"/>
                <w:sz w:val="18"/>
                <w:szCs w:val="18"/>
                <w:color w:val="auto"/>
              </w:rPr>
              <w:t>Machinery and equipment</w:t>
            </w:r>
          </w:p>
        </w:tc>
        <w:tc>
          <w:tcPr>
            <w:tcW w:w="2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line="210" w:lineRule="exact"/>
              <w:rPr>
                <w:sz w:val="20"/>
                <w:szCs w:val="20"/>
                <w:color w:val="auto"/>
              </w:rPr>
            </w:pPr>
            <w:r>
              <w:rPr>
                <w:rFonts w:ascii="Calibri" w:cs="Calibri" w:eastAsia="Calibri" w:hAnsi="Calibri"/>
                <w:sz w:val="18"/>
                <w:szCs w:val="18"/>
                <w:color w:val="auto"/>
              </w:rPr>
              <w:t>4,739</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line="210" w:lineRule="exact"/>
              <w:rPr>
                <w:sz w:val="20"/>
                <w:szCs w:val="20"/>
                <w:color w:val="auto"/>
              </w:rPr>
            </w:pPr>
            <w:r>
              <w:rPr>
                <w:rFonts w:ascii="Calibri" w:cs="Calibri" w:eastAsia="Calibri" w:hAnsi="Calibri"/>
                <w:sz w:val="18"/>
                <w:szCs w:val="18"/>
                <w:color w:val="auto"/>
              </w:rPr>
              <w:t>4,413</w:t>
            </w:r>
          </w:p>
        </w:tc>
        <w:tc>
          <w:tcPr>
            <w:tcW w:w="0" w:type="dxa"/>
            <w:vAlign w:val="bottom"/>
          </w:tcPr>
          <w:p>
            <w:pPr>
              <w:spacing w:after="0"/>
              <w:rPr>
                <w:sz w:val="1"/>
                <w:szCs w:val="1"/>
                <w:color w:val="auto"/>
              </w:rPr>
            </w:pPr>
          </w:p>
        </w:tc>
      </w:tr>
      <w:tr>
        <w:trPr>
          <w:trHeight w:val="224"/>
        </w:trPr>
        <w:tc>
          <w:tcPr>
            <w:tcW w:w="8220" w:type="dxa"/>
            <w:vAlign w:val="bottom"/>
            <w:shd w:val="clear" w:color="auto" w:fill="CCEEFF"/>
          </w:tcPr>
          <w:p>
            <w:pPr>
              <w:ind w:left="140"/>
              <w:spacing w:after="0" w:line="203" w:lineRule="exact"/>
              <w:rPr>
                <w:sz w:val="20"/>
                <w:szCs w:val="20"/>
                <w:color w:val="auto"/>
              </w:rPr>
            </w:pPr>
            <w:r>
              <w:rPr>
                <w:rFonts w:ascii="Calibri" w:cs="Calibri" w:eastAsia="Calibri" w:hAnsi="Calibri"/>
                <w:sz w:val="18"/>
                <w:szCs w:val="18"/>
                <w:color w:val="auto"/>
              </w:rPr>
              <w:t>Total property, plant and equipment</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line="210" w:lineRule="exact"/>
              <w:rPr>
                <w:sz w:val="20"/>
                <w:szCs w:val="20"/>
                <w:color w:val="auto"/>
              </w:rPr>
            </w:pPr>
            <w:r>
              <w:rPr>
                <w:rFonts w:ascii="Calibri" w:cs="Calibri" w:eastAsia="Calibri" w:hAnsi="Calibri"/>
                <w:sz w:val="18"/>
                <w:szCs w:val="18"/>
                <w:color w:val="auto"/>
              </w:rPr>
              <w:t>6,178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line="210" w:lineRule="exact"/>
              <w:rPr>
                <w:sz w:val="20"/>
                <w:szCs w:val="20"/>
                <w:color w:val="auto"/>
              </w:rPr>
            </w:pPr>
            <w:r>
              <w:rPr>
                <w:rFonts w:ascii="Calibri" w:cs="Calibri" w:eastAsia="Calibri" w:hAnsi="Calibri"/>
                <w:sz w:val="18"/>
                <w:szCs w:val="18"/>
                <w:color w:val="auto"/>
              </w:rPr>
              <w:t>5,827</w:t>
            </w:r>
          </w:p>
        </w:tc>
        <w:tc>
          <w:tcPr>
            <w:tcW w:w="0" w:type="dxa"/>
            <w:vAlign w:val="bottom"/>
          </w:tcPr>
          <w:p>
            <w:pPr>
              <w:spacing w:after="0"/>
              <w:rPr>
                <w:sz w:val="1"/>
                <w:szCs w:val="1"/>
                <w:color w:val="auto"/>
              </w:rPr>
            </w:pPr>
          </w:p>
        </w:tc>
      </w:tr>
      <w:tr>
        <w:trPr>
          <w:trHeight w:val="218"/>
        </w:trPr>
        <w:tc>
          <w:tcPr>
            <w:tcW w:w="8220" w:type="dxa"/>
            <w:vAlign w:val="bottom"/>
            <w:tcBorders>
              <w:bottom w:val="single" w:sz="8" w:color="CCEEFF"/>
            </w:tcBorders>
          </w:tcPr>
          <w:p>
            <w:pPr>
              <w:ind w:left="20"/>
              <w:spacing w:after="0" w:line="210" w:lineRule="exact"/>
              <w:rPr>
                <w:sz w:val="20"/>
                <w:szCs w:val="20"/>
                <w:color w:val="auto"/>
              </w:rPr>
            </w:pPr>
            <w:r>
              <w:rPr>
                <w:rFonts w:ascii="Calibri" w:cs="Calibri" w:eastAsia="Calibri" w:hAnsi="Calibri"/>
                <w:sz w:val="18"/>
                <w:szCs w:val="18"/>
                <w:color w:val="auto"/>
              </w:rPr>
              <w:t>Accumulated depreciaton and amortzaton</w:t>
            </w:r>
          </w:p>
        </w:tc>
        <w:tc>
          <w:tcPr>
            <w:tcW w:w="2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line="210" w:lineRule="exact"/>
              <w:rPr>
                <w:sz w:val="20"/>
                <w:szCs w:val="20"/>
                <w:color w:val="auto"/>
              </w:rPr>
            </w:pPr>
            <w:r>
              <w:rPr>
                <w:rFonts w:ascii="Calibri" w:cs="Calibri" w:eastAsia="Calibri" w:hAnsi="Calibri"/>
                <w:sz w:val="18"/>
                <w:szCs w:val="18"/>
                <w:color w:val="auto"/>
              </w:rPr>
              <w:t>(4,024)</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line="210" w:lineRule="exact"/>
              <w:rPr>
                <w:sz w:val="20"/>
                <w:szCs w:val="20"/>
                <w:color w:val="auto"/>
              </w:rPr>
            </w:pPr>
            <w:r>
              <w:rPr>
                <w:rFonts w:ascii="Calibri" w:cs="Calibri" w:eastAsia="Calibri" w:hAnsi="Calibri"/>
                <w:sz w:val="18"/>
                <w:szCs w:val="18"/>
                <w:color w:val="auto"/>
              </w:rPr>
              <w:t>(3,604)</w:t>
            </w:r>
          </w:p>
        </w:tc>
        <w:tc>
          <w:tcPr>
            <w:tcW w:w="0" w:type="dxa"/>
            <w:vAlign w:val="bottom"/>
          </w:tcPr>
          <w:p>
            <w:pPr>
              <w:spacing w:after="0"/>
              <w:rPr>
                <w:sz w:val="1"/>
                <w:szCs w:val="1"/>
                <w:color w:val="auto"/>
              </w:rPr>
            </w:pPr>
          </w:p>
        </w:tc>
      </w:tr>
      <w:tr>
        <w:trPr>
          <w:trHeight w:val="249"/>
        </w:trPr>
        <w:tc>
          <w:tcPr>
            <w:tcW w:w="8220" w:type="dxa"/>
            <w:vAlign w:val="bottom"/>
            <w:tcBorders>
              <w:bottom w:val="single" w:sz="8" w:color="CCEEFF"/>
            </w:tcBorders>
            <w:shd w:val="clear" w:color="auto" w:fill="CCEEFF"/>
          </w:tcPr>
          <w:p>
            <w:pPr>
              <w:ind w:left="140"/>
              <w:spacing w:after="0"/>
              <w:rPr>
                <w:sz w:val="20"/>
                <w:szCs w:val="20"/>
                <w:color w:val="auto"/>
              </w:rPr>
            </w:pPr>
            <w:r>
              <w:rPr>
                <w:rFonts w:ascii="Calibri" w:cs="Calibri" w:eastAsia="Calibri" w:hAnsi="Calibri"/>
                <w:sz w:val="18"/>
                <w:szCs w:val="18"/>
                <w:color w:val="auto"/>
              </w:rPr>
              <w:t>Total property, plant and equipment, net</w:t>
            </w:r>
          </w:p>
        </w:tc>
        <w:tc>
          <w:tcPr>
            <w:tcW w:w="240" w:type="dxa"/>
            <w:vAlign w:val="bottom"/>
            <w:tcBorders>
              <w:bottom w:val="single" w:sz="8" w:color="auto"/>
            </w:tcBorders>
            <w:shd w:val="clear" w:color="auto" w:fill="CCEEFF"/>
          </w:tcPr>
          <w:p>
            <w:pPr>
              <w:jc w:val="right"/>
              <w:ind w:right="52"/>
              <w:spacing w:after="0" w:line="210" w:lineRule="exact"/>
              <w:rPr>
                <w:sz w:val="20"/>
                <w:szCs w:val="20"/>
                <w:color w:val="auto"/>
              </w:rPr>
            </w:pPr>
            <w:r>
              <w:rPr>
                <w:rFonts w:ascii="Calibri" w:cs="Calibri" w:eastAsia="Calibri" w:hAnsi="Calibri"/>
                <w:sz w:val="18"/>
                <w:szCs w:val="18"/>
                <w:color w:val="auto"/>
                <w:w w:val="87"/>
              </w:rPr>
              <w:t>$</w:t>
            </w:r>
          </w:p>
        </w:tc>
        <w:tc>
          <w:tcPr>
            <w:tcW w:w="1180" w:type="dxa"/>
            <w:vAlign w:val="bottom"/>
            <w:tcBorders>
              <w:bottom w:val="single" w:sz="8" w:color="auto"/>
            </w:tcBorders>
            <w:shd w:val="clear" w:color="auto" w:fill="CCEEFF"/>
          </w:tcPr>
          <w:p>
            <w:pPr>
              <w:jc w:val="right"/>
              <w:spacing w:after="0" w:line="210" w:lineRule="exact"/>
              <w:rPr>
                <w:sz w:val="20"/>
                <w:szCs w:val="20"/>
                <w:color w:val="auto"/>
              </w:rPr>
            </w:pPr>
            <w:r>
              <w:rPr>
                <w:rFonts w:ascii="Calibri" w:cs="Calibri" w:eastAsia="Calibri" w:hAnsi="Calibri"/>
                <w:sz w:val="18"/>
                <w:szCs w:val="18"/>
                <w:color w:val="auto"/>
              </w:rPr>
              <w:t>2,154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2"/>
              <w:spacing w:after="0" w:line="210" w:lineRule="exact"/>
              <w:rPr>
                <w:sz w:val="20"/>
                <w:szCs w:val="20"/>
                <w:color w:val="auto"/>
              </w:rPr>
            </w:pPr>
            <w:r>
              <w:rPr>
                <w:rFonts w:ascii="Calibri" w:cs="Calibri" w:eastAsia="Calibri" w:hAnsi="Calibri"/>
                <w:sz w:val="18"/>
                <w:szCs w:val="18"/>
                <w:color w:val="auto"/>
                <w:w w:val="87"/>
              </w:rPr>
              <w:t>$</w:t>
            </w:r>
          </w:p>
        </w:tc>
        <w:tc>
          <w:tcPr>
            <w:tcW w:w="1100" w:type="dxa"/>
            <w:vAlign w:val="bottom"/>
            <w:tcBorders>
              <w:bottom w:val="single" w:sz="8" w:color="auto"/>
            </w:tcBorders>
            <w:shd w:val="clear" w:color="auto" w:fill="CCEEFF"/>
          </w:tcPr>
          <w:p>
            <w:pPr>
              <w:jc w:val="right"/>
              <w:spacing w:after="0" w:line="210" w:lineRule="exact"/>
              <w:rPr>
                <w:sz w:val="20"/>
                <w:szCs w:val="20"/>
                <w:color w:val="auto"/>
              </w:rPr>
            </w:pPr>
            <w:r>
              <w:rPr>
                <w:rFonts w:ascii="Calibri" w:cs="Calibri" w:eastAsia="Calibri" w:hAnsi="Calibri"/>
                <w:sz w:val="18"/>
                <w:szCs w:val="18"/>
                <w:color w:val="auto"/>
              </w:rPr>
              <w:t>2,223</w:t>
            </w:r>
          </w:p>
        </w:tc>
        <w:tc>
          <w:tcPr>
            <w:tcW w:w="0" w:type="dxa"/>
            <w:vAlign w:val="bottom"/>
          </w:tcPr>
          <w:p>
            <w:pPr>
              <w:spacing w:after="0"/>
              <w:rPr>
                <w:sz w:val="1"/>
                <w:szCs w:val="1"/>
                <w:color w:val="auto"/>
              </w:rPr>
            </w:pP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ind w:left="400"/>
        <w:spacing w:after="0"/>
        <w:rPr>
          <w:sz w:val="20"/>
          <w:szCs w:val="20"/>
          <w:color w:val="auto"/>
        </w:rPr>
      </w:pPr>
      <w:r>
        <w:rPr>
          <w:rFonts w:ascii="Calibri" w:cs="Calibri" w:eastAsia="Calibri" w:hAnsi="Calibri"/>
          <w:sz w:val="18"/>
          <w:szCs w:val="18"/>
          <w:color w:val="auto"/>
        </w:rPr>
        <w:t>Depreciaton expense was $502 million, $529 million and $539 million for fscal years 2023, 2022 and 2021, respectvely.</w:t>
      </w:r>
    </w:p>
    <w:p>
      <w:pPr>
        <w:spacing w:after="0" w:line="97"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Other Current Assets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72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00" w:type="dxa"/>
            <w:vAlign w:val="bottom"/>
            <w:gridSpan w:val="2"/>
          </w:tcPr>
          <w:p>
            <w:pPr>
              <w:ind w:left="140"/>
              <w:spacing w:after="0"/>
              <w:rPr>
                <w:sz w:val="20"/>
                <w:szCs w:val="20"/>
                <w:color w:val="auto"/>
              </w:rPr>
            </w:pPr>
            <w:r>
              <w:rPr>
                <w:rFonts w:ascii="Calibri" w:cs="Calibri" w:eastAsia="Calibri" w:hAnsi="Calibri"/>
                <w:sz w:val="14"/>
                <w:szCs w:val="14"/>
                <w:b w:val="1"/>
                <w:bCs w:val="1"/>
                <w:color w:val="auto"/>
              </w:rPr>
              <w:t>October 29,</w:t>
            </w:r>
          </w:p>
        </w:tc>
        <w:tc>
          <w:tcPr>
            <w:tcW w:w="320" w:type="dxa"/>
            <w:vAlign w:val="bottom"/>
          </w:tcPr>
          <w:p>
            <w:pPr>
              <w:spacing w:after="0"/>
              <w:rPr>
                <w:sz w:val="14"/>
                <w:szCs w:val="14"/>
                <w:color w:val="auto"/>
              </w:rPr>
            </w:pPr>
          </w:p>
        </w:tc>
        <w:tc>
          <w:tcPr>
            <w:tcW w:w="1100" w:type="dxa"/>
            <w:vAlign w:val="bottom"/>
          </w:tcPr>
          <w:p>
            <w:pPr>
              <w:jc w:val="right"/>
              <w:ind w:right="279"/>
              <w:spacing w:after="0"/>
              <w:rPr>
                <w:sz w:val="20"/>
                <w:szCs w:val="20"/>
                <w:color w:val="auto"/>
              </w:rPr>
            </w:pPr>
            <w:r>
              <w:rPr>
                <w:rFonts w:ascii="Calibri" w:cs="Calibri" w:eastAsia="Calibri" w:hAnsi="Calibri"/>
                <w:sz w:val="14"/>
                <w:szCs w:val="14"/>
                <w:b w:val="1"/>
                <w:bCs w:val="1"/>
                <w:color w:val="auto"/>
              </w:rPr>
              <w:t>October 30,</w:t>
            </w:r>
          </w:p>
        </w:tc>
        <w:tc>
          <w:tcPr>
            <w:tcW w:w="0" w:type="dxa"/>
            <w:vAlign w:val="bottom"/>
          </w:tcPr>
          <w:p>
            <w:pPr>
              <w:spacing w:after="0"/>
              <w:rPr>
                <w:sz w:val="1"/>
                <w:szCs w:val="1"/>
                <w:color w:val="auto"/>
              </w:rPr>
            </w:pPr>
          </w:p>
        </w:tc>
      </w:tr>
      <w:tr>
        <w:trPr>
          <w:trHeight w:val="168"/>
        </w:trPr>
        <w:tc>
          <w:tcPr>
            <w:tcW w:w="372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tcPr>
          <w:p>
            <w:pPr>
              <w:jc w:val="right"/>
              <w:ind w:right="501"/>
              <w:spacing w:after="0" w:line="168" w:lineRule="exact"/>
              <w:rPr>
                <w:sz w:val="20"/>
                <w:szCs w:val="20"/>
                <w:color w:val="auto"/>
              </w:rPr>
            </w:pPr>
            <w:r>
              <w:rPr>
                <w:rFonts w:ascii="Calibri" w:cs="Calibri" w:eastAsia="Calibri" w:hAnsi="Calibri"/>
                <w:sz w:val="14"/>
                <w:szCs w:val="14"/>
                <w:b w:val="1"/>
                <w:bCs w:val="1"/>
                <w:color w:val="auto"/>
              </w:rPr>
              <w:t>2023</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jc w:val="right"/>
              <w:ind w:right="479"/>
              <w:spacing w:after="0" w:line="168" w:lineRule="exact"/>
              <w:rPr>
                <w:sz w:val="20"/>
                <w:szCs w:val="20"/>
                <w:color w:val="auto"/>
              </w:rPr>
            </w:pPr>
            <w:r>
              <w:rPr>
                <w:rFonts w:ascii="Calibri" w:cs="Calibri" w:eastAsia="Calibri" w:hAnsi="Calibri"/>
                <w:sz w:val="14"/>
                <w:szCs w:val="14"/>
                <w:b w:val="1"/>
                <w:bCs w:val="1"/>
                <w:color w:val="auto"/>
              </w:rPr>
              <w:t>2022</w:t>
            </w:r>
          </w:p>
        </w:tc>
        <w:tc>
          <w:tcPr>
            <w:tcW w:w="0" w:type="dxa"/>
            <w:vAlign w:val="bottom"/>
          </w:tcPr>
          <w:p>
            <w:pPr>
              <w:spacing w:after="0"/>
              <w:rPr>
                <w:sz w:val="1"/>
                <w:szCs w:val="1"/>
                <w:color w:val="auto"/>
              </w:rPr>
            </w:pPr>
          </w:p>
        </w:tc>
      </w:tr>
      <w:tr>
        <w:trPr>
          <w:trHeight w:val="32"/>
        </w:trPr>
        <w:tc>
          <w:tcPr>
            <w:tcW w:w="3720" w:type="dxa"/>
            <w:vAlign w:val="bottom"/>
          </w:tcPr>
          <w:p>
            <w:pPr>
              <w:spacing w:after="0"/>
              <w:rPr>
                <w:sz w:val="2"/>
                <w:szCs w:val="2"/>
                <w:color w:val="auto"/>
              </w:rPr>
            </w:pPr>
          </w:p>
        </w:tc>
        <w:tc>
          <w:tcPr>
            <w:tcW w:w="45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3720" w:type="dxa"/>
            <w:vAlign w:val="bottom"/>
          </w:tcPr>
          <w:p>
            <w:pPr>
              <w:spacing w:after="0"/>
              <w:rPr>
                <w:sz w:val="16"/>
                <w:szCs w:val="16"/>
                <w:color w:val="auto"/>
              </w:rPr>
            </w:pPr>
          </w:p>
        </w:tc>
        <w:tc>
          <w:tcPr>
            <w:tcW w:w="45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20" w:type="dxa"/>
            <w:vAlign w:val="bottom"/>
            <w:gridSpan w:val="3"/>
          </w:tcPr>
          <w:p>
            <w:pPr>
              <w:jc w:val="right"/>
              <w:spacing w:after="0"/>
              <w:rPr>
                <w:sz w:val="20"/>
                <w:szCs w:val="20"/>
                <w:color w:val="auto"/>
              </w:rPr>
            </w:pPr>
            <w:r>
              <w:rPr>
                <w:rFonts w:ascii="Calibri" w:cs="Calibri" w:eastAsia="Calibri" w:hAnsi="Calibri"/>
                <w:sz w:val="14"/>
                <w:szCs w:val="14"/>
                <w:b w:val="1"/>
                <w:bCs w:val="1"/>
                <w:color w:val="auto"/>
              </w:rPr>
              <w:t>(In millions)</w:t>
            </w: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3720" w:type="dxa"/>
            <w:vAlign w:val="bottom"/>
          </w:tcPr>
          <w:p>
            <w:pPr>
              <w:spacing w:after="0"/>
              <w:rPr>
                <w:sz w:val="3"/>
                <w:szCs w:val="3"/>
                <w:color w:val="auto"/>
              </w:rPr>
            </w:pPr>
          </w:p>
        </w:tc>
        <w:tc>
          <w:tcPr>
            <w:tcW w:w="4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4"/>
        </w:trPr>
        <w:tc>
          <w:tcPr>
            <w:tcW w:w="3720" w:type="dxa"/>
            <w:vAlign w:val="bottom"/>
            <w:shd w:val="clear" w:color="auto" w:fill="CCEEFF"/>
          </w:tcPr>
          <w:p>
            <w:pPr>
              <w:ind w:left="20"/>
              <w:spacing w:after="0" w:line="210" w:lineRule="exact"/>
              <w:rPr>
                <w:sz w:val="20"/>
                <w:szCs w:val="20"/>
                <w:color w:val="auto"/>
              </w:rPr>
            </w:pPr>
            <w:r>
              <w:rPr>
                <w:rFonts w:ascii="Calibri" w:cs="Calibri" w:eastAsia="Calibri" w:hAnsi="Calibri"/>
                <w:sz w:val="18"/>
                <w:szCs w:val="18"/>
                <w:color w:val="auto"/>
              </w:rPr>
              <w:t>Prepaid expenses</w:t>
            </w:r>
          </w:p>
        </w:tc>
        <w:tc>
          <w:tcPr>
            <w:tcW w:w="4800" w:type="dxa"/>
            <w:vAlign w:val="bottom"/>
            <w:gridSpan w:val="2"/>
            <w:shd w:val="clear" w:color="auto" w:fill="CCEEFF"/>
          </w:tcPr>
          <w:p>
            <w:pPr>
              <w:jc w:val="right"/>
              <w:ind w:right="32"/>
              <w:spacing w:after="0" w:line="210" w:lineRule="exact"/>
              <w:rPr>
                <w:sz w:val="20"/>
                <w:szCs w:val="20"/>
                <w:color w:val="auto"/>
              </w:rPr>
            </w:pPr>
            <w:r>
              <w:rPr>
                <w:rFonts w:ascii="Calibri" w:cs="Calibri" w:eastAsia="Calibri" w:hAnsi="Calibri"/>
                <w:sz w:val="18"/>
                <w:szCs w:val="18"/>
                <w:color w:val="auto"/>
              </w:rPr>
              <w:t>$</w:t>
            </w:r>
          </w:p>
        </w:tc>
        <w:tc>
          <w:tcPr>
            <w:tcW w:w="1200" w:type="dxa"/>
            <w:vAlign w:val="bottom"/>
            <w:shd w:val="clear" w:color="auto" w:fill="CCEEFF"/>
          </w:tcPr>
          <w:p>
            <w:pPr>
              <w:jc w:val="right"/>
              <w:ind w:right="1"/>
              <w:spacing w:after="0" w:line="210" w:lineRule="exact"/>
              <w:rPr>
                <w:sz w:val="20"/>
                <w:szCs w:val="20"/>
                <w:color w:val="auto"/>
              </w:rPr>
            </w:pPr>
            <w:r>
              <w:rPr>
                <w:rFonts w:ascii="Calibri" w:cs="Calibri" w:eastAsia="Calibri" w:hAnsi="Calibri"/>
                <w:sz w:val="18"/>
                <w:szCs w:val="18"/>
                <w:color w:val="auto"/>
              </w:rPr>
              <w:t>743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2"/>
              <w:spacing w:after="0" w:line="210" w:lineRule="exact"/>
              <w:rPr>
                <w:sz w:val="20"/>
                <w:szCs w:val="20"/>
                <w:color w:val="auto"/>
              </w:rPr>
            </w:pPr>
            <w:r>
              <w:rPr>
                <w:rFonts w:ascii="Calibri" w:cs="Calibri" w:eastAsia="Calibri" w:hAnsi="Calibri"/>
                <w:sz w:val="18"/>
                <w:szCs w:val="18"/>
                <w:color w:val="auto"/>
                <w:w w:val="87"/>
              </w:rPr>
              <w:t>$</w:t>
            </w:r>
          </w:p>
        </w:tc>
        <w:tc>
          <w:tcPr>
            <w:tcW w:w="1100" w:type="dxa"/>
            <w:vAlign w:val="bottom"/>
            <w:shd w:val="clear" w:color="auto" w:fill="CCEEFF"/>
          </w:tcPr>
          <w:p>
            <w:pPr>
              <w:jc w:val="right"/>
              <w:spacing w:after="0" w:line="210" w:lineRule="exact"/>
              <w:rPr>
                <w:sz w:val="20"/>
                <w:szCs w:val="20"/>
                <w:color w:val="auto"/>
              </w:rPr>
            </w:pPr>
            <w:r>
              <w:rPr>
                <w:rFonts w:ascii="Calibri" w:cs="Calibri" w:eastAsia="Calibri" w:hAnsi="Calibri"/>
                <w:sz w:val="18"/>
                <w:szCs w:val="18"/>
                <w:color w:val="auto"/>
              </w:rPr>
              <w:t>864</w:t>
            </w:r>
          </w:p>
        </w:tc>
        <w:tc>
          <w:tcPr>
            <w:tcW w:w="0" w:type="dxa"/>
            <w:vAlign w:val="bottom"/>
          </w:tcPr>
          <w:p>
            <w:pPr>
              <w:spacing w:after="0"/>
              <w:rPr>
                <w:sz w:val="1"/>
                <w:szCs w:val="1"/>
                <w:color w:val="auto"/>
              </w:rPr>
            </w:pPr>
          </w:p>
        </w:tc>
      </w:tr>
      <w:tr>
        <w:trPr>
          <w:trHeight w:val="218"/>
        </w:trPr>
        <w:tc>
          <w:tcPr>
            <w:tcW w:w="3720" w:type="dxa"/>
            <w:vAlign w:val="bottom"/>
            <w:tcBorders>
              <w:bottom w:val="single" w:sz="8" w:color="CCEEFF"/>
            </w:tcBorders>
          </w:tcPr>
          <w:p>
            <w:pPr>
              <w:ind w:left="20"/>
              <w:spacing w:after="0" w:line="210" w:lineRule="exact"/>
              <w:rPr>
                <w:sz w:val="20"/>
                <w:szCs w:val="20"/>
                <w:color w:val="auto"/>
              </w:rPr>
            </w:pPr>
            <w:r>
              <w:rPr>
                <w:rFonts w:ascii="Calibri" w:cs="Calibri" w:eastAsia="Calibri" w:hAnsi="Calibri"/>
                <w:sz w:val="18"/>
                <w:szCs w:val="18"/>
                <w:color w:val="auto"/>
              </w:rPr>
              <w:t>Other</w:t>
            </w:r>
          </w:p>
        </w:tc>
        <w:tc>
          <w:tcPr>
            <w:tcW w:w="45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
              <w:spacing w:after="0" w:line="210" w:lineRule="exact"/>
              <w:rPr>
                <w:sz w:val="20"/>
                <w:szCs w:val="20"/>
                <w:color w:val="auto"/>
              </w:rPr>
            </w:pPr>
            <w:r>
              <w:rPr>
                <w:rFonts w:ascii="Calibri" w:cs="Calibri" w:eastAsia="Calibri" w:hAnsi="Calibri"/>
                <w:sz w:val="18"/>
                <w:szCs w:val="18"/>
                <w:color w:val="auto"/>
              </w:rPr>
              <w:t>863</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line="210" w:lineRule="exact"/>
              <w:rPr>
                <w:sz w:val="20"/>
                <w:szCs w:val="20"/>
                <w:color w:val="auto"/>
              </w:rPr>
            </w:pPr>
            <w:r>
              <w:rPr>
                <w:rFonts w:ascii="Calibri" w:cs="Calibri" w:eastAsia="Calibri" w:hAnsi="Calibri"/>
                <w:sz w:val="18"/>
                <w:szCs w:val="18"/>
                <w:color w:val="auto"/>
              </w:rPr>
              <w:t>341</w:t>
            </w:r>
          </w:p>
        </w:tc>
        <w:tc>
          <w:tcPr>
            <w:tcW w:w="0" w:type="dxa"/>
            <w:vAlign w:val="bottom"/>
          </w:tcPr>
          <w:p>
            <w:pPr>
              <w:spacing w:after="0"/>
              <w:rPr>
                <w:sz w:val="1"/>
                <w:szCs w:val="1"/>
                <w:color w:val="auto"/>
              </w:rPr>
            </w:pPr>
          </w:p>
        </w:tc>
      </w:tr>
      <w:tr>
        <w:trPr>
          <w:trHeight w:val="249"/>
        </w:trPr>
        <w:tc>
          <w:tcPr>
            <w:tcW w:w="3720" w:type="dxa"/>
            <w:vAlign w:val="bottom"/>
            <w:tcBorders>
              <w:bottom w:val="single" w:sz="8" w:color="CCEEFF"/>
            </w:tcBorders>
            <w:shd w:val="clear" w:color="auto" w:fill="CCEEFF"/>
          </w:tcPr>
          <w:p>
            <w:pPr>
              <w:ind w:left="140"/>
              <w:spacing w:after="0"/>
              <w:rPr>
                <w:sz w:val="20"/>
                <w:szCs w:val="20"/>
                <w:color w:val="auto"/>
              </w:rPr>
            </w:pPr>
            <w:r>
              <w:rPr>
                <w:rFonts w:ascii="Calibri" w:cs="Calibri" w:eastAsia="Calibri" w:hAnsi="Calibri"/>
                <w:sz w:val="18"/>
                <w:szCs w:val="18"/>
                <w:color w:val="auto"/>
              </w:rPr>
              <w:t>Total other current assets</w:t>
            </w:r>
          </w:p>
        </w:tc>
        <w:tc>
          <w:tcPr>
            <w:tcW w:w="45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2"/>
              <w:spacing w:after="0" w:line="210" w:lineRule="exact"/>
              <w:rPr>
                <w:sz w:val="20"/>
                <w:szCs w:val="20"/>
                <w:color w:val="auto"/>
              </w:rPr>
            </w:pPr>
            <w:r>
              <w:rPr>
                <w:rFonts w:ascii="Calibri" w:cs="Calibri" w:eastAsia="Calibri" w:hAnsi="Calibri"/>
                <w:sz w:val="18"/>
                <w:szCs w:val="18"/>
                <w:color w:val="auto"/>
              </w:rPr>
              <w:t>$</w:t>
            </w:r>
          </w:p>
        </w:tc>
        <w:tc>
          <w:tcPr>
            <w:tcW w:w="1200" w:type="dxa"/>
            <w:vAlign w:val="bottom"/>
            <w:tcBorders>
              <w:bottom w:val="single" w:sz="8" w:color="auto"/>
            </w:tcBorders>
            <w:shd w:val="clear" w:color="auto" w:fill="CCEEFF"/>
          </w:tcPr>
          <w:p>
            <w:pPr>
              <w:jc w:val="right"/>
              <w:ind w:right="1"/>
              <w:spacing w:after="0" w:line="210" w:lineRule="exact"/>
              <w:rPr>
                <w:sz w:val="20"/>
                <w:szCs w:val="20"/>
                <w:color w:val="auto"/>
              </w:rPr>
            </w:pPr>
            <w:r>
              <w:rPr>
                <w:rFonts w:ascii="Calibri" w:cs="Calibri" w:eastAsia="Calibri" w:hAnsi="Calibri"/>
                <w:sz w:val="18"/>
                <w:szCs w:val="18"/>
                <w:color w:val="auto"/>
              </w:rPr>
              <w:t>1,606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2"/>
              <w:spacing w:after="0" w:line="210" w:lineRule="exact"/>
              <w:rPr>
                <w:sz w:val="20"/>
                <w:szCs w:val="20"/>
                <w:color w:val="auto"/>
              </w:rPr>
            </w:pPr>
            <w:r>
              <w:rPr>
                <w:rFonts w:ascii="Calibri" w:cs="Calibri" w:eastAsia="Calibri" w:hAnsi="Calibri"/>
                <w:sz w:val="18"/>
                <w:szCs w:val="18"/>
                <w:color w:val="auto"/>
                <w:w w:val="87"/>
              </w:rPr>
              <w:t>$</w:t>
            </w:r>
          </w:p>
        </w:tc>
        <w:tc>
          <w:tcPr>
            <w:tcW w:w="1100" w:type="dxa"/>
            <w:vAlign w:val="bottom"/>
            <w:tcBorders>
              <w:bottom w:val="single" w:sz="8" w:color="auto"/>
            </w:tcBorders>
            <w:shd w:val="clear" w:color="auto" w:fill="CCEEFF"/>
          </w:tcPr>
          <w:p>
            <w:pPr>
              <w:jc w:val="right"/>
              <w:spacing w:after="0" w:line="210" w:lineRule="exact"/>
              <w:rPr>
                <w:sz w:val="20"/>
                <w:szCs w:val="20"/>
                <w:color w:val="auto"/>
              </w:rPr>
            </w:pPr>
            <w:r>
              <w:rPr>
                <w:rFonts w:ascii="Calibri" w:cs="Calibri" w:eastAsia="Calibri" w:hAnsi="Calibri"/>
                <w:sz w:val="18"/>
                <w:szCs w:val="18"/>
                <w:color w:val="auto"/>
              </w:rPr>
              <w:t>1,205</w:t>
            </w:r>
          </w:p>
        </w:tc>
        <w:tc>
          <w:tcPr>
            <w:tcW w:w="0" w:type="dxa"/>
            <w:vAlign w:val="bottom"/>
          </w:tcPr>
          <w:p>
            <w:pPr>
              <w:spacing w:after="0"/>
              <w:rPr>
                <w:sz w:val="1"/>
                <w:szCs w:val="1"/>
                <w:color w:val="auto"/>
              </w:rPr>
            </w:pPr>
          </w:p>
        </w:tc>
      </w:tr>
      <w:tr>
        <w:trPr>
          <w:trHeight w:val="20"/>
        </w:trPr>
        <w:tc>
          <w:tcPr>
            <w:tcW w:w="3720" w:type="dxa"/>
            <w:vAlign w:val="bottom"/>
            <w:tcBorders>
              <w:top w:val="single" w:sz="8" w:color="CCEEFF"/>
            </w:tcBorders>
          </w:tcPr>
          <w:p>
            <w:pPr>
              <w:spacing w:after="0" w:line="20" w:lineRule="exact"/>
              <w:rPr>
                <w:sz w:val="1"/>
                <w:szCs w:val="1"/>
                <w:color w:val="auto"/>
              </w:rPr>
            </w:pPr>
          </w:p>
        </w:tc>
        <w:tc>
          <w:tcPr>
            <w:tcW w:w="4560" w:type="dxa"/>
            <w:vAlign w:val="bottom"/>
            <w:tcBorders>
              <w:top w:val="single" w:sz="8" w:color="CCEEFF"/>
              <w:bottom w:val="single" w:sz="8" w:color="CCEEFF"/>
            </w:tcBorders>
            <w:vMerge w:val="restart"/>
          </w:tcPr>
          <w:p>
            <w:pPr>
              <w:jc w:val="right"/>
              <w:ind w:right="2472"/>
              <w:spacing w:after="0"/>
              <w:rPr>
                <w:sz w:val="20"/>
                <w:szCs w:val="20"/>
                <w:color w:val="auto"/>
              </w:rPr>
            </w:pPr>
            <w:r>
              <w:rPr>
                <w:rFonts w:ascii="Calibri" w:cs="Calibri" w:eastAsia="Calibri" w:hAnsi="Calibri"/>
                <w:sz w:val="18"/>
                <w:szCs w:val="18"/>
                <w:color w:val="auto"/>
              </w:rPr>
              <w:t>63</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5"/>
        </w:trPr>
        <w:tc>
          <w:tcPr>
            <w:tcW w:w="3720" w:type="dxa"/>
            <w:vAlign w:val="bottom"/>
          </w:tcPr>
          <w:p>
            <w:pPr>
              <w:spacing w:after="0"/>
              <w:rPr>
                <w:sz w:val="24"/>
                <w:szCs w:val="24"/>
                <w:color w:val="auto"/>
              </w:rPr>
            </w:pPr>
          </w:p>
        </w:tc>
        <w:tc>
          <w:tcPr>
            <w:tcW w:w="456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3720" w:type="dxa"/>
            <w:vAlign w:val="bottom"/>
            <w:tcBorders>
              <w:bottom w:val="single" w:sz="8" w:color="9A9A9A"/>
            </w:tcBorders>
          </w:tcPr>
          <w:p>
            <w:pPr>
              <w:spacing w:after="0"/>
              <w:rPr>
                <w:sz w:val="11"/>
                <w:szCs w:val="11"/>
                <w:color w:val="auto"/>
              </w:rPr>
            </w:pPr>
          </w:p>
        </w:tc>
        <w:tc>
          <w:tcPr>
            <w:tcW w:w="4560" w:type="dxa"/>
            <w:vAlign w:val="bottom"/>
            <w:tcBorders>
              <w:bottom w:val="single" w:sz="8" w:color="9A9A9A"/>
            </w:tcBorders>
          </w:tcPr>
          <w:p>
            <w:pPr>
              <w:spacing w:after="0"/>
              <w:rPr>
                <w:sz w:val="11"/>
                <w:szCs w:val="11"/>
                <w:color w:val="auto"/>
              </w:rPr>
            </w:pPr>
          </w:p>
        </w:tc>
        <w:tc>
          <w:tcPr>
            <w:tcW w:w="240" w:type="dxa"/>
            <w:vAlign w:val="bottom"/>
            <w:tcBorders>
              <w:bottom w:val="single" w:sz="8" w:color="9A9A9A"/>
            </w:tcBorders>
          </w:tcPr>
          <w:p>
            <w:pPr>
              <w:spacing w:after="0"/>
              <w:rPr>
                <w:sz w:val="11"/>
                <w:szCs w:val="11"/>
                <w:color w:val="auto"/>
              </w:rPr>
            </w:pPr>
          </w:p>
        </w:tc>
        <w:tc>
          <w:tcPr>
            <w:tcW w:w="1200" w:type="dxa"/>
            <w:vAlign w:val="bottom"/>
            <w:tcBorders>
              <w:bottom w:val="single" w:sz="8" w:color="9A9A9A"/>
            </w:tcBorders>
          </w:tcPr>
          <w:p>
            <w:pPr>
              <w:spacing w:after="0"/>
              <w:rPr>
                <w:sz w:val="11"/>
                <w:szCs w:val="11"/>
                <w:color w:val="auto"/>
              </w:rPr>
            </w:pPr>
          </w:p>
        </w:tc>
        <w:tc>
          <w:tcPr>
            <w:tcW w:w="100" w:type="dxa"/>
            <w:vAlign w:val="bottom"/>
            <w:tcBorders>
              <w:bottom w:val="single" w:sz="8" w:color="9A9A9A"/>
            </w:tcBorders>
          </w:tcPr>
          <w:p>
            <w:pPr>
              <w:spacing w:after="0"/>
              <w:rPr>
                <w:sz w:val="11"/>
                <w:szCs w:val="11"/>
                <w:color w:val="auto"/>
              </w:rPr>
            </w:pPr>
          </w:p>
        </w:tc>
        <w:tc>
          <w:tcPr>
            <w:tcW w:w="320" w:type="dxa"/>
            <w:vAlign w:val="bottom"/>
            <w:tcBorders>
              <w:bottom w:val="single" w:sz="8" w:color="9A9A9A"/>
            </w:tcBorders>
          </w:tcPr>
          <w:p>
            <w:pPr>
              <w:spacing w:after="0"/>
              <w:rPr>
                <w:sz w:val="11"/>
                <w:szCs w:val="11"/>
                <w:color w:val="auto"/>
              </w:rPr>
            </w:pPr>
          </w:p>
        </w:tc>
        <w:tc>
          <w:tcPr>
            <w:tcW w:w="1100" w:type="dxa"/>
            <w:vAlign w:val="bottom"/>
            <w:tcBorders>
              <w:bottom w:val="single" w:sz="8" w:color="9A9A9A"/>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-28575</wp:posOffset>
            </wp:positionV>
            <wp:extent cx="33655"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-28575</wp:posOffset>
            </wp:positionV>
            <wp:extent cx="33655" cy="41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09" w:right="339" w:bottom="1440" w:gutter="0" w:footer="0" w:header="0"/>
        </w:sectPr>
      </w:pPr>
    </w:p>
    <w:bookmarkStart w:id="65" w:name="page66"/>
    <w:bookmarkEnd w:id="65"/>
    <w:p>
      <w:pPr>
        <w:spacing w:after="0"/>
        <w:rPr>
          <w:sz w:val="20"/>
          <w:szCs w:val="20"/>
          <w:color w:val="auto"/>
        </w:rPr>
      </w:pPr>
      <w:r>
        <w:rPr>
          <w:rFonts w:ascii="Calibri" w:cs="Calibri" w:eastAsia="Calibri" w:hAnsi="Calibri"/>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Other Current Liabilites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7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00" w:type="dxa"/>
            <w:vAlign w:val="bottom"/>
            <w:gridSpan w:val="2"/>
          </w:tcPr>
          <w:p>
            <w:pPr>
              <w:jc w:val="center"/>
              <w:ind w:right="340"/>
              <w:spacing w:after="0"/>
              <w:rPr>
                <w:sz w:val="20"/>
                <w:szCs w:val="20"/>
                <w:color w:val="auto"/>
              </w:rPr>
            </w:pPr>
            <w:r>
              <w:rPr>
                <w:rFonts w:ascii="Calibri" w:cs="Calibri" w:eastAsia="Calibri" w:hAnsi="Calibri"/>
                <w:sz w:val="14"/>
                <w:szCs w:val="14"/>
                <w:b w:val="1"/>
                <w:bCs w:val="1"/>
                <w:color w:val="auto"/>
                <w:w w:val="99"/>
              </w:rPr>
              <w:t>October 29,</w:t>
            </w:r>
          </w:p>
        </w:tc>
        <w:tc>
          <w:tcPr>
            <w:tcW w:w="320" w:type="dxa"/>
            <w:vAlign w:val="bottom"/>
          </w:tcPr>
          <w:p>
            <w:pPr>
              <w:spacing w:after="0"/>
              <w:rPr>
                <w:sz w:val="14"/>
                <w:szCs w:val="14"/>
                <w:color w:val="auto"/>
              </w:rPr>
            </w:pPr>
          </w:p>
        </w:tc>
        <w:tc>
          <w:tcPr>
            <w:tcW w:w="1100" w:type="dxa"/>
            <w:vAlign w:val="bottom"/>
          </w:tcPr>
          <w:p>
            <w:pPr>
              <w:jc w:val="center"/>
              <w:ind w:right="237"/>
              <w:spacing w:after="0"/>
              <w:rPr>
                <w:sz w:val="20"/>
                <w:szCs w:val="20"/>
                <w:color w:val="auto"/>
              </w:rPr>
            </w:pPr>
            <w:r>
              <w:rPr>
                <w:rFonts w:ascii="Calibri" w:cs="Calibri" w:eastAsia="Calibri" w:hAnsi="Calibri"/>
                <w:sz w:val="14"/>
                <w:szCs w:val="14"/>
                <w:b w:val="1"/>
                <w:bCs w:val="1"/>
                <w:color w:val="auto"/>
              </w:rPr>
              <w:t>October 30,</w:t>
            </w:r>
          </w:p>
        </w:tc>
        <w:tc>
          <w:tcPr>
            <w:tcW w:w="0" w:type="dxa"/>
            <w:vAlign w:val="bottom"/>
          </w:tcPr>
          <w:p>
            <w:pPr>
              <w:spacing w:after="0"/>
              <w:rPr>
                <w:sz w:val="1"/>
                <w:szCs w:val="1"/>
                <w:color w:val="auto"/>
              </w:rPr>
            </w:pPr>
          </w:p>
        </w:tc>
      </w:tr>
      <w:tr>
        <w:trPr>
          <w:trHeight w:val="168"/>
        </w:trPr>
        <w:tc>
          <w:tcPr>
            <w:tcW w:w="67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tcPr>
          <w:p>
            <w:pPr>
              <w:jc w:val="center"/>
              <w:ind w:right="159"/>
              <w:spacing w:after="0" w:line="168" w:lineRule="exact"/>
              <w:rPr>
                <w:sz w:val="20"/>
                <w:szCs w:val="20"/>
                <w:color w:val="auto"/>
              </w:rPr>
            </w:pPr>
            <w:r>
              <w:rPr>
                <w:rFonts w:ascii="Calibri" w:cs="Calibri" w:eastAsia="Calibri" w:hAnsi="Calibri"/>
                <w:sz w:val="14"/>
                <w:szCs w:val="14"/>
                <w:b w:val="1"/>
                <w:bCs w:val="1"/>
                <w:color w:val="auto"/>
                <w:w w:val="98"/>
              </w:rPr>
              <w:t>2023</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jc w:val="center"/>
              <w:ind w:right="237"/>
              <w:spacing w:after="0" w:line="168" w:lineRule="exact"/>
              <w:rPr>
                <w:sz w:val="20"/>
                <w:szCs w:val="20"/>
                <w:color w:val="auto"/>
              </w:rPr>
            </w:pPr>
            <w:r>
              <w:rPr>
                <w:rFonts w:ascii="Calibri" w:cs="Calibri" w:eastAsia="Calibri" w:hAnsi="Calibri"/>
                <w:sz w:val="14"/>
                <w:szCs w:val="14"/>
                <w:b w:val="1"/>
                <w:bCs w:val="1"/>
                <w:color w:val="auto"/>
              </w:rPr>
              <w:t>2022</w:t>
            </w:r>
          </w:p>
        </w:tc>
        <w:tc>
          <w:tcPr>
            <w:tcW w:w="0" w:type="dxa"/>
            <w:vAlign w:val="bottom"/>
          </w:tcPr>
          <w:p>
            <w:pPr>
              <w:spacing w:after="0"/>
              <w:rPr>
                <w:sz w:val="1"/>
                <w:szCs w:val="1"/>
                <w:color w:val="auto"/>
              </w:rPr>
            </w:pPr>
          </w:p>
        </w:tc>
      </w:tr>
      <w:tr>
        <w:trPr>
          <w:trHeight w:val="32"/>
        </w:trPr>
        <w:tc>
          <w:tcPr>
            <w:tcW w:w="6760" w:type="dxa"/>
            <w:vAlign w:val="bottom"/>
          </w:tcPr>
          <w:p>
            <w:pPr>
              <w:spacing w:after="0"/>
              <w:rPr>
                <w:sz w:val="2"/>
                <w:szCs w:val="2"/>
                <w:color w:val="auto"/>
              </w:rPr>
            </w:pPr>
          </w:p>
        </w:tc>
        <w:tc>
          <w:tcPr>
            <w:tcW w:w="9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67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20" w:type="dxa"/>
            <w:vAlign w:val="bottom"/>
            <w:gridSpan w:val="3"/>
          </w:tcPr>
          <w:p>
            <w:pPr>
              <w:jc w:val="right"/>
              <w:spacing w:after="0"/>
              <w:rPr>
                <w:sz w:val="20"/>
                <w:szCs w:val="20"/>
                <w:color w:val="auto"/>
              </w:rPr>
            </w:pPr>
            <w:r>
              <w:rPr>
                <w:rFonts w:ascii="Calibri" w:cs="Calibri" w:eastAsia="Calibri" w:hAnsi="Calibri"/>
                <w:sz w:val="14"/>
                <w:szCs w:val="14"/>
                <w:b w:val="1"/>
                <w:bCs w:val="1"/>
                <w:color w:val="auto"/>
              </w:rPr>
              <w:t>(In millions)</w:t>
            </w: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760" w:type="dxa"/>
            <w:vAlign w:val="bottom"/>
          </w:tcPr>
          <w:p>
            <w:pPr>
              <w:spacing w:after="0"/>
              <w:rPr>
                <w:sz w:val="3"/>
                <w:szCs w:val="3"/>
                <w:color w:val="auto"/>
              </w:rPr>
            </w:pPr>
          </w:p>
        </w:tc>
        <w:tc>
          <w:tcPr>
            <w:tcW w:w="98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4"/>
        </w:trPr>
        <w:tc>
          <w:tcPr>
            <w:tcW w:w="6760" w:type="dxa"/>
            <w:vAlign w:val="bottom"/>
            <w:shd w:val="clear" w:color="auto" w:fill="CCEEFF"/>
          </w:tcPr>
          <w:p>
            <w:pPr>
              <w:ind w:left="20"/>
              <w:spacing w:after="0" w:line="210" w:lineRule="exact"/>
              <w:rPr>
                <w:sz w:val="20"/>
                <w:szCs w:val="20"/>
                <w:color w:val="auto"/>
              </w:rPr>
            </w:pPr>
            <w:r>
              <w:rPr>
                <w:rFonts w:ascii="Calibri" w:cs="Calibri" w:eastAsia="Calibri" w:hAnsi="Calibri"/>
                <w:sz w:val="18"/>
                <w:szCs w:val="18"/>
                <w:color w:val="auto"/>
              </w:rPr>
              <w:t>Contract liabilites</w:t>
            </w:r>
          </w:p>
        </w:tc>
        <w:tc>
          <w:tcPr>
            <w:tcW w:w="9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2"/>
              <w:spacing w:after="0" w:line="210" w:lineRule="exact"/>
              <w:rPr>
                <w:sz w:val="20"/>
                <w:szCs w:val="20"/>
                <w:color w:val="auto"/>
              </w:rPr>
            </w:pPr>
            <w:r>
              <w:rPr>
                <w:rFonts w:ascii="Calibri" w:cs="Calibri" w:eastAsia="Calibri" w:hAnsi="Calibri"/>
                <w:sz w:val="18"/>
                <w:szCs w:val="18"/>
                <w:color w:val="auto"/>
              </w:rPr>
              <w:t>$</w:t>
            </w:r>
          </w:p>
        </w:tc>
        <w:tc>
          <w:tcPr>
            <w:tcW w:w="1200" w:type="dxa"/>
            <w:vAlign w:val="bottom"/>
            <w:shd w:val="clear" w:color="auto" w:fill="CCEEFF"/>
          </w:tcPr>
          <w:p>
            <w:pPr>
              <w:jc w:val="right"/>
              <w:spacing w:after="0" w:line="210" w:lineRule="exact"/>
              <w:rPr>
                <w:sz w:val="20"/>
                <w:szCs w:val="20"/>
                <w:color w:val="auto"/>
              </w:rPr>
            </w:pPr>
            <w:r>
              <w:rPr>
                <w:rFonts w:ascii="Calibri" w:cs="Calibri" w:eastAsia="Calibri" w:hAnsi="Calibri"/>
                <w:sz w:val="18"/>
                <w:szCs w:val="18"/>
                <w:color w:val="auto"/>
              </w:rPr>
              <w:t>2,487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2"/>
              <w:spacing w:after="0" w:line="210" w:lineRule="exact"/>
              <w:rPr>
                <w:sz w:val="20"/>
                <w:szCs w:val="20"/>
                <w:color w:val="auto"/>
              </w:rPr>
            </w:pPr>
            <w:r>
              <w:rPr>
                <w:rFonts w:ascii="Calibri" w:cs="Calibri" w:eastAsia="Calibri" w:hAnsi="Calibri"/>
                <w:sz w:val="18"/>
                <w:szCs w:val="18"/>
                <w:color w:val="auto"/>
                <w:w w:val="87"/>
              </w:rPr>
              <w:t>$</w:t>
            </w:r>
          </w:p>
        </w:tc>
        <w:tc>
          <w:tcPr>
            <w:tcW w:w="1100" w:type="dxa"/>
            <w:vAlign w:val="bottom"/>
            <w:shd w:val="clear" w:color="auto" w:fill="CCEEFF"/>
          </w:tcPr>
          <w:p>
            <w:pPr>
              <w:jc w:val="right"/>
              <w:spacing w:after="0" w:line="210" w:lineRule="exact"/>
              <w:rPr>
                <w:sz w:val="20"/>
                <w:szCs w:val="20"/>
                <w:color w:val="auto"/>
              </w:rPr>
            </w:pPr>
            <w:r>
              <w:rPr>
                <w:rFonts w:ascii="Calibri" w:cs="Calibri" w:eastAsia="Calibri" w:hAnsi="Calibri"/>
                <w:sz w:val="18"/>
                <w:szCs w:val="18"/>
                <w:color w:val="auto"/>
              </w:rPr>
              <w:t>2,931</w:t>
            </w:r>
          </w:p>
        </w:tc>
        <w:tc>
          <w:tcPr>
            <w:tcW w:w="0" w:type="dxa"/>
            <w:vAlign w:val="bottom"/>
          </w:tcPr>
          <w:p>
            <w:pPr>
              <w:spacing w:after="0"/>
              <w:rPr>
                <w:sz w:val="1"/>
                <w:szCs w:val="1"/>
                <w:color w:val="auto"/>
              </w:rPr>
            </w:pPr>
          </w:p>
        </w:tc>
      </w:tr>
      <w:tr>
        <w:trPr>
          <w:trHeight w:val="217"/>
        </w:trPr>
        <w:tc>
          <w:tcPr>
            <w:tcW w:w="6760" w:type="dxa"/>
            <w:vAlign w:val="bottom"/>
          </w:tcPr>
          <w:p>
            <w:pPr>
              <w:ind w:left="20"/>
              <w:spacing w:after="0" w:line="210" w:lineRule="exact"/>
              <w:rPr>
                <w:sz w:val="20"/>
                <w:szCs w:val="20"/>
                <w:color w:val="auto"/>
              </w:rPr>
            </w:pPr>
            <w:r>
              <w:rPr>
                <w:rFonts w:ascii="Calibri" w:cs="Calibri" w:eastAsia="Calibri" w:hAnsi="Calibri"/>
                <w:sz w:val="18"/>
                <w:szCs w:val="18"/>
                <w:color w:val="auto"/>
              </w:rPr>
              <w:t>Tax liabilites</w:t>
            </w:r>
          </w:p>
        </w:tc>
        <w:tc>
          <w:tcPr>
            <w:tcW w:w="9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jc w:val="right"/>
              <w:spacing w:after="0" w:line="210" w:lineRule="exact"/>
              <w:rPr>
                <w:sz w:val="20"/>
                <w:szCs w:val="20"/>
                <w:color w:val="auto"/>
              </w:rPr>
            </w:pPr>
            <w:r>
              <w:rPr>
                <w:rFonts w:ascii="Calibri" w:cs="Calibri" w:eastAsia="Calibri" w:hAnsi="Calibri"/>
                <w:sz w:val="18"/>
                <w:szCs w:val="18"/>
                <w:color w:val="auto"/>
              </w:rPr>
              <w:t>473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line="210" w:lineRule="exact"/>
              <w:rPr>
                <w:sz w:val="20"/>
                <w:szCs w:val="20"/>
                <w:color w:val="auto"/>
              </w:rPr>
            </w:pPr>
            <w:r>
              <w:rPr>
                <w:rFonts w:ascii="Calibri" w:cs="Calibri" w:eastAsia="Calibri" w:hAnsi="Calibri"/>
                <w:sz w:val="18"/>
                <w:szCs w:val="18"/>
                <w:color w:val="auto"/>
              </w:rPr>
              <w:t>680</w:t>
            </w:r>
          </w:p>
        </w:tc>
        <w:tc>
          <w:tcPr>
            <w:tcW w:w="0" w:type="dxa"/>
            <w:vAlign w:val="bottom"/>
          </w:tcPr>
          <w:p>
            <w:pPr>
              <w:spacing w:after="0"/>
              <w:rPr>
                <w:sz w:val="1"/>
                <w:szCs w:val="1"/>
                <w:color w:val="auto"/>
              </w:rPr>
            </w:pPr>
          </w:p>
        </w:tc>
      </w:tr>
      <w:tr>
        <w:trPr>
          <w:trHeight w:val="232"/>
        </w:trPr>
        <w:tc>
          <w:tcPr>
            <w:tcW w:w="6760" w:type="dxa"/>
            <w:vAlign w:val="bottom"/>
            <w:shd w:val="clear" w:color="auto" w:fill="CCEEFF"/>
          </w:tcPr>
          <w:p>
            <w:pPr>
              <w:ind w:left="20"/>
              <w:spacing w:after="0" w:line="217" w:lineRule="exact"/>
              <w:rPr>
                <w:sz w:val="20"/>
                <w:szCs w:val="20"/>
                <w:color w:val="auto"/>
              </w:rPr>
            </w:pPr>
            <w:r>
              <w:rPr>
                <w:rFonts w:ascii="Calibri" w:cs="Calibri" w:eastAsia="Calibri" w:hAnsi="Calibri"/>
                <w:sz w:val="18"/>
                <w:szCs w:val="18"/>
                <w:color w:val="auto"/>
              </w:rPr>
              <w:t>Interest payable</w:t>
            </w:r>
          </w:p>
        </w:tc>
        <w:tc>
          <w:tcPr>
            <w:tcW w:w="98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line="217" w:lineRule="exact"/>
              <w:rPr>
                <w:sz w:val="20"/>
                <w:szCs w:val="20"/>
                <w:color w:val="auto"/>
              </w:rPr>
            </w:pPr>
            <w:r>
              <w:rPr>
                <w:rFonts w:ascii="Calibri" w:cs="Calibri" w:eastAsia="Calibri" w:hAnsi="Calibri"/>
                <w:sz w:val="18"/>
                <w:szCs w:val="18"/>
                <w:color w:val="auto"/>
              </w:rPr>
              <w:t>380</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line="217" w:lineRule="exact"/>
              <w:rPr>
                <w:sz w:val="20"/>
                <w:szCs w:val="20"/>
                <w:color w:val="auto"/>
              </w:rPr>
            </w:pPr>
            <w:r>
              <w:rPr>
                <w:rFonts w:ascii="Calibri" w:cs="Calibri" w:eastAsia="Calibri" w:hAnsi="Calibri"/>
                <w:sz w:val="18"/>
                <w:szCs w:val="18"/>
                <w:color w:val="auto"/>
              </w:rPr>
              <w:t>393</w:t>
            </w:r>
          </w:p>
        </w:tc>
        <w:tc>
          <w:tcPr>
            <w:tcW w:w="0" w:type="dxa"/>
            <w:vAlign w:val="bottom"/>
          </w:tcPr>
          <w:p>
            <w:pPr>
              <w:spacing w:after="0"/>
              <w:rPr>
                <w:sz w:val="1"/>
                <w:szCs w:val="1"/>
                <w:color w:val="auto"/>
              </w:rPr>
            </w:pPr>
          </w:p>
        </w:tc>
      </w:tr>
      <w:tr>
        <w:trPr>
          <w:trHeight w:val="218"/>
        </w:trPr>
        <w:tc>
          <w:tcPr>
            <w:tcW w:w="6760" w:type="dxa"/>
            <w:vAlign w:val="bottom"/>
            <w:tcBorders>
              <w:bottom w:val="single" w:sz="8" w:color="CCEEFF"/>
            </w:tcBorders>
          </w:tcPr>
          <w:p>
            <w:pPr>
              <w:ind w:left="20"/>
              <w:spacing w:after="0" w:line="210" w:lineRule="exact"/>
              <w:rPr>
                <w:sz w:val="20"/>
                <w:szCs w:val="20"/>
                <w:color w:val="auto"/>
              </w:rPr>
            </w:pPr>
            <w:r>
              <w:rPr>
                <w:rFonts w:ascii="Calibri" w:cs="Calibri" w:eastAsia="Calibri" w:hAnsi="Calibri"/>
                <w:sz w:val="18"/>
                <w:szCs w:val="18"/>
                <w:color w:val="auto"/>
              </w:rPr>
              <w:t>Other</w:t>
            </w:r>
          </w:p>
        </w:tc>
        <w:tc>
          <w:tcPr>
            <w:tcW w:w="980" w:type="dxa"/>
            <w:vAlign w:val="bottom"/>
            <w:tcBorders>
              <w:bottom w:val="single" w:sz="8" w:color="CCEEFF"/>
            </w:tcBorders>
          </w:tcPr>
          <w:p>
            <w:pPr>
              <w:spacing w:after="0"/>
              <w:rPr>
                <w:sz w:val="18"/>
                <w:szCs w:val="18"/>
                <w:color w:val="auto"/>
              </w:rPr>
            </w:pPr>
          </w:p>
        </w:tc>
        <w:tc>
          <w:tcPr>
            <w:tcW w:w="4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line="210" w:lineRule="exact"/>
              <w:rPr>
                <w:sz w:val="20"/>
                <w:szCs w:val="20"/>
                <w:color w:val="auto"/>
              </w:rPr>
            </w:pPr>
            <w:r>
              <w:rPr>
                <w:rFonts w:ascii="Calibri" w:cs="Calibri" w:eastAsia="Calibri" w:hAnsi="Calibri"/>
                <w:sz w:val="18"/>
                <w:szCs w:val="18"/>
                <w:color w:val="auto"/>
              </w:rPr>
              <w:t>312</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line="210" w:lineRule="exact"/>
              <w:rPr>
                <w:sz w:val="20"/>
                <w:szCs w:val="20"/>
                <w:color w:val="auto"/>
              </w:rPr>
            </w:pPr>
            <w:r>
              <w:rPr>
                <w:rFonts w:ascii="Calibri" w:cs="Calibri" w:eastAsia="Calibri" w:hAnsi="Calibri"/>
                <w:sz w:val="18"/>
                <w:szCs w:val="18"/>
                <w:color w:val="auto"/>
              </w:rPr>
              <w:t>408</w:t>
            </w:r>
          </w:p>
        </w:tc>
        <w:tc>
          <w:tcPr>
            <w:tcW w:w="0" w:type="dxa"/>
            <w:vAlign w:val="bottom"/>
          </w:tcPr>
          <w:p>
            <w:pPr>
              <w:spacing w:after="0"/>
              <w:rPr>
                <w:sz w:val="1"/>
                <w:szCs w:val="1"/>
                <w:color w:val="auto"/>
              </w:rPr>
            </w:pPr>
          </w:p>
        </w:tc>
      </w:tr>
      <w:tr>
        <w:trPr>
          <w:trHeight w:val="249"/>
        </w:trPr>
        <w:tc>
          <w:tcPr>
            <w:tcW w:w="6760" w:type="dxa"/>
            <w:vAlign w:val="bottom"/>
            <w:tcBorders>
              <w:bottom w:val="single" w:sz="8" w:color="CCEEFF"/>
            </w:tcBorders>
            <w:shd w:val="clear" w:color="auto" w:fill="CCEEFF"/>
          </w:tcPr>
          <w:p>
            <w:pPr>
              <w:ind w:left="140"/>
              <w:spacing w:after="0"/>
              <w:rPr>
                <w:sz w:val="20"/>
                <w:szCs w:val="20"/>
                <w:color w:val="auto"/>
              </w:rPr>
            </w:pPr>
            <w:r>
              <w:rPr>
                <w:rFonts w:ascii="Calibri" w:cs="Calibri" w:eastAsia="Calibri" w:hAnsi="Calibri"/>
                <w:sz w:val="18"/>
                <w:szCs w:val="18"/>
                <w:color w:val="auto"/>
              </w:rPr>
              <w:t>Total other current liabilites</w:t>
            </w:r>
          </w:p>
        </w:tc>
        <w:tc>
          <w:tcPr>
            <w:tcW w:w="9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2"/>
              <w:spacing w:after="0" w:line="210" w:lineRule="exact"/>
              <w:rPr>
                <w:sz w:val="20"/>
                <w:szCs w:val="20"/>
                <w:color w:val="auto"/>
              </w:rPr>
            </w:pPr>
            <w:r>
              <w:rPr>
                <w:rFonts w:ascii="Calibri" w:cs="Calibri" w:eastAsia="Calibri" w:hAnsi="Calibri"/>
                <w:sz w:val="18"/>
                <w:szCs w:val="18"/>
                <w:color w:val="auto"/>
              </w:rPr>
              <w:t>$</w:t>
            </w:r>
          </w:p>
        </w:tc>
        <w:tc>
          <w:tcPr>
            <w:tcW w:w="1200" w:type="dxa"/>
            <w:vAlign w:val="bottom"/>
            <w:tcBorders>
              <w:bottom w:val="single" w:sz="8" w:color="auto"/>
            </w:tcBorders>
            <w:shd w:val="clear" w:color="auto" w:fill="CCEEFF"/>
          </w:tcPr>
          <w:p>
            <w:pPr>
              <w:jc w:val="right"/>
              <w:spacing w:after="0" w:line="210" w:lineRule="exact"/>
              <w:rPr>
                <w:sz w:val="20"/>
                <w:szCs w:val="20"/>
                <w:color w:val="auto"/>
              </w:rPr>
            </w:pPr>
            <w:r>
              <w:rPr>
                <w:rFonts w:ascii="Calibri" w:cs="Calibri" w:eastAsia="Calibri" w:hAnsi="Calibri"/>
                <w:sz w:val="18"/>
                <w:szCs w:val="18"/>
                <w:color w:val="auto"/>
              </w:rPr>
              <w:t>3,652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2"/>
              <w:spacing w:after="0" w:line="210" w:lineRule="exact"/>
              <w:rPr>
                <w:sz w:val="20"/>
                <w:szCs w:val="20"/>
                <w:color w:val="auto"/>
              </w:rPr>
            </w:pPr>
            <w:r>
              <w:rPr>
                <w:rFonts w:ascii="Calibri" w:cs="Calibri" w:eastAsia="Calibri" w:hAnsi="Calibri"/>
                <w:sz w:val="18"/>
                <w:szCs w:val="18"/>
                <w:color w:val="auto"/>
                <w:w w:val="87"/>
              </w:rPr>
              <w:t>$</w:t>
            </w:r>
          </w:p>
        </w:tc>
        <w:tc>
          <w:tcPr>
            <w:tcW w:w="1100" w:type="dxa"/>
            <w:vAlign w:val="bottom"/>
            <w:tcBorders>
              <w:bottom w:val="single" w:sz="8" w:color="auto"/>
            </w:tcBorders>
            <w:shd w:val="clear" w:color="auto" w:fill="CCEEFF"/>
          </w:tcPr>
          <w:p>
            <w:pPr>
              <w:jc w:val="right"/>
              <w:spacing w:after="0" w:line="210" w:lineRule="exact"/>
              <w:rPr>
                <w:sz w:val="20"/>
                <w:szCs w:val="20"/>
                <w:color w:val="auto"/>
              </w:rPr>
            </w:pPr>
            <w:r>
              <w:rPr>
                <w:rFonts w:ascii="Calibri" w:cs="Calibri" w:eastAsia="Calibri" w:hAnsi="Calibri"/>
                <w:sz w:val="18"/>
                <w:szCs w:val="18"/>
                <w:color w:val="auto"/>
              </w:rPr>
              <w:t>4,412</w:t>
            </w:r>
          </w:p>
        </w:tc>
        <w:tc>
          <w:tcPr>
            <w:tcW w:w="0" w:type="dxa"/>
            <w:vAlign w:val="bottom"/>
          </w:tcPr>
          <w:p>
            <w:pPr>
              <w:spacing w:after="0"/>
              <w:rPr>
                <w:sz w:val="1"/>
                <w:szCs w:val="1"/>
                <w:color w:val="auto"/>
              </w:rPr>
            </w:pPr>
          </w:p>
        </w:tc>
      </w:tr>
      <w:tr>
        <w:trPr>
          <w:trHeight w:val="20"/>
        </w:trPr>
        <w:tc>
          <w:tcPr>
            <w:tcW w:w="6760" w:type="dxa"/>
            <w:vAlign w:val="bottom"/>
            <w:tcBorders>
              <w:top w:val="single" w:sz="8" w:color="CCEEFF"/>
              <w:bottom w:val="single" w:sz="8" w:color="CCEEFF"/>
            </w:tcBorders>
            <w:vMerge w:val="restart"/>
          </w:tcPr>
          <w:p>
            <w:pPr>
              <w:spacing w:after="0"/>
              <w:rPr>
                <w:sz w:val="20"/>
                <w:szCs w:val="20"/>
                <w:color w:val="auto"/>
              </w:rPr>
            </w:pPr>
            <w:r>
              <w:rPr>
                <w:rFonts w:ascii="Calibri" w:cs="Calibri" w:eastAsia="Calibri" w:hAnsi="Calibri"/>
                <w:sz w:val="18"/>
                <w:szCs w:val="18"/>
                <w:b w:val="1"/>
                <w:bCs w:val="1"/>
                <w:i w:val="1"/>
                <w:iCs w:val="1"/>
                <w:color w:val="auto"/>
              </w:rPr>
              <w:t>Other Long-Term Liabilites</w:t>
            </w:r>
          </w:p>
        </w:tc>
        <w:tc>
          <w:tcPr>
            <w:tcW w:w="9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0"/>
        </w:trPr>
        <w:tc>
          <w:tcPr>
            <w:tcW w:w="6760" w:type="dxa"/>
            <w:vAlign w:val="bottom"/>
            <w:vMerge w:val="continue"/>
          </w:tcPr>
          <w:p>
            <w:pPr>
              <w:spacing w:after="0"/>
              <w:rPr>
                <w:sz w:val="24"/>
                <w:szCs w:val="24"/>
                <w:color w:val="auto"/>
              </w:rPr>
            </w:pPr>
          </w:p>
        </w:tc>
        <w:tc>
          <w:tcPr>
            <w:tcW w:w="9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3"/>
        </w:trPr>
        <w:tc>
          <w:tcPr>
            <w:tcW w:w="67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00" w:type="dxa"/>
            <w:vAlign w:val="bottom"/>
            <w:gridSpan w:val="2"/>
          </w:tcPr>
          <w:p>
            <w:pPr>
              <w:jc w:val="center"/>
              <w:ind w:right="340"/>
              <w:spacing w:after="0"/>
              <w:rPr>
                <w:sz w:val="20"/>
                <w:szCs w:val="20"/>
                <w:color w:val="auto"/>
              </w:rPr>
            </w:pPr>
            <w:r>
              <w:rPr>
                <w:rFonts w:ascii="Calibri" w:cs="Calibri" w:eastAsia="Calibri" w:hAnsi="Calibri"/>
                <w:sz w:val="14"/>
                <w:szCs w:val="14"/>
                <w:b w:val="1"/>
                <w:bCs w:val="1"/>
                <w:color w:val="auto"/>
                <w:w w:val="99"/>
              </w:rPr>
              <w:t>October 29,</w:t>
            </w:r>
          </w:p>
        </w:tc>
        <w:tc>
          <w:tcPr>
            <w:tcW w:w="320" w:type="dxa"/>
            <w:vAlign w:val="bottom"/>
          </w:tcPr>
          <w:p>
            <w:pPr>
              <w:spacing w:after="0"/>
              <w:rPr>
                <w:sz w:val="23"/>
                <w:szCs w:val="23"/>
                <w:color w:val="auto"/>
              </w:rPr>
            </w:pPr>
          </w:p>
        </w:tc>
        <w:tc>
          <w:tcPr>
            <w:tcW w:w="1100" w:type="dxa"/>
            <w:vAlign w:val="bottom"/>
          </w:tcPr>
          <w:p>
            <w:pPr>
              <w:jc w:val="center"/>
              <w:ind w:right="237"/>
              <w:spacing w:after="0"/>
              <w:rPr>
                <w:sz w:val="20"/>
                <w:szCs w:val="20"/>
                <w:color w:val="auto"/>
              </w:rPr>
            </w:pPr>
            <w:r>
              <w:rPr>
                <w:rFonts w:ascii="Calibri" w:cs="Calibri" w:eastAsia="Calibri" w:hAnsi="Calibri"/>
                <w:sz w:val="14"/>
                <w:szCs w:val="14"/>
                <w:b w:val="1"/>
                <w:bCs w:val="1"/>
                <w:color w:val="auto"/>
              </w:rPr>
              <w:t>October 30,</w:t>
            </w:r>
          </w:p>
        </w:tc>
        <w:tc>
          <w:tcPr>
            <w:tcW w:w="0" w:type="dxa"/>
            <w:vAlign w:val="bottom"/>
          </w:tcPr>
          <w:p>
            <w:pPr>
              <w:spacing w:after="0"/>
              <w:rPr>
                <w:sz w:val="1"/>
                <w:szCs w:val="1"/>
                <w:color w:val="auto"/>
              </w:rPr>
            </w:pPr>
          </w:p>
        </w:tc>
      </w:tr>
      <w:tr>
        <w:trPr>
          <w:trHeight w:val="168"/>
        </w:trPr>
        <w:tc>
          <w:tcPr>
            <w:tcW w:w="67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tcPr>
          <w:p>
            <w:pPr>
              <w:jc w:val="center"/>
              <w:ind w:right="159"/>
              <w:spacing w:after="0" w:line="168" w:lineRule="exact"/>
              <w:rPr>
                <w:sz w:val="20"/>
                <w:szCs w:val="20"/>
                <w:color w:val="auto"/>
              </w:rPr>
            </w:pPr>
            <w:r>
              <w:rPr>
                <w:rFonts w:ascii="Calibri" w:cs="Calibri" w:eastAsia="Calibri" w:hAnsi="Calibri"/>
                <w:sz w:val="14"/>
                <w:szCs w:val="14"/>
                <w:b w:val="1"/>
                <w:bCs w:val="1"/>
                <w:color w:val="auto"/>
                <w:w w:val="98"/>
              </w:rPr>
              <w:t>2023</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jc w:val="center"/>
              <w:ind w:right="237"/>
              <w:spacing w:after="0" w:line="168" w:lineRule="exact"/>
              <w:rPr>
                <w:sz w:val="20"/>
                <w:szCs w:val="20"/>
                <w:color w:val="auto"/>
              </w:rPr>
            </w:pPr>
            <w:r>
              <w:rPr>
                <w:rFonts w:ascii="Calibri" w:cs="Calibri" w:eastAsia="Calibri" w:hAnsi="Calibri"/>
                <w:sz w:val="14"/>
                <w:szCs w:val="14"/>
                <w:b w:val="1"/>
                <w:bCs w:val="1"/>
                <w:color w:val="auto"/>
              </w:rPr>
              <w:t>2022</w:t>
            </w:r>
          </w:p>
        </w:tc>
        <w:tc>
          <w:tcPr>
            <w:tcW w:w="0" w:type="dxa"/>
            <w:vAlign w:val="bottom"/>
          </w:tcPr>
          <w:p>
            <w:pPr>
              <w:spacing w:after="0"/>
              <w:rPr>
                <w:sz w:val="1"/>
                <w:szCs w:val="1"/>
                <w:color w:val="auto"/>
              </w:rPr>
            </w:pPr>
          </w:p>
        </w:tc>
      </w:tr>
      <w:tr>
        <w:trPr>
          <w:trHeight w:val="44"/>
        </w:trPr>
        <w:tc>
          <w:tcPr>
            <w:tcW w:w="6760" w:type="dxa"/>
            <w:vAlign w:val="bottom"/>
          </w:tcPr>
          <w:p>
            <w:pPr>
              <w:spacing w:after="0"/>
              <w:rPr>
                <w:sz w:val="3"/>
                <w:szCs w:val="3"/>
                <w:color w:val="auto"/>
              </w:rPr>
            </w:pPr>
          </w:p>
        </w:tc>
        <w:tc>
          <w:tcPr>
            <w:tcW w:w="98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67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20" w:type="dxa"/>
            <w:vAlign w:val="bottom"/>
            <w:gridSpan w:val="3"/>
          </w:tcPr>
          <w:p>
            <w:pPr>
              <w:jc w:val="right"/>
              <w:spacing w:after="0"/>
              <w:rPr>
                <w:sz w:val="20"/>
                <w:szCs w:val="20"/>
                <w:color w:val="auto"/>
              </w:rPr>
            </w:pPr>
            <w:r>
              <w:rPr>
                <w:rFonts w:ascii="Calibri" w:cs="Calibri" w:eastAsia="Calibri" w:hAnsi="Calibri"/>
                <w:sz w:val="14"/>
                <w:szCs w:val="14"/>
                <w:b w:val="1"/>
                <w:bCs w:val="1"/>
                <w:color w:val="auto"/>
              </w:rPr>
              <w:t>(In millions)</w:t>
            </w: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760" w:type="dxa"/>
            <w:vAlign w:val="bottom"/>
          </w:tcPr>
          <w:p>
            <w:pPr>
              <w:spacing w:after="0"/>
              <w:rPr>
                <w:sz w:val="3"/>
                <w:szCs w:val="3"/>
                <w:color w:val="auto"/>
              </w:rPr>
            </w:pPr>
          </w:p>
        </w:tc>
        <w:tc>
          <w:tcPr>
            <w:tcW w:w="98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4"/>
        </w:trPr>
        <w:tc>
          <w:tcPr>
            <w:tcW w:w="6760" w:type="dxa"/>
            <w:vAlign w:val="bottom"/>
            <w:shd w:val="clear" w:color="auto" w:fill="CCEEFF"/>
          </w:tcPr>
          <w:p>
            <w:pPr>
              <w:ind w:left="20"/>
              <w:spacing w:after="0" w:line="210" w:lineRule="exact"/>
              <w:rPr>
                <w:sz w:val="20"/>
                <w:szCs w:val="20"/>
                <w:color w:val="auto"/>
              </w:rPr>
            </w:pPr>
            <w:r>
              <w:rPr>
                <w:rFonts w:ascii="Calibri" w:cs="Calibri" w:eastAsia="Calibri" w:hAnsi="Calibri"/>
                <w:sz w:val="18"/>
                <w:szCs w:val="18"/>
                <w:color w:val="auto"/>
              </w:rPr>
              <w:t>Unrecognized tax benefts, interest and penaltes</w:t>
            </w:r>
          </w:p>
        </w:tc>
        <w:tc>
          <w:tcPr>
            <w:tcW w:w="9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2"/>
              <w:spacing w:after="0" w:line="210" w:lineRule="exact"/>
              <w:rPr>
                <w:sz w:val="20"/>
                <w:szCs w:val="20"/>
                <w:color w:val="auto"/>
              </w:rPr>
            </w:pPr>
            <w:r>
              <w:rPr>
                <w:rFonts w:ascii="Calibri" w:cs="Calibri" w:eastAsia="Calibri" w:hAnsi="Calibri"/>
                <w:sz w:val="18"/>
                <w:szCs w:val="18"/>
                <w:color w:val="auto"/>
              </w:rPr>
              <w:t>$</w:t>
            </w:r>
          </w:p>
        </w:tc>
        <w:tc>
          <w:tcPr>
            <w:tcW w:w="1200" w:type="dxa"/>
            <w:vAlign w:val="bottom"/>
            <w:shd w:val="clear" w:color="auto" w:fill="CCEEFF"/>
          </w:tcPr>
          <w:p>
            <w:pPr>
              <w:jc w:val="right"/>
              <w:spacing w:after="0" w:line="210" w:lineRule="exact"/>
              <w:rPr>
                <w:sz w:val="20"/>
                <w:szCs w:val="20"/>
                <w:color w:val="auto"/>
              </w:rPr>
            </w:pPr>
            <w:r>
              <w:rPr>
                <w:rFonts w:ascii="Calibri" w:cs="Calibri" w:eastAsia="Calibri" w:hAnsi="Calibri"/>
                <w:sz w:val="18"/>
                <w:szCs w:val="18"/>
                <w:color w:val="auto"/>
              </w:rPr>
              <w:t>2,792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2"/>
              <w:spacing w:after="0" w:line="210" w:lineRule="exact"/>
              <w:rPr>
                <w:sz w:val="20"/>
                <w:szCs w:val="20"/>
                <w:color w:val="auto"/>
              </w:rPr>
            </w:pPr>
            <w:r>
              <w:rPr>
                <w:rFonts w:ascii="Calibri" w:cs="Calibri" w:eastAsia="Calibri" w:hAnsi="Calibri"/>
                <w:sz w:val="18"/>
                <w:szCs w:val="18"/>
                <w:color w:val="auto"/>
                <w:w w:val="87"/>
              </w:rPr>
              <w:t>$</w:t>
            </w:r>
          </w:p>
        </w:tc>
        <w:tc>
          <w:tcPr>
            <w:tcW w:w="1100" w:type="dxa"/>
            <w:vAlign w:val="bottom"/>
            <w:shd w:val="clear" w:color="auto" w:fill="CCEEFF"/>
          </w:tcPr>
          <w:p>
            <w:pPr>
              <w:jc w:val="right"/>
              <w:spacing w:after="0" w:line="210" w:lineRule="exact"/>
              <w:rPr>
                <w:sz w:val="20"/>
                <w:szCs w:val="20"/>
                <w:color w:val="auto"/>
              </w:rPr>
            </w:pPr>
            <w:r>
              <w:rPr>
                <w:rFonts w:ascii="Calibri" w:cs="Calibri" w:eastAsia="Calibri" w:hAnsi="Calibri"/>
                <w:sz w:val="18"/>
                <w:szCs w:val="18"/>
                <w:color w:val="auto"/>
              </w:rPr>
              <w:t>3,229</w:t>
            </w:r>
          </w:p>
        </w:tc>
        <w:tc>
          <w:tcPr>
            <w:tcW w:w="0" w:type="dxa"/>
            <w:vAlign w:val="bottom"/>
          </w:tcPr>
          <w:p>
            <w:pPr>
              <w:spacing w:after="0"/>
              <w:rPr>
                <w:sz w:val="1"/>
                <w:szCs w:val="1"/>
                <w:color w:val="auto"/>
              </w:rPr>
            </w:pPr>
          </w:p>
        </w:tc>
      </w:tr>
      <w:tr>
        <w:trPr>
          <w:trHeight w:val="217"/>
        </w:trPr>
        <w:tc>
          <w:tcPr>
            <w:tcW w:w="6760" w:type="dxa"/>
            <w:vAlign w:val="bottom"/>
          </w:tcPr>
          <w:p>
            <w:pPr>
              <w:ind w:left="20"/>
              <w:spacing w:after="0" w:line="210" w:lineRule="exact"/>
              <w:rPr>
                <w:sz w:val="20"/>
                <w:szCs w:val="20"/>
                <w:color w:val="auto"/>
              </w:rPr>
            </w:pPr>
            <w:r>
              <w:rPr>
                <w:rFonts w:ascii="Calibri" w:cs="Calibri" w:eastAsia="Calibri" w:hAnsi="Calibri"/>
                <w:sz w:val="18"/>
                <w:szCs w:val="18"/>
                <w:color w:val="auto"/>
              </w:rPr>
              <w:t>Contract liabilites</w:t>
            </w:r>
          </w:p>
        </w:tc>
        <w:tc>
          <w:tcPr>
            <w:tcW w:w="9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jc w:val="right"/>
              <w:spacing w:after="0" w:line="210" w:lineRule="exact"/>
              <w:rPr>
                <w:sz w:val="20"/>
                <w:szCs w:val="20"/>
                <w:color w:val="auto"/>
              </w:rPr>
            </w:pPr>
            <w:r>
              <w:rPr>
                <w:rFonts w:ascii="Calibri" w:cs="Calibri" w:eastAsia="Calibri" w:hAnsi="Calibri"/>
                <w:sz w:val="18"/>
                <w:szCs w:val="18"/>
                <w:color w:val="auto"/>
              </w:rPr>
              <w:t>299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line="210" w:lineRule="exact"/>
              <w:rPr>
                <w:sz w:val="20"/>
                <w:szCs w:val="20"/>
                <w:color w:val="auto"/>
              </w:rPr>
            </w:pPr>
            <w:r>
              <w:rPr>
                <w:rFonts w:ascii="Calibri" w:cs="Calibri" w:eastAsia="Calibri" w:hAnsi="Calibri"/>
                <w:sz w:val="18"/>
                <w:szCs w:val="18"/>
                <w:color w:val="auto"/>
              </w:rPr>
              <w:t>410</w:t>
            </w:r>
          </w:p>
        </w:tc>
        <w:tc>
          <w:tcPr>
            <w:tcW w:w="0" w:type="dxa"/>
            <w:vAlign w:val="bottom"/>
          </w:tcPr>
          <w:p>
            <w:pPr>
              <w:spacing w:after="0"/>
              <w:rPr>
                <w:sz w:val="1"/>
                <w:szCs w:val="1"/>
                <w:color w:val="auto"/>
              </w:rPr>
            </w:pPr>
          </w:p>
        </w:tc>
      </w:tr>
      <w:tr>
        <w:trPr>
          <w:trHeight w:val="225"/>
        </w:trPr>
        <w:tc>
          <w:tcPr>
            <w:tcW w:w="6760" w:type="dxa"/>
            <w:vAlign w:val="bottom"/>
            <w:shd w:val="clear" w:color="auto" w:fill="CCEEFF"/>
          </w:tcPr>
          <w:p>
            <w:pPr>
              <w:ind w:left="20"/>
              <w:spacing w:after="0" w:line="217" w:lineRule="exact"/>
              <w:rPr>
                <w:sz w:val="20"/>
                <w:szCs w:val="20"/>
                <w:color w:val="auto"/>
              </w:rPr>
            </w:pPr>
            <w:r>
              <w:rPr>
                <w:rFonts w:ascii="Calibri" w:cs="Calibri" w:eastAsia="Calibri" w:hAnsi="Calibri"/>
                <w:sz w:val="18"/>
                <w:szCs w:val="18"/>
                <w:color w:val="auto"/>
              </w:rPr>
              <w:t>Other</w:t>
            </w:r>
          </w:p>
        </w:tc>
        <w:tc>
          <w:tcPr>
            <w:tcW w:w="9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line="217" w:lineRule="exact"/>
              <w:rPr>
                <w:sz w:val="20"/>
                <w:szCs w:val="20"/>
                <w:color w:val="auto"/>
              </w:rPr>
            </w:pPr>
            <w:r>
              <w:rPr>
                <w:rFonts w:ascii="Calibri" w:cs="Calibri" w:eastAsia="Calibri" w:hAnsi="Calibri"/>
                <w:sz w:val="18"/>
                <w:szCs w:val="18"/>
                <w:color w:val="auto"/>
              </w:rPr>
              <w:t>756</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line="217" w:lineRule="exact"/>
              <w:rPr>
                <w:sz w:val="20"/>
                <w:szCs w:val="20"/>
                <w:color w:val="auto"/>
              </w:rPr>
            </w:pPr>
            <w:r>
              <w:rPr>
                <w:rFonts w:ascii="Calibri" w:cs="Calibri" w:eastAsia="Calibri" w:hAnsi="Calibri"/>
                <w:sz w:val="18"/>
                <w:szCs w:val="18"/>
                <w:color w:val="auto"/>
              </w:rPr>
              <w:t>774</w:t>
            </w:r>
          </w:p>
        </w:tc>
        <w:tc>
          <w:tcPr>
            <w:tcW w:w="0" w:type="dxa"/>
            <w:vAlign w:val="bottom"/>
          </w:tcPr>
          <w:p>
            <w:pPr>
              <w:spacing w:after="0"/>
              <w:rPr>
                <w:sz w:val="1"/>
                <w:szCs w:val="1"/>
                <w:color w:val="auto"/>
              </w:rPr>
            </w:pPr>
          </w:p>
        </w:tc>
      </w:tr>
      <w:tr>
        <w:trPr>
          <w:trHeight w:val="224"/>
        </w:trPr>
        <w:tc>
          <w:tcPr>
            <w:tcW w:w="6760" w:type="dxa"/>
            <w:vAlign w:val="bottom"/>
          </w:tcPr>
          <w:p>
            <w:pPr>
              <w:ind w:left="140"/>
              <w:spacing w:after="0"/>
              <w:rPr>
                <w:sz w:val="20"/>
                <w:szCs w:val="20"/>
                <w:color w:val="auto"/>
              </w:rPr>
            </w:pPr>
            <w:r>
              <w:rPr>
                <w:rFonts w:ascii="Calibri" w:cs="Calibri" w:eastAsia="Calibri" w:hAnsi="Calibri"/>
                <w:sz w:val="18"/>
                <w:szCs w:val="18"/>
                <w:color w:val="auto"/>
              </w:rPr>
              <w:t>Total other long-term liabilites</w:t>
            </w:r>
          </w:p>
        </w:tc>
        <w:tc>
          <w:tcPr>
            <w:tcW w:w="9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2"/>
              <w:spacing w:after="0" w:line="210" w:lineRule="exact"/>
              <w:rPr>
                <w:sz w:val="20"/>
                <w:szCs w:val="20"/>
                <w:color w:val="auto"/>
              </w:rPr>
            </w:pPr>
            <w:r>
              <w:rPr>
                <w:rFonts w:ascii="Calibri" w:cs="Calibri" w:eastAsia="Calibri" w:hAnsi="Calibri"/>
                <w:sz w:val="18"/>
                <w:szCs w:val="18"/>
                <w:color w:val="auto"/>
              </w:rPr>
              <w:t>$</w:t>
            </w:r>
          </w:p>
        </w:tc>
        <w:tc>
          <w:tcPr>
            <w:tcW w:w="1200" w:type="dxa"/>
            <w:vAlign w:val="bottom"/>
            <w:tcBorders>
              <w:bottom w:val="single" w:sz="8" w:color="auto"/>
            </w:tcBorders>
          </w:tcPr>
          <w:p>
            <w:pPr>
              <w:jc w:val="right"/>
              <w:spacing w:after="0" w:line="210" w:lineRule="exact"/>
              <w:rPr>
                <w:sz w:val="20"/>
                <w:szCs w:val="20"/>
                <w:color w:val="auto"/>
              </w:rPr>
            </w:pPr>
            <w:r>
              <w:rPr>
                <w:rFonts w:ascii="Calibri" w:cs="Calibri" w:eastAsia="Calibri" w:hAnsi="Calibri"/>
                <w:sz w:val="18"/>
                <w:szCs w:val="18"/>
                <w:color w:val="auto"/>
              </w:rPr>
              <w:t>3,847</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2"/>
              <w:spacing w:after="0" w:line="210" w:lineRule="exact"/>
              <w:rPr>
                <w:sz w:val="20"/>
                <w:szCs w:val="20"/>
                <w:color w:val="auto"/>
              </w:rPr>
            </w:pPr>
            <w:r>
              <w:rPr>
                <w:rFonts w:ascii="Calibri" w:cs="Calibri" w:eastAsia="Calibri" w:hAnsi="Calibri"/>
                <w:sz w:val="18"/>
                <w:szCs w:val="18"/>
                <w:color w:val="auto"/>
                <w:w w:val="87"/>
              </w:rPr>
              <w:t>$</w:t>
            </w:r>
          </w:p>
        </w:tc>
        <w:tc>
          <w:tcPr>
            <w:tcW w:w="1100" w:type="dxa"/>
            <w:vAlign w:val="bottom"/>
            <w:tcBorders>
              <w:bottom w:val="single" w:sz="8" w:color="auto"/>
            </w:tcBorders>
          </w:tcPr>
          <w:p>
            <w:pPr>
              <w:jc w:val="right"/>
              <w:spacing w:after="0" w:line="210" w:lineRule="exact"/>
              <w:rPr>
                <w:sz w:val="20"/>
                <w:szCs w:val="20"/>
                <w:color w:val="auto"/>
              </w:rPr>
            </w:pPr>
            <w:r>
              <w:rPr>
                <w:rFonts w:ascii="Calibri" w:cs="Calibri" w:eastAsia="Calibri" w:hAnsi="Calibri"/>
                <w:sz w:val="18"/>
                <w:szCs w:val="18"/>
                <w:color w:val="auto"/>
              </w:rPr>
              <w:t>4,413</w:t>
            </w:r>
          </w:p>
        </w:tc>
        <w:tc>
          <w:tcPr>
            <w:tcW w:w="0" w:type="dxa"/>
            <w:vAlign w:val="bottom"/>
          </w:tcPr>
          <w:p>
            <w:pPr>
              <w:spacing w:after="0"/>
              <w:rPr>
                <w:sz w:val="1"/>
                <w:szCs w:val="1"/>
                <w:color w:val="auto"/>
              </w:rPr>
            </w:pPr>
          </w:p>
        </w:tc>
      </w:tr>
      <w:tr>
        <w:trPr>
          <w:trHeight w:val="20"/>
        </w:trPr>
        <w:tc>
          <w:tcPr>
            <w:tcW w:w="6760" w:type="dxa"/>
            <w:vAlign w:val="bottom"/>
            <w:vMerge w:val="restart"/>
          </w:tcPr>
          <w:p>
            <w:pPr>
              <w:spacing w:after="0"/>
              <w:rPr>
                <w:sz w:val="20"/>
                <w:szCs w:val="20"/>
                <w:color w:val="auto"/>
              </w:rPr>
            </w:pPr>
            <w:r>
              <w:rPr>
                <w:rFonts w:ascii="Calibri" w:cs="Calibri" w:eastAsia="Calibri" w:hAnsi="Calibri"/>
                <w:sz w:val="18"/>
                <w:szCs w:val="18"/>
                <w:b w:val="1"/>
                <w:bCs w:val="1"/>
                <w:i w:val="1"/>
                <w:iCs w:val="1"/>
                <w:color w:val="auto"/>
              </w:rPr>
              <w:t>Other Income (Expense), Net</w:t>
            </w:r>
          </w:p>
        </w:tc>
        <w:tc>
          <w:tcPr>
            <w:tcW w:w="9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7"/>
        </w:trPr>
        <w:tc>
          <w:tcPr>
            <w:tcW w:w="6760" w:type="dxa"/>
            <w:vAlign w:val="bottom"/>
            <w:vMerge w:val="continue"/>
          </w:tcPr>
          <w:p>
            <w:pPr>
              <w:spacing w:after="0"/>
              <w:rPr>
                <w:sz w:val="24"/>
                <w:szCs w:val="24"/>
                <w:color w:val="auto"/>
              </w:rPr>
            </w:pPr>
          </w:p>
        </w:tc>
        <w:tc>
          <w:tcPr>
            <w:tcW w:w="9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7"/>
        </w:trPr>
        <w:tc>
          <w:tcPr>
            <w:tcW w:w="67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00" w:type="dxa"/>
            <w:vAlign w:val="bottom"/>
            <w:gridSpan w:val="2"/>
          </w:tcPr>
          <w:p>
            <w:pPr>
              <w:jc w:val="center"/>
              <w:ind w:right="340"/>
              <w:spacing w:after="0"/>
              <w:rPr>
                <w:sz w:val="20"/>
                <w:szCs w:val="20"/>
                <w:color w:val="auto"/>
              </w:rPr>
            </w:pPr>
            <w:r>
              <w:rPr>
                <w:rFonts w:ascii="Calibri" w:cs="Calibri" w:eastAsia="Calibri" w:hAnsi="Calibri"/>
                <w:sz w:val="14"/>
                <w:szCs w:val="14"/>
                <w:b w:val="1"/>
                <w:bCs w:val="1"/>
                <w:color w:val="auto"/>
                <w:w w:val="98"/>
              </w:rPr>
              <w:t>Fiscal Year</w:t>
            </w: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
        </w:trPr>
        <w:tc>
          <w:tcPr>
            <w:tcW w:w="6760" w:type="dxa"/>
            <w:vAlign w:val="bottom"/>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1"/>
        </w:trPr>
        <w:tc>
          <w:tcPr>
            <w:tcW w:w="6760" w:type="dxa"/>
            <w:vAlign w:val="bottom"/>
          </w:tcPr>
          <w:p>
            <w:pPr>
              <w:spacing w:after="0"/>
              <w:rPr>
                <w:sz w:val="13"/>
                <w:szCs w:val="13"/>
                <w:color w:val="auto"/>
              </w:rPr>
            </w:pPr>
          </w:p>
        </w:tc>
        <w:tc>
          <w:tcPr>
            <w:tcW w:w="980" w:type="dxa"/>
            <w:vAlign w:val="bottom"/>
          </w:tcPr>
          <w:p>
            <w:pPr>
              <w:jc w:val="right"/>
              <w:ind w:right="58"/>
              <w:spacing w:after="0" w:line="161" w:lineRule="exact"/>
              <w:rPr>
                <w:sz w:val="20"/>
                <w:szCs w:val="20"/>
                <w:color w:val="auto"/>
              </w:rPr>
            </w:pPr>
            <w:r>
              <w:rPr>
                <w:rFonts w:ascii="Calibri" w:cs="Calibri" w:eastAsia="Calibri" w:hAnsi="Calibri"/>
                <w:sz w:val="14"/>
                <w:szCs w:val="14"/>
                <w:b w:val="1"/>
                <w:bCs w:val="1"/>
                <w:color w:val="auto"/>
              </w:rPr>
              <w:t>2023</w:t>
            </w: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0" w:type="dxa"/>
            <w:vAlign w:val="bottom"/>
          </w:tcPr>
          <w:p>
            <w:pPr>
              <w:jc w:val="center"/>
              <w:ind w:right="159"/>
              <w:spacing w:after="0" w:line="161" w:lineRule="exact"/>
              <w:rPr>
                <w:sz w:val="20"/>
                <w:szCs w:val="20"/>
                <w:color w:val="auto"/>
              </w:rPr>
            </w:pPr>
            <w:r>
              <w:rPr>
                <w:rFonts w:ascii="Calibri" w:cs="Calibri" w:eastAsia="Calibri" w:hAnsi="Calibri"/>
                <w:sz w:val="14"/>
                <w:szCs w:val="14"/>
                <w:b w:val="1"/>
                <w:bCs w:val="1"/>
                <w:color w:val="auto"/>
                <w:w w:val="98"/>
              </w:rPr>
              <w:t>2022</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00" w:type="dxa"/>
            <w:vAlign w:val="bottom"/>
          </w:tcPr>
          <w:p>
            <w:pPr>
              <w:jc w:val="center"/>
              <w:ind w:right="237"/>
              <w:spacing w:after="0" w:line="161" w:lineRule="exact"/>
              <w:rPr>
                <w:sz w:val="20"/>
                <w:szCs w:val="20"/>
                <w:color w:val="auto"/>
              </w:rPr>
            </w:pPr>
            <w:r>
              <w:rPr>
                <w:rFonts w:ascii="Calibri" w:cs="Calibri" w:eastAsia="Calibri" w:hAnsi="Calibri"/>
                <w:sz w:val="14"/>
                <w:szCs w:val="14"/>
                <w:b w:val="1"/>
                <w:bCs w:val="1"/>
                <w:color w:val="auto"/>
              </w:rPr>
              <w:t>2021</w:t>
            </w:r>
          </w:p>
        </w:tc>
        <w:tc>
          <w:tcPr>
            <w:tcW w:w="0" w:type="dxa"/>
            <w:vAlign w:val="bottom"/>
          </w:tcPr>
          <w:p>
            <w:pPr>
              <w:spacing w:after="0"/>
              <w:rPr>
                <w:sz w:val="1"/>
                <w:szCs w:val="1"/>
                <w:color w:val="auto"/>
              </w:rPr>
            </w:pPr>
          </w:p>
        </w:tc>
      </w:tr>
      <w:tr>
        <w:trPr>
          <w:trHeight w:val="30"/>
        </w:trPr>
        <w:tc>
          <w:tcPr>
            <w:tcW w:w="676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67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00" w:type="dxa"/>
            <w:vAlign w:val="bottom"/>
            <w:gridSpan w:val="2"/>
          </w:tcPr>
          <w:p>
            <w:pPr>
              <w:jc w:val="center"/>
              <w:ind w:right="340"/>
              <w:spacing w:after="0"/>
              <w:rPr>
                <w:sz w:val="20"/>
                <w:szCs w:val="20"/>
                <w:color w:val="auto"/>
              </w:rPr>
            </w:pPr>
            <w:r>
              <w:rPr>
                <w:rFonts w:ascii="Calibri" w:cs="Calibri" w:eastAsia="Calibri" w:hAnsi="Calibri"/>
                <w:sz w:val="14"/>
                <w:szCs w:val="14"/>
                <w:b w:val="1"/>
                <w:bCs w:val="1"/>
                <w:color w:val="auto"/>
                <w:w w:val="98"/>
              </w:rPr>
              <w:t>(In millions)</w:t>
            </w: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760" w:type="dxa"/>
            <w:vAlign w:val="bottom"/>
          </w:tcPr>
          <w:p>
            <w:pPr>
              <w:spacing w:after="0"/>
              <w:rPr>
                <w:sz w:val="3"/>
                <w:szCs w:val="3"/>
                <w:color w:val="auto"/>
              </w:rPr>
            </w:pPr>
          </w:p>
        </w:tc>
        <w:tc>
          <w:tcPr>
            <w:tcW w:w="98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4"/>
        </w:trPr>
        <w:tc>
          <w:tcPr>
            <w:tcW w:w="6760" w:type="dxa"/>
            <w:vAlign w:val="bottom"/>
            <w:shd w:val="clear" w:color="auto" w:fill="CCEEFF"/>
          </w:tcPr>
          <w:p>
            <w:pPr>
              <w:ind w:left="20"/>
              <w:spacing w:after="0" w:line="210" w:lineRule="exact"/>
              <w:rPr>
                <w:sz w:val="20"/>
                <w:szCs w:val="20"/>
                <w:color w:val="auto"/>
              </w:rPr>
            </w:pPr>
            <w:r>
              <w:rPr>
                <w:rFonts w:ascii="Calibri" w:cs="Calibri" w:eastAsia="Calibri" w:hAnsi="Calibri"/>
                <w:sz w:val="18"/>
                <w:szCs w:val="18"/>
                <w:color w:val="auto"/>
              </w:rPr>
              <w:t>Interest income</w:t>
            </w:r>
          </w:p>
        </w:tc>
        <w:tc>
          <w:tcPr>
            <w:tcW w:w="980" w:type="dxa"/>
            <w:vAlign w:val="bottom"/>
            <w:shd w:val="clear" w:color="auto" w:fill="CCEEFF"/>
          </w:tcPr>
          <w:p>
            <w:pPr>
              <w:jc w:val="right"/>
              <w:ind w:right="798"/>
              <w:spacing w:after="0" w:line="210" w:lineRule="exact"/>
              <w:rPr>
                <w:sz w:val="20"/>
                <w:szCs w:val="20"/>
                <w:color w:val="auto"/>
              </w:rPr>
            </w:pPr>
            <w:r>
              <w:rPr>
                <w:rFonts w:ascii="Calibri" w:cs="Calibri" w:eastAsia="Calibri" w:hAnsi="Calibri"/>
                <w:sz w:val="18"/>
                <w:szCs w:val="18"/>
                <w:color w:val="auto"/>
                <w:w w:val="87"/>
              </w:rPr>
              <w:t>$</w:t>
            </w:r>
          </w:p>
        </w:tc>
        <w:tc>
          <w:tcPr>
            <w:tcW w:w="440" w:type="dxa"/>
            <w:vAlign w:val="bottom"/>
            <w:shd w:val="clear" w:color="auto" w:fill="CCEEFF"/>
          </w:tcPr>
          <w:p>
            <w:pPr>
              <w:jc w:val="right"/>
              <w:spacing w:after="0" w:line="210" w:lineRule="exact"/>
              <w:rPr>
                <w:sz w:val="20"/>
                <w:szCs w:val="20"/>
                <w:color w:val="auto"/>
              </w:rPr>
            </w:pPr>
            <w:r>
              <w:rPr>
                <w:rFonts w:ascii="Calibri" w:cs="Calibri" w:eastAsia="Calibri" w:hAnsi="Calibri"/>
                <w:sz w:val="18"/>
                <w:szCs w:val="18"/>
                <w:color w:val="auto"/>
              </w:rPr>
              <w:t>535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2"/>
              <w:spacing w:after="0" w:line="210" w:lineRule="exact"/>
              <w:rPr>
                <w:sz w:val="20"/>
                <w:szCs w:val="20"/>
                <w:color w:val="auto"/>
              </w:rPr>
            </w:pPr>
            <w:r>
              <w:rPr>
                <w:rFonts w:ascii="Calibri" w:cs="Calibri" w:eastAsia="Calibri" w:hAnsi="Calibri"/>
                <w:sz w:val="18"/>
                <w:szCs w:val="18"/>
                <w:color w:val="auto"/>
              </w:rPr>
              <w:t>$</w:t>
            </w:r>
          </w:p>
        </w:tc>
        <w:tc>
          <w:tcPr>
            <w:tcW w:w="1200" w:type="dxa"/>
            <w:vAlign w:val="bottom"/>
            <w:shd w:val="clear" w:color="auto" w:fill="CCEEFF"/>
          </w:tcPr>
          <w:p>
            <w:pPr>
              <w:jc w:val="right"/>
              <w:spacing w:after="0" w:line="210" w:lineRule="exact"/>
              <w:rPr>
                <w:sz w:val="20"/>
                <w:szCs w:val="20"/>
                <w:color w:val="auto"/>
              </w:rPr>
            </w:pPr>
            <w:r>
              <w:rPr>
                <w:rFonts w:ascii="Calibri" w:cs="Calibri" w:eastAsia="Calibri" w:hAnsi="Calibri"/>
                <w:sz w:val="18"/>
                <w:szCs w:val="18"/>
                <w:color w:val="auto"/>
              </w:rPr>
              <w:t>100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2"/>
              <w:spacing w:after="0" w:line="210" w:lineRule="exact"/>
              <w:rPr>
                <w:sz w:val="20"/>
                <w:szCs w:val="20"/>
                <w:color w:val="auto"/>
              </w:rPr>
            </w:pPr>
            <w:r>
              <w:rPr>
                <w:rFonts w:ascii="Calibri" w:cs="Calibri" w:eastAsia="Calibri" w:hAnsi="Calibri"/>
                <w:sz w:val="18"/>
                <w:szCs w:val="18"/>
                <w:color w:val="auto"/>
                <w:w w:val="87"/>
              </w:rPr>
              <w:t>$</w:t>
            </w:r>
          </w:p>
        </w:tc>
        <w:tc>
          <w:tcPr>
            <w:tcW w:w="1100" w:type="dxa"/>
            <w:vAlign w:val="bottom"/>
            <w:shd w:val="clear" w:color="auto" w:fill="CCEEFF"/>
          </w:tcPr>
          <w:p>
            <w:pPr>
              <w:jc w:val="right"/>
              <w:spacing w:after="0" w:line="210" w:lineRule="exact"/>
              <w:rPr>
                <w:sz w:val="20"/>
                <w:szCs w:val="20"/>
                <w:color w:val="auto"/>
              </w:rPr>
            </w:pPr>
            <w:r>
              <w:rPr>
                <w:rFonts w:ascii="Calibri" w:cs="Calibri" w:eastAsia="Calibri" w:hAnsi="Calibri"/>
                <w:sz w:val="18"/>
                <w:szCs w:val="18"/>
                <w:color w:val="auto"/>
              </w:rPr>
              <w:t>16</w:t>
            </w:r>
          </w:p>
        </w:tc>
        <w:tc>
          <w:tcPr>
            <w:tcW w:w="0" w:type="dxa"/>
            <w:vAlign w:val="bottom"/>
          </w:tcPr>
          <w:p>
            <w:pPr>
              <w:spacing w:after="0"/>
              <w:rPr>
                <w:sz w:val="1"/>
                <w:szCs w:val="1"/>
                <w:color w:val="auto"/>
              </w:rPr>
            </w:pPr>
          </w:p>
        </w:tc>
      </w:tr>
      <w:tr>
        <w:trPr>
          <w:trHeight w:val="217"/>
        </w:trPr>
        <w:tc>
          <w:tcPr>
            <w:tcW w:w="6760" w:type="dxa"/>
            <w:vAlign w:val="bottom"/>
          </w:tcPr>
          <w:p>
            <w:pPr>
              <w:ind w:left="20"/>
              <w:spacing w:after="0" w:line="210" w:lineRule="exact"/>
              <w:rPr>
                <w:sz w:val="20"/>
                <w:szCs w:val="20"/>
                <w:color w:val="auto"/>
              </w:rPr>
            </w:pPr>
            <w:r>
              <w:rPr>
                <w:rFonts w:ascii="Calibri" w:cs="Calibri" w:eastAsia="Calibri" w:hAnsi="Calibri"/>
                <w:sz w:val="18"/>
                <w:szCs w:val="18"/>
                <w:color w:val="auto"/>
              </w:rPr>
              <w:t>Other income</w:t>
            </w:r>
          </w:p>
        </w:tc>
        <w:tc>
          <w:tcPr>
            <w:tcW w:w="980" w:type="dxa"/>
            <w:vAlign w:val="bottom"/>
          </w:tcPr>
          <w:p>
            <w:pPr>
              <w:spacing w:after="0"/>
              <w:rPr>
                <w:sz w:val="18"/>
                <w:szCs w:val="18"/>
                <w:color w:val="auto"/>
              </w:rPr>
            </w:pPr>
          </w:p>
        </w:tc>
        <w:tc>
          <w:tcPr>
            <w:tcW w:w="440" w:type="dxa"/>
            <w:vAlign w:val="bottom"/>
          </w:tcPr>
          <w:p>
            <w:pPr>
              <w:jc w:val="right"/>
              <w:spacing w:after="0" w:line="210" w:lineRule="exact"/>
              <w:rPr>
                <w:sz w:val="20"/>
                <w:szCs w:val="20"/>
                <w:color w:val="auto"/>
              </w:rPr>
            </w:pPr>
            <w:r>
              <w:rPr>
                <w:rFonts w:ascii="Calibri" w:cs="Calibri" w:eastAsia="Calibri" w:hAnsi="Calibri"/>
                <w:sz w:val="18"/>
                <w:szCs w:val="18"/>
                <w:color w:val="auto"/>
              </w:rPr>
              <w:t>15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jc w:val="right"/>
              <w:spacing w:after="0" w:line="210" w:lineRule="exact"/>
              <w:rPr>
                <w:sz w:val="20"/>
                <w:szCs w:val="20"/>
                <w:color w:val="auto"/>
              </w:rPr>
            </w:pPr>
            <w:r>
              <w:rPr>
                <w:rFonts w:ascii="Calibri" w:cs="Calibri" w:eastAsia="Calibri" w:hAnsi="Calibri"/>
                <w:sz w:val="18"/>
                <w:szCs w:val="18"/>
                <w:color w:val="auto"/>
              </w:rPr>
              <w:t>30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line="210" w:lineRule="exact"/>
              <w:rPr>
                <w:sz w:val="20"/>
                <w:szCs w:val="20"/>
                <w:color w:val="auto"/>
              </w:rPr>
            </w:pPr>
            <w:r>
              <w:rPr>
                <w:rFonts w:ascii="Calibri" w:cs="Calibri" w:eastAsia="Calibri" w:hAnsi="Calibri"/>
                <w:sz w:val="18"/>
                <w:szCs w:val="18"/>
                <w:color w:val="auto"/>
              </w:rPr>
              <w:t>26</w:t>
            </w:r>
          </w:p>
        </w:tc>
        <w:tc>
          <w:tcPr>
            <w:tcW w:w="0" w:type="dxa"/>
            <w:vAlign w:val="bottom"/>
          </w:tcPr>
          <w:p>
            <w:pPr>
              <w:spacing w:after="0"/>
              <w:rPr>
                <w:sz w:val="1"/>
                <w:szCs w:val="1"/>
                <w:color w:val="auto"/>
              </w:rPr>
            </w:pPr>
          </w:p>
        </w:tc>
      </w:tr>
      <w:tr>
        <w:trPr>
          <w:trHeight w:val="232"/>
        </w:trPr>
        <w:tc>
          <w:tcPr>
            <w:tcW w:w="6760" w:type="dxa"/>
            <w:vAlign w:val="bottom"/>
            <w:shd w:val="clear" w:color="auto" w:fill="CCEEFF"/>
          </w:tcPr>
          <w:p>
            <w:pPr>
              <w:ind w:left="20"/>
              <w:spacing w:after="0" w:line="217" w:lineRule="exact"/>
              <w:rPr>
                <w:sz w:val="20"/>
                <w:szCs w:val="20"/>
                <w:color w:val="auto"/>
              </w:rPr>
            </w:pPr>
            <w:r>
              <w:rPr>
                <w:rFonts w:ascii="Calibri" w:cs="Calibri" w:eastAsia="Calibri" w:hAnsi="Calibri"/>
                <w:sz w:val="18"/>
                <w:szCs w:val="18"/>
                <w:color w:val="auto"/>
              </w:rPr>
              <w:t>Gain (loss) on investments</w:t>
            </w:r>
          </w:p>
        </w:tc>
        <w:tc>
          <w:tcPr>
            <w:tcW w:w="980" w:type="dxa"/>
            <w:vAlign w:val="bottom"/>
            <w:shd w:val="clear" w:color="auto" w:fill="CCEEFF"/>
          </w:tcPr>
          <w:p>
            <w:pPr>
              <w:spacing w:after="0"/>
              <w:rPr>
                <w:sz w:val="20"/>
                <w:szCs w:val="20"/>
                <w:color w:val="auto"/>
              </w:rPr>
            </w:pPr>
          </w:p>
        </w:tc>
        <w:tc>
          <w:tcPr>
            <w:tcW w:w="440" w:type="dxa"/>
            <w:vAlign w:val="bottom"/>
            <w:shd w:val="clear" w:color="auto" w:fill="CCEEFF"/>
          </w:tcPr>
          <w:p>
            <w:pPr>
              <w:jc w:val="right"/>
              <w:spacing w:after="0" w:line="217" w:lineRule="exact"/>
              <w:rPr>
                <w:sz w:val="20"/>
                <w:szCs w:val="20"/>
                <w:color w:val="auto"/>
              </w:rPr>
            </w:pPr>
            <w:r>
              <w:rPr>
                <w:rFonts w:ascii="Calibri" w:cs="Calibri" w:eastAsia="Calibri" w:hAnsi="Calibri"/>
                <w:sz w:val="18"/>
                <w:szCs w:val="18"/>
                <w:color w:val="auto"/>
              </w:rPr>
              <w:t>11</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line="217" w:lineRule="exact"/>
              <w:rPr>
                <w:sz w:val="20"/>
                <w:szCs w:val="20"/>
                <w:color w:val="auto"/>
              </w:rPr>
            </w:pPr>
            <w:r>
              <w:rPr>
                <w:rFonts w:ascii="Calibri" w:cs="Calibri" w:eastAsia="Calibri" w:hAnsi="Calibri"/>
                <w:sz w:val="18"/>
                <w:szCs w:val="18"/>
                <w:color w:val="auto"/>
              </w:rPr>
              <w:t>(169)</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line="217" w:lineRule="exact"/>
              <w:rPr>
                <w:sz w:val="20"/>
                <w:szCs w:val="20"/>
                <w:color w:val="auto"/>
              </w:rPr>
            </w:pPr>
            <w:r>
              <w:rPr>
                <w:rFonts w:ascii="Calibri" w:cs="Calibri" w:eastAsia="Calibri" w:hAnsi="Calibri"/>
                <w:sz w:val="18"/>
                <w:szCs w:val="18"/>
                <w:color w:val="auto"/>
              </w:rPr>
              <w:t>99</w:t>
            </w:r>
          </w:p>
        </w:tc>
        <w:tc>
          <w:tcPr>
            <w:tcW w:w="0" w:type="dxa"/>
            <w:vAlign w:val="bottom"/>
          </w:tcPr>
          <w:p>
            <w:pPr>
              <w:spacing w:after="0"/>
              <w:rPr>
                <w:sz w:val="1"/>
                <w:szCs w:val="1"/>
                <w:color w:val="auto"/>
              </w:rPr>
            </w:pPr>
          </w:p>
        </w:tc>
      </w:tr>
      <w:tr>
        <w:trPr>
          <w:trHeight w:val="218"/>
        </w:trPr>
        <w:tc>
          <w:tcPr>
            <w:tcW w:w="6760" w:type="dxa"/>
            <w:vAlign w:val="bottom"/>
            <w:tcBorders>
              <w:bottom w:val="single" w:sz="8" w:color="CCEEFF"/>
            </w:tcBorders>
          </w:tcPr>
          <w:p>
            <w:pPr>
              <w:ind w:left="20"/>
              <w:spacing w:after="0" w:line="210" w:lineRule="exact"/>
              <w:rPr>
                <w:sz w:val="20"/>
                <w:szCs w:val="20"/>
                <w:color w:val="auto"/>
              </w:rPr>
            </w:pPr>
            <w:r>
              <w:rPr>
                <w:rFonts w:ascii="Calibri" w:cs="Calibri" w:eastAsia="Calibri" w:hAnsi="Calibri"/>
                <w:sz w:val="18"/>
                <w:szCs w:val="18"/>
                <w:color w:val="auto"/>
              </w:rPr>
              <w:t>Other expense</w:t>
            </w:r>
          </w:p>
        </w:tc>
        <w:tc>
          <w:tcPr>
            <w:tcW w:w="98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line="210" w:lineRule="exact"/>
              <w:rPr>
                <w:sz w:val="20"/>
                <w:szCs w:val="20"/>
                <w:color w:val="auto"/>
              </w:rPr>
            </w:pPr>
            <w:r>
              <w:rPr>
                <w:rFonts w:ascii="Calibri" w:cs="Calibri" w:eastAsia="Calibri" w:hAnsi="Calibri"/>
                <w:sz w:val="18"/>
                <w:szCs w:val="18"/>
                <w:color w:val="auto"/>
              </w:rPr>
              <w:t>(49)</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line="210" w:lineRule="exact"/>
              <w:rPr>
                <w:sz w:val="20"/>
                <w:szCs w:val="20"/>
                <w:color w:val="auto"/>
              </w:rPr>
            </w:pPr>
            <w:r>
              <w:rPr>
                <w:rFonts w:ascii="Calibri" w:cs="Calibri" w:eastAsia="Calibri" w:hAnsi="Calibri"/>
                <w:sz w:val="18"/>
                <w:szCs w:val="18"/>
                <w:color w:val="auto"/>
              </w:rPr>
              <w:t>(15)</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line="210" w:lineRule="exact"/>
              <w:rPr>
                <w:sz w:val="20"/>
                <w:szCs w:val="20"/>
                <w:color w:val="auto"/>
              </w:rPr>
            </w:pPr>
            <w:r>
              <w:rPr>
                <w:rFonts w:ascii="Calibri" w:cs="Calibri" w:eastAsia="Calibri" w:hAnsi="Calibri"/>
                <w:sz w:val="18"/>
                <w:szCs w:val="18"/>
                <w:color w:val="auto"/>
              </w:rPr>
              <w:t>(10)</w:t>
            </w:r>
          </w:p>
        </w:tc>
        <w:tc>
          <w:tcPr>
            <w:tcW w:w="0" w:type="dxa"/>
            <w:vAlign w:val="bottom"/>
          </w:tcPr>
          <w:p>
            <w:pPr>
              <w:spacing w:after="0"/>
              <w:rPr>
                <w:sz w:val="1"/>
                <w:szCs w:val="1"/>
                <w:color w:val="auto"/>
              </w:rPr>
            </w:pPr>
          </w:p>
        </w:tc>
      </w:tr>
      <w:tr>
        <w:trPr>
          <w:trHeight w:val="249"/>
        </w:trPr>
        <w:tc>
          <w:tcPr>
            <w:tcW w:w="6760" w:type="dxa"/>
            <w:vAlign w:val="bottom"/>
            <w:tcBorders>
              <w:bottom w:val="single" w:sz="8" w:color="CCEEFF"/>
            </w:tcBorders>
            <w:shd w:val="clear" w:color="auto" w:fill="CCEEFF"/>
          </w:tcPr>
          <w:p>
            <w:pPr>
              <w:ind w:left="140"/>
              <w:spacing w:after="0"/>
              <w:rPr>
                <w:sz w:val="20"/>
                <w:szCs w:val="20"/>
                <w:color w:val="auto"/>
              </w:rPr>
            </w:pPr>
            <w:r>
              <w:rPr>
                <w:rFonts w:ascii="Calibri" w:cs="Calibri" w:eastAsia="Calibri" w:hAnsi="Calibri"/>
                <w:sz w:val="18"/>
                <w:szCs w:val="18"/>
                <w:color w:val="auto"/>
              </w:rPr>
              <w:t>Other income (expense), net</w:t>
            </w:r>
          </w:p>
        </w:tc>
        <w:tc>
          <w:tcPr>
            <w:tcW w:w="980" w:type="dxa"/>
            <w:vAlign w:val="bottom"/>
            <w:tcBorders>
              <w:bottom w:val="single" w:sz="8" w:color="auto"/>
            </w:tcBorders>
            <w:shd w:val="clear" w:color="auto" w:fill="CCEEFF"/>
          </w:tcPr>
          <w:p>
            <w:pPr>
              <w:jc w:val="right"/>
              <w:ind w:right="798"/>
              <w:spacing w:after="0" w:line="210" w:lineRule="exact"/>
              <w:rPr>
                <w:sz w:val="20"/>
                <w:szCs w:val="20"/>
                <w:color w:val="auto"/>
              </w:rPr>
            </w:pPr>
            <w:r>
              <w:rPr>
                <w:rFonts w:ascii="Calibri" w:cs="Calibri" w:eastAsia="Calibri" w:hAnsi="Calibri"/>
                <w:sz w:val="18"/>
                <w:szCs w:val="18"/>
                <w:color w:val="auto"/>
                <w:w w:val="87"/>
              </w:rPr>
              <w:t>$</w:t>
            </w:r>
          </w:p>
        </w:tc>
        <w:tc>
          <w:tcPr>
            <w:tcW w:w="440" w:type="dxa"/>
            <w:vAlign w:val="bottom"/>
            <w:tcBorders>
              <w:bottom w:val="single" w:sz="8" w:color="auto"/>
            </w:tcBorders>
            <w:shd w:val="clear" w:color="auto" w:fill="CCEEFF"/>
          </w:tcPr>
          <w:p>
            <w:pPr>
              <w:jc w:val="right"/>
              <w:spacing w:after="0" w:line="210" w:lineRule="exact"/>
              <w:rPr>
                <w:sz w:val="20"/>
                <w:szCs w:val="20"/>
                <w:color w:val="auto"/>
              </w:rPr>
            </w:pPr>
            <w:r>
              <w:rPr>
                <w:rFonts w:ascii="Calibri" w:cs="Calibri" w:eastAsia="Calibri" w:hAnsi="Calibri"/>
                <w:sz w:val="18"/>
                <w:szCs w:val="18"/>
                <w:color w:val="auto"/>
              </w:rPr>
              <w:t>512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2"/>
              <w:spacing w:after="0" w:line="210" w:lineRule="exact"/>
              <w:rPr>
                <w:sz w:val="20"/>
                <w:szCs w:val="20"/>
                <w:color w:val="auto"/>
              </w:rPr>
            </w:pPr>
            <w:r>
              <w:rPr>
                <w:rFonts w:ascii="Calibri" w:cs="Calibri" w:eastAsia="Calibri" w:hAnsi="Calibri"/>
                <w:sz w:val="18"/>
                <w:szCs w:val="18"/>
                <w:color w:val="auto"/>
              </w:rPr>
              <w:t>$</w:t>
            </w:r>
          </w:p>
        </w:tc>
        <w:tc>
          <w:tcPr>
            <w:tcW w:w="1200" w:type="dxa"/>
            <w:vAlign w:val="bottom"/>
            <w:tcBorders>
              <w:bottom w:val="single" w:sz="8" w:color="auto"/>
            </w:tcBorders>
            <w:shd w:val="clear" w:color="auto" w:fill="CCEEFF"/>
          </w:tcPr>
          <w:p>
            <w:pPr>
              <w:jc w:val="right"/>
              <w:spacing w:after="0" w:line="210" w:lineRule="exact"/>
              <w:rPr>
                <w:sz w:val="20"/>
                <w:szCs w:val="20"/>
                <w:color w:val="auto"/>
              </w:rPr>
            </w:pPr>
            <w:r>
              <w:rPr>
                <w:rFonts w:ascii="Calibri" w:cs="Calibri" w:eastAsia="Calibri" w:hAnsi="Calibri"/>
                <w:sz w:val="18"/>
                <w:szCs w:val="18"/>
                <w:color w:val="auto"/>
              </w:rPr>
              <w:t>(54)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2"/>
              <w:spacing w:after="0" w:line="210" w:lineRule="exact"/>
              <w:rPr>
                <w:sz w:val="20"/>
                <w:szCs w:val="20"/>
                <w:color w:val="auto"/>
              </w:rPr>
            </w:pPr>
            <w:r>
              <w:rPr>
                <w:rFonts w:ascii="Calibri" w:cs="Calibri" w:eastAsia="Calibri" w:hAnsi="Calibri"/>
                <w:sz w:val="18"/>
                <w:szCs w:val="18"/>
                <w:color w:val="auto"/>
                <w:w w:val="87"/>
              </w:rPr>
              <w:t>$</w:t>
            </w:r>
          </w:p>
        </w:tc>
        <w:tc>
          <w:tcPr>
            <w:tcW w:w="1100" w:type="dxa"/>
            <w:vAlign w:val="bottom"/>
            <w:tcBorders>
              <w:bottom w:val="single" w:sz="8" w:color="auto"/>
            </w:tcBorders>
            <w:shd w:val="clear" w:color="auto" w:fill="CCEEFF"/>
          </w:tcPr>
          <w:p>
            <w:pPr>
              <w:jc w:val="right"/>
              <w:spacing w:after="0" w:line="210" w:lineRule="exact"/>
              <w:rPr>
                <w:sz w:val="20"/>
                <w:szCs w:val="20"/>
                <w:color w:val="auto"/>
              </w:rPr>
            </w:pPr>
            <w:r>
              <w:rPr>
                <w:rFonts w:ascii="Calibri" w:cs="Calibri" w:eastAsia="Calibri" w:hAnsi="Calibri"/>
                <w:sz w:val="18"/>
                <w:szCs w:val="18"/>
                <w:color w:val="auto"/>
              </w:rPr>
              <w:t>131</w:t>
            </w:r>
          </w:p>
        </w:tc>
        <w:tc>
          <w:tcPr>
            <w:tcW w:w="0" w:type="dxa"/>
            <w:vAlign w:val="bottom"/>
          </w:tcPr>
          <w:p>
            <w:pPr>
              <w:spacing w:after="0"/>
              <w:rPr>
                <w:sz w:val="1"/>
                <w:szCs w:val="1"/>
                <w:color w:val="auto"/>
              </w:rPr>
            </w:pP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7" w:lineRule="exact"/>
        <w:rPr>
          <w:sz w:val="20"/>
          <w:szCs w:val="20"/>
          <w:color w:val="auto"/>
        </w:rPr>
      </w:pPr>
    </w:p>
    <w:p>
      <w:pPr>
        <w:ind w:right="700" w:firstLine="396"/>
        <w:spacing w:after="0" w:line="230" w:lineRule="auto"/>
        <w:rPr>
          <w:sz w:val="20"/>
          <w:szCs w:val="20"/>
          <w:color w:val="auto"/>
        </w:rPr>
      </w:pPr>
      <w:r>
        <w:rPr>
          <w:rFonts w:ascii="Calibri" w:cs="Calibri" w:eastAsia="Calibri" w:hAnsi="Calibri"/>
          <w:sz w:val="18"/>
          <w:szCs w:val="18"/>
          <w:color w:val="auto"/>
        </w:rPr>
        <w:t>Other income and other expense include foreign exchange gains and losses, factoring fees for the sales of receivables, dividend income, and other miscellaneous items.</w:t>
      </w:r>
    </w:p>
    <w:p>
      <w:pPr>
        <w:spacing w:after="0" w:line="97"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5. Leases</w:t>
      </w:r>
    </w:p>
    <w:p>
      <w:pPr>
        <w:spacing w:after="0" w:line="97" w:lineRule="exact"/>
        <w:rPr>
          <w:sz w:val="20"/>
          <w:szCs w:val="20"/>
          <w:color w:val="auto"/>
        </w:rPr>
      </w:pPr>
    </w:p>
    <w:p>
      <w:pPr>
        <w:ind w:left="400"/>
        <w:spacing w:after="0"/>
        <w:rPr>
          <w:sz w:val="20"/>
          <w:szCs w:val="20"/>
          <w:color w:val="auto"/>
        </w:rPr>
      </w:pPr>
      <w:r>
        <w:rPr>
          <w:rFonts w:ascii="Calibri" w:cs="Calibri" w:eastAsia="Calibri" w:hAnsi="Calibri"/>
          <w:sz w:val="18"/>
          <w:szCs w:val="18"/>
          <w:color w:val="auto"/>
        </w:rPr>
        <w:t>We have operatng and fnance leases for our facilites, data centers and certain equipment. Operatng lease expense was $91 million, $98 million and</w:t>
      </w:r>
    </w:p>
    <w:p>
      <w:pPr>
        <w:spacing w:after="0" w:line="1" w:lineRule="exact"/>
        <w:rPr>
          <w:sz w:val="20"/>
          <w:szCs w:val="20"/>
          <w:color w:val="auto"/>
        </w:rPr>
      </w:pPr>
    </w:p>
    <w:p>
      <w:pPr>
        <w:ind w:right="40"/>
        <w:spacing w:after="0" w:line="230" w:lineRule="auto"/>
        <w:rPr>
          <w:sz w:val="20"/>
          <w:szCs w:val="20"/>
          <w:color w:val="auto"/>
        </w:rPr>
      </w:pPr>
      <w:r>
        <w:rPr>
          <w:rFonts w:ascii="Calibri" w:cs="Calibri" w:eastAsia="Calibri" w:hAnsi="Calibri"/>
          <w:sz w:val="18"/>
          <w:szCs w:val="18"/>
          <w:color w:val="auto"/>
        </w:rPr>
        <w:t>$102 million for fscal years 2023, 2022 and 2021, respectvely. Finance lease expense was $16 million, $18 million and $16 million for fscal years 2023, 2022 and 2021 respectvely.</w:t>
      </w: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9" w:right="339" w:bottom="1440" w:gutter="0" w:footer="0" w:header="0"/>
        </w:sectPr>
      </w:pPr>
    </w:p>
    <w:bookmarkStart w:id="66" w:name="page67"/>
    <w:bookmarkEnd w:id="66"/>
    <w:p>
      <w:pPr>
        <w:spacing w:after="0"/>
        <w:rPr>
          <w:sz w:val="20"/>
          <w:szCs w:val="20"/>
          <w:color w:val="auto"/>
        </w:rPr>
      </w:pPr>
      <w:r>
        <w:rPr>
          <w:rFonts w:ascii="Calibri" w:cs="Calibri" w:eastAsia="Calibri" w:hAnsi="Calibri"/>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400"/>
        <w:spacing w:after="0"/>
        <w:rPr>
          <w:sz w:val="20"/>
          <w:szCs w:val="20"/>
          <w:color w:val="auto"/>
        </w:rPr>
      </w:pPr>
      <w:r>
        <w:rPr>
          <w:rFonts w:ascii="Calibri" w:cs="Calibri" w:eastAsia="Calibri" w:hAnsi="Calibri"/>
          <w:sz w:val="18"/>
          <w:szCs w:val="18"/>
          <w:color w:val="auto"/>
        </w:rPr>
        <w:t>Other informaton related to leases was as follows: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16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60" w:type="dxa"/>
            <w:vAlign w:val="bottom"/>
          </w:tcPr>
          <w:p>
            <w:pPr>
              <w:jc w:val="center"/>
              <w:ind w:left="270"/>
              <w:spacing w:after="0"/>
              <w:rPr>
                <w:sz w:val="20"/>
                <w:szCs w:val="20"/>
                <w:color w:val="auto"/>
              </w:rPr>
            </w:pPr>
            <w:r>
              <w:rPr>
                <w:rFonts w:ascii="Calibri" w:cs="Calibri" w:eastAsia="Calibri" w:hAnsi="Calibri"/>
                <w:sz w:val="14"/>
                <w:szCs w:val="14"/>
                <w:b w:val="1"/>
                <w:bCs w:val="1"/>
                <w:color w:val="auto"/>
                <w:w w:val="98"/>
              </w:rPr>
              <w:t>Fiscal Year</w:t>
            </w:r>
          </w:p>
        </w:tc>
        <w:tc>
          <w:tcPr>
            <w:tcW w:w="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4160" w:type="dxa"/>
            <w:vAlign w:val="bottom"/>
          </w:tcPr>
          <w:p>
            <w:pPr>
              <w:spacing w:after="0"/>
              <w:rPr>
                <w:sz w:val="3"/>
                <w:szCs w:val="3"/>
                <w:color w:val="auto"/>
              </w:rPr>
            </w:pPr>
          </w:p>
        </w:tc>
        <w:tc>
          <w:tcPr>
            <w:tcW w:w="2260" w:type="dxa"/>
            <w:vAlign w:val="bottom"/>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gridSpan w:val="2"/>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1"/>
        </w:trPr>
        <w:tc>
          <w:tcPr>
            <w:tcW w:w="416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1060" w:type="dxa"/>
            <w:vAlign w:val="bottom"/>
          </w:tcPr>
          <w:p>
            <w:pPr>
              <w:jc w:val="right"/>
              <w:ind w:right="121"/>
              <w:spacing w:after="0" w:line="161" w:lineRule="exact"/>
              <w:rPr>
                <w:sz w:val="20"/>
                <w:szCs w:val="20"/>
                <w:color w:val="auto"/>
              </w:rPr>
            </w:pPr>
            <w:r>
              <w:rPr>
                <w:rFonts w:ascii="Calibri" w:cs="Calibri" w:eastAsia="Calibri" w:hAnsi="Calibri"/>
                <w:sz w:val="14"/>
                <w:szCs w:val="14"/>
                <w:b w:val="1"/>
                <w:bCs w:val="1"/>
                <w:color w:val="auto"/>
              </w:rPr>
              <w:t>2023</w:t>
            </w:r>
          </w:p>
        </w:tc>
        <w:tc>
          <w:tcPr>
            <w:tcW w:w="3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360" w:type="dxa"/>
            <w:vAlign w:val="bottom"/>
            <w:gridSpan w:val="3"/>
          </w:tcPr>
          <w:p>
            <w:pPr>
              <w:jc w:val="center"/>
              <w:ind w:left="577"/>
              <w:spacing w:after="0" w:line="161" w:lineRule="exact"/>
              <w:rPr>
                <w:sz w:val="20"/>
                <w:szCs w:val="20"/>
                <w:color w:val="auto"/>
              </w:rPr>
            </w:pPr>
            <w:r>
              <w:rPr>
                <w:rFonts w:ascii="Calibri" w:cs="Calibri" w:eastAsia="Calibri" w:hAnsi="Calibri"/>
                <w:sz w:val="14"/>
                <w:szCs w:val="14"/>
                <w:b w:val="1"/>
                <w:bCs w:val="1"/>
                <w:color w:val="auto"/>
              </w:rPr>
              <w:t>2022</w:t>
            </w:r>
          </w:p>
        </w:tc>
        <w:tc>
          <w:tcPr>
            <w:tcW w:w="3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40" w:type="dxa"/>
            <w:vAlign w:val="bottom"/>
          </w:tcPr>
          <w:p>
            <w:pPr>
              <w:jc w:val="right"/>
              <w:ind w:right="479"/>
              <w:spacing w:after="0" w:line="161" w:lineRule="exact"/>
              <w:rPr>
                <w:sz w:val="20"/>
                <w:szCs w:val="20"/>
                <w:color w:val="auto"/>
              </w:rPr>
            </w:pPr>
            <w:r>
              <w:rPr>
                <w:rFonts w:ascii="Calibri" w:cs="Calibri" w:eastAsia="Calibri" w:hAnsi="Calibri"/>
                <w:sz w:val="14"/>
                <w:szCs w:val="14"/>
                <w:b w:val="1"/>
                <w:bCs w:val="1"/>
                <w:color w:val="auto"/>
              </w:rPr>
              <w:t>2021</w:t>
            </w:r>
          </w:p>
        </w:tc>
        <w:tc>
          <w:tcPr>
            <w:tcW w:w="0" w:type="dxa"/>
            <w:vAlign w:val="bottom"/>
          </w:tcPr>
          <w:p>
            <w:pPr>
              <w:spacing w:after="0"/>
              <w:rPr>
                <w:sz w:val="1"/>
                <w:szCs w:val="1"/>
                <w:color w:val="auto"/>
              </w:rPr>
            </w:pPr>
          </w:p>
        </w:tc>
      </w:tr>
      <w:tr>
        <w:trPr>
          <w:trHeight w:val="30"/>
        </w:trPr>
        <w:tc>
          <w:tcPr>
            <w:tcW w:w="416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1"/>
        </w:trPr>
        <w:tc>
          <w:tcPr>
            <w:tcW w:w="416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60" w:type="dxa"/>
            <w:vAlign w:val="bottom"/>
          </w:tcPr>
          <w:p>
            <w:pPr>
              <w:jc w:val="center"/>
              <w:ind w:left="250"/>
              <w:spacing w:after="0" w:line="161" w:lineRule="exact"/>
              <w:rPr>
                <w:sz w:val="20"/>
                <w:szCs w:val="20"/>
                <w:color w:val="auto"/>
              </w:rPr>
            </w:pPr>
            <w:r>
              <w:rPr>
                <w:rFonts w:ascii="Calibri" w:cs="Calibri" w:eastAsia="Calibri" w:hAnsi="Calibri"/>
                <w:sz w:val="14"/>
                <w:szCs w:val="14"/>
                <w:b w:val="1"/>
                <w:bCs w:val="1"/>
                <w:color w:val="auto"/>
              </w:rPr>
              <w:t>(In millions)</w:t>
            </w:r>
          </w:p>
        </w:tc>
        <w:tc>
          <w:tcPr>
            <w:tcW w:w="3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
        </w:trPr>
        <w:tc>
          <w:tcPr>
            <w:tcW w:w="416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4"/>
        </w:trPr>
        <w:tc>
          <w:tcPr>
            <w:tcW w:w="6420" w:type="dxa"/>
            <w:vAlign w:val="bottom"/>
            <w:gridSpan w:val="2"/>
            <w:shd w:val="clear" w:color="auto" w:fill="CCEEFF"/>
          </w:tcPr>
          <w:p>
            <w:pPr>
              <w:ind w:left="20"/>
              <w:spacing w:after="0" w:line="210" w:lineRule="exact"/>
              <w:rPr>
                <w:sz w:val="20"/>
                <w:szCs w:val="20"/>
                <w:color w:val="auto"/>
              </w:rPr>
            </w:pPr>
            <w:r>
              <w:rPr>
                <w:rFonts w:ascii="Calibri" w:cs="Calibri" w:eastAsia="Calibri" w:hAnsi="Calibri"/>
                <w:sz w:val="18"/>
                <w:szCs w:val="18"/>
                <w:color w:val="auto"/>
              </w:rPr>
              <w:t>Cash paid for operatng leases included in operatng cash fows</w:t>
            </w:r>
          </w:p>
        </w:tc>
        <w:tc>
          <w:tcPr>
            <w:tcW w:w="1060" w:type="dxa"/>
            <w:vAlign w:val="bottom"/>
            <w:shd w:val="clear" w:color="auto" w:fill="CCEEFF"/>
          </w:tcPr>
          <w:p>
            <w:pPr>
              <w:jc w:val="right"/>
              <w:ind w:right="881"/>
              <w:spacing w:after="0" w:line="210" w:lineRule="exact"/>
              <w:rPr>
                <w:sz w:val="20"/>
                <w:szCs w:val="20"/>
                <w:color w:val="auto"/>
              </w:rPr>
            </w:pPr>
            <w:r>
              <w:rPr>
                <w:rFonts w:ascii="Calibri" w:cs="Calibri" w:eastAsia="Calibri" w:hAnsi="Calibri"/>
                <w:sz w:val="18"/>
                <w:szCs w:val="18"/>
                <w:color w:val="auto"/>
                <w:w w:val="87"/>
              </w:rPr>
              <w:t>$</w:t>
            </w:r>
          </w:p>
        </w:tc>
        <w:tc>
          <w:tcPr>
            <w:tcW w:w="320" w:type="dxa"/>
            <w:vAlign w:val="bottom"/>
            <w:shd w:val="clear" w:color="auto" w:fill="CCEEFF"/>
          </w:tcPr>
          <w:p>
            <w:pPr>
              <w:jc w:val="right"/>
              <w:spacing w:after="0" w:line="210" w:lineRule="exact"/>
              <w:rPr>
                <w:sz w:val="20"/>
                <w:szCs w:val="20"/>
                <w:color w:val="auto"/>
              </w:rPr>
            </w:pPr>
            <w:r>
              <w:rPr>
                <w:rFonts w:ascii="Calibri" w:cs="Calibri" w:eastAsia="Calibri" w:hAnsi="Calibri"/>
                <w:sz w:val="18"/>
                <w:szCs w:val="18"/>
                <w:color w:val="auto"/>
              </w:rPr>
              <w:t>90</w:t>
            </w:r>
          </w:p>
        </w:tc>
        <w:tc>
          <w:tcPr>
            <w:tcW w:w="40" w:type="dxa"/>
            <w:vAlign w:val="bottom"/>
            <w:shd w:val="clear" w:color="auto" w:fill="CCEEFF"/>
          </w:tcPr>
          <w:p>
            <w:pPr>
              <w:spacing w:after="0"/>
              <w:rPr>
                <w:sz w:val="19"/>
                <w:szCs w:val="19"/>
                <w:color w:val="auto"/>
              </w:rPr>
            </w:pPr>
          </w:p>
        </w:tc>
        <w:tc>
          <w:tcPr>
            <w:tcW w:w="1360" w:type="dxa"/>
            <w:vAlign w:val="bottom"/>
            <w:gridSpan w:val="3"/>
            <w:shd w:val="clear" w:color="auto" w:fill="CCEEFF"/>
          </w:tcPr>
          <w:p>
            <w:pPr>
              <w:jc w:val="right"/>
              <w:ind w:right="890"/>
              <w:spacing w:after="0" w:line="210" w:lineRule="exact"/>
              <w:rPr>
                <w:sz w:val="20"/>
                <w:szCs w:val="20"/>
                <w:color w:val="auto"/>
              </w:rPr>
            </w:pPr>
            <w:r>
              <w:rPr>
                <w:rFonts w:ascii="Calibri" w:cs="Calibri" w:eastAsia="Calibri" w:hAnsi="Calibri"/>
                <w:sz w:val="18"/>
                <w:szCs w:val="18"/>
                <w:color w:val="auto"/>
              </w:rPr>
              <w:t>$</w:t>
            </w:r>
          </w:p>
        </w:tc>
        <w:tc>
          <w:tcPr>
            <w:tcW w:w="360" w:type="dxa"/>
            <w:vAlign w:val="bottom"/>
            <w:shd w:val="clear" w:color="auto" w:fill="CCEEFF"/>
          </w:tcPr>
          <w:p>
            <w:pPr>
              <w:jc w:val="right"/>
              <w:spacing w:after="0" w:line="210" w:lineRule="exact"/>
              <w:rPr>
                <w:sz w:val="20"/>
                <w:szCs w:val="20"/>
                <w:color w:val="auto"/>
              </w:rPr>
            </w:pPr>
            <w:r>
              <w:rPr>
                <w:rFonts w:ascii="Calibri" w:cs="Calibri" w:eastAsia="Calibri" w:hAnsi="Calibri"/>
                <w:sz w:val="18"/>
                <w:szCs w:val="18"/>
                <w:color w:val="auto"/>
              </w:rPr>
              <w:t>103</w:t>
            </w:r>
          </w:p>
        </w:tc>
        <w:tc>
          <w:tcPr>
            <w:tcW w:w="440" w:type="dxa"/>
            <w:vAlign w:val="bottom"/>
            <w:shd w:val="clear" w:color="auto" w:fill="CCEEFF"/>
          </w:tcPr>
          <w:p>
            <w:pPr>
              <w:jc w:val="right"/>
              <w:spacing w:after="0" w:line="210" w:lineRule="exact"/>
              <w:rPr>
                <w:sz w:val="20"/>
                <w:szCs w:val="20"/>
                <w:color w:val="auto"/>
              </w:rPr>
            </w:pPr>
            <w:r>
              <w:rPr>
                <w:rFonts w:ascii="Calibri" w:cs="Calibri" w:eastAsia="Calibri" w:hAnsi="Calibri"/>
                <w:sz w:val="18"/>
                <w:szCs w:val="18"/>
                <w:color w:val="auto"/>
              </w:rPr>
              <w:t>$</w:t>
            </w:r>
          </w:p>
        </w:tc>
        <w:tc>
          <w:tcPr>
            <w:tcW w:w="1240" w:type="dxa"/>
            <w:vAlign w:val="bottom"/>
            <w:shd w:val="clear" w:color="auto" w:fill="CCEEFF"/>
          </w:tcPr>
          <w:p>
            <w:pPr>
              <w:jc w:val="right"/>
              <w:spacing w:after="0" w:line="210" w:lineRule="exact"/>
              <w:rPr>
                <w:sz w:val="20"/>
                <w:szCs w:val="20"/>
                <w:color w:val="auto"/>
              </w:rPr>
            </w:pPr>
            <w:r>
              <w:rPr>
                <w:rFonts w:ascii="Calibri" w:cs="Calibri" w:eastAsia="Calibri" w:hAnsi="Calibri"/>
                <w:sz w:val="18"/>
                <w:szCs w:val="18"/>
                <w:color w:val="auto"/>
              </w:rPr>
              <w:t>140</w:t>
            </w:r>
          </w:p>
        </w:tc>
        <w:tc>
          <w:tcPr>
            <w:tcW w:w="0" w:type="dxa"/>
            <w:vAlign w:val="bottom"/>
          </w:tcPr>
          <w:p>
            <w:pPr>
              <w:spacing w:after="0"/>
              <w:rPr>
                <w:sz w:val="1"/>
                <w:szCs w:val="1"/>
                <w:color w:val="auto"/>
              </w:rPr>
            </w:pPr>
          </w:p>
        </w:tc>
      </w:tr>
      <w:tr>
        <w:trPr>
          <w:trHeight w:val="217"/>
        </w:trPr>
        <w:tc>
          <w:tcPr>
            <w:tcW w:w="6420" w:type="dxa"/>
            <w:vAlign w:val="bottom"/>
            <w:gridSpan w:val="2"/>
          </w:tcPr>
          <w:p>
            <w:pPr>
              <w:ind w:left="20"/>
              <w:spacing w:after="0" w:line="210" w:lineRule="exact"/>
              <w:rPr>
                <w:sz w:val="20"/>
                <w:szCs w:val="20"/>
                <w:color w:val="auto"/>
              </w:rPr>
            </w:pPr>
            <w:r>
              <w:rPr>
                <w:rFonts w:ascii="Calibri" w:cs="Calibri" w:eastAsia="Calibri" w:hAnsi="Calibri"/>
                <w:sz w:val="18"/>
                <w:szCs w:val="18"/>
                <w:color w:val="auto"/>
              </w:rPr>
              <w:t>ROU assets obtained in exchange for operatng lease liabilites</w:t>
            </w:r>
          </w:p>
        </w:tc>
        <w:tc>
          <w:tcPr>
            <w:tcW w:w="1060" w:type="dxa"/>
            <w:vAlign w:val="bottom"/>
          </w:tcPr>
          <w:p>
            <w:pPr>
              <w:jc w:val="right"/>
              <w:ind w:right="881"/>
              <w:spacing w:after="0" w:line="210" w:lineRule="exact"/>
              <w:rPr>
                <w:sz w:val="20"/>
                <w:szCs w:val="20"/>
                <w:color w:val="auto"/>
              </w:rPr>
            </w:pPr>
            <w:r>
              <w:rPr>
                <w:rFonts w:ascii="Calibri" w:cs="Calibri" w:eastAsia="Calibri" w:hAnsi="Calibri"/>
                <w:sz w:val="18"/>
                <w:szCs w:val="18"/>
                <w:color w:val="auto"/>
                <w:w w:val="87"/>
              </w:rPr>
              <w:t>$</w:t>
            </w:r>
          </w:p>
        </w:tc>
        <w:tc>
          <w:tcPr>
            <w:tcW w:w="320" w:type="dxa"/>
            <w:vAlign w:val="bottom"/>
          </w:tcPr>
          <w:p>
            <w:pPr>
              <w:jc w:val="right"/>
              <w:spacing w:after="0" w:line="210" w:lineRule="exact"/>
              <w:rPr>
                <w:sz w:val="20"/>
                <w:szCs w:val="20"/>
                <w:color w:val="auto"/>
              </w:rPr>
            </w:pPr>
            <w:r>
              <w:rPr>
                <w:rFonts w:ascii="Calibri" w:cs="Calibri" w:eastAsia="Calibri" w:hAnsi="Calibri"/>
                <w:sz w:val="18"/>
                <w:szCs w:val="18"/>
                <w:color w:val="auto"/>
              </w:rPr>
              <w:t>28</w:t>
            </w:r>
          </w:p>
        </w:tc>
        <w:tc>
          <w:tcPr>
            <w:tcW w:w="40" w:type="dxa"/>
            <w:vAlign w:val="bottom"/>
          </w:tcPr>
          <w:p>
            <w:pPr>
              <w:spacing w:after="0"/>
              <w:rPr>
                <w:sz w:val="18"/>
                <w:szCs w:val="18"/>
                <w:color w:val="auto"/>
              </w:rPr>
            </w:pPr>
          </w:p>
        </w:tc>
        <w:tc>
          <w:tcPr>
            <w:tcW w:w="1360" w:type="dxa"/>
            <w:vAlign w:val="bottom"/>
            <w:gridSpan w:val="3"/>
          </w:tcPr>
          <w:p>
            <w:pPr>
              <w:jc w:val="right"/>
              <w:ind w:right="890"/>
              <w:spacing w:after="0" w:line="210" w:lineRule="exact"/>
              <w:rPr>
                <w:sz w:val="20"/>
                <w:szCs w:val="20"/>
                <w:color w:val="auto"/>
              </w:rPr>
            </w:pPr>
            <w:r>
              <w:rPr>
                <w:rFonts w:ascii="Calibri" w:cs="Calibri" w:eastAsia="Calibri" w:hAnsi="Calibri"/>
                <w:sz w:val="18"/>
                <w:szCs w:val="18"/>
                <w:color w:val="auto"/>
              </w:rPr>
              <w:t>$</w:t>
            </w:r>
          </w:p>
        </w:tc>
        <w:tc>
          <w:tcPr>
            <w:tcW w:w="360" w:type="dxa"/>
            <w:vAlign w:val="bottom"/>
          </w:tcPr>
          <w:p>
            <w:pPr>
              <w:jc w:val="right"/>
              <w:spacing w:after="0" w:line="210" w:lineRule="exact"/>
              <w:rPr>
                <w:sz w:val="20"/>
                <w:szCs w:val="20"/>
                <w:color w:val="auto"/>
              </w:rPr>
            </w:pPr>
            <w:r>
              <w:rPr>
                <w:rFonts w:ascii="Calibri" w:cs="Calibri" w:eastAsia="Calibri" w:hAnsi="Calibri"/>
                <w:sz w:val="18"/>
                <w:szCs w:val="18"/>
                <w:color w:val="auto"/>
              </w:rPr>
              <w:t>16</w:t>
            </w:r>
          </w:p>
        </w:tc>
        <w:tc>
          <w:tcPr>
            <w:tcW w:w="440" w:type="dxa"/>
            <w:vAlign w:val="bottom"/>
          </w:tcPr>
          <w:p>
            <w:pPr>
              <w:jc w:val="right"/>
              <w:spacing w:after="0" w:line="210" w:lineRule="exact"/>
              <w:rPr>
                <w:sz w:val="20"/>
                <w:szCs w:val="20"/>
                <w:color w:val="auto"/>
              </w:rPr>
            </w:pPr>
            <w:r>
              <w:rPr>
                <w:rFonts w:ascii="Calibri" w:cs="Calibri" w:eastAsia="Calibri" w:hAnsi="Calibri"/>
                <w:sz w:val="18"/>
                <w:szCs w:val="18"/>
                <w:color w:val="auto"/>
              </w:rPr>
              <w:t>$</w:t>
            </w:r>
          </w:p>
        </w:tc>
        <w:tc>
          <w:tcPr>
            <w:tcW w:w="1240" w:type="dxa"/>
            <w:vAlign w:val="bottom"/>
          </w:tcPr>
          <w:p>
            <w:pPr>
              <w:jc w:val="right"/>
              <w:spacing w:after="0" w:line="210" w:lineRule="exact"/>
              <w:rPr>
                <w:sz w:val="20"/>
                <w:szCs w:val="20"/>
                <w:color w:val="auto"/>
              </w:rPr>
            </w:pPr>
            <w:r>
              <w:rPr>
                <w:rFonts w:ascii="Calibri" w:cs="Calibri" w:eastAsia="Calibri" w:hAnsi="Calibri"/>
                <w:sz w:val="18"/>
                <w:szCs w:val="18"/>
                <w:color w:val="auto"/>
              </w:rPr>
              <w:t>92</w:t>
            </w:r>
          </w:p>
        </w:tc>
        <w:tc>
          <w:tcPr>
            <w:tcW w:w="0" w:type="dxa"/>
            <w:vAlign w:val="bottom"/>
          </w:tcPr>
          <w:p>
            <w:pPr>
              <w:spacing w:after="0"/>
              <w:rPr>
                <w:sz w:val="1"/>
                <w:szCs w:val="1"/>
                <w:color w:val="auto"/>
              </w:rPr>
            </w:pPr>
          </w:p>
        </w:tc>
      </w:tr>
      <w:tr>
        <w:trPr>
          <w:trHeight w:val="232"/>
        </w:trPr>
        <w:tc>
          <w:tcPr>
            <w:tcW w:w="4160" w:type="dxa"/>
            <w:vAlign w:val="bottom"/>
            <w:shd w:val="clear" w:color="auto" w:fill="CCEEFF"/>
          </w:tcPr>
          <w:p>
            <w:pPr>
              <w:ind w:left="20"/>
              <w:spacing w:after="0" w:line="217" w:lineRule="exact"/>
              <w:rPr>
                <w:sz w:val="20"/>
                <w:szCs w:val="20"/>
                <w:color w:val="auto"/>
              </w:rPr>
            </w:pPr>
            <w:r>
              <w:rPr>
                <w:rFonts w:ascii="Calibri" w:cs="Calibri" w:eastAsia="Calibri" w:hAnsi="Calibri"/>
                <w:sz w:val="18"/>
                <w:szCs w:val="18"/>
                <w:color w:val="auto"/>
                <w:w w:val="96"/>
              </w:rPr>
              <w:t>ROU assets obtained in exchange for fnance lease liabilites</w:t>
            </w:r>
          </w:p>
        </w:tc>
        <w:tc>
          <w:tcPr>
            <w:tcW w:w="226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881"/>
              <w:spacing w:after="0" w:line="217" w:lineRule="exact"/>
              <w:rPr>
                <w:sz w:val="20"/>
                <w:szCs w:val="20"/>
                <w:color w:val="auto"/>
              </w:rPr>
            </w:pPr>
            <w:r>
              <w:rPr>
                <w:rFonts w:ascii="Calibri" w:cs="Calibri" w:eastAsia="Calibri" w:hAnsi="Calibri"/>
                <w:sz w:val="18"/>
                <w:szCs w:val="18"/>
                <w:color w:val="auto"/>
                <w:w w:val="87"/>
              </w:rPr>
              <w:t>$</w:t>
            </w:r>
          </w:p>
        </w:tc>
        <w:tc>
          <w:tcPr>
            <w:tcW w:w="360" w:type="dxa"/>
            <w:vAlign w:val="bottom"/>
            <w:gridSpan w:val="2"/>
            <w:shd w:val="clear" w:color="auto" w:fill="CCEEFF"/>
          </w:tcPr>
          <w:p>
            <w:pPr>
              <w:jc w:val="right"/>
              <w:ind w:right="60"/>
              <w:spacing w:after="0" w:line="217" w:lineRule="exact"/>
              <w:rPr>
                <w:sz w:val="20"/>
                <w:szCs w:val="20"/>
                <w:color w:val="auto"/>
              </w:rPr>
            </w:pPr>
            <w:r>
              <w:rPr>
                <w:rFonts w:ascii="Calibri" w:cs="Calibri" w:eastAsia="Calibri" w:hAnsi="Calibri"/>
                <w:sz w:val="18"/>
                <w:szCs w:val="18"/>
                <w:color w:val="auto"/>
              </w:rPr>
              <w:t>—</w:t>
            </w:r>
          </w:p>
        </w:tc>
        <w:tc>
          <w:tcPr>
            <w:tcW w:w="1360" w:type="dxa"/>
            <w:vAlign w:val="bottom"/>
            <w:gridSpan w:val="3"/>
            <w:shd w:val="clear" w:color="auto" w:fill="CCEEFF"/>
          </w:tcPr>
          <w:p>
            <w:pPr>
              <w:jc w:val="right"/>
              <w:ind w:right="890"/>
              <w:spacing w:after="0" w:line="217" w:lineRule="exact"/>
              <w:rPr>
                <w:sz w:val="20"/>
                <w:szCs w:val="20"/>
                <w:color w:val="auto"/>
              </w:rPr>
            </w:pPr>
            <w:r>
              <w:rPr>
                <w:rFonts w:ascii="Calibri" w:cs="Calibri" w:eastAsia="Calibri" w:hAnsi="Calibri"/>
                <w:sz w:val="18"/>
                <w:szCs w:val="18"/>
                <w:color w:val="auto"/>
              </w:rPr>
              <w:t>$</w:t>
            </w:r>
          </w:p>
        </w:tc>
        <w:tc>
          <w:tcPr>
            <w:tcW w:w="360" w:type="dxa"/>
            <w:vAlign w:val="bottom"/>
            <w:shd w:val="clear" w:color="auto" w:fill="CCEEFF"/>
          </w:tcPr>
          <w:p>
            <w:pPr>
              <w:jc w:val="right"/>
              <w:spacing w:after="0" w:line="217" w:lineRule="exact"/>
              <w:rPr>
                <w:sz w:val="20"/>
                <w:szCs w:val="20"/>
                <w:color w:val="auto"/>
              </w:rPr>
            </w:pPr>
            <w:r>
              <w:rPr>
                <w:rFonts w:ascii="Calibri" w:cs="Calibri" w:eastAsia="Calibri" w:hAnsi="Calibri"/>
                <w:sz w:val="18"/>
                <w:szCs w:val="18"/>
                <w:color w:val="auto"/>
              </w:rPr>
              <w:t>1</w:t>
            </w:r>
          </w:p>
        </w:tc>
        <w:tc>
          <w:tcPr>
            <w:tcW w:w="440" w:type="dxa"/>
            <w:vAlign w:val="bottom"/>
            <w:shd w:val="clear" w:color="auto" w:fill="CCEEFF"/>
          </w:tcPr>
          <w:p>
            <w:pPr>
              <w:jc w:val="right"/>
              <w:spacing w:after="0" w:line="217" w:lineRule="exact"/>
              <w:rPr>
                <w:sz w:val="20"/>
                <w:szCs w:val="20"/>
                <w:color w:val="auto"/>
              </w:rPr>
            </w:pPr>
            <w:r>
              <w:rPr>
                <w:rFonts w:ascii="Calibri" w:cs="Calibri" w:eastAsia="Calibri" w:hAnsi="Calibri"/>
                <w:sz w:val="18"/>
                <w:szCs w:val="18"/>
                <w:color w:val="auto"/>
              </w:rPr>
              <w:t>$</w:t>
            </w:r>
          </w:p>
        </w:tc>
        <w:tc>
          <w:tcPr>
            <w:tcW w:w="1240" w:type="dxa"/>
            <w:vAlign w:val="bottom"/>
            <w:shd w:val="clear" w:color="auto" w:fill="CCEEFF"/>
          </w:tcPr>
          <w:p>
            <w:pPr>
              <w:jc w:val="right"/>
              <w:spacing w:after="0" w:line="217" w:lineRule="exact"/>
              <w:rPr>
                <w:sz w:val="20"/>
                <w:szCs w:val="20"/>
                <w:color w:val="auto"/>
              </w:rPr>
            </w:pPr>
            <w:r>
              <w:rPr>
                <w:rFonts w:ascii="Calibri" w:cs="Calibri" w:eastAsia="Calibri" w:hAnsi="Calibri"/>
                <w:sz w:val="18"/>
                <w:szCs w:val="18"/>
                <w:color w:val="auto"/>
              </w:rPr>
              <w:t>15</w:t>
            </w:r>
          </w:p>
        </w:tc>
        <w:tc>
          <w:tcPr>
            <w:tcW w:w="0" w:type="dxa"/>
            <w:vAlign w:val="bottom"/>
          </w:tcPr>
          <w:p>
            <w:pPr>
              <w:spacing w:after="0"/>
              <w:rPr>
                <w:sz w:val="1"/>
                <w:szCs w:val="1"/>
                <w:color w:val="auto"/>
              </w:rPr>
            </w:pPr>
          </w:p>
        </w:tc>
      </w:tr>
      <w:tr>
        <w:trPr>
          <w:trHeight w:val="395"/>
        </w:trPr>
        <w:tc>
          <w:tcPr>
            <w:tcW w:w="416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Calibri" w:cs="Calibri" w:eastAsia="Calibri" w:hAnsi="Calibri"/>
                <w:sz w:val="14"/>
                <w:szCs w:val="14"/>
                <w:b w:val="1"/>
                <w:bCs w:val="1"/>
                <w:color w:val="auto"/>
              </w:rPr>
              <w:t>October 29,</w:t>
            </w: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jc w:val="center"/>
              <w:ind w:left="310"/>
              <w:spacing w:after="0"/>
              <w:rPr>
                <w:sz w:val="20"/>
                <w:szCs w:val="20"/>
                <w:color w:val="auto"/>
              </w:rPr>
            </w:pPr>
            <w:r>
              <w:rPr>
                <w:rFonts w:ascii="Calibri" w:cs="Calibri" w:eastAsia="Calibri" w:hAnsi="Calibri"/>
                <w:sz w:val="14"/>
                <w:szCs w:val="14"/>
                <w:b w:val="1"/>
                <w:bCs w:val="1"/>
                <w:color w:val="auto"/>
                <w:w w:val="99"/>
              </w:rPr>
              <w:t>October 30,</w:t>
            </w: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8"/>
        </w:trPr>
        <w:tc>
          <w:tcPr>
            <w:tcW w:w="416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060" w:type="dxa"/>
            <w:vAlign w:val="bottom"/>
          </w:tcPr>
          <w:p>
            <w:pPr>
              <w:jc w:val="right"/>
              <w:ind w:right="121"/>
              <w:spacing w:after="0" w:line="168" w:lineRule="exact"/>
              <w:rPr>
                <w:sz w:val="20"/>
                <w:szCs w:val="20"/>
                <w:color w:val="auto"/>
              </w:rPr>
            </w:pPr>
            <w:r>
              <w:rPr>
                <w:rFonts w:ascii="Calibri" w:cs="Calibri" w:eastAsia="Calibri" w:hAnsi="Calibri"/>
                <w:sz w:val="14"/>
                <w:szCs w:val="14"/>
                <w:b w:val="1"/>
                <w:bCs w:val="1"/>
                <w:color w:val="auto"/>
              </w:rPr>
              <w:t>2023</w:t>
            </w:r>
          </w:p>
        </w:tc>
        <w:tc>
          <w:tcPr>
            <w:tcW w:w="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60" w:type="dxa"/>
            <w:vAlign w:val="bottom"/>
            <w:gridSpan w:val="3"/>
          </w:tcPr>
          <w:p>
            <w:pPr>
              <w:jc w:val="center"/>
              <w:ind w:left="577"/>
              <w:spacing w:after="0" w:line="168" w:lineRule="exact"/>
              <w:rPr>
                <w:sz w:val="20"/>
                <w:szCs w:val="20"/>
                <w:color w:val="auto"/>
              </w:rPr>
            </w:pPr>
            <w:r>
              <w:rPr>
                <w:rFonts w:ascii="Calibri" w:cs="Calibri" w:eastAsia="Calibri" w:hAnsi="Calibri"/>
                <w:sz w:val="14"/>
                <w:szCs w:val="14"/>
                <w:b w:val="1"/>
                <w:bCs w:val="1"/>
                <w:color w:val="auto"/>
              </w:rPr>
              <w:t>2022</w:t>
            </w:r>
          </w:p>
        </w:tc>
        <w:tc>
          <w:tcPr>
            <w:tcW w:w="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2"/>
        </w:trPr>
        <w:tc>
          <w:tcPr>
            <w:tcW w:w="4160" w:type="dxa"/>
            <w:vAlign w:val="bottom"/>
            <w:tcBorders>
              <w:bottom w:val="single" w:sz="8" w:color="CCEEFF"/>
            </w:tcBorders>
          </w:tcPr>
          <w:p>
            <w:pPr>
              <w:spacing w:after="0"/>
              <w:rPr>
                <w:sz w:val="2"/>
                <w:szCs w:val="2"/>
                <w:color w:val="auto"/>
              </w:rPr>
            </w:pPr>
          </w:p>
        </w:tc>
        <w:tc>
          <w:tcPr>
            <w:tcW w:w="226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6420" w:type="dxa"/>
            <w:vAlign w:val="bottom"/>
            <w:gridSpan w:val="2"/>
            <w:shd w:val="clear" w:color="auto" w:fill="CCEEFF"/>
          </w:tcPr>
          <w:p>
            <w:pPr>
              <w:ind w:left="20"/>
              <w:spacing w:after="0" w:line="196" w:lineRule="exact"/>
              <w:rPr>
                <w:sz w:val="20"/>
                <w:szCs w:val="20"/>
                <w:color w:val="auto"/>
              </w:rPr>
            </w:pPr>
            <w:r>
              <w:rPr>
                <w:rFonts w:ascii="Calibri" w:cs="Calibri" w:eastAsia="Calibri" w:hAnsi="Calibri"/>
                <w:sz w:val="18"/>
                <w:szCs w:val="18"/>
                <w:color w:val="auto"/>
              </w:rPr>
              <w:t>Weighted-average remaining lease term – operatng leases (In years)</w:t>
            </w:r>
          </w:p>
        </w:tc>
        <w:tc>
          <w:tcPr>
            <w:tcW w:w="106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line="210" w:lineRule="exact"/>
              <w:rPr>
                <w:sz w:val="20"/>
                <w:szCs w:val="20"/>
                <w:color w:val="auto"/>
              </w:rPr>
            </w:pPr>
            <w:r>
              <w:rPr>
                <w:rFonts w:ascii="Calibri" w:cs="Calibri" w:eastAsia="Calibri" w:hAnsi="Calibri"/>
                <w:sz w:val="18"/>
                <w:szCs w:val="18"/>
                <w:color w:val="auto"/>
              </w:rPr>
              <w:t>10</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line="210" w:lineRule="exact"/>
              <w:rPr>
                <w:sz w:val="20"/>
                <w:szCs w:val="20"/>
                <w:color w:val="auto"/>
              </w:rPr>
            </w:pPr>
            <w:r>
              <w:rPr>
                <w:rFonts w:ascii="Calibri" w:cs="Calibri" w:eastAsia="Calibri" w:hAnsi="Calibri"/>
                <w:sz w:val="18"/>
                <w:szCs w:val="18"/>
                <w:color w:val="auto"/>
              </w:rPr>
              <w:t>10</w:t>
            </w:r>
          </w:p>
        </w:tc>
        <w:tc>
          <w:tcPr>
            <w:tcW w:w="4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420" w:type="dxa"/>
            <w:vAlign w:val="bottom"/>
            <w:gridSpan w:val="2"/>
          </w:tcPr>
          <w:p>
            <w:pPr>
              <w:ind w:left="20"/>
              <w:spacing w:after="0" w:line="210" w:lineRule="exact"/>
              <w:rPr>
                <w:sz w:val="20"/>
                <w:szCs w:val="20"/>
                <w:color w:val="auto"/>
              </w:rPr>
            </w:pPr>
            <w:r>
              <w:rPr>
                <w:rFonts w:ascii="Calibri" w:cs="Calibri" w:eastAsia="Calibri" w:hAnsi="Calibri"/>
                <w:sz w:val="18"/>
                <w:szCs w:val="18"/>
                <w:color w:val="auto"/>
              </w:rPr>
              <w:t>Weighted-average remaining lease term – fnance leases (In years)</w:t>
            </w:r>
          </w:p>
        </w:tc>
        <w:tc>
          <w:tcPr>
            <w:tcW w:w="1060" w:type="dxa"/>
            <w:vAlign w:val="bottom"/>
          </w:tcPr>
          <w:p>
            <w:pPr>
              <w:spacing w:after="0"/>
              <w:rPr>
                <w:sz w:val="18"/>
                <w:szCs w:val="18"/>
                <w:color w:val="auto"/>
              </w:rPr>
            </w:pPr>
          </w:p>
        </w:tc>
        <w:tc>
          <w:tcPr>
            <w:tcW w:w="360" w:type="dxa"/>
            <w:vAlign w:val="bottom"/>
            <w:gridSpan w:val="2"/>
          </w:tcPr>
          <w:p>
            <w:pPr>
              <w:jc w:val="right"/>
              <w:spacing w:after="0" w:line="210" w:lineRule="exact"/>
              <w:rPr>
                <w:sz w:val="20"/>
                <w:szCs w:val="20"/>
                <w:color w:val="auto"/>
              </w:rPr>
            </w:pPr>
            <w:r>
              <w:rPr>
                <w:rFonts w:ascii="Calibri" w:cs="Calibri" w:eastAsia="Calibri" w:hAnsi="Calibri"/>
                <w:sz w:val="18"/>
                <w:szCs w:val="18"/>
                <w:color w:val="auto"/>
              </w:rPr>
              <w:t>2</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60" w:type="dxa"/>
            <w:vAlign w:val="bottom"/>
          </w:tcPr>
          <w:p>
            <w:pPr>
              <w:jc w:val="right"/>
              <w:spacing w:after="0" w:line="210" w:lineRule="exact"/>
              <w:rPr>
                <w:sz w:val="20"/>
                <w:szCs w:val="20"/>
                <w:color w:val="auto"/>
              </w:rPr>
            </w:pPr>
            <w:r>
              <w:rPr>
                <w:rFonts w:ascii="Calibri" w:cs="Calibri" w:eastAsia="Calibri" w:hAnsi="Calibri"/>
                <w:sz w:val="18"/>
                <w:szCs w:val="18"/>
                <w:color w:val="auto"/>
              </w:rPr>
              <w:t>2</w:t>
            </w:r>
          </w:p>
        </w:tc>
        <w:tc>
          <w:tcPr>
            <w:tcW w:w="4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4160" w:type="dxa"/>
            <w:vAlign w:val="bottom"/>
            <w:shd w:val="clear" w:color="auto" w:fill="CCEEFF"/>
          </w:tcPr>
          <w:p>
            <w:pPr>
              <w:ind w:left="20"/>
              <w:spacing w:after="0" w:line="217" w:lineRule="exact"/>
              <w:rPr>
                <w:sz w:val="20"/>
                <w:szCs w:val="20"/>
                <w:color w:val="auto"/>
              </w:rPr>
            </w:pPr>
            <w:r>
              <w:rPr>
                <w:rFonts w:ascii="Calibri" w:cs="Calibri" w:eastAsia="Calibri" w:hAnsi="Calibri"/>
                <w:sz w:val="18"/>
                <w:szCs w:val="18"/>
                <w:color w:val="auto"/>
              </w:rPr>
              <w:t>Weighted-average discount rate – operatng leases</w:t>
            </w:r>
          </w:p>
        </w:tc>
        <w:tc>
          <w:tcPr>
            <w:tcW w:w="226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320" w:type="dxa"/>
            <w:vAlign w:val="bottom"/>
            <w:shd w:val="clear" w:color="auto" w:fill="CCEEFF"/>
          </w:tcPr>
          <w:p>
            <w:pPr>
              <w:jc w:val="right"/>
              <w:spacing w:after="0" w:line="217" w:lineRule="exact"/>
              <w:rPr>
                <w:sz w:val="20"/>
                <w:szCs w:val="20"/>
                <w:color w:val="auto"/>
              </w:rPr>
            </w:pPr>
            <w:r>
              <w:rPr>
                <w:rFonts w:ascii="Calibri" w:cs="Calibri" w:eastAsia="Calibri" w:hAnsi="Calibri"/>
                <w:sz w:val="18"/>
                <w:szCs w:val="18"/>
                <w:color w:val="auto"/>
                <w:w w:val="87"/>
              </w:rPr>
              <w:t>3.90</w:t>
            </w:r>
          </w:p>
        </w:tc>
        <w:tc>
          <w:tcPr>
            <w:tcW w:w="40" w:type="dxa"/>
            <w:vAlign w:val="bottom"/>
            <w:shd w:val="clear" w:color="auto" w:fill="CCEEFF"/>
          </w:tcPr>
          <w:p>
            <w:pPr>
              <w:spacing w:after="0"/>
              <w:rPr>
                <w:sz w:val="20"/>
                <w:szCs w:val="20"/>
                <w:color w:val="auto"/>
              </w:rPr>
            </w:pPr>
          </w:p>
        </w:tc>
        <w:tc>
          <w:tcPr>
            <w:tcW w:w="300" w:type="dxa"/>
            <w:vAlign w:val="bottom"/>
            <w:gridSpan w:val="2"/>
            <w:shd w:val="clear" w:color="auto" w:fill="CCEEFF"/>
          </w:tcPr>
          <w:p>
            <w:pPr>
              <w:jc w:val="right"/>
              <w:ind w:right="140"/>
              <w:spacing w:after="0" w:line="217" w:lineRule="exact"/>
              <w:rPr>
                <w:sz w:val="20"/>
                <w:szCs w:val="20"/>
                <w:color w:val="auto"/>
              </w:rPr>
            </w:pPr>
            <w:r>
              <w:rPr>
                <w:rFonts w:ascii="Calibri" w:cs="Calibri" w:eastAsia="Calibri" w:hAnsi="Calibri"/>
                <w:sz w:val="18"/>
                <w:szCs w:val="18"/>
                <w:color w:val="auto"/>
              </w:rPr>
              <w:t>%</w:t>
            </w:r>
          </w:p>
        </w:tc>
        <w:tc>
          <w:tcPr>
            <w:tcW w:w="1060" w:type="dxa"/>
            <w:vAlign w:val="bottom"/>
            <w:shd w:val="clear" w:color="auto" w:fill="CCEEFF"/>
          </w:tcPr>
          <w:p>
            <w:pPr>
              <w:spacing w:after="0"/>
              <w:rPr>
                <w:sz w:val="20"/>
                <w:szCs w:val="20"/>
                <w:color w:val="auto"/>
              </w:rPr>
            </w:pPr>
          </w:p>
        </w:tc>
        <w:tc>
          <w:tcPr>
            <w:tcW w:w="360" w:type="dxa"/>
            <w:vAlign w:val="bottom"/>
            <w:shd w:val="clear" w:color="auto" w:fill="CCEEFF"/>
          </w:tcPr>
          <w:p>
            <w:pPr>
              <w:jc w:val="right"/>
              <w:spacing w:after="0" w:line="217" w:lineRule="exact"/>
              <w:rPr>
                <w:sz w:val="20"/>
                <w:szCs w:val="20"/>
                <w:color w:val="auto"/>
              </w:rPr>
            </w:pPr>
            <w:r>
              <w:rPr>
                <w:rFonts w:ascii="Calibri" w:cs="Calibri" w:eastAsia="Calibri" w:hAnsi="Calibri"/>
                <w:sz w:val="18"/>
                <w:szCs w:val="18"/>
                <w:color w:val="auto"/>
                <w:w w:val="87"/>
              </w:rPr>
              <w:t>3.60</w:t>
            </w:r>
          </w:p>
        </w:tc>
        <w:tc>
          <w:tcPr>
            <w:tcW w:w="440" w:type="dxa"/>
            <w:vAlign w:val="bottom"/>
            <w:shd w:val="clear" w:color="auto" w:fill="CCEEFF"/>
          </w:tcPr>
          <w:p>
            <w:pPr>
              <w:jc w:val="right"/>
              <w:ind w:right="212"/>
              <w:spacing w:after="0" w:line="217" w:lineRule="exact"/>
              <w:rPr>
                <w:sz w:val="20"/>
                <w:szCs w:val="20"/>
                <w:color w:val="auto"/>
              </w:rPr>
            </w:pPr>
            <w:r>
              <w:rPr>
                <w:rFonts w:ascii="Calibri" w:cs="Calibri" w:eastAsia="Calibri" w:hAnsi="Calibri"/>
                <w:sz w:val="18"/>
                <w:szCs w:val="18"/>
                <w:color w:val="auto"/>
                <w:w w:val="92"/>
              </w:rPr>
              <w:t>%</w:t>
            </w:r>
          </w:p>
        </w:tc>
        <w:tc>
          <w:tcPr>
            <w:tcW w:w="12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160" w:type="dxa"/>
            <w:vAlign w:val="bottom"/>
          </w:tcPr>
          <w:p>
            <w:pPr>
              <w:ind w:left="20"/>
              <w:spacing w:after="0" w:line="210" w:lineRule="exact"/>
              <w:rPr>
                <w:sz w:val="20"/>
                <w:szCs w:val="20"/>
                <w:color w:val="auto"/>
              </w:rPr>
            </w:pPr>
            <w:r>
              <w:rPr>
                <w:rFonts w:ascii="Calibri" w:cs="Calibri" w:eastAsia="Calibri" w:hAnsi="Calibri"/>
                <w:sz w:val="18"/>
                <w:szCs w:val="18"/>
                <w:color w:val="auto"/>
              </w:rPr>
              <w:t>Weighted-average discount rate – fnance leases</w:t>
            </w:r>
          </w:p>
        </w:tc>
        <w:tc>
          <w:tcPr>
            <w:tcW w:w="2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20" w:type="dxa"/>
            <w:vAlign w:val="bottom"/>
          </w:tcPr>
          <w:p>
            <w:pPr>
              <w:jc w:val="right"/>
              <w:spacing w:after="0" w:line="210" w:lineRule="exact"/>
              <w:rPr>
                <w:sz w:val="20"/>
                <w:szCs w:val="20"/>
                <w:color w:val="auto"/>
              </w:rPr>
            </w:pPr>
            <w:r>
              <w:rPr>
                <w:rFonts w:ascii="Calibri" w:cs="Calibri" w:eastAsia="Calibri" w:hAnsi="Calibri"/>
                <w:sz w:val="18"/>
                <w:szCs w:val="18"/>
                <w:color w:val="auto"/>
                <w:w w:val="87"/>
              </w:rPr>
              <w:t>3.09</w:t>
            </w:r>
          </w:p>
        </w:tc>
        <w:tc>
          <w:tcPr>
            <w:tcW w:w="40" w:type="dxa"/>
            <w:vAlign w:val="bottom"/>
          </w:tcPr>
          <w:p>
            <w:pPr>
              <w:spacing w:after="0"/>
              <w:rPr>
                <w:sz w:val="18"/>
                <w:szCs w:val="18"/>
                <w:color w:val="auto"/>
              </w:rPr>
            </w:pPr>
          </w:p>
        </w:tc>
        <w:tc>
          <w:tcPr>
            <w:tcW w:w="300" w:type="dxa"/>
            <w:vAlign w:val="bottom"/>
            <w:gridSpan w:val="2"/>
          </w:tcPr>
          <w:p>
            <w:pPr>
              <w:jc w:val="right"/>
              <w:ind w:right="140"/>
              <w:spacing w:after="0" w:line="210" w:lineRule="exact"/>
              <w:rPr>
                <w:sz w:val="20"/>
                <w:szCs w:val="20"/>
                <w:color w:val="auto"/>
              </w:rPr>
            </w:pPr>
            <w:r>
              <w:rPr>
                <w:rFonts w:ascii="Calibri" w:cs="Calibri" w:eastAsia="Calibri" w:hAnsi="Calibri"/>
                <w:sz w:val="18"/>
                <w:szCs w:val="18"/>
                <w:color w:val="auto"/>
              </w:rPr>
              <w:t>%</w:t>
            </w:r>
          </w:p>
        </w:tc>
        <w:tc>
          <w:tcPr>
            <w:tcW w:w="1060" w:type="dxa"/>
            <w:vAlign w:val="bottom"/>
          </w:tcPr>
          <w:p>
            <w:pPr>
              <w:spacing w:after="0"/>
              <w:rPr>
                <w:sz w:val="18"/>
                <w:szCs w:val="18"/>
                <w:color w:val="auto"/>
              </w:rPr>
            </w:pPr>
          </w:p>
        </w:tc>
        <w:tc>
          <w:tcPr>
            <w:tcW w:w="360" w:type="dxa"/>
            <w:vAlign w:val="bottom"/>
          </w:tcPr>
          <w:p>
            <w:pPr>
              <w:jc w:val="right"/>
              <w:spacing w:after="0" w:line="210" w:lineRule="exact"/>
              <w:rPr>
                <w:sz w:val="20"/>
                <w:szCs w:val="20"/>
                <w:color w:val="auto"/>
              </w:rPr>
            </w:pPr>
            <w:r>
              <w:rPr>
                <w:rFonts w:ascii="Calibri" w:cs="Calibri" w:eastAsia="Calibri" w:hAnsi="Calibri"/>
                <w:sz w:val="18"/>
                <w:szCs w:val="18"/>
                <w:color w:val="auto"/>
                <w:w w:val="87"/>
              </w:rPr>
              <w:t>3.05</w:t>
            </w:r>
          </w:p>
        </w:tc>
        <w:tc>
          <w:tcPr>
            <w:tcW w:w="440" w:type="dxa"/>
            <w:vAlign w:val="bottom"/>
          </w:tcPr>
          <w:p>
            <w:pPr>
              <w:jc w:val="right"/>
              <w:ind w:right="212"/>
              <w:spacing w:after="0" w:line="210" w:lineRule="exact"/>
              <w:rPr>
                <w:sz w:val="20"/>
                <w:szCs w:val="20"/>
                <w:color w:val="auto"/>
              </w:rPr>
            </w:pPr>
            <w:r>
              <w:rPr>
                <w:rFonts w:ascii="Calibri" w:cs="Calibri" w:eastAsia="Calibri" w:hAnsi="Calibri"/>
                <w:sz w:val="18"/>
                <w:szCs w:val="18"/>
                <w:color w:val="auto"/>
                <w:w w:val="92"/>
              </w:rPr>
              <w:t>%</w:t>
            </w: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02"/>
        </w:trPr>
        <w:tc>
          <w:tcPr>
            <w:tcW w:w="6420" w:type="dxa"/>
            <w:vAlign w:val="bottom"/>
            <w:gridSpan w:val="2"/>
          </w:tcPr>
          <w:p>
            <w:pPr>
              <w:ind w:left="400"/>
              <w:spacing w:after="0"/>
              <w:rPr>
                <w:sz w:val="20"/>
                <w:szCs w:val="20"/>
                <w:color w:val="auto"/>
              </w:rPr>
            </w:pPr>
            <w:r>
              <w:rPr>
                <w:rFonts w:ascii="Calibri" w:cs="Calibri" w:eastAsia="Calibri" w:hAnsi="Calibri"/>
                <w:sz w:val="18"/>
                <w:szCs w:val="18"/>
                <w:color w:val="auto"/>
              </w:rPr>
              <w:t>Supplemental balance sheet informaton related to leases was as follows:</w:t>
            </w:r>
          </w:p>
        </w:tc>
        <w:tc>
          <w:tcPr>
            <w:tcW w:w="10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3"/>
        </w:trPr>
        <w:tc>
          <w:tcPr>
            <w:tcW w:w="4160" w:type="dxa"/>
            <w:vAlign w:val="bottom"/>
          </w:tcPr>
          <w:p>
            <w:pPr>
              <w:spacing w:after="0"/>
              <w:rPr>
                <w:sz w:val="23"/>
                <w:szCs w:val="23"/>
                <w:color w:val="auto"/>
              </w:rPr>
            </w:pPr>
          </w:p>
        </w:tc>
        <w:tc>
          <w:tcPr>
            <w:tcW w:w="3320" w:type="dxa"/>
            <w:vAlign w:val="bottom"/>
            <w:gridSpan w:val="2"/>
            <w:vMerge w:val="restart"/>
          </w:tcPr>
          <w:p>
            <w:pPr>
              <w:jc w:val="right"/>
              <w:spacing w:after="0"/>
              <w:rPr>
                <w:sz w:val="20"/>
                <w:szCs w:val="20"/>
                <w:color w:val="auto"/>
              </w:rPr>
            </w:pPr>
            <w:r>
              <w:rPr>
                <w:rFonts w:ascii="Calibri" w:cs="Calibri" w:eastAsia="Calibri" w:hAnsi="Calibri"/>
                <w:sz w:val="14"/>
                <w:szCs w:val="14"/>
                <w:b w:val="1"/>
                <w:bCs w:val="1"/>
                <w:color w:val="auto"/>
              </w:rPr>
              <w:t>Classifcaton on the Consolidated Balance Sheets</w:t>
            </w:r>
          </w:p>
        </w:tc>
        <w:tc>
          <w:tcPr>
            <w:tcW w:w="3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60" w:type="dxa"/>
            <w:vAlign w:val="bottom"/>
          </w:tcPr>
          <w:p>
            <w:pPr>
              <w:jc w:val="right"/>
              <w:ind w:right="70"/>
              <w:spacing w:after="0"/>
              <w:rPr>
                <w:sz w:val="20"/>
                <w:szCs w:val="20"/>
                <w:color w:val="auto"/>
              </w:rPr>
            </w:pPr>
            <w:r>
              <w:rPr>
                <w:rFonts w:ascii="Calibri" w:cs="Calibri" w:eastAsia="Calibri" w:hAnsi="Calibri"/>
                <w:sz w:val="14"/>
                <w:szCs w:val="14"/>
                <w:b w:val="1"/>
                <w:bCs w:val="1"/>
                <w:color w:val="auto"/>
              </w:rPr>
              <w:t>October 29,</w:t>
            </w:r>
          </w:p>
        </w:tc>
        <w:tc>
          <w:tcPr>
            <w:tcW w:w="3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240" w:type="dxa"/>
            <w:vAlign w:val="bottom"/>
          </w:tcPr>
          <w:p>
            <w:pPr>
              <w:jc w:val="right"/>
              <w:ind w:right="379"/>
              <w:spacing w:after="0"/>
              <w:rPr>
                <w:sz w:val="20"/>
                <w:szCs w:val="20"/>
                <w:color w:val="auto"/>
              </w:rPr>
            </w:pPr>
            <w:r>
              <w:rPr>
                <w:rFonts w:ascii="Calibri" w:cs="Calibri" w:eastAsia="Calibri" w:hAnsi="Calibri"/>
                <w:sz w:val="14"/>
                <w:szCs w:val="14"/>
                <w:b w:val="1"/>
                <w:bCs w:val="1"/>
                <w:color w:val="auto"/>
              </w:rPr>
              <w:t>October 30,</w:t>
            </w:r>
          </w:p>
        </w:tc>
        <w:tc>
          <w:tcPr>
            <w:tcW w:w="0" w:type="dxa"/>
            <w:vAlign w:val="bottom"/>
          </w:tcPr>
          <w:p>
            <w:pPr>
              <w:spacing w:after="0"/>
              <w:rPr>
                <w:sz w:val="1"/>
                <w:szCs w:val="1"/>
                <w:color w:val="auto"/>
              </w:rPr>
            </w:pPr>
          </w:p>
        </w:tc>
      </w:tr>
      <w:tr>
        <w:trPr>
          <w:trHeight w:val="168"/>
        </w:trPr>
        <w:tc>
          <w:tcPr>
            <w:tcW w:w="4160" w:type="dxa"/>
            <w:vAlign w:val="bottom"/>
          </w:tcPr>
          <w:p>
            <w:pPr>
              <w:spacing w:after="0"/>
              <w:rPr>
                <w:sz w:val="14"/>
                <w:szCs w:val="14"/>
                <w:color w:val="auto"/>
              </w:rPr>
            </w:pPr>
          </w:p>
        </w:tc>
        <w:tc>
          <w:tcPr>
            <w:tcW w:w="3320" w:type="dxa"/>
            <w:vAlign w:val="bottom"/>
            <w:gridSpan w:val="2"/>
            <w:vMerge w:val="continue"/>
          </w:tcPr>
          <w:p>
            <w:pPr>
              <w:spacing w:after="0"/>
              <w:rPr>
                <w:sz w:val="14"/>
                <w:szCs w:val="14"/>
                <w:color w:val="auto"/>
              </w:rPr>
            </w:pPr>
          </w:p>
        </w:tc>
        <w:tc>
          <w:tcPr>
            <w:tcW w:w="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60" w:type="dxa"/>
            <w:vAlign w:val="bottom"/>
            <w:gridSpan w:val="3"/>
          </w:tcPr>
          <w:p>
            <w:pPr>
              <w:jc w:val="right"/>
              <w:ind w:right="270"/>
              <w:spacing w:after="0" w:line="168" w:lineRule="exact"/>
              <w:rPr>
                <w:sz w:val="20"/>
                <w:szCs w:val="20"/>
                <w:color w:val="auto"/>
              </w:rPr>
            </w:pPr>
            <w:r>
              <w:rPr>
                <w:rFonts w:ascii="Calibri" w:cs="Calibri" w:eastAsia="Calibri" w:hAnsi="Calibri"/>
                <w:sz w:val="14"/>
                <w:szCs w:val="14"/>
                <w:b w:val="1"/>
                <w:bCs w:val="1"/>
                <w:color w:val="auto"/>
              </w:rPr>
              <w:t>2023</w:t>
            </w:r>
          </w:p>
        </w:tc>
        <w:tc>
          <w:tcPr>
            <w:tcW w:w="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40" w:type="dxa"/>
            <w:vAlign w:val="bottom"/>
          </w:tcPr>
          <w:p>
            <w:pPr>
              <w:jc w:val="right"/>
              <w:ind w:right="579"/>
              <w:spacing w:after="0" w:line="168" w:lineRule="exact"/>
              <w:rPr>
                <w:sz w:val="20"/>
                <w:szCs w:val="20"/>
                <w:color w:val="auto"/>
              </w:rPr>
            </w:pPr>
            <w:r>
              <w:rPr>
                <w:rFonts w:ascii="Calibri" w:cs="Calibri" w:eastAsia="Calibri" w:hAnsi="Calibri"/>
                <w:sz w:val="14"/>
                <w:szCs w:val="14"/>
                <w:b w:val="1"/>
                <w:bCs w:val="1"/>
                <w:color w:val="auto"/>
              </w:rPr>
              <w:t>2022</w:t>
            </w:r>
          </w:p>
        </w:tc>
        <w:tc>
          <w:tcPr>
            <w:tcW w:w="0" w:type="dxa"/>
            <w:vAlign w:val="bottom"/>
          </w:tcPr>
          <w:p>
            <w:pPr>
              <w:spacing w:after="0"/>
              <w:rPr>
                <w:sz w:val="1"/>
                <w:szCs w:val="1"/>
                <w:color w:val="auto"/>
              </w:rPr>
            </w:pPr>
          </w:p>
        </w:tc>
      </w:tr>
      <w:tr>
        <w:trPr>
          <w:trHeight w:val="44"/>
        </w:trPr>
        <w:tc>
          <w:tcPr>
            <w:tcW w:w="4160" w:type="dxa"/>
            <w:vAlign w:val="bottom"/>
          </w:tcPr>
          <w:p>
            <w:pPr>
              <w:spacing w:after="0"/>
              <w:rPr>
                <w:sz w:val="3"/>
                <w:szCs w:val="3"/>
                <w:color w:val="auto"/>
              </w:rPr>
            </w:pPr>
          </w:p>
        </w:tc>
        <w:tc>
          <w:tcPr>
            <w:tcW w:w="226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gridSpan w:val="2"/>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1"/>
        </w:trPr>
        <w:tc>
          <w:tcPr>
            <w:tcW w:w="416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0" w:type="dxa"/>
            <w:vAlign w:val="bottom"/>
            <w:gridSpan w:val="2"/>
          </w:tcPr>
          <w:p>
            <w:pPr>
              <w:jc w:val="right"/>
              <w:spacing w:after="0" w:line="161" w:lineRule="exact"/>
              <w:rPr>
                <w:sz w:val="20"/>
                <w:szCs w:val="20"/>
                <w:color w:val="auto"/>
              </w:rPr>
            </w:pPr>
            <w:r>
              <w:rPr>
                <w:rFonts w:ascii="Calibri" w:cs="Calibri" w:eastAsia="Calibri" w:hAnsi="Calibri"/>
                <w:sz w:val="14"/>
                <w:szCs w:val="14"/>
                <w:b w:val="1"/>
                <w:bCs w:val="1"/>
                <w:color w:val="auto"/>
              </w:rPr>
              <w:t>(In millions)</w:t>
            </w: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
        </w:trPr>
        <w:tc>
          <w:tcPr>
            <w:tcW w:w="416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4"/>
        </w:trPr>
        <w:tc>
          <w:tcPr>
            <w:tcW w:w="4160" w:type="dxa"/>
            <w:vAlign w:val="bottom"/>
            <w:shd w:val="clear" w:color="auto" w:fill="CCEEFF"/>
          </w:tcPr>
          <w:p>
            <w:pPr>
              <w:ind w:left="20"/>
              <w:spacing w:after="0" w:line="210" w:lineRule="exact"/>
              <w:rPr>
                <w:sz w:val="20"/>
                <w:szCs w:val="20"/>
                <w:color w:val="auto"/>
              </w:rPr>
            </w:pPr>
            <w:r>
              <w:rPr>
                <w:rFonts w:ascii="Calibri" w:cs="Calibri" w:eastAsia="Calibri" w:hAnsi="Calibri"/>
                <w:sz w:val="18"/>
                <w:szCs w:val="18"/>
                <w:color w:val="auto"/>
              </w:rPr>
              <w:t>ROU assets - operatng leases</w:t>
            </w:r>
          </w:p>
        </w:tc>
        <w:tc>
          <w:tcPr>
            <w:tcW w:w="2260" w:type="dxa"/>
            <w:vAlign w:val="bottom"/>
            <w:shd w:val="clear" w:color="auto" w:fill="CCEEFF"/>
          </w:tcPr>
          <w:p>
            <w:pPr>
              <w:spacing w:after="0" w:line="210" w:lineRule="exact"/>
              <w:rPr>
                <w:sz w:val="20"/>
                <w:szCs w:val="20"/>
                <w:color w:val="auto"/>
              </w:rPr>
            </w:pPr>
            <w:r>
              <w:rPr>
                <w:rFonts w:ascii="Calibri" w:cs="Calibri" w:eastAsia="Calibri" w:hAnsi="Calibri"/>
                <w:sz w:val="18"/>
                <w:szCs w:val="18"/>
                <w:color w:val="auto"/>
              </w:rPr>
              <w:t>Other long-term assets</w:t>
            </w:r>
          </w:p>
        </w:tc>
        <w:tc>
          <w:tcPr>
            <w:tcW w:w="10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00" w:type="dxa"/>
            <w:vAlign w:val="bottom"/>
            <w:gridSpan w:val="2"/>
            <w:shd w:val="clear" w:color="auto" w:fill="CCEEFF"/>
          </w:tcPr>
          <w:p>
            <w:pPr>
              <w:jc w:val="right"/>
              <w:ind w:right="140"/>
              <w:spacing w:after="0" w:line="210" w:lineRule="exact"/>
              <w:rPr>
                <w:sz w:val="20"/>
                <w:szCs w:val="20"/>
                <w:color w:val="auto"/>
              </w:rPr>
            </w:pPr>
            <w:r>
              <w:rPr>
                <w:rFonts w:ascii="Calibri" w:cs="Calibri" w:eastAsia="Calibri" w:hAnsi="Calibri"/>
                <w:sz w:val="18"/>
                <w:szCs w:val="18"/>
                <w:color w:val="auto"/>
              </w:rPr>
              <w:t>$</w:t>
            </w:r>
          </w:p>
        </w:tc>
        <w:tc>
          <w:tcPr>
            <w:tcW w:w="106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4"/>
              <w:spacing w:after="0" w:line="210" w:lineRule="exact"/>
              <w:rPr>
                <w:sz w:val="20"/>
                <w:szCs w:val="20"/>
                <w:color w:val="auto"/>
              </w:rPr>
            </w:pPr>
            <w:r>
              <w:rPr>
                <w:rFonts w:ascii="Calibri" w:cs="Calibri" w:eastAsia="Calibri" w:hAnsi="Calibri"/>
                <w:sz w:val="18"/>
                <w:szCs w:val="18"/>
                <w:color w:val="auto"/>
                <w:w w:val="87"/>
              </w:rPr>
              <w:t>463</w:t>
            </w:r>
          </w:p>
        </w:tc>
        <w:tc>
          <w:tcPr>
            <w:tcW w:w="440" w:type="dxa"/>
            <w:vAlign w:val="bottom"/>
            <w:shd w:val="clear" w:color="auto" w:fill="CCEEFF"/>
          </w:tcPr>
          <w:p>
            <w:pPr>
              <w:jc w:val="right"/>
              <w:ind w:right="192"/>
              <w:spacing w:after="0" w:line="210" w:lineRule="exact"/>
              <w:rPr>
                <w:sz w:val="20"/>
                <w:szCs w:val="20"/>
                <w:color w:val="auto"/>
              </w:rPr>
            </w:pPr>
            <w:r>
              <w:rPr>
                <w:rFonts w:ascii="Calibri" w:cs="Calibri" w:eastAsia="Calibri" w:hAnsi="Calibri"/>
                <w:sz w:val="18"/>
                <w:szCs w:val="18"/>
                <w:color w:val="auto"/>
              </w:rPr>
              <w:t>$</w:t>
            </w:r>
          </w:p>
        </w:tc>
        <w:tc>
          <w:tcPr>
            <w:tcW w:w="1240" w:type="dxa"/>
            <w:vAlign w:val="bottom"/>
            <w:shd w:val="clear" w:color="auto" w:fill="CCEEFF"/>
          </w:tcPr>
          <w:p>
            <w:pPr>
              <w:jc w:val="right"/>
              <w:spacing w:after="0" w:line="210" w:lineRule="exact"/>
              <w:rPr>
                <w:sz w:val="20"/>
                <w:szCs w:val="20"/>
                <w:color w:val="auto"/>
              </w:rPr>
            </w:pPr>
            <w:r>
              <w:rPr>
                <w:rFonts w:ascii="Calibri" w:cs="Calibri" w:eastAsia="Calibri" w:hAnsi="Calibri"/>
                <w:sz w:val="18"/>
                <w:szCs w:val="18"/>
                <w:color w:val="auto"/>
              </w:rPr>
              <w:t>517</w:t>
            </w:r>
          </w:p>
        </w:tc>
        <w:tc>
          <w:tcPr>
            <w:tcW w:w="0" w:type="dxa"/>
            <w:vAlign w:val="bottom"/>
          </w:tcPr>
          <w:p>
            <w:pPr>
              <w:spacing w:after="0"/>
              <w:rPr>
                <w:sz w:val="1"/>
                <w:szCs w:val="1"/>
                <w:color w:val="auto"/>
              </w:rPr>
            </w:pPr>
          </w:p>
        </w:tc>
      </w:tr>
      <w:tr>
        <w:trPr>
          <w:trHeight w:val="217"/>
        </w:trPr>
        <w:tc>
          <w:tcPr>
            <w:tcW w:w="4160" w:type="dxa"/>
            <w:vAlign w:val="bottom"/>
          </w:tcPr>
          <w:p>
            <w:pPr>
              <w:ind w:left="20"/>
              <w:spacing w:after="0" w:line="210" w:lineRule="exact"/>
              <w:rPr>
                <w:sz w:val="20"/>
                <w:szCs w:val="20"/>
                <w:color w:val="auto"/>
              </w:rPr>
            </w:pPr>
            <w:r>
              <w:rPr>
                <w:rFonts w:ascii="Calibri" w:cs="Calibri" w:eastAsia="Calibri" w:hAnsi="Calibri"/>
                <w:sz w:val="18"/>
                <w:szCs w:val="18"/>
                <w:color w:val="auto"/>
              </w:rPr>
              <w:t>ROU assets - fnance leases</w:t>
            </w:r>
          </w:p>
        </w:tc>
        <w:tc>
          <w:tcPr>
            <w:tcW w:w="3320" w:type="dxa"/>
            <w:vAlign w:val="bottom"/>
            <w:gridSpan w:val="2"/>
          </w:tcPr>
          <w:p>
            <w:pPr>
              <w:spacing w:after="0" w:line="210" w:lineRule="exact"/>
              <w:rPr>
                <w:sz w:val="20"/>
                <w:szCs w:val="20"/>
                <w:color w:val="auto"/>
              </w:rPr>
            </w:pPr>
            <w:r>
              <w:rPr>
                <w:rFonts w:ascii="Calibri" w:cs="Calibri" w:eastAsia="Calibri" w:hAnsi="Calibri"/>
                <w:sz w:val="18"/>
                <w:szCs w:val="18"/>
                <w:color w:val="auto"/>
              </w:rPr>
              <w:t>Property, plant and equipment, net</w:t>
            </w: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gridSpan w:val="2"/>
          </w:tcPr>
          <w:p>
            <w:pPr>
              <w:jc w:val="right"/>
              <w:ind w:right="140"/>
              <w:spacing w:after="0" w:line="210" w:lineRule="exact"/>
              <w:rPr>
                <w:sz w:val="20"/>
                <w:szCs w:val="20"/>
                <w:color w:val="auto"/>
              </w:rPr>
            </w:pPr>
            <w:r>
              <w:rPr>
                <w:rFonts w:ascii="Calibri" w:cs="Calibri" w:eastAsia="Calibri" w:hAnsi="Calibri"/>
                <w:sz w:val="18"/>
                <w:szCs w:val="18"/>
                <w:color w:val="auto"/>
              </w:rPr>
              <w:t>$</w:t>
            </w:r>
          </w:p>
        </w:tc>
        <w:tc>
          <w:tcPr>
            <w:tcW w:w="1060" w:type="dxa"/>
            <w:vAlign w:val="bottom"/>
          </w:tcPr>
          <w:p>
            <w:pPr>
              <w:spacing w:after="0"/>
              <w:rPr>
                <w:sz w:val="18"/>
                <w:szCs w:val="18"/>
                <w:color w:val="auto"/>
              </w:rPr>
            </w:pPr>
          </w:p>
        </w:tc>
        <w:tc>
          <w:tcPr>
            <w:tcW w:w="360" w:type="dxa"/>
            <w:vAlign w:val="bottom"/>
          </w:tcPr>
          <w:p>
            <w:pPr>
              <w:jc w:val="right"/>
              <w:ind w:right="14"/>
              <w:spacing w:after="0" w:line="210" w:lineRule="exact"/>
              <w:rPr>
                <w:sz w:val="20"/>
                <w:szCs w:val="20"/>
                <w:color w:val="auto"/>
              </w:rPr>
            </w:pPr>
            <w:r>
              <w:rPr>
                <w:rFonts w:ascii="Calibri" w:cs="Calibri" w:eastAsia="Calibri" w:hAnsi="Calibri"/>
                <w:sz w:val="18"/>
                <w:szCs w:val="18"/>
                <w:color w:val="auto"/>
              </w:rPr>
              <w:t>22</w:t>
            </w:r>
          </w:p>
        </w:tc>
        <w:tc>
          <w:tcPr>
            <w:tcW w:w="440" w:type="dxa"/>
            <w:vAlign w:val="bottom"/>
          </w:tcPr>
          <w:p>
            <w:pPr>
              <w:jc w:val="right"/>
              <w:ind w:right="192"/>
              <w:spacing w:after="0" w:line="210" w:lineRule="exact"/>
              <w:rPr>
                <w:sz w:val="20"/>
                <w:szCs w:val="20"/>
                <w:color w:val="auto"/>
              </w:rPr>
            </w:pPr>
            <w:r>
              <w:rPr>
                <w:rFonts w:ascii="Calibri" w:cs="Calibri" w:eastAsia="Calibri" w:hAnsi="Calibri"/>
                <w:sz w:val="18"/>
                <w:szCs w:val="18"/>
                <w:color w:val="auto"/>
              </w:rPr>
              <w:t>$</w:t>
            </w:r>
          </w:p>
        </w:tc>
        <w:tc>
          <w:tcPr>
            <w:tcW w:w="1240" w:type="dxa"/>
            <w:vAlign w:val="bottom"/>
          </w:tcPr>
          <w:p>
            <w:pPr>
              <w:jc w:val="right"/>
              <w:spacing w:after="0" w:line="210" w:lineRule="exact"/>
              <w:rPr>
                <w:sz w:val="20"/>
                <w:szCs w:val="20"/>
                <w:color w:val="auto"/>
              </w:rPr>
            </w:pPr>
            <w:r>
              <w:rPr>
                <w:rFonts w:ascii="Calibri" w:cs="Calibri" w:eastAsia="Calibri" w:hAnsi="Calibri"/>
                <w:sz w:val="18"/>
                <w:szCs w:val="18"/>
                <w:color w:val="auto"/>
              </w:rPr>
              <w:t>40</w:t>
            </w:r>
          </w:p>
        </w:tc>
        <w:tc>
          <w:tcPr>
            <w:tcW w:w="0" w:type="dxa"/>
            <w:vAlign w:val="bottom"/>
          </w:tcPr>
          <w:p>
            <w:pPr>
              <w:spacing w:after="0"/>
              <w:rPr>
                <w:sz w:val="1"/>
                <w:szCs w:val="1"/>
                <w:color w:val="auto"/>
              </w:rPr>
            </w:pPr>
          </w:p>
        </w:tc>
      </w:tr>
      <w:tr>
        <w:trPr>
          <w:trHeight w:val="271"/>
        </w:trPr>
        <w:tc>
          <w:tcPr>
            <w:tcW w:w="4160" w:type="dxa"/>
            <w:vAlign w:val="bottom"/>
            <w:shd w:val="clear" w:color="auto" w:fill="CCEEFF"/>
          </w:tcPr>
          <w:p>
            <w:pPr>
              <w:spacing w:after="0"/>
              <w:rPr>
                <w:sz w:val="23"/>
                <w:szCs w:val="23"/>
                <w:color w:val="auto"/>
              </w:rPr>
            </w:pPr>
          </w:p>
        </w:tc>
        <w:tc>
          <w:tcPr>
            <w:tcW w:w="226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240"/>
          </w:cols>
          <w:pgMar w:left="320" w:top="109" w:right="339" w:bottom="1440" w:gutter="0" w:footer="0" w:header="0"/>
        </w:sectPr>
      </w:pPr>
    </w:p>
    <w:p>
      <w:pPr>
        <w:ind w:left="20"/>
        <w:spacing w:after="0" w:line="234" w:lineRule="auto"/>
        <w:rPr>
          <w:sz w:val="20"/>
          <w:szCs w:val="20"/>
          <w:color w:val="auto"/>
        </w:rPr>
      </w:pPr>
      <w:r>
        <w:rPr>
          <w:rFonts w:ascii="Calibri" w:cs="Calibri" w:eastAsia="Calibri" w:hAnsi="Calibri"/>
          <w:sz w:val="17"/>
          <w:szCs w:val="17"/>
          <w:color w:val="auto"/>
        </w:rPr>
        <w:t>Short-term lease liabilites - operatng leases</w:t>
      </w:r>
    </w:p>
    <w:p>
      <w:pPr>
        <w:spacing w:after="0" w:line="15" w:lineRule="exact"/>
        <w:rPr>
          <w:sz w:val="20"/>
          <w:szCs w:val="20"/>
          <w:color w:val="auto"/>
        </w:rPr>
      </w:pPr>
    </w:p>
    <w:p>
      <w:pPr>
        <w:ind w:left="20"/>
        <w:spacing w:after="0"/>
        <w:rPr>
          <w:sz w:val="20"/>
          <w:szCs w:val="20"/>
          <w:color w:val="auto"/>
        </w:rPr>
      </w:pPr>
      <w:r>
        <w:rPr>
          <w:rFonts w:ascii="Calibri" w:cs="Calibri" w:eastAsia="Calibri" w:hAnsi="Calibri"/>
          <w:sz w:val="17"/>
          <w:szCs w:val="17"/>
          <w:color w:val="auto"/>
        </w:rPr>
        <w:t>Long-term lease liabilites - operatng leases</w:t>
      </w:r>
    </w:p>
    <w:p>
      <w:pPr>
        <w:spacing w:after="0" w:line="7" w:lineRule="exact"/>
        <w:rPr>
          <w:sz w:val="20"/>
          <w:szCs w:val="20"/>
          <w:color w:val="auto"/>
        </w:rPr>
      </w:pPr>
    </w:p>
    <w:p>
      <w:pPr>
        <w:ind w:left="20"/>
        <w:spacing w:after="0"/>
        <w:rPr>
          <w:sz w:val="20"/>
          <w:szCs w:val="20"/>
          <w:color w:val="auto"/>
        </w:rPr>
      </w:pPr>
      <w:r>
        <w:rPr>
          <w:rFonts w:ascii="Calibri" w:cs="Calibri" w:eastAsia="Calibri" w:hAnsi="Calibri"/>
          <w:sz w:val="18"/>
          <w:szCs w:val="18"/>
          <w:color w:val="auto"/>
        </w:rPr>
        <w:t>Short-term lease liabilites - fnance leases</w:t>
      </w:r>
    </w:p>
    <w:p>
      <w:pPr>
        <w:spacing w:after="0" w:line="5" w:lineRule="exact"/>
        <w:rPr>
          <w:sz w:val="20"/>
          <w:szCs w:val="20"/>
          <w:color w:val="auto"/>
        </w:rPr>
      </w:pPr>
    </w:p>
    <w:p>
      <w:pPr>
        <w:ind w:left="20"/>
        <w:spacing w:after="0"/>
        <w:rPr>
          <w:sz w:val="20"/>
          <w:szCs w:val="20"/>
          <w:color w:val="auto"/>
        </w:rPr>
      </w:pPr>
      <w:r>
        <w:rPr>
          <w:rFonts w:ascii="Calibri" w:cs="Calibri" w:eastAsia="Calibri" w:hAnsi="Calibri"/>
          <w:sz w:val="18"/>
          <w:szCs w:val="18"/>
          <w:color w:val="auto"/>
        </w:rPr>
        <w:t>Long-term lease liabilites - fnance leases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0"/>
        </w:trPr>
        <w:tc>
          <w:tcPr>
            <w:tcW w:w="3060" w:type="dxa"/>
            <w:vAlign w:val="bottom"/>
          </w:tcPr>
          <w:p>
            <w:pPr>
              <w:spacing w:after="0" w:line="210" w:lineRule="exact"/>
              <w:rPr>
                <w:sz w:val="20"/>
                <w:szCs w:val="20"/>
                <w:color w:val="auto"/>
              </w:rPr>
            </w:pPr>
            <w:r>
              <w:rPr>
                <w:rFonts w:ascii="Calibri" w:cs="Calibri" w:eastAsia="Calibri" w:hAnsi="Calibri"/>
                <w:sz w:val="18"/>
                <w:szCs w:val="18"/>
                <w:color w:val="auto"/>
              </w:rPr>
              <w:t>Other current liabilites</w:t>
            </w:r>
          </w:p>
        </w:tc>
        <w:tc>
          <w:tcPr>
            <w:tcW w:w="1380" w:type="dxa"/>
            <w:vAlign w:val="bottom"/>
          </w:tcPr>
          <w:p>
            <w:pPr>
              <w:jc w:val="right"/>
              <w:ind w:right="512"/>
              <w:spacing w:after="0" w:line="210" w:lineRule="exact"/>
              <w:rPr>
                <w:sz w:val="20"/>
                <w:szCs w:val="20"/>
                <w:color w:val="auto"/>
              </w:rPr>
            </w:pPr>
            <w:r>
              <w:rPr>
                <w:rFonts w:ascii="Calibri" w:cs="Calibri" w:eastAsia="Calibri" w:hAnsi="Calibri"/>
                <w:sz w:val="18"/>
                <w:szCs w:val="18"/>
                <w:color w:val="auto"/>
              </w:rPr>
              <w:t>$</w:t>
            </w:r>
          </w:p>
        </w:tc>
        <w:tc>
          <w:tcPr>
            <w:tcW w:w="940" w:type="dxa"/>
            <w:vAlign w:val="bottom"/>
          </w:tcPr>
          <w:p>
            <w:pPr>
              <w:jc w:val="right"/>
              <w:spacing w:after="0" w:line="210" w:lineRule="exact"/>
              <w:rPr>
                <w:sz w:val="20"/>
                <w:szCs w:val="20"/>
                <w:color w:val="auto"/>
              </w:rPr>
            </w:pPr>
            <w:r>
              <w:rPr>
                <w:rFonts w:ascii="Calibri" w:cs="Calibri" w:eastAsia="Calibri" w:hAnsi="Calibri"/>
                <w:sz w:val="18"/>
                <w:szCs w:val="18"/>
                <w:color w:val="auto"/>
              </w:rPr>
              <w:t>60</w:t>
            </w:r>
          </w:p>
        </w:tc>
        <w:tc>
          <w:tcPr>
            <w:tcW w:w="780" w:type="dxa"/>
            <w:vAlign w:val="bottom"/>
          </w:tcPr>
          <w:p>
            <w:pPr>
              <w:jc w:val="right"/>
              <w:ind w:right="512"/>
              <w:spacing w:after="0" w:line="210" w:lineRule="exact"/>
              <w:rPr>
                <w:sz w:val="20"/>
                <w:szCs w:val="20"/>
                <w:color w:val="auto"/>
              </w:rPr>
            </w:pPr>
            <w:r>
              <w:rPr>
                <w:rFonts w:ascii="Calibri" w:cs="Calibri" w:eastAsia="Calibri" w:hAnsi="Calibri"/>
                <w:sz w:val="18"/>
                <w:szCs w:val="18"/>
                <w:color w:val="auto"/>
              </w:rPr>
              <w:t>$</w:t>
            </w:r>
          </w:p>
        </w:tc>
        <w:tc>
          <w:tcPr>
            <w:tcW w:w="860" w:type="dxa"/>
            <w:vAlign w:val="bottom"/>
          </w:tcPr>
          <w:p>
            <w:pPr>
              <w:jc w:val="right"/>
              <w:spacing w:after="0" w:line="210" w:lineRule="exact"/>
              <w:rPr>
                <w:sz w:val="20"/>
                <w:szCs w:val="20"/>
                <w:color w:val="auto"/>
              </w:rPr>
            </w:pPr>
            <w:r>
              <w:rPr>
                <w:rFonts w:ascii="Calibri" w:cs="Calibri" w:eastAsia="Calibri" w:hAnsi="Calibri"/>
                <w:sz w:val="18"/>
                <w:szCs w:val="18"/>
                <w:color w:val="auto"/>
              </w:rPr>
              <w:t>74</w:t>
            </w:r>
          </w:p>
        </w:tc>
      </w:tr>
      <w:tr>
        <w:trPr>
          <w:trHeight w:val="217"/>
        </w:trPr>
        <w:tc>
          <w:tcPr>
            <w:tcW w:w="3060" w:type="dxa"/>
            <w:vAlign w:val="bottom"/>
          </w:tcPr>
          <w:p>
            <w:pPr>
              <w:spacing w:after="0" w:line="217" w:lineRule="exact"/>
              <w:rPr>
                <w:sz w:val="20"/>
                <w:szCs w:val="20"/>
                <w:color w:val="auto"/>
              </w:rPr>
            </w:pPr>
            <w:r>
              <w:rPr>
                <w:rFonts w:ascii="Calibri" w:cs="Calibri" w:eastAsia="Calibri" w:hAnsi="Calibri"/>
                <w:sz w:val="18"/>
                <w:szCs w:val="18"/>
                <w:color w:val="auto"/>
              </w:rPr>
              <w:t>Other long-term liabilites</w:t>
            </w:r>
          </w:p>
        </w:tc>
        <w:tc>
          <w:tcPr>
            <w:tcW w:w="1380" w:type="dxa"/>
            <w:vAlign w:val="bottom"/>
          </w:tcPr>
          <w:p>
            <w:pPr>
              <w:jc w:val="right"/>
              <w:ind w:right="512"/>
              <w:spacing w:after="0" w:line="217" w:lineRule="exact"/>
              <w:rPr>
                <w:sz w:val="20"/>
                <w:szCs w:val="20"/>
                <w:color w:val="auto"/>
              </w:rPr>
            </w:pPr>
            <w:r>
              <w:rPr>
                <w:rFonts w:ascii="Calibri" w:cs="Calibri" w:eastAsia="Calibri" w:hAnsi="Calibri"/>
                <w:sz w:val="18"/>
                <w:szCs w:val="18"/>
                <w:color w:val="auto"/>
              </w:rPr>
              <w:t>$</w:t>
            </w:r>
          </w:p>
        </w:tc>
        <w:tc>
          <w:tcPr>
            <w:tcW w:w="940" w:type="dxa"/>
            <w:vAlign w:val="bottom"/>
          </w:tcPr>
          <w:p>
            <w:pPr>
              <w:jc w:val="right"/>
              <w:spacing w:after="0" w:line="217" w:lineRule="exact"/>
              <w:rPr>
                <w:sz w:val="20"/>
                <w:szCs w:val="20"/>
                <w:color w:val="auto"/>
              </w:rPr>
            </w:pPr>
            <w:r>
              <w:rPr>
                <w:rFonts w:ascii="Calibri" w:cs="Calibri" w:eastAsia="Calibri" w:hAnsi="Calibri"/>
                <w:sz w:val="18"/>
                <w:szCs w:val="18"/>
                <w:color w:val="auto"/>
              </w:rPr>
              <w:t>359</w:t>
            </w:r>
          </w:p>
        </w:tc>
        <w:tc>
          <w:tcPr>
            <w:tcW w:w="780" w:type="dxa"/>
            <w:vAlign w:val="bottom"/>
          </w:tcPr>
          <w:p>
            <w:pPr>
              <w:jc w:val="right"/>
              <w:ind w:right="512"/>
              <w:spacing w:after="0" w:line="217" w:lineRule="exact"/>
              <w:rPr>
                <w:sz w:val="20"/>
                <w:szCs w:val="20"/>
                <w:color w:val="auto"/>
              </w:rPr>
            </w:pPr>
            <w:r>
              <w:rPr>
                <w:rFonts w:ascii="Calibri" w:cs="Calibri" w:eastAsia="Calibri" w:hAnsi="Calibri"/>
                <w:sz w:val="18"/>
                <w:szCs w:val="18"/>
                <w:color w:val="auto"/>
              </w:rPr>
              <w:t>$</w:t>
            </w:r>
          </w:p>
        </w:tc>
        <w:tc>
          <w:tcPr>
            <w:tcW w:w="860" w:type="dxa"/>
            <w:vAlign w:val="bottom"/>
          </w:tcPr>
          <w:p>
            <w:pPr>
              <w:jc w:val="right"/>
              <w:spacing w:after="0" w:line="217" w:lineRule="exact"/>
              <w:rPr>
                <w:sz w:val="20"/>
                <w:szCs w:val="20"/>
                <w:color w:val="auto"/>
              </w:rPr>
            </w:pPr>
            <w:r>
              <w:rPr>
                <w:rFonts w:ascii="Calibri" w:cs="Calibri" w:eastAsia="Calibri" w:hAnsi="Calibri"/>
                <w:sz w:val="18"/>
                <w:szCs w:val="18"/>
                <w:color w:val="auto"/>
              </w:rPr>
              <w:t>389</w:t>
            </w:r>
          </w:p>
        </w:tc>
      </w:tr>
      <w:tr>
        <w:trPr>
          <w:trHeight w:val="224"/>
        </w:trPr>
        <w:tc>
          <w:tcPr>
            <w:tcW w:w="3060" w:type="dxa"/>
            <w:vAlign w:val="bottom"/>
          </w:tcPr>
          <w:p>
            <w:pPr>
              <w:spacing w:after="0"/>
              <w:rPr>
                <w:sz w:val="20"/>
                <w:szCs w:val="20"/>
                <w:color w:val="auto"/>
              </w:rPr>
            </w:pPr>
            <w:r>
              <w:rPr>
                <w:rFonts w:ascii="Calibri" w:cs="Calibri" w:eastAsia="Calibri" w:hAnsi="Calibri"/>
                <w:sz w:val="18"/>
                <w:szCs w:val="18"/>
                <w:color w:val="auto"/>
              </w:rPr>
              <w:t>Current porton of long-term debt</w:t>
            </w:r>
          </w:p>
        </w:tc>
        <w:tc>
          <w:tcPr>
            <w:tcW w:w="1380" w:type="dxa"/>
            <w:vAlign w:val="bottom"/>
          </w:tcPr>
          <w:p>
            <w:pPr>
              <w:jc w:val="right"/>
              <w:ind w:right="512"/>
              <w:spacing w:after="0"/>
              <w:rPr>
                <w:sz w:val="20"/>
                <w:szCs w:val="20"/>
                <w:color w:val="auto"/>
              </w:rPr>
            </w:pPr>
            <w:r>
              <w:rPr>
                <w:rFonts w:ascii="Calibri" w:cs="Calibri" w:eastAsia="Calibri" w:hAnsi="Calibri"/>
                <w:sz w:val="18"/>
                <w:szCs w:val="18"/>
                <w:color w:val="auto"/>
              </w:rPr>
              <w:t>$</w:t>
            </w:r>
          </w:p>
        </w:tc>
        <w:tc>
          <w:tcPr>
            <w:tcW w:w="940" w:type="dxa"/>
            <w:vAlign w:val="bottom"/>
          </w:tcPr>
          <w:p>
            <w:pPr>
              <w:jc w:val="right"/>
              <w:spacing w:after="0"/>
              <w:rPr>
                <w:sz w:val="20"/>
                <w:szCs w:val="20"/>
                <w:color w:val="auto"/>
              </w:rPr>
            </w:pPr>
            <w:r>
              <w:rPr>
                <w:rFonts w:ascii="Calibri" w:cs="Calibri" w:eastAsia="Calibri" w:hAnsi="Calibri"/>
                <w:sz w:val="18"/>
                <w:szCs w:val="18"/>
                <w:color w:val="auto"/>
              </w:rPr>
              <w:t>45</w:t>
            </w:r>
          </w:p>
        </w:tc>
        <w:tc>
          <w:tcPr>
            <w:tcW w:w="780" w:type="dxa"/>
            <w:vAlign w:val="bottom"/>
          </w:tcPr>
          <w:p>
            <w:pPr>
              <w:jc w:val="right"/>
              <w:ind w:right="512"/>
              <w:spacing w:after="0"/>
              <w:rPr>
                <w:sz w:val="20"/>
                <w:szCs w:val="20"/>
                <w:color w:val="auto"/>
              </w:rPr>
            </w:pPr>
            <w:r>
              <w:rPr>
                <w:rFonts w:ascii="Calibri" w:cs="Calibri" w:eastAsia="Calibri" w:hAnsi="Calibri"/>
                <w:sz w:val="18"/>
                <w:szCs w:val="18"/>
                <w:color w:val="auto"/>
              </w:rPr>
              <w:t>$</w:t>
            </w:r>
          </w:p>
        </w:tc>
        <w:tc>
          <w:tcPr>
            <w:tcW w:w="860" w:type="dxa"/>
            <w:vAlign w:val="bottom"/>
          </w:tcPr>
          <w:p>
            <w:pPr>
              <w:jc w:val="right"/>
              <w:spacing w:after="0"/>
              <w:rPr>
                <w:sz w:val="20"/>
                <w:szCs w:val="20"/>
                <w:color w:val="auto"/>
              </w:rPr>
            </w:pPr>
            <w:r>
              <w:rPr>
                <w:rFonts w:ascii="Calibri" w:cs="Calibri" w:eastAsia="Calibri" w:hAnsi="Calibri"/>
                <w:sz w:val="18"/>
                <w:szCs w:val="18"/>
                <w:color w:val="auto"/>
              </w:rPr>
              <w:t>37</w:t>
            </w:r>
          </w:p>
        </w:tc>
      </w:tr>
      <w:tr>
        <w:trPr>
          <w:trHeight w:val="224"/>
        </w:trPr>
        <w:tc>
          <w:tcPr>
            <w:tcW w:w="3060" w:type="dxa"/>
            <w:vAlign w:val="bottom"/>
          </w:tcPr>
          <w:p>
            <w:pPr>
              <w:spacing w:after="0"/>
              <w:rPr>
                <w:sz w:val="20"/>
                <w:szCs w:val="20"/>
                <w:color w:val="auto"/>
              </w:rPr>
            </w:pPr>
            <w:r>
              <w:rPr>
                <w:rFonts w:ascii="Calibri" w:cs="Calibri" w:eastAsia="Calibri" w:hAnsi="Calibri"/>
                <w:sz w:val="18"/>
                <w:szCs w:val="18"/>
                <w:color w:val="auto"/>
              </w:rPr>
              <w:t>Long-term debt</w:t>
            </w:r>
          </w:p>
        </w:tc>
        <w:tc>
          <w:tcPr>
            <w:tcW w:w="1380" w:type="dxa"/>
            <w:vAlign w:val="bottom"/>
          </w:tcPr>
          <w:p>
            <w:pPr>
              <w:jc w:val="right"/>
              <w:ind w:right="512"/>
              <w:spacing w:after="0"/>
              <w:rPr>
                <w:sz w:val="20"/>
                <w:szCs w:val="20"/>
                <w:color w:val="auto"/>
              </w:rPr>
            </w:pPr>
            <w:r>
              <w:rPr>
                <w:rFonts w:ascii="Calibri" w:cs="Calibri" w:eastAsia="Calibri" w:hAnsi="Calibri"/>
                <w:sz w:val="18"/>
                <w:szCs w:val="18"/>
                <w:color w:val="auto"/>
              </w:rPr>
              <w:t>$</w:t>
            </w:r>
          </w:p>
        </w:tc>
        <w:tc>
          <w:tcPr>
            <w:tcW w:w="940" w:type="dxa"/>
            <w:vAlign w:val="bottom"/>
          </w:tcPr>
          <w:p>
            <w:pPr>
              <w:jc w:val="right"/>
              <w:spacing w:after="0"/>
              <w:rPr>
                <w:sz w:val="20"/>
                <w:szCs w:val="20"/>
                <w:color w:val="auto"/>
              </w:rPr>
            </w:pPr>
            <w:r>
              <w:rPr>
                <w:rFonts w:ascii="Calibri" w:cs="Calibri" w:eastAsia="Calibri" w:hAnsi="Calibri"/>
                <w:sz w:val="18"/>
                <w:szCs w:val="18"/>
                <w:color w:val="auto"/>
              </w:rPr>
              <w:t>4</w:t>
            </w:r>
          </w:p>
        </w:tc>
        <w:tc>
          <w:tcPr>
            <w:tcW w:w="780" w:type="dxa"/>
            <w:vAlign w:val="bottom"/>
          </w:tcPr>
          <w:p>
            <w:pPr>
              <w:jc w:val="right"/>
              <w:ind w:right="512"/>
              <w:spacing w:after="0"/>
              <w:rPr>
                <w:sz w:val="20"/>
                <w:szCs w:val="20"/>
                <w:color w:val="auto"/>
              </w:rPr>
            </w:pPr>
            <w:r>
              <w:rPr>
                <w:rFonts w:ascii="Calibri" w:cs="Calibri" w:eastAsia="Calibri" w:hAnsi="Calibri"/>
                <w:sz w:val="18"/>
                <w:szCs w:val="18"/>
                <w:color w:val="auto"/>
              </w:rPr>
              <w:t>$</w:t>
            </w:r>
          </w:p>
        </w:tc>
        <w:tc>
          <w:tcPr>
            <w:tcW w:w="860" w:type="dxa"/>
            <w:vAlign w:val="bottom"/>
          </w:tcPr>
          <w:p>
            <w:pPr>
              <w:jc w:val="right"/>
              <w:spacing w:after="0"/>
              <w:rPr>
                <w:sz w:val="20"/>
                <w:szCs w:val="20"/>
                <w:color w:val="auto"/>
              </w:rPr>
            </w:pPr>
            <w:r>
              <w:rPr>
                <w:rFonts w:ascii="Calibri" w:cs="Calibri" w:eastAsia="Calibri" w:hAnsi="Calibri"/>
                <w:sz w:val="18"/>
                <w:szCs w:val="18"/>
                <w:color w:val="auto"/>
              </w:rPr>
              <w:t>22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-2637155</wp:posOffset>
            </wp:positionH>
            <wp:positionV relativeFrom="paragraph">
              <wp:posOffset>-412750</wp:posOffset>
            </wp:positionV>
            <wp:extent cx="7135495" cy="14224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5495" cy="142240"/>
                    </a:xfrm>
                    <a:prstGeom prst="rect">
                      <a:avLst/>
                    </a:prstGeom>
                    <a:noFill/>
                  </pic:spPr>
                </pic:pic>
              </a:graphicData>
            </a:graphic>
          </wp:anchor>
        </w:drawing>
        <w:drawing>
          <wp:anchor simplePos="0" relativeHeight="251657728" behindDoc="1" locked="0" layoutInCell="0" allowOverlap="1">
            <wp:simplePos x="0" y="0"/>
            <wp:positionH relativeFrom="column">
              <wp:posOffset>-2637155</wp:posOffset>
            </wp:positionH>
            <wp:positionV relativeFrom="paragraph">
              <wp:posOffset>-127635</wp:posOffset>
            </wp:positionV>
            <wp:extent cx="7135495" cy="14224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5495" cy="142240"/>
                    </a:xfrm>
                    <a:prstGeom prst="rect">
                      <a:avLst/>
                    </a:prstGeom>
                    <a:noFill/>
                  </pic:spPr>
                </pic:pic>
              </a:graphicData>
            </a:graphic>
          </wp:anchor>
        </w:drawing>
      </w:r>
    </w:p>
    <w:p>
      <w:pPr>
        <w:spacing w:after="0" w:line="176" w:lineRule="exact"/>
        <w:rPr>
          <w:sz w:val="20"/>
          <w:szCs w:val="20"/>
          <w:color w:val="auto"/>
        </w:rPr>
      </w:pPr>
    </w:p>
    <w:p>
      <w:pPr>
        <w:sectPr>
          <w:pgSz w:w="11900" w:h="16838" w:orient="portrait"/>
          <w:cols w:equalWidth="0" w:num="2">
            <w:col w:w="3440" w:space="720"/>
            <w:col w:w="7080"/>
          </w:cols>
          <w:pgMar w:left="320" w:top="109" w:right="339" w:bottom="1440" w:gutter="0" w:footer="0" w:header="0"/>
          <w:type w:val="continuous"/>
        </w:sectPr>
      </w:pPr>
    </w:p>
    <w:p>
      <w:pPr>
        <w:ind w:left="400"/>
        <w:spacing w:after="0"/>
        <w:rPr>
          <w:sz w:val="20"/>
          <w:szCs w:val="20"/>
          <w:color w:val="auto"/>
        </w:rPr>
      </w:pPr>
      <w:r>
        <w:rPr>
          <w:rFonts w:ascii="Calibri" w:cs="Calibri" w:eastAsia="Calibri" w:hAnsi="Calibri"/>
          <w:sz w:val="18"/>
          <w:szCs w:val="18"/>
          <w:color w:val="auto"/>
        </w:rPr>
        <w:t>Future minimum lease payments under non-cancelable leases as of October 29, 2023 were as follows: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3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920" w:type="dxa"/>
            <w:vAlign w:val="bottom"/>
            <w:gridSpan w:val="3"/>
          </w:tcPr>
          <w:p>
            <w:pPr>
              <w:jc w:val="center"/>
              <w:spacing w:after="0"/>
              <w:rPr>
                <w:sz w:val="20"/>
                <w:szCs w:val="20"/>
                <w:color w:val="auto"/>
              </w:rPr>
            </w:pPr>
            <w:r>
              <w:rPr>
                <w:rFonts w:ascii="Calibri" w:cs="Calibri" w:eastAsia="Calibri" w:hAnsi="Calibri"/>
                <w:sz w:val="14"/>
                <w:szCs w:val="14"/>
                <w:b w:val="1"/>
                <w:bCs w:val="1"/>
                <w:color w:val="auto"/>
              </w:rPr>
              <w:t>October 29,</w:t>
            </w:r>
          </w:p>
        </w:tc>
        <w:tc>
          <w:tcPr>
            <w:tcW w:w="1460" w:type="dxa"/>
            <w:vAlign w:val="bottom"/>
          </w:tcPr>
          <w:p>
            <w:pPr>
              <w:spacing w:after="0"/>
              <w:rPr>
                <w:sz w:val="14"/>
                <w:szCs w:val="14"/>
                <w:color w:val="auto"/>
              </w:rPr>
            </w:pPr>
          </w:p>
        </w:tc>
      </w:tr>
      <w:tr>
        <w:trPr>
          <w:trHeight w:val="168"/>
        </w:trPr>
        <w:tc>
          <w:tcPr>
            <w:tcW w:w="73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920" w:type="dxa"/>
            <w:vAlign w:val="bottom"/>
            <w:gridSpan w:val="3"/>
          </w:tcPr>
          <w:p>
            <w:pPr>
              <w:jc w:val="center"/>
              <w:spacing w:after="0" w:line="168" w:lineRule="exact"/>
              <w:rPr>
                <w:sz w:val="20"/>
                <w:szCs w:val="20"/>
                <w:color w:val="auto"/>
              </w:rPr>
            </w:pPr>
            <w:r>
              <w:rPr>
                <w:rFonts w:ascii="Calibri" w:cs="Calibri" w:eastAsia="Calibri" w:hAnsi="Calibri"/>
                <w:sz w:val="14"/>
                <w:szCs w:val="14"/>
                <w:b w:val="1"/>
                <w:bCs w:val="1"/>
                <w:color w:val="auto"/>
              </w:rPr>
              <w:t>2023</w:t>
            </w:r>
          </w:p>
        </w:tc>
        <w:tc>
          <w:tcPr>
            <w:tcW w:w="1460" w:type="dxa"/>
            <w:vAlign w:val="bottom"/>
          </w:tcPr>
          <w:p>
            <w:pPr>
              <w:spacing w:after="0"/>
              <w:rPr>
                <w:sz w:val="14"/>
                <w:szCs w:val="14"/>
                <w:color w:val="auto"/>
              </w:rPr>
            </w:pPr>
          </w:p>
        </w:tc>
      </w:tr>
      <w:tr>
        <w:trPr>
          <w:trHeight w:val="32"/>
        </w:trPr>
        <w:tc>
          <w:tcPr>
            <w:tcW w:w="738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161"/>
        </w:trPr>
        <w:tc>
          <w:tcPr>
            <w:tcW w:w="7380" w:type="dxa"/>
            <w:vAlign w:val="bottom"/>
          </w:tcPr>
          <w:p>
            <w:pPr>
              <w:spacing w:after="0"/>
              <w:rPr>
                <w:sz w:val="13"/>
                <w:szCs w:val="13"/>
                <w:color w:val="auto"/>
              </w:rPr>
            </w:pPr>
          </w:p>
        </w:tc>
        <w:tc>
          <w:tcPr>
            <w:tcW w:w="1480" w:type="dxa"/>
            <w:vAlign w:val="bottom"/>
          </w:tcPr>
          <w:p>
            <w:pPr>
              <w:jc w:val="right"/>
              <w:spacing w:after="0" w:line="161" w:lineRule="exact"/>
              <w:rPr>
                <w:sz w:val="20"/>
                <w:szCs w:val="20"/>
                <w:color w:val="auto"/>
              </w:rPr>
            </w:pPr>
            <w:r>
              <w:rPr>
                <w:rFonts w:ascii="Calibri" w:cs="Calibri" w:eastAsia="Calibri" w:hAnsi="Calibri"/>
                <w:sz w:val="14"/>
                <w:szCs w:val="14"/>
                <w:b w:val="1"/>
                <w:bCs w:val="1"/>
                <w:color w:val="auto"/>
              </w:rPr>
              <w:t>Operatng Leases</w:t>
            </w:r>
          </w:p>
        </w:tc>
        <w:tc>
          <w:tcPr>
            <w:tcW w:w="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60" w:type="dxa"/>
            <w:vAlign w:val="bottom"/>
          </w:tcPr>
          <w:p>
            <w:pPr>
              <w:jc w:val="right"/>
              <w:ind w:right="394"/>
              <w:spacing w:after="0" w:line="161" w:lineRule="exact"/>
              <w:rPr>
                <w:sz w:val="20"/>
                <w:szCs w:val="20"/>
                <w:color w:val="auto"/>
              </w:rPr>
            </w:pPr>
            <w:r>
              <w:rPr>
                <w:rFonts w:ascii="Calibri" w:cs="Calibri" w:eastAsia="Calibri" w:hAnsi="Calibri"/>
                <w:sz w:val="14"/>
                <w:szCs w:val="14"/>
                <w:b w:val="1"/>
                <w:bCs w:val="1"/>
                <w:color w:val="auto"/>
              </w:rPr>
              <w:t>Finance Leases</w:t>
            </w:r>
          </w:p>
        </w:tc>
      </w:tr>
      <w:tr>
        <w:trPr>
          <w:trHeight w:val="30"/>
        </w:trPr>
        <w:tc>
          <w:tcPr>
            <w:tcW w:w="738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186"/>
        </w:trPr>
        <w:tc>
          <w:tcPr>
            <w:tcW w:w="73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920" w:type="dxa"/>
            <w:vAlign w:val="bottom"/>
            <w:gridSpan w:val="3"/>
          </w:tcPr>
          <w:p>
            <w:pPr>
              <w:jc w:val="center"/>
              <w:spacing w:after="0"/>
              <w:rPr>
                <w:sz w:val="20"/>
                <w:szCs w:val="20"/>
                <w:color w:val="auto"/>
              </w:rPr>
            </w:pPr>
            <w:r>
              <w:rPr>
                <w:rFonts w:ascii="Calibri" w:cs="Calibri" w:eastAsia="Calibri" w:hAnsi="Calibri"/>
                <w:sz w:val="14"/>
                <w:szCs w:val="14"/>
                <w:b w:val="1"/>
                <w:bCs w:val="1"/>
                <w:color w:val="auto"/>
              </w:rPr>
              <w:t>(In millions)</w:t>
            </w:r>
          </w:p>
        </w:tc>
        <w:tc>
          <w:tcPr>
            <w:tcW w:w="1460" w:type="dxa"/>
            <w:vAlign w:val="bottom"/>
          </w:tcPr>
          <w:p>
            <w:pPr>
              <w:spacing w:after="0"/>
              <w:rPr>
                <w:sz w:val="16"/>
                <w:szCs w:val="16"/>
                <w:color w:val="auto"/>
              </w:rPr>
            </w:pPr>
          </w:p>
        </w:tc>
      </w:tr>
      <w:tr>
        <w:trPr>
          <w:trHeight w:val="45"/>
        </w:trPr>
        <w:tc>
          <w:tcPr>
            <w:tcW w:w="7380" w:type="dxa"/>
            <w:vAlign w:val="bottom"/>
          </w:tcPr>
          <w:p>
            <w:pPr>
              <w:spacing w:after="0"/>
              <w:rPr>
                <w:sz w:val="3"/>
                <w:szCs w:val="3"/>
                <w:color w:val="auto"/>
              </w:rPr>
            </w:pPr>
          </w:p>
        </w:tc>
        <w:tc>
          <w:tcPr>
            <w:tcW w:w="1480" w:type="dxa"/>
            <w:vAlign w:val="bottom"/>
          </w:tcPr>
          <w:p>
            <w:pPr>
              <w:spacing w:after="0"/>
              <w:rPr>
                <w:sz w:val="3"/>
                <w:szCs w:val="3"/>
                <w:color w:val="auto"/>
              </w:rPr>
            </w:pPr>
          </w:p>
        </w:tc>
        <w:tc>
          <w:tcPr>
            <w:tcW w:w="380" w:type="dxa"/>
            <w:vAlign w:val="bottom"/>
          </w:tcPr>
          <w:p>
            <w:pPr>
              <w:spacing w:after="0"/>
              <w:rPr>
                <w:sz w:val="3"/>
                <w:szCs w:val="3"/>
                <w:color w:val="auto"/>
              </w:rPr>
            </w:pPr>
          </w:p>
        </w:tc>
        <w:tc>
          <w:tcPr>
            <w:tcW w:w="160" w:type="dxa"/>
            <w:vAlign w:val="bottom"/>
          </w:tcPr>
          <w:p>
            <w:pPr>
              <w:spacing w:after="0"/>
              <w:rPr>
                <w:sz w:val="3"/>
                <w:szCs w:val="3"/>
                <w:color w:val="auto"/>
              </w:rPr>
            </w:pPr>
          </w:p>
        </w:tc>
        <w:tc>
          <w:tcPr>
            <w:tcW w:w="380" w:type="dxa"/>
            <w:vAlign w:val="bottom"/>
          </w:tcPr>
          <w:p>
            <w:pPr>
              <w:spacing w:after="0"/>
              <w:rPr>
                <w:sz w:val="3"/>
                <w:szCs w:val="3"/>
                <w:color w:val="auto"/>
              </w:rPr>
            </w:pPr>
          </w:p>
        </w:tc>
        <w:tc>
          <w:tcPr>
            <w:tcW w:w="1460" w:type="dxa"/>
            <w:vAlign w:val="bottom"/>
          </w:tcPr>
          <w:p>
            <w:pPr>
              <w:spacing w:after="0"/>
              <w:rPr>
                <w:sz w:val="3"/>
                <w:szCs w:val="3"/>
                <w:color w:val="auto"/>
              </w:rPr>
            </w:pPr>
          </w:p>
        </w:tc>
      </w:tr>
      <w:tr>
        <w:trPr>
          <w:trHeight w:val="224"/>
        </w:trPr>
        <w:tc>
          <w:tcPr>
            <w:tcW w:w="7380" w:type="dxa"/>
            <w:vAlign w:val="bottom"/>
            <w:shd w:val="clear" w:color="auto" w:fill="CCEEFF"/>
          </w:tcPr>
          <w:p>
            <w:pPr>
              <w:ind w:left="20"/>
              <w:spacing w:after="0" w:line="210" w:lineRule="exact"/>
              <w:rPr>
                <w:sz w:val="20"/>
                <w:szCs w:val="20"/>
                <w:color w:val="auto"/>
              </w:rPr>
            </w:pPr>
            <w:r>
              <w:rPr>
                <w:rFonts w:ascii="Calibri" w:cs="Calibri" w:eastAsia="Calibri" w:hAnsi="Calibri"/>
                <w:sz w:val="18"/>
                <w:szCs w:val="18"/>
                <w:color w:val="auto"/>
              </w:rPr>
              <w:t>2024</w:t>
            </w:r>
          </w:p>
        </w:tc>
        <w:tc>
          <w:tcPr>
            <w:tcW w:w="1480" w:type="dxa"/>
            <w:vAlign w:val="bottom"/>
            <w:shd w:val="clear" w:color="auto" w:fill="CCEEFF"/>
          </w:tcPr>
          <w:p>
            <w:pPr>
              <w:jc w:val="right"/>
              <w:ind w:right="1298"/>
              <w:spacing w:after="0" w:line="210" w:lineRule="exact"/>
              <w:rPr>
                <w:sz w:val="20"/>
                <w:szCs w:val="20"/>
                <w:color w:val="auto"/>
              </w:rPr>
            </w:pPr>
            <w:r>
              <w:rPr>
                <w:rFonts w:ascii="Calibri" w:cs="Calibri" w:eastAsia="Calibri" w:hAnsi="Calibri"/>
                <w:sz w:val="18"/>
                <w:szCs w:val="18"/>
                <w:color w:val="auto"/>
                <w:w w:val="87"/>
              </w:rPr>
              <w:t>$</w:t>
            </w:r>
          </w:p>
        </w:tc>
        <w:tc>
          <w:tcPr>
            <w:tcW w:w="380" w:type="dxa"/>
            <w:vAlign w:val="bottom"/>
            <w:shd w:val="clear" w:color="auto" w:fill="CCEEFF"/>
          </w:tcPr>
          <w:p>
            <w:pPr>
              <w:jc w:val="right"/>
              <w:spacing w:after="0" w:line="210" w:lineRule="exact"/>
              <w:rPr>
                <w:sz w:val="20"/>
                <w:szCs w:val="20"/>
                <w:color w:val="auto"/>
              </w:rPr>
            </w:pPr>
            <w:r>
              <w:rPr>
                <w:rFonts w:ascii="Calibri" w:cs="Calibri" w:eastAsia="Calibri" w:hAnsi="Calibri"/>
                <w:sz w:val="18"/>
                <w:szCs w:val="18"/>
                <w:color w:val="auto"/>
              </w:rPr>
              <w:t>75</w:t>
            </w:r>
          </w:p>
        </w:tc>
        <w:tc>
          <w:tcPr>
            <w:tcW w:w="16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2"/>
              <w:spacing w:after="0" w:line="210" w:lineRule="exact"/>
              <w:rPr>
                <w:sz w:val="20"/>
                <w:szCs w:val="20"/>
                <w:color w:val="auto"/>
              </w:rPr>
            </w:pPr>
            <w:r>
              <w:rPr>
                <w:rFonts w:ascii="Calibri" w:cs="Calibri" w:eastAsia="Calibri" w:hAnsi="Calibri"/>
                <w:sz w:val="18"/>
                <w:szCs w:val="18"/>
                <w:color w:val="auto"/>
                <w:w w:val="87"/>
              </w:rPr>
              <w:t>$</w:t>
            </w:r>
          </w:p>
        </w:tc>
        <w:tc>
          <w:tcPr>
            <w:tcW w:w="1460" w:type="dxa"/>
            <w:vAlign w:val="bottom"/>
            <w:shd w:val="clear" w:color="auto" w:fill="CCEEFF"/>
          </w:tcPr>
          <w:p>
            <w:pPr>
              <w:jc w:val="right"/>
              <w:spacing w:after="0" w:line="210" w:lineRule="exact"/>
              <w:rPr>
                <w:sz w:val="20"/>
                <w:szCs w:val="20"/>
                <w:color w:val="auto"/>
              </w:rPr>
            </w:pPr>
            <w:r>
              <w:rPr>
                <w:rFonts w:ascii="Calibri" w:cs="Calibri" w:eastAsia="Calibri" w:hAnsi="Calibri"/>
                <w:sz w:val="18"/>
                <w:szCs w:val="18"/>
                <w:color w:val="auto"/>
              </w:rPr>
              <w:t>45</w:t>
            </w:r>
          </w:p>
        </w:tc>
      </w:tr>
      <w:tr>
        <w:trPr>
          <w:trHeight w:val="217"/>
        </w:trPr>
        <w:tc>
          <w:tcPr>
            <w:tcW w:w="7380" w:type="dxa"/>
            <w:vAlign w:val="bottom"/>
          </w:tcPr>
          <w:p>
            <w:pPr>
              <w:ind w:left="20"/>
              <w:spacing w:after="0" w:line="210" w:lineRule="exact"/>
              <w:rPr>
                <w:sz w:val="20"/>
                <w:szCs w:val="20"/>
                <w:color w:val="auto"/>
              </w:rPr>
            </w:pPr>
            <w:r>
              <w:rPr>
                <w:rFonts w:ascii="Calibri" w:cs="Calibri" w:eastAsia="Calibri" w:hAnsi="Calibri"/>
                <w:sz w:val="18"/>
                <w:szCs w:val="18"/>
                <w:color w:val="auto"/>
              </w:rPr>
              <w:t>2025</w:t>
            </w:r>
          </w:p>
        </w:tc>
        <w:tc>
          <w:tcPr>
            <w:tcW w:w="1480" w:type="dxa"/>
            <w:vAlign w:val="bottom"/>
          </w:tcPr>
          <w:p>
            <w:pPr>
              <w:spacing w:after="0"/>
              <w:rPr>
                <w:sz w:val="18"/>
                <w:szCs w:val="18"/>
                <w:color w:val="auto"/>
              </w:rPr>
            </w:pPr>
          </w:p>
        </w:tc>
        <w:tc>
          <w:tcPr>
            <w:tcW w:w="380" w:type="dxa"/>
            <w:vAlign w:val="bottom"/>
          </w:tcPr>
          <w:p>
            <w:pPr>
              <w:jc w:val="right"/>
              <w:spacing w:after="0" w:line="210" w:lineRule="exact"/>
              <w:rPr>
                <w:sz w:val="20"/>
                <w:szCs w:val="20"/>
                <w:color w:val="auto"/>
              </w:rPr>
            </w:pPr>
            <w:r>
              <w:rPr>
                <w:rFonts w:ascii="Calibri" w:cs="Calibri" w:eastAsia="Calibri" w:hAnsi="Calibri"/>
                <w:sz w:val="18"/>
                <w:szCs w:val="18"/>
                <w:color w:val="auto"/>
              </w:rPr>
              <w:t>65</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60" w:type="dxa"/>
            <w:vAlign w:val="bottom"/>
          </w:tcPr>
          <w:p>
            <w:pPr>
              <w:jc w:val="right"/>
              <w:spacing w:after="0" w:line="210" w:lineRule="exact"/>
              <w:rPr>
                <w:sz w:val="20"/>
                <w:szCs w:val="20"/>
                <w:color w:val="auto"/>
              </w:rPr>
            </w:pPr>
            <w:r>
              <w:rPr>
                <w:rFonts w:ascii="Calibri" w:cs="Calibri" w:eastAsia="Calibri" w:hAnsi="Calibri"/>
                <w:sz w:val="18"/>
                <w:szCs w:val="18"/>
                <w:color w:val="auto"/>
              </w:rPr>
              <w:t>2</w:t>
            </w:r>
          </w:p>
        </w:tc>
      </w:tr>
      <w:tr>
        <w:trPr>
          <w:trHeight w:val="232"/>
        </w:trPr>
        <w:tc>
          <w:tcPr>
            <w:tcW w:w="7380" w:type="dxa"/>
            <w:vAlign w:val="bottom"/>
            <w:shd w:val="clear" w:color="auto" w:fill="CCEEFF"/>
          </w:tcPr>
          <w:p>
            <w:pPr>
              <w:ind w:left="20"/>
              <w:spacing w:after="0" w:line="217" w:lineRule="exact"/>
              <w:rPr>
                <w:sz w:val="20"/>
                <w:szCs w:val="20"/>
                <w:color w:val="auto"/>
              </w:rPr>
            </w:pPr>
            <w:r>
              <w:rPr>
                <w:rFonts w:ascii="Calibri" w:cs="Calibri" w:eastAsia="Calibri" w:hAnsi="Calibri"/>
                <w:sz w:val="18"/>
                <w:szCs w:val="18"/>
                <w:color w:val="auto"/>
              </w:rPr>
              <w:t>2026</w:t>
            </w:r>
          </w:p>
        </w:tc>
        <w:tc>
          <w:tcPr>
            <w:tcW w:w="1480" w:type="dxa"/>
            <w:vAlign w:val="bottom"/>
            <w:shd w:val="clear" w:color="auto" w:fill="CCEEFF"/>
          </w:tcPr>
          <w:p>
            <w:pPr>
              <w:spacing w:after="0"/>
              <w:rPr>
                <w:sz w:val="20"/>
                <w:szCs w:val="20"/>
                <w:color w:val="auto"/>
              </w:rPr>
            </w:pPr>
          </w:p>
        </w:tc>
        <w:tc>
          <w:tcPr>
            <w:tcW w:w="380" w:type="dxa"/>
            <w:vAlign w:val="bottom"/>
            <w:shd w:val="clear" w:color="auto" w:fill="CCEEFF"/>
          </w:tcPr>
          <w:p>
            <w:pPr>
              <w:jc w:val="right"/>
              <w:spacing w:after="0" w:line="217" w:lineRule="exact"/>
              <w:rPr>
                <w:sz w:val="20"/>
                <w:szCs w:val="20"/>
                <w:color w:val="auto"/>
              </w:rPr>
            </w:pPr>
            <w:r>
              <w:rPr>
                <w:rFonts w:ascii="Calibri" w:cs="Calibri" w:eastAsia="Calibri" w:hAnsi="Calibri"/>
                <w:sz w:val="18"/>
                <w:szCs w:val="18"/>
                <w:color w:val="auto"/>
              </w:rPr>
              <w:t>52</w:t>
            </w:r>
          </w:p>
        </w:tc>
        <w:tc>
          <w:tcPr>
            <w:tcW w:w="16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460" w:type="dxa"/>
            <w:vAlign w:val="bottom"/>
            <w:shd w:val="clear" w:color="auto" w:fill="CCEEFF"/>
          </w:tcPr>
          <w:p>
            <w:pPr>
              <w:jc w:val="right"/>
              <w:spacing w:after="0" w:line="217" w:lineRule="exact"/>
              <w:rPr>
                <w:sz w:val="20"/>
                <w:szCs w:val="20"/>
                <w:color w:val="auto"/>
              </w:rPr>
            </w:pPr>
            <w:r>
              <w:rPr>
                <w:rFonts w:ascii="Calibri" w:cs="Calibri" w:eastAsia="Calibri" w:hAnsi="Calibri"/>
                <w:sz w:val="18"/>
                <w:szCs w:val="18"/>
                <w:color w:val="auto"/>
              </w:rPr>
              <w:t>2</w:t>
            </w:r>
          </w:p>
        </w:tc>
      </w:tr>
      <w:tr>
        <w:trPr>
          <w:trHeight w:val="217"/>
        </w:trPr>
        <w:tc>
          <w:tcPr>
            <w:tcW w:w="7380" w:type="dxa"/>
            <w:vAlign w:val="bottom"/>
          </w:tcPr>
          <w:p>
            <w:pPr>
              <w:ind w:left="20"/>
              <w:spacing w:after="0" w:line="210" w:lineRule="exact"/>
              <w:rPr>
                <w:sz w:val="20"/>
                <w:szCs w:val="20"/>
                <w:color w:val="auto"/>
              </w:rPr>
            </w:pPr>
            <w:r>
              <w:rPr>
                <w:rFonts w:ascii="Calibri" w:cs="Calibri" w:eastAsia="Calibri" w:hAnsi="Calibri"/>
                <w:sz w:val="18"/>
                <w:szCs w:val="18"/>
                <w:color w:val="auto"/>
              </w:rPr>
              <w:t>2027</w:t>
            </w:r>
          </w:p>
        </w:tc>
        <w:tc>
          <w:tcPr>
            <w:tcW w:w="1480" w:type="dxa"/>
            <w:vAlign w:val="bottom"/>
          </w:tcPr>
          <w:p>
            <w:pPr>
              <w:spacing w:after="0"/>
              <w:rPr>
                <w:sz w:val="18"/>
                <w:szCs w:val="18"/>
                <w:color w:val="auto"/>
              </w:rPr>
            </w:pPr>
          </w:p>
        </w:tc>
        <w:tc>
          <w:tcPr>
            <w:tcW w:w="380" w:type="dxa"/>
            <w:vAlign w:val="bottom"/>
          </w:tcPr>
          <w:p>
            <w:pPr>
              <w:jc w:val="right"/>
              <w:spacing w:after="0" w:line="210" w:lineRule="exact"/>
              <w:rPr>
                <w:sz w:val="20"/>
                <w:szCs w:val="20"/>
                <w:color w:val="auto"/>
              </w:rPr>
            </w:pPr>
            <w:r>
              <w:rPr>
                <w:rFonts w:ascii="Calibri" w:cs="Calibri" w:eastAsia="Calibri" w:hAnsi="Calibri"/>
                <w:sz w:val="18"/>
                <w:szCs w:val="18"/>
                <w:color w:val="auto"/>
              </w:rPr>
              <w:t>46</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60" w:type="dxa"/>
            <w:vAlign w:val="bottom"/>
          </w:tcPr>
          <w:p>
            <w:pPr>
              <w:jc w:val="right"/>
              <w:spacing w:after="0" w:line="210" w:lineRule="exact"/>
              <w:rPr>
                <w:sz w:val="20"/>
                <w:szCs w:val="20"/>
                <w:color w:val="auto"/>
              </w:rPr>
            </w:pPr>
            <w:r>
              <w:rPr>
                <w:rFonts w:ascii="Calibri" w:cs="Calibri" w:eastAsia="Calibri" w:hAnsi="Calibri"/>
                <w:sz w:val="18"/>
                <w:szCs w:val="18"/>
                <w:color w:val="auto"/>
              </w:rPr>
              <w:t>—</w:t>
            </w:r>
          </w:p>
        </w:tc>
      </w:tr>
      <w:tr>
        <w:trPr>
          <w:trHeight w:val="232"/>
        </w:trPr>
        <w:tc>
          <w:tcPr>
            <w:tcW w:w="7380" w:type="dxa"/>
            <w:vAlign w:val="bottom"/>
            <w:shd w:val="clear" w:color="auto" w:fill="CCEEFF"/>
          </w:tcPr>
          <w:p>
            <w:pPr>
              <w:ind w:left="20"/>
              <w:spacing w:after="0" w:line="217" w:lineRule="exact"/>
              <w:rPr>
                <w:sz w:val="20"/>
                <w:szCs w:val="20"/>
                <w:color w:val="auto"/>
              </w:rPr>
            </w:pPr>
            <w:r>
              <w:rPr>
                <w:rFonts w:ascii="Calibri" w:cs="Calibri" w:eastAsia="Calibri" w:hAnsi="Calibri"/>
                <w:sz w:val="18"/>
                <w:szCs w:val="18"/>
                <w:color w:val="auto"/>
              </w:rPr>
              <w:t>2028</w:t>
            </w:r>
          </w:p>
        </w:tc>
        <w:tc>
          <w:tcPr>
            <w:tcW w:w="1480" w:type="dxa"/>
            <w:vAlign w:val="bottom"/>
            <w:shd w:val="clear" w:color="auto" w:fill="CCEEFF"/>
          </w:tcPr>
          <w:p>
            <w:pPr>
              <w:spacing w:after="0"/>
              <w:rPr>
                <w:sz w:val="20"/>
                <w:szCs w:val="20"/>
                <w:color w:val="auto"/>
              </w:rPr>
            </w:pPr>
          </w:p>
        </w:tc>
        <w:tc>
          <w:tcPr>
            <w:tcW w:w="380" w:type="dxa"/>
            <w:vAlign w:val="bottom"/>
            <w:shd w:val="clear" w:color="auto" w:fill="CCEEFF"/>
          </w:tcPr>
          <w:p>
            <w:pPr>
              <w:jc w:val="right"/>
              <w:spacing w:after="0" w:line="217" w:lineRule="exact"/>
              <w:rPr>
                <w:sz w:val="20"/>
                <w:szCs w:val="20"/>
                <w:color w:val="auto"/>
              </w:rPr>
            </w:pPr>
            <w:r>
              <w:rPr>
                <w:rFonts w:ascii="Calibri" w:cs="Calibri" w:eastAsia="Calibri" w:hAnsi="Calibri"/>
                <w:sz w:val="18"/>
                <w:szCs w:val="18"/>
                <w:color w:val="auto"/>
              </w:rPr>
              <w:t>40</w:t>
            </w:r>
          </w:p>
        </w:tc>
        <w:tc>
          <w:tcPr>
            <w:tcW w:w="16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460" w:type="dxa"/>
            <w:vAlign w:val="bottom"/>
            <w:shd w:val="clear" w:color="auto" w:fill="CCEEFF"/>
          </w:tcPr>
          <w:p>
            <w:pPr>
              <w:jc w:val="right"/>
              <w:spacing w:after="0" w:line="217" w:lineRule="exact"/>
              <w:rPr>
                <w:sz w:val="20"/>
                <w:szCs w:val="20"/>
                <w:color w:val="auto"/>
              </w:rPr>
            </w:pPr>
            <w:r>
              <w:rPr>
                <w:rFonts w:ascii="Calibri" w:cs="Calibri" w:eastAsia="Calibri" w:hAnsi="Calibri"/>
                <w:sz w:val="18"/>
                <w:szCs w:val="18"/>
                <w:color w:val="auto"/>
              </w:rPr>
              <w:t>—</w:t>
            </w:r>
          </w:p>
        </w:tc>
      </w:tr>
      <w:tr>
        <w:trPr>
          <w:trHeight w:val="218"/>
        </w:trPr>
        <w:tc>
          <w:tcPr>
            <w:tcW w:w="7380" w:type="dxa"/>
            <w:vAlign w:val="bottom"/>
            <w:tcBorders>
              <w:bottom w:val="single" w:sz="8" w:color="CCEEFF"/>
            </w:tcBorders>
          </w:tcPr>
          <w:p>
            <w:pPr>
              <w:ind w:left="20"/>
              <w:spacing w:after="0" w:line="210" w:lineRule="exact"/>
              <w:rPr>
                <w:sz w:val="20"/>
                <w:szCs w:val="20"/>
                <w:color w:val="auto"/>
              </w:rPr>
            </w:pPr>
            <w:r>
              <w:rPr>
                <w:rFonts w:ascii="Calibri" w:cs="Calibri" w:eastAsia="Calibri" w:hAnsi="Calibri"/>
                <w:sz w:val="18"/>
                <w:szCs w:val="18"/>
                <w:color w:val="auto"/>
              </w:rPr>
              <w:t>Thereafer</w:t>
            </w:r>
          </w:p>
        </w:tc>
        <w:tc>
          <w:tcPr>
            <w:tcW w:w="148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spacing w:after="0" w:line="210" w:lineRule="exact"/>
              <w:rPr>
                <w:sz w:val="20"/>
                <w:szCs w:val="20"/>
                <w:color w:val="auto"/>
              </w:rPr>
            </w:pPr>
            <w:r>
              <w:rPr>
                <w:rFonts w:ascii="Calibri" w:cs="Calibri" w:eastAsia="Calibri" w:hAnsi="Calibri"/>
                <w:sz w:val="18"/>
                <w:szCs w:val="18"/>
                <w:color w:val="auto"/>
              </w:rPr>
              <w:t>236</w:t>
            </w:r>
          </w:p>
        </w:tc>
        <w:tc>
          <w:tcPr>
            <w:tcW w:w="16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line="210" w:lineRule="exact"/>
              <w:rPr>
                <w:sz w:val="20"/>
                <w:szCs w:val="20"/>
                <w:color w:val="auto"/>
              </w:rPr>
            </w:pPr>
            <w:r>
              <w:rPr>
                <w:rFonts w:ascii="Calibri" w:cs="Calibri" w:eastAsia="Calibri" w:hAnsi="Calibri"/>
                <w:sz w:val="18"/>
                <w:szCs w:val="18"/>
                <w:color w:val="auto"/>
              </w:rPr>
              <w:t>—</w:t>
            </w:r>
          </w:p>
        </w:tc>
      </w:tr>
      <w:tr>
        <w:trPr>
          <w:trHeight w:val="224"/>
        </w:trPr>
        <w:tc>
          <w:tcPr>
            <w:tcW w:w="7380" w:type="dxa"/>
            <w:vAlign w:val="bottom"/>
            <w:shd w:val="clear" w:color="auto" w:fill="CCEEFF"/>
          </w:tcPr>
          <w:p>
            <w:pPr>
              <w:ind w:left="220"/>
              <w:spacing w:after="0" w:line="203" w:lineRule="exact"/>
              <w:rPr>
                <w:sz w:val="20"/>
                <w:szCs w:val="20"/>
                <w:color w:val="auto"/>
              </w:rPr>
            </w:pPr>
            <w:r>
              <w:rPr>
                <w:rFonts w:ascii="Calibri" w:cs="Calibri" w:eastAsia="Calibri" w:hAnsi="Calibri"/>
                <w:sz w:val="18"/>
                <w:szCs w:val="18"/>
                <w:color w:val="auto"/>
              </w:rPr>
              <w:t>Total undiscounted liabilites</w:t>
            </w:r>
          </w:p>
        </w:tc>
        <w:tc>
          <w:tcPr>
            <w:tcW w:w="148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line="210" w:lineRule="exact"/>
              <w:rPr>
                <w:sz w:val="20"/>
                <w:szCs w:val="20"/>
                <w:color w:val="auto"/>
              </w:rPr>
            </w:pPr>
            <w:r>
              <w:rPr>
                <w:rFonts w:ascii="Calibri" w:cs="Calibri" w:eastAsia="Calibri" w:hAnsi="Calibri"/>
                <w:sz w:val="18"/>
                <w:szCs w:val="18"/>
                <w:color w:val="auto"/>
              </w:rPr>
              <w:t>514</w:t>
            </w:r>
          </w:p>
        </w:tc>
        <w:tc>
          <w:tcPr>
            <w:tcW w:w="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line="210" w:lineRule="exact"/>
              <w:rPr>
                <w:sz w:val="20"/>
                <w:szCs w:val="20"/>
                <w:color w:val="auto"/>
              </w:rPr>
            </w:pPr>
            <w:r>
              <w:rPr>
                <w:rFonts w:ascii="Calibri" w:cs="Calibri" w:eastAsia="Calibri" w:hAnsi="Calibri"/>
                <w:sz w:val="18"/>
                <w:szCs w:val="18"/>
                <w:color w:val="auto"/>
              </w:rPr>
              <w:t>49</w:t>
            </w:r>
          </w:p>
        </w:tc>
      </w:tr>
      <w:tr>
        <w:trPr>
          <w:trHeight w:val="218"/>
        </w:trPr>
        <w:tc>
          <w:tcPr>
            <w:tcW w:w="7380" w:type="dxa"/>
            <w:vAlign w:val="bottom"/>
            <w:tcBorders>
              <w:bottom w:val="single" w:sz="8" w:color="CCEEFF"/>
            </w:tcBorders>
          </w:tcPr>
          <w:p>
            <w:pPr>
              <w:ind w:left="20"/>
              <w:spacing w:after="0" w:line="210" w:lineRule="exact"/>
              <w:rPr>
                <w:sz w:val="20"/>
                <w:szCs w:val="20"/>
                <w:color w:val="auto"/>
              </w:rPr>
            </w:pPr>
            <w:r>
              <w:rPr>
                <w:rFonts w:ascii="Calibri" w:cs="Calibri" w:eastAsia="Calibri" w:hAnsi="Calibri"/>
                <w:sz w:val="18"/>
                <w:szCs w:val="18"/>
                <w:color w:val="auto"/>
              </w:rPr>
              <w:t>Less: interest</w:t>
            </w:r>
          </w:p>
        </w:tc>
        <w:tc>
          <w:tcPr>
            <w:tcW w:w="148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spacing w:after="0" w:line="210" w:lineRule="exact"/>
              <w:rPr>
                <w:sz w:val="20"/>
                <w:szCs w:val="20"/>
                <w:color w:val="auto"/>
              </w:rPr>
            </w:pPr>
            <w:r>
              <w:rPr>
                <w:rFonts w:ascii="Calibri" w:cs="Calibri" w:eastAsia="Calibri" w:hAnsi="Calibri"/>
                <w:sz w:val="18"/>
                <w:szCs w:val="18"/>
                <w:color w:val="auto"/>
              </w:rPr>
              <w:t>(95)</w:t>
            </w:r>
          </w:p>
        </w:tc>
        <w:tc>
          <w:tcPr>
            <w:tcW w:w="16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line="210" w:lineRule="exact"/>
              <w:rPr>
                <w:sz w:val="20"/>
                <w:szCs w:val="20"/>
                <w:color w:val="auto"/>
              </w:rPr>
            </w:pPr>
            <w:r>
              <w:rPr>
                <w:rFonts w:ascii="Calibri" w:cs="Calibri" w:eastAsia="Calibri" w:hAnsi="Calibri"/>
                <w:sz w:val="18"/>
                <w:szCs w:val="18"/>
                <w:color w:val="auto"/>
              </w:rPr>
              <w:t>—</w:t>
            </w:r>
          </w:p>
        </w:tc>
      </w:tr>
      <w:tr>
        <w:trPr>
          <w:trHeight w:val="249"/>
        </w:trPr>
        <w:tc>
          <w:tcPr>
            <w:tcW w:w="7380" w:type="dxa"/>
            <w:vAlign w:val="bottom"/>
            <w:tcBorders>
              <w:bottom w:val="single" w:sz="8" w:color="CCEEFF"/>
            </w:tcBorders>
            <w:shd w:val="clear" w:color="auto" w:fill="CCEEFF"/>
          </w:tcPr>
          <w:p>
            <w:pPr>
              <w:ind w:left="220"/>
              <w:spacing w:after="0"/>
              <w:rPr>
                <w:sz w:val="20"/>
                <w:szCs w:val="20"/>
                <w:color w:val="auto"/>
              </w:rPr>
            </w:pPr>
            <w:r>
              <w:rPr>
                <w:rFonts w:ascii="Calibri" w:cs="Calibri" w:eastAsia="Calibri" w:hAnsi="Calibri"/>
                <w:sz w:val="18"/>
                <w:szCs w:val="18"/>
                <w:color w:val="auto"/>
              </w:rPr>
              <w:t>Present value of lease liabilites</w:t>
            </w:r>
          </w:p>
        </w:tc>
        <w:tc>
          <w:tcPr>
            <w:tcW w:w="1480" w:type="dxa"/>
            <w:vAlign w:val="bottom"/>
            <w:tcBorders>
              <w:bottom w:val="single" w:sz="8" w:color="auto"/>
            </w:tcBorders>
            <w:shd w:val="clear" w:color="auto" w:fill="CCEEFF"/>
          </w:tcPr>
          <w:p>
            <w:pPr>
              <w:jc w:val="right"/>
              <w:ind w:right="1298"/>
              <w:spacing w:after="0" w:line="210" w:lineRule="exact"/>
              <w:rPr>
                <w:sz w:val="20"/>
                <w:szCs w:val="20"/>
                <w:color w:val="auto"/>
              </w:rPr>
            </w:pPr>
            <w:r>
              <w:rPr>
                <w:rFonts w:ascii="Calibri" w:cs="Calibri" w:eastAsia="Calibri" w:hAnsi="Calibri"/>
                <w:sz w:val="18"/>
                <w:szCs w:val="18"/>
                <w:color w:val="auto"/>
                <w:w w:val="87"/>
              </w:rPr>
              <w:t>$</w:t>
            </w:r>
          </w:p>
        </w:tc>
        <w:tc>
          <w:tcPr>
            <w:tcW w:w="380" w:type="dxa"/>
            <w:vAlign w:val="bottom"/>
            <w:tcBorders>
              <w:bottom w:val="single" w:sz="8" w:color="auto"/>
            </w:tcBorders>
            <w:shd w:val="clear" w:color="auto" w:fill="CCEEFF"/>
          </w:tcPr>
          <w:p>
            <w:pPr>
              <w:jc w:val="right"/>
              <w:spacing w:after="0" w:line="210" w:lineRule="exact"/>
              <w:rPr>
                <w:sz w:val="20"/>
                <w:szCs w:val="20"/>
                <w:color w:val="auto"/>
              </w:rPr>
            </w:pPr>
            <w:r>
              <w:rPr>
                <w:rFonts w:ascii="Calibri" w:cs="Calibri" w:eastAsia="Calibri" w:hAnsi="Calibri"/>
                <w:sz w:val="18"/>
                <w:szCs w:val="18"/>
                <w:color w:val="auto"/>
              </w:rPr>
              <w:t>419</w:t>
            </w:r>
          </w:p>
        </w:tc>
        <w:tc>
          <w:tcPr>
            <w:tcW w:w="1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2"/>
              <w:spacing w:after="0" w:line="210" w:lineRule="exact"/>
              <w:rPr>
                <w:sz w:val="20"/>
                <w:szCs w:val="20"/>
                <w:color w:val="auto"/>
              </w:rPr>
            </w:pPr>
            <w:r>
              <w:rPr>
                <w:rFonts w:ascii="Calibri" w:cs="Calibri" w:eastAsia="Calibri" w:hAnsi="Calibri"/>
                <w:sz w:val="18"/>
                <w:szCs w:val="18"/>
                <w:color w:val="auto"/>
                <w:w w:val="87"/>
              </w:rPr>
              <w:t>$</w:t>
            </w:r>
          </w:p>
        </w:tc>
        <w:tc>
          <w:tcPr>
            <w:tcW w:w="1460" w:type="dxa"/>
            <w:vAlign w:val="bottom"/>
            <w:tcBorders>
              <w:bottom w:val="single" w:sz="8" w:color="auto"/>
            </w:tcBorders>
            <w:shd w:val="clear" w:color="auto" w:fill="CCEEFF"/>
          </w:tcPr>
          <w:p>
            <w:pPr>
              <w:jc w:val="right"/>
              <w:spacing w:after="0" w:line="210" w:lineRule="exact"/>
              <w:rPr>
                <w:sz w:val="20"/>
                <w:szCs w:val="20"/>
                <w:color w:val="auto"/>
              </w:rPr>
            </w:pPr>
            <w:r>
              <w:rPr>
                <w:rFonts w:ascii="Calibri" w:cs="Calibri" w:eastAsia="Calibri" w:hAnsi="Calibri"/>
                <w:sz w:val="18"/>
                <w:szCs w:val="18"/>
                <w:color w:val="auto"/>
              </w:rPr>
              <w:t>49</w:t>
            </w:r>
          </w:p>
        </w:tc>
      </w:tr>
      <w:tr>
        <w:trPr>
          <w:trHeight w:val="20"/>
        </w:trPr>
        <w:tc>
          <w:tcPr>
            <w:tcW w:w="738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r>
    </w:tbl>
    <w:p>
      <w:pPr>
        <w:spacing w:after="0" w:line="177" w:lineRule="exact"/>
        <w:rPr>
          <w:sz w:val="20"/>
          <w:szCs w:val="20"/>
          <w:color w:val="auto"/>
        </w:rPr>
      </w:pPr>
    </w:p>
    <w:p>
      <w:pPr>
        <w:ind w:right="220" w:firstLine="396"/>
        <w:spacing w:after="0" w:line="230" w:lineRule="auto"/>
        <w:rPr>
          <w:sz w:val="20"/>
          <w:szCs w:val="20"/>
          <w:color w:val="auto"/>
        </w:rPr>
      </w:pPr>
      <w:r>
        <w:rPr>
          <w:rFonts w:ascii="Calibri" w:cs="Calibri" w:eastAsia="Calibri" w:hAnsi="Calibri"/>
          <w:sz w:val="18"/>
          <w:szCs w:val="18"/>
          <w:color w:val="auto"/>
        </w:rPr>
        <w:t>As of October 29, 2023, the Company had $642 million of future payments under additonal leases that will commence in fscal year ending November 3, 2024 with a lease term of 15 years.</w:t>
      </w: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9" w:right="339" w:bottom="1440" w:gutter="0" w:footer="0" w:header="0"/>
          <w:type w:val="continuous"/>
        </w:sectPr>
      </w:pPr>
    </w:p>
    <w:bookmarkStart w:id="67" w:name="page68"/>
    <w:bookmarkEnd w:id="67"/>
    <w:p>
      <w:pPr>
        <w:spacing w:after="0"/>
        <w:rPr>
          <w:sz w:val="20"/>
          <w:szCs w:val="20"/>
          <w:color w:val="auto"/>
        </w:rPr>
      </w:pPr>
      <w:r>
        <w:rPr>
          <w:rFonts w:ascii="Calibri" w:cs="Calibri" w:eastAsia="Calibri" w:hAnsi="Calibri"/>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6. Goodwill and Intangible Assets</w:t>
      </w:r>
    </w:p>
    <w:p>
      <w:pPr>
        <w:spacing w:after="0" w:line="97"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Goodwill</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gridSpan w:val="2"/>
          </w:tcPr>
          <w:p>
            <w:pPr>
              <w:jc w:val="center"/>
              <w:ind w:right="300"/>
              <w:spacing w:after="0"/>
              <w:rPr>
                <w:sz w:val="20"/>
                <w:szCs w:val="20"/>
                <w:color w:val="auto"/>
              </w:rPr>
            </w:pPr>
            <w:r>
              <w:rPr>
                <w:rFonts w:ascii="Calibri" w:cs="Calibri" w:eastAsia="Calibri" w:hAnsi="Calibri"/>
                <w:sz w:val="14"/>
                <w:szCs w:val="14"/>
                <w:b w:val="1"/>
                <w:bCs w:val="1"/>
                <w:color w:val="auto"/>
              </w:rPr>
              <w:t>Semiconductor</w:t>
            </w:r>
          </w:p>
        </w:tc>
        <w:tc>
          <w:tcPr>
            <w:tcW w:w="1520" w:type="dxa"/>
            <w:vAlign w:val="bottom"/>
            <w:gridSpan w:val="3"/>
            <w:vMerge w:val="restart"/>
          </w:tcPr>
          <w:p>
            <w:pPr>
              <w:ind w:left="20"/>
              <w:spacing w:after="0"/>
              <w:rPr>
                <w:sz w:val="20"/>
                <w:szCs w:val="20"/>
                <w:color w:val="auto"/>
              </w:rPr>
            </w:pPr>
            <w:r>
              <w:rPr>
                <w:rFonts w:ascii="Calibri" w:cs="Calibri" w:eastAsia="Calibri" w:hAnsi="Calibri"/>
                <w:sz w:val="14"/>
                <w:szCs w:val="14"/>
                <w:b w:val="1"/>
                <w:bCs w:val="1"/>
                <w:color w:val="auto"/>
              </w:rPr>
              <w:t>Infrastructure Sofware</w:t>
            </w:r>
          </w:p>
        </w:tc>
        <w:tc>
          <w:tcPr>
            <w:tcW w:w="340" w:type="dxa"/>
            <w:vAlign w:val="bottom"/>
          </w:tcPr>
          <w:p>
            <w:pPr>
              <w:spacing w:after="0"/>
              <w:rPr>
                <w:sz w:val="14"/>
                <w:szCs w:val="14"/>
                <w:color w:val="auto"/>
              </w:rPr>
            </w:pPr>
          </w:p>
        </w:tc>
        <w:tc>
          <w:tcPr>
            <w:tcW w:w="1080" w:type="dxa"/>
            <w:vAlign w:val="bottom"/>
            <w:vMerge w:val="restart"/>
          </w:tcPr>
          <w:p>
            <w:pPr>
              <w:jc w:val="right"/>
              <w:ind w:right="475"/>
              <w:spacing w:after="0"/>
              <w:rPr>
                <w:sz w:val="20"/>
                <w:szCs w:val="20"/>
                <w:color w:val="auto"/>
              </w:rPr>
            </w:pPr>
            <w:r>
              <w:rPr>
                <w:rFonts w:ascii="Calibri" w:cs="Calibri" w:eastAsia="Calibri" w:hAnsi="Calibri"/>
                <w:sz w:val="14"/>
                <w:szCs w:val="14"/>
                <w:b w:val="1"/>
                <w:bCs w:val="1"/>
                <w:color w:val="auto"/>
              </w:rPr>
              <w:t>Total</w:t>
            </w:r>
          </w:p>
        </w:tc>
        <w:tc>
          <w:tcPr>
            <w:tcW w:w="0" w:type="dxa"/>
            <w:vAlign w:val="bottom"/>
          </w:tcPr>
          <w:p>
            <w:pPr>
              <w:spacing w:after="0"/>
              <w:rPr>
                <w:sz w:val="1"/>
                <w:szCs w:val="1"/>
                <w:color w:val="auto"/>
              </w:rPr>
            </w:pPr>
          </w:p>
        </w:tc>
      </w:tr>
      <w:tr>
        <w:trPr>
          <w:trHeight w:val="168"/>
        </w:trPr>
        <w:tc>
          <w:tcPr>
            <w:tcW w:w="6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gridSpan w:val="2"/>
          </w:tcPr>
          <w:p>
            <w:pPr>
              <w:jc w:val="center"/>
              <w:ind w:right="320"/>
              <w:spacing w:after="0" w:line="168" w:lineRule="exact"/>
              <w:rPr>
                <w:sz w:val="20"/>
                <w:szCs w:val="20"/>
                <w:color w:val="auto"/>
              </w:rPr>
            </w:pPr>
            <w:r>
              <w:rPr>
                <w:rFonts w:ascii="Calibri" w:cs="Calibri" w:eastAsia="Calibri" w:hAnsi="Calibri"/>
                <w:sz w:val="14"/>
                <w:szCs w:val="14"/>
                <w:b w:val="1"/>
                <w:bCs w:val="1"/>
                <w:color w:val="auto"/>
              </w:rPr>
              <w:t>Solutons</w:t>
            </w:r>
          </w:p>
        </w:tc>
        <w:tc>
          <w:tcPr>
            <w:tcW w:w="1520" w:type="dxa"/>
            <w:vAlign w:val="bottom"/>
            <w:gridSpan w:val="3"/>
            <w:vMerge w:val="continue"/>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2"/>
        </w:trPr>
        <w:tc>
          <w:tcPr>
            <w:tcW w:w="66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6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gridSpan w:val="2"/>
          </w:tcPr>
          <w:p>
            <w:pPr>
              <w:ind w:left="140"/>
              <w:spacing w:after="0"/>
              <w:rPr>
                <w:sz w:val="20"/>
                <w:szCs w:val="20"/>
                <w:color w:val="auto"/>
              </w:rPr>
            </w:pPr>
            <w:r>
              <w:rPr>
                <w:rFonts w:ascii="Calibri" w:cs="Calibri" w:eastAsia="Calibri" w:hAnsi="Calibri"/>
                <w:sz w:val="14"/>
                <w:szCs w:val="14"/>
                <w:b w:val="1"/>
                <w:bCs w:val="1"/>
                <w:color w:val="auto"/>
              </w:rPr>
              <w:t>(In millions)</w:t>
            </w: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6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4"/>
        </w:trPr>
        <w:tc>
          <w:tcPr>
            <w:tcW w:w="6660" w:type="dxa"/>
            <w:vAlign w:val="bottom"/>
            <w:shd w:val="clear" w:color="auto" w:fill="CCEEFF"/>
          </w:tcPr>
          <w:p>
            <w:pPr>
              <w:ind w:left="20"/>
              <w:spacing w:after="0" w:line="210" w:lineRule="exact"/>
              <w:rPr>
                <w:sz w:val="20"/>
                <w:szCs w:val="20"/>
                <w:color w:val="auto"/>
              </w:rPr>
            </w:pPr>
            <w:r>
              <w:rPr>
                <w:rFonts w:ascii="Calibri" w:cs="Calibri" w:eastAsia="Calibri" w:hAnsi="Calibri"/>
                <w:sz w:val="18"/>
                <w:szCs w:val="18"/>
                <w:b w:val="1"/>
                <w:bCs w:val="1"/>
                <w:color w:val="auto"/>
              </w:rPr>
              <w:t>Balance as of October 31, 2021</w:t>
            </w:r>
          </w:p>
        </w:tc>
        <w:tc>
          <w:tcPr>
            <w:tcW w:w="200" w:type="dxa"/>
            <w:vAlign w:val="bottom"/>
            <w:shd w:val="clear" w:color="auto" w:fill="CCEEFF"/>
          </w:tcPr>
          <w:p>
            <w:pPr>
              <w:jc w:val="right"/>
              <w:ind w:right="12"/>
              <w:spacing w:after="0" w:line="210" w:lineRule="exact"/>
              <w:rPr>
                <w:sz w:val="20"/>
                <w:szCs w:val="20"/>
                <w:color w:val="auto"/>
              </w:rPr>
            </w:pPr>
            <w:r>
              <w:rPr>
                <w:rFonts w:ascii="Calibri" w:cs="Calibri" w:eastAsia="Calibri" w:hAnsi="Calibri"/>
                <w:sz w:val="18"/>
                <w:szCs w:val="18"/>
                <w:color w:val="auto"/>
                <w:w w:val="87"/>
              </w:rPr>
              <w:t>$</w:t>
            </w:r>
          </w:p>
        </w:tc>
        <w:tc>
          <w:tcPr>
            <w:tcW w:w="1220" w:type="dxa"/>
            <w:vAlign w:val="bottom"/>
            <w:shd w:val="clear" w:color="auto" w:fill="CCEEFF"/>
          </w:tcPr>
          <w:p>
            <w:pPr>
              <w:jc w:val="right"/>
              <w:spacing w:after="0" w:line="210" w:lineRule="exact"/>
              <w:rPr>
                <w:sz w:val="20"/>
                <w:szCs w:val="20"/>
                <w:color w:val="auto"/>
              </w:rPr>
            </w:pPr>
            <w:r>
              <w:rPr>
                <w:rFonts w:ascii="Calibri" w:cs="Calibri" w:eastAsia="Calibri" w:hAnsi="Calibri"/>
                <w:sz w:val="18"/>
                <w:szCs w:val="18"/>
                <w:color w:val="auto"/>
              </w:rPr>
              <w:t>25,959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line="210" w:lineRule="exact"/>
              <w:rPr>
                <w:sz w:val="20"/>
                <w:szCs w:val="20"/>
                <w:color w:val="auto"/>
              </w:rPr>
            </w:pPr>
            <w:r>
              <w:rPr>
                <w:rFonts w:ascii="Calibri" w:cs="Calibri" w:eastAsia="Calibri" w:hAnsi="Calibri"/>
                <w:sz w:val="18"/>
                <w:szCs w:val="18"/>
                <w:color w:val="auto"/>
              </w:rPr>
              <w:t>$</w:t>
            </w:r>
          </w:p>
        </w:tc>
        <w:tc>
          <w:tcPr>
            <w:tcW w:w="1200" w:type="dxa"/>
            <w:vAlign w:val="bottom"/>
            <w:shd w:val="clear" w:color="auto" w:fill="CCEEFF"/>
          </w:tcPr>
          <w:p>
            <w:pPr>
              <w:jc w:val="right"/>
              <w:spacing w:after="0" w:line="210" w:lineRule="exact"/>
              <w:rPr>
                <w:sz w:val="20"/>
                <w:szCs w:val="20"/>
                <w:color w:val="auto"/>
              </w:rPr>
            </w:pPr>
            <w:r>
              <w:rPr>
                <w:rFonts w:ascii="Calibri" w:cs="Calibri" w:eastAsia="Calibri" w:hAnsi="Calibri"/>
                <w:sz w:val="18"/>
                <w:szCs w:val="18"/>
                <w:color w:val="auto"/>
              </w:rPr>
              <w:t>17,491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2"/>
              <w:spacing w:after="0" w:line="210" w:lineRule="exact"/>
              <w:rPr>
                <w:sz w:val="20"/>
                <w:szCs w:val="20"/>
                <w:color w:val="auto"/>
              </w:rPr>
            </w:pPr>
            <w:r>
              <w:rPr>
                <w:rFonts w:ascii="Calibri" w:cs="Calibri" w:eastAsia="Calibri" w:hAnsi="Calibri"/>
                <w:sz w:val="18"/>
                <w:szCs w:val="18"/>
                <w:color w:val="auto"/>
              </w:rPr>
              <w:t>$</w:t>
            </w:r>
          </w:p>
        </w:tc>
        <w:tc>
          <w:tcPr>
            <w:tcW w:w="1080" w:type="dxa"/>
            <w:vAlign w:val="bottom"/>
            <w:shd w:val="clear" w:color="auto" w:fill="CCEEFF"/>
          </w:tcPr>
          <w:p>
            <w:pPr>
              <w:jc w:val="right"/>
              <w:spacing w:after="0" w:line="210" w:lineRule="exact"/>
              <w:rPr>
                <w:sz w:val="20"/>
                <w:szCs w:val="20"/>
                <w:color w:val="auto"/>
              </w:rPr>
            </w:pPr>
            <w:r>
              <w:rPr>
                <w:rFonts w:ascii="Calibri" w:cs="Calibri" w:eastAsia="Calibri" w:hAnsi="Calibri"/>
                <w:sz w:val="18"/>
                <w:szCs w:val="18"/>
                <w:color w:val="auto"/>
              </w:rPr>
              <w:t>43,450</w:t>
            </w:r>
          </w:p>
        </w:tc>
        <w:tc>
          <w:tcPr>
            <w:tcW w:w="0" w:type="dxa"/>
            <w:vAlign w:val="bottom"/>
          </w:tcPr>
          <w:p>
            <w:pPr>
              <w:spacing w:after="0"/>
              <w:rPr>
                <w:sz w:val="1"/>
                <w:szCs w:val="1"/>
                <w:color w:val="auto"/>
              </w:rPr>
            </w:pPr>
          </w:p>
        </w:tc>
      </w:tr>
      <w:tr>
        <w:trPr>
          <w:trHeight w:val="218"/>
        </w:trPr>
        <w:tc>
          <w:tcPr>
            <w:tcW w:w="6660" w:type="dxa"/>
            <w:vAlign w:val="bottom"/>
            <w:tcBorders>
              <w:bottom w:val="single" w:sz="8" w:color="CCEEFF"/>
            </w:tcBorders>
          </w:tcPr>
          <w:p>
            <w:pPr>
              <w:ind w:left="140"/>
              <w:spacing w:after="0" w:line="210" w:lineRule="exact"/>
              <w:rPr>
                <w:sz w:val="20"/>
                <w:szCs w:val="20"/>
                <w:color w:val="auto"/>
              </w:rPr>
            </w:pPr>
            <w:r>
              <w:rPr>
                <w:rFonts w:ascii="Calibri" w:cs="Calibri" w:eastAsia="Calibri" w:hAnsi="Calibri"/>
                <w:sz w:val="18"/>
                <w:szCs w:val="18"/>
                <w:color w:val="auto"/>
              </w:rPr>
              <w:t>Acquisitons</w:t>
            </w: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line="210" w:lineRule="exact"/>
              <w:rPr>
                <w:sz w:val="20"/>
                <w:szCs w:val="20"/>
                <w:color w:val="auto"/>
              </w:rPr>
            </w:pPr>
            <w:r>
              <w:rPr>
                <w:rFonts w:ascii="Calibri" w:cs="Calibri" w:eastAsia="Calibri" w:hAnsi="Calibri"/>
                <w:sz w:val="18"/>
                <w:szCs w:val="18"/>
                <w:color w:val="auto"/>
              </w:rPr>
              <w:t>8</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line="210" w:lineRule="exact"/>
              <w:rPr>
                <w:sz w:val="20"/>
                <w:szCs w:val="20"/>
                <w:color w:val="auto"/>
              </w:rPr>
            </w:pPr>
            <w:r>
              <w:rPr>
                <w:rFonts w:ascii="Calibri" w:cs="Calibri" w:eastAsia="Calibri" w:hAnsi="Calibri"/>
                <w:sz w:val="18"/>
                <w:szCs w:val="18"/>
                <w:color w:val="auto"/>
              </w:rPr>
              <w:t>156</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line="210" w:lineRule="exact"/>
              <w:rPr>
                <w:sz w:val="20"/>
                <w:szCs w:val="20"/>
                <w:color w:val="auto"/>
              </w:rPr>
            </w:pPr>
            <w:r>
              <w:rPr>
                <w:rFonts w:ascii="Calibri" w:cs="Calibri" w:eastAsia="Calibri" w:hAnsi="Calibri"/>
                <w:sz w:val="18"/>
                <w:szCs w:val="18"/>
                <w:color w:val="auto"/>
              </w:rPr>
              <w:t>164</w:t>
            </w:r>
          </w:p>
        </w:tc>
        <w:tc>
          <w:tcPr>
            <w:tcW w:w="0" w:type="dxa"/>
            <w:vAlign w:val="bottom"/>
          </w:tcPr>
          <w:p>
            <w:pPr>
              <w:spacing w:after="0"/>
              <w:rPr>
                <w:sz w:val="1"/>
                <w:szCs w:val="1"/>
                <w:color w:val="auto"/>
              </w:rPr>
            </w:pPr>
          </w:p>
        </w:tc>
      </w:tr>
      <w:tr>
        <w:trPr>
          <w:trHeight w:val="224"/>
        </w:trPr>
        <w:tc>
          <w:tcPr>
            <w:tcW w:w="6660" w:type="dxa"/>
            <w:vAlign w:val="bottom"/>
            <w:shd w:val="clear" w:color="auto" w:fill="CCEEFF"/>
          </w:tcPr>
          <w:p>
            <w:pPr>
              <w:ind w:left="20"/>
              <w:spacing w:after="0" w:line="203" w:lineRule="exact"/>
              <w:rPr>
                <w:sz w:val="20"/>
                <w:szCs w:val="20"/>
                <w:color w:val="auto"/>
              </w:rPr>
            </w:pPr>
            <w:r>
              <w:rPr>
                <w:rFonts w:ascii="Calibri" w:cs="Calibri" w:eastAsia="Calibri" w:hAnsi="Calibri"/>
                <w:sz w:val="18"/>
                <w:szCs w:val="18"/>
                <w:b w:val="1"/>
                <w:bCs w:val="1"/>
                <w:color w:val="auto"/>
              </w:rPr>
              <w:t>Balance as of October 30, 2022</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line="210" w:lineRule="exact"/>
              <w:rPr>
                <w:sz w:val="20"/>
                <w:szCs w:val="20"/>
                <w:color w:val="auto"/>
              </w:rPr>
            </w:pPr>
            <w:r>
              <w:rPr>
                <w:rFonts w:ascii="Calibri" w:cs="Calibri" w:eastAsia="Calibri" w:hAnsi="Calibri"/>
                <w:sz w:val="18"/>
                <w:szCs w:val="18"/>
                <w:color w:val="auto"/>
              </w:rPr>
              <w:t>25,967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line="210" w:lineRule="exact"/>
              <w:rPr>
                <w:sz w:val="20"/>
                <w:szCs w:val="20"/>
                <w:color w:val="auto"/>
              </w:rPr>
            </w:pPr>
            <w:r>
              <w:rPr>
                <w:rFonts w:ascii="Calibri" w:cs="Calibri" w:eastAsia="Calibri" w:hAnsi="Calibri"/>
                <w:sz w:val="18"/>
                <w:szCs w:val="18"/>
                <w:color w:val="auto"/>
              </w:rPr>
              <w:t>17,647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line="210" w:lineRule="exact"/>
              <w:rPr>
                <w:sz w:val="20"/>
                <w:szCs w:val="20"/>
                <w:color w:val="auto"/>
              </w:rPr>
            </w:pPr>
            <w:r>
              <w:rPr>
                <w:rFonts w:ascii="Calibri" w:cs="Calibri" w:eastAsia="Calibri" w:hAnsi="Calibri"/>
                <w:sz w:val="18"/>
                <w:szCs w:val="18"/>
                <w:color w:val="auto"/>
              </w:rPr>
              <w:t>43,614</w:t>
            </w:r>
          </w:p>
        </w:tc>
        <w:tc>
          <w:tcPr>
            <w:tcW w:w="0" w:type="dxa"/>
            <w:vAlign w:val="bottom"/>
          </w:tcPr>
          <w:p>
            <w:pPr>
              <w:spacing w:after="0"/>
              <w:rPr>
                <w:sz w:val="1"/>
                <w:szCs w:val="1"/>
                <w:color w:val="auto"/>
              </w:rPr>
            </w:pPr>
          </w:p>
        </w:tc>
      </w:tr>
      <w:tr>
        <w:trPr>
          <w:trHeight w:val="218"/>
        </w:trPr>
        <w:tc>
          <w:tcPr>
            <w:tcW w:w="6660" w:type="dxa"/>
            <w:vAlign w:val="bottom"/>
            <w:tcBorders>
              <w:bottom w:val="single" w:sz="8" w:color="CCEEFF"/>
            </w:tcBorders>
          </w:tcPr>
          <w:p>
            <w:pPr>
              <w:ind w:left="140"/>
              <w:spacing w:after="0" w:line="210" w:lineRule="exact"/>
              <w:rPr>
                <w:sz w:val="20"/>
                <w:szCs w:val="20"/>
                <w:color w:val="auto"/>
              </w:rPr>
            </w:pPr>
            <w:r>
              <w:rPr>
                <w:rFonts w:ascii="Calibri" w:cs="Calibri" w:eastAsia="Calibri" w:hAnsi="Calibri"/>
                <w:sz w:val="18"/>
                <w:szCs w:val="18"/>
                <w:color w:val="auto"/>
              </w:rPr>
              <w:t>Acquisitons</w:t>
            </w: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line="210" w:lineRule="exact"/>
              <w:rPr>
                <w:sz w:val="20"/>
                <w:szCs w:val="20"/>
                <w:color w:val="auto"/>
              </w:rPr>
            </w:pPr>
            <w:r>
              <w:rPr>
                <w:rFonts w:ascii="Calibri" w:cs="Calibri" w:eastAsia="Calibri" w:hAnsi="Calibri"/>
                <w:sz w:val="18"/>
                <w:szCs w:val="18"/>
                <w:color w:val="auto"/>
              </w:rPr>
              <w:t>34</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line="210" w:lineRule="exact"/>
              <w:rPr>
                <w:sz w:val="20"/>
                <w:szCs w:val="20"/>
                <w:color w:val="auto"/>
              </w:rPr>
            </w:pPr>
            <w:r>
              <w:rPr>
                <w:rFonts w:ascii="Calibri" w:cs="Calibri" w:eastAsia="Calibri" w:hAnsi="Calibri"/>
                <w:sz w:val="18"/>
                <w:szCs w:val="18"/>
                <w:color w:val="auto"/>
              </w:rPr>
              <w:t>5</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line="210" w:lineRule="exact"/>
              <w:rPr>
                <w:sz w:val="20"/>
                <w:szCs w:val="20"/>
                <w:color w:val="auto"/>
              </w:rPr>
            </w:pPr>
            <w:r>
              <w:rPr>
                <w:rFonts w:ascii="Calibri" w:cs="Calibri" w:eastAsia="Calibri" w:hAnsi="Calibri"/>
                <w:sz w:val="18"/>
                <w:szCs w:val="18"/>
                <w:color w:val="auto"/>
              </w:rPr>
              <w:t>39</w:t>
            </w:r>
          </w:p>
        </w:tc>
        <w:tc>
          <w:tcPr>
            <w:tcW w:w="0" w:type="dxa"/>
            <w:vAlign w:val="bottom"/>
          </w:tcPr>
          <w:p>
            <w:pPr>
              <w:spacing w:after="0"/>
              <w:rPr>
                <w:sz w:val="1"/>
                <w:szCs w:val="1"/>
                <w:color w:val="auto"/>
              </w:rPr>
            </w:pPr>
          </w:p>
        </w:tc>
      </w:tr>
      <w:tr>
        <w:trPr>
          <w:trHeight w:val="249"/>
        </w:trPr>
        <w:tc>
          <w:tcPr>
            <w:tcW w:w="6660" w:type="dxa"/>
            <w:vAlign w:val="bottom"/>
            <w:tcBorders>
              <w:bottom w:val="single" w:sz="8" w:color="CCEEFF"/>
            </w:tcBorders>
            <w:shd w:val="clear" w:color="auto" w:fill="CCEEFF"/>
          </w:tcPr>
          <w:p>
            <w:pPr>
              <w:ind w:left="20"/>
              <w:spacing w:after="0"/>
              <w:rPr>
                <w:sz w:val="20"/>
                <w:szCs w:val="20"/>
                <w:color w:val="auto"/>
              </w:rPr>
            </w:pPr>
            <w:r>
              <w:rPr>
                <w:rFonts w:ascii="Calibri" w:cs="Calibri" w:eastAsia="Calibri" w:hAnsi="Calibri"/>
                <w:sz w:val="18"/>
                <w:szCs w:val="18"/>
                <w:b w:val="1"/>
                <w:bCs w:val="1"/>
                <w:color w:val="auto"/>
              </w:rPr>
              <w:t>Balance as of October 29, 2023</w:t>
            </w:r>
          </w:p>
        </w:tc>
        <w:tc>
          <w:tcPr>
            <w:tcW w:w="200" w:type="dxa"/>
            <w:vAlign w:val="bottom"/>
            <w:tcBorders>
              <w:bottom w:val="single" w:sz="8" w:color="auto"/>
            </w:tcBorders>
            <w:shd w:val="clear" w:color="auto" w:fill="CCEEFF"/>
          </w:tcPr>
          <w:p>
            <w:pPr>
              <w:jc w:val="right"/>
              <w:ind w:right="12"/>
              <w:spacing w:after="0" w:line="210" w:lineRule="exact"/>
              <w:rPr>
                <w:sz w:val="20"/>
                <w:szCs w:val="20"/>
                <w:color w:val="auto"/>
              </w:rPr>
            </w:pPr>
            <w:r>
              <w:rPr>
                <w:rFonts w:ascii="Calibri" w:cs="Calibri" w:eastAsia="Calibri" w:hAnsi="Calibri"/>
                <w:sz w:val="18"/>
                <w:szCs w:val="18"/>
                <w:color w:val="auto"/>
                <w:w w:val="87"/>
              </w:rPr>
              <w:t>$</w:t>
            </w:r>
          </w:p>
        </w:tc>
        <w:tc>
          <w:tcPr>
            <w:tcW w:w="1220" w:type="dxa"/>
            <w:vAlign w:val="bottom"/>
            <w:tcBorders>
              <w:bottom w:val="single" w:sz="8" w:color="auto"/>
            </w:tcBorders>
            <w:shd w:val="clear" w:color="auto" w:fill="CCEEFF"/>
          </w:tcPr>
          <w:p>
            <w:pPr>
              <w:jc w:val="right"/>
              <w:spacing w:after="0" w:line="210" w:lineRule="exact"/>
              <w:rPr>
                <w:sz w:val="20"/>
                <w:szCs w:val="20"/>
                <w:color w:val="auto"/>
              </w:rPr>
            </w:pPr>
            <w:r>
              <w:rPr>
                <w:rFonts w:ascii="Calibri" w:cs="Calibri" w:eastAsia="Calibri" w:hAnsi="Calibri"/>
                <w:sz w:val="18"/>
                <w:szCs w:val="18"/>
                <w:color w:val="auto"/>
              </w:rPr>
              <w:t>26,001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line="210" w:lineRule="exact"/>
              <w:rPr>
                <w:sz w:val="20"/>
                <w:szCs w:val="20"/>
                <w:color w:val="auto"/>
              </w:rPr>
            </w:pPr>
            <w:r>
              <w:rPr>
                <w:rFonts w:ascii="Calibri" w:cs="Calibri" w:eastAsia="Calibri" w:hAnsi="Calibri"/>
                <w:sz w:val="18"/>
                <w:szCs w:val="18"/>
                <w:color w:val="auto"/>
              </w:rPr>
              <w:t>$</w:t>
            </w:r>
          </w:p>
        </w:tc>
        <w:tc>
          <w:tcPr>
            <w:tcW w:w="1200" w:type="dxa"/>
            <w:vAlign w:val="bottom"/>
            <w:tcBorders>
              <w:bottom w:val="single" w:sz="8" w:color="auto"/>
            </w:tcBorders>
            <w:shd w:val="clear" w:color="auto" w:fill="CCEEFF"/>
          </w:tcPr>
          <w:p>
            <w:pPr>
              <w:jc w:val="right"/>
              <w:spacing w:after="0" w:line="210" w:lineRule="exact"/>
              <w:rPr>
                <w:sz w:val="20"/>
                <w:szCs w:val="20"/>
                <w:color w:val="auto"/>
              </w:rPr>
            </w:pPr>
            <w:r>
              <w:rPr>
                <w:rFonts w:ascii="Calibri" w:cs="Calibri" w:eastAsia="Calibri" w:hAnsi="Calibri"/>
                <w:sz w:val="18"/>
                <w:szCs w:val="18"/>
                <w:color w:val="auto"/>
              </w:rPr>
              <w:t>17,652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2"/>
              <w:spacing w:after="0" w:line="210" w:lineRule="exact"/>
              <w:rPr>
                <w:sz w:val="20"/>
                <w:szCs w:val="20"/>
                <w:color w:val="auto"/>
              </w:rPr>
            </w:pPr>
            <w:r>
              <w:rPr>
                <w:rFonts w:ascii="Calibri" w:cs="Calibri" w:eastAsia="Calibri" w:hAnsi="Calibri"/>
                <w:sz w:val="18"/>
                <w:szCs w:val="18"/>
                <w:color w:val="auto"/>
              </w:rPr>
              <w:t>$</w:t>
            </w:r>
          </w:p>
        </w:tc>
        <w:tc>
          <w:tcPr>
            <w:tcW w:w="1080" w:type="dxa"/>
            <w:vAlign w:val="bottom"/>
            <w:tcBorders>
              <w:bottom w:val="single" w:sz="8" w:color="auto"/>
            </w:tcBorders>
            <w:shd w:val="clear" w:color="auto" w:fill="CCEEFF"/>
          </w:tcPr>
          <w:p>
            <w:pPr>
              <w:jc w:val="right"/>
              <w:spacing w:after="0" w:line="210" w:lineRule="exact"/>
              <w:rPr>
                <w:sz w:val="20"/>
                <w:szCs w:val="20"/>
                <w:color w:val="auto"/>
              </w:rPr>
            </w:pPr>
            <w:r>
              <w:rPr>
                <w:rFonts w:ascii="Calibri" w:cs="Calibri" w:eastAsia="Calibri" w:hAnsi="Calibri"/>
                <w:sz w:val="18"/>
                <w:szCs w:val="18"/>
                <w:color w:val="auto"/>
              </w:rPr>
              <w:t>43,653</w:t>
            </w:r>
          </w:p>
        </w:tc>
        <w:tc>
          <w:tcPr>
            <w:tcW w:w="0" w:type="dxa"/>
            <w:vAlign w:val="bottom"/>
          </w:tcPr>
          <w:p>
            <w:pPr>
              <w:spacing w:after="0"/>
              <w:rPr>
                <w:sz w:val="1"/>
                <w:szCs w:val="1"/>
                <w:color w:val="auto"/>
              </w:rPr>
            </w:pPr>
          </w:p>
        </w:tc>
      </w:tr>
      <w:tr>
        <w:trPr>
          <w:trHeight w:val="20"/>
        </w:trPr>
        <w:tc>
          <w:tcPr>
            <w:tcW w:w="66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7" w:lineRule="exact"/>
        <w:rPr>
          <w:sz w:val="20"/>
          <w:szCs w:val="20"/>
          <w:color w:val="auto"/>
        </w:rPr>
      </w:pPr>
    </w:p>
    <w:p>
      <w:pPr>
        <w:ind w:right="800" w:firstLine="396"/>
        <w:spacing w:after="0" w:line="230" w:lineRule="auto"/>
        <w:rPr>
          <w:sz w:val="20"/>
          <w:szCs w:val="20"/>
          <w:color w:val="auto"/>
        </w:rPr>
      </w:pPr>
      <w:r>
        <w:rPr>
          <w:rFonts w:ascii="Calibri" w:cs="Calibri" w:eastAsia="Calibri" w:hAnsi="Calibri"/>
          <w:sz w:val="18"/>
          <w:szCs w:val="18"/>
          <w:color w:val="auto"/>
        </w:rPr>
        <w:t>We completed three acquisitons in fscal year 2023 and four acquisitons in fscal year 2022, all of which qualifed as business combinatons. The consideraton for these acquisitons was primarily allocated to goodwill and intangible assets.</w:t>
      </w:r>
    </w:p>
    <w:p>
      <w:pPr>
        <w:spacing w:after="0" w:line="107" w:lineRule="exact"/>
        <w:rPr>
          <w:sz w:val="20"/>
          <w:szCs w:val="20"/>
          <w:color w:val="auto"/>
        </w:rPr>
      </w:pPr>
    </w:p>
    <w:p>
      <w:pPr>
        <w:ind w:right="340" w:firstLine="396"/>
        <w:spacing w:after="0" w:line="230" w:lineRule="auto"/>
        <w:rPr>
          <w:sz w:val="20"/>
          <w:szCs w:val="20"/>
          <w:color w:val="auto"/>
        </w:rPr>
      </w:pPr>
      <w:r>
        <w:rPr>
          <w:rFonts w:ascii="Calibri" w:cs="Calibri" w:eastAsia="Calibri" w:hAnsi="Calibri"/>
          <w:sz w:val="18"/>
          <w:szCs w:val="18"/>
          <w:color w:val="auto"/>
        </w:rPr>
        <w:t>During the fourth quarter of fscal years 2023, 2022 and 2021, we completed our annual impairment assessments and concluded that goodwill was not impaired in any of these years.</w:t>
      </w:r>
    </w:p>
    <w:p>
      <w:pPr>
        <w:spacing w:after="0" w:line="97"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Intangible Assets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34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gridSpan w:val="2"/>
          </w:tcPr>
          <w:p>
            <w:pPr>
              <w:jc w:val="center"/>
              <w:ind w:right="300"/>
              <w:spacing w:after="0"/>
              <w:rPr>
                <w:sz w:val="20"/>
                <w:szCs w:val="20"/>
                <w:color w:val="auto"/>
              </w:rPr>
            </w:pPr>
            <w:r>
              <w:rPr>
                <w:rFonts w:ascii="Calibri" w:cs="Calibri" w:eastAsia="Calibri" w:hAnsi="Calibri"/>
                <w:sz w:val="14"/>
                <w:szCs w:val="14"/>
                <w:b w:val="1"/>
                <w:bCs w:val="1"/>
                <w:color w:val="auto"/>
                <w:w w:val="99"/>
              </w:rPr>
              <w:t>Gross Carrying</w:t>
            </w:r>
          </w:p>
        </w:tc>
        <w:tc>
          <w:tcPr>
            <w:tcW w:w="220" w:type="dxa"/>
            <w:vAlign w:val="bottom"/>
          </w:tcPr>
          <w:p>
            <w:pPr>
              <w:spacing w:after="0"/>
              <w:rPr>
                <w:sz w:val="14"/>
                <w:szCs w:val="14"/>
                <w:color w:val="auto"/>
              </w:rPr>
            </w:pPr>
          </w:p>
        </w:tc>
        <w:tc>
          <w:tcPr>
            <w:tcW w:w="1300" w:type="dxa"/>
            <w:vAlign w:val="bottom"/>
            <w:gridSpan w:val="2"/>
          </w:tcPr>
          <w:p>
            <w:pPr>
              <w:jc w:val="center"/>
              <w:ind w:right="340"/>
              <w:spacing w:after="0"/>
              <w:rPr>
                <w:sz w:val="20"/>
                <w:szCs w:val="20"/>
                <w:color w:val="auto"/>
              </w:rPr>
            </w:pPr>
            <w:r>
              <w:rPr>
                <w:rFonts w:ascii="Calibri" w:cs="Calibri" w:eastAsia="Calibri" w:hAnsi="Calibri"/>
                <w:sz w:val="14"/>
                <w:szCs w:val="14"/>
                <w:b w:val="1"/>
                <w:bCs w:val="1"/>
                <w:color w:val="auto"/>
                <w:w w:val="99"/>
              </w:rPr>
              <w:t>Accumulated</w:t>
            </w:r>
          </w:p>
        </w:tc>
        <w:tc>
          <w:tcPr>
            <w:tcW w:w="280" w:type="dxa"/>
            <w:vAlign w:val="bottom"/>
          </w:tcPr>
          <w:p>
            <w:pPr>
              <w:spacing w:after="0"/>
              <w:rPr>
                <w:sz w:val="14"/>
                <w:szCs w:val="14"/>
                <w:color w:val="auto"/>
              </w:rPr>
            </w:pPr>
          </w:p>
        </w:tc>
        <w:tc>
          <w:tcPr>
            <w:tcW w:w="1240" w:type="dxa"/>
            <w:vAlign w:val="bottom"/>
            <w:gridSpan w:val="2"/>
          </w:tcPr>
          <w:p>
            <w:pPr>
              <w:jc w:val="center"/>
              <w:ind w:right="380"/>
              <w:spacing w:after="0"/>
              <w:rPr>
                <w:sz w:val="20"/>
                <w:szCs w:val="20"/>
                <w:color w:val="auto"/>
              </w:rPr>
            </w:pPr>
            <w:r>
              <w:rPr>
                <w:rFonts w:ascii="Calibri" w:cs="Calibri" w:eastAsia="Calibri" w:hAnsi="Calibri"/>
                <w:sz w:val="14"/>
                <w:szCs w:val="14"/>
                <w:b w:val="1"/>
                <w:bCs w:val="1"/>
                <w:color w:val="auto"/>
              </w:rPr>
              <w:t>Net Book</w:t>
            </w:r>
          </w:p>
        </w:tc>
        <w:tc>
          <w:tcPr>
            <w:tcW w:w="0" w:type="dxa"/>
            <w:vAlign w:val="bottom"/>
          </w:tcPr>
          <w:p>
            <w:pPr>
              <w:spacing w:after="0"/>
              <w:rPr>
                <w:sz w:val="1"/>
                <w:szCs w:val="1"/>
                <w:color w:val="auto"/>
              </w:rPr>
            </w:pPr>
          </w:p>
        </w:tc>
      </w:tr>
      <w:tr>
        <w:trPr>
          <w:trHeight w:val="168"/>
        </w:trPr>
        <w:tc>
          <w:tcPr>
            <w:tcW w:w="434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gridSpan w:val="2"/>
          </w:tcPr>
          <w:p>
            <w:pPr>
              <w:jc w:val="center"/>
              <w:ind w:right="300"/>
              <w:spacing w:after="0" w:line="168" w:lineRule="exact"/>
              <w:rPr>
                <w:sz w:val="20"/>
                <w:szCs w:val="20"/>
                <w:color w:val="auto"/>
              </w:rPr>
            </w:pPr>
            <w:r>
              <w:rPr>
                <w:rFonts w:ascii="Calibri" w:cs="Calibri" w:eastAsia="Calibri" w:hAnsi="Calibri"/>
                <w:sz w:val="14"/>
                <w:szCs w:val="14"/>
                <w:b w:val="1"/>
                <w:bCs w:val="1"/>
                <w:color w:val="auto"/>
              </w:rPr>
              <w:t>Amount</w:t>
            </w:r>
          </w:p>
        </w:tc>
        <w:tc>
          <w:tcPr>
            <w:tcW w:w="220" w:type="dxa"/>
            <w:vAlign w:val="bottom"/>
          </w:tcPr>
          <w:p>
            <w:pPr>
              <w:spacing w:after="0"/>
              <w:rPr>
                <w:sz w:val="14"/>
                <w:szCs w:val="14"/>
                <w:color w:val="auto"/>
              </w:rPr>
            </w:pPr>
          </w:p>
        </w:tc>
        <w:tc>
          <w:tcPr>
            <w:tcW w:w="1300" w:type="dxa"/>
            <w:vAlign w:val="bottom"/>
            <w:gridSpan w:val="2"/>
          </w:tcPr>
          <w:p>
            <w:pPr>
              <w:jc w:val="center"/>
              <w:ind w:right="340"/>
              <w:spacing w:after="0" w:line="168" w:lineRule="exact"/>
              <w:rPr>
                <w:sz w:val="20"/>
                <w:szCs w:val="20"/>
                <w:color w:val="auto"/>
              </w:rPr>
            </w:pPr>
            <w:r>
              <w:rPr>
                <w:rFonts w:ascii="Calibri" w:cs="Calibri" w:eastAsia="Calibri" w:hAnsi="Calibri"/>
                <w:sz w:val="14"/>
                <w:szCs w:val="14"/>
                <w:b w:val="1"/>
                <w:bCs w:val="1"/>
                <w:color w:val="auto"/>
              </w:rPr>
              <w:t>Amortzaton</w:t>
            </w:r>
          </w:p>
        </w:tc>
        <w:tc>
          <w:tcPr>
            <w:tcW w:w="280" w:type="dxa"/>
            <w:vAlign w:val="bottom"/>
          </w:tcPr>
          <w:p>
            <w:pPr>
              <w:spacing w:after="0"/>
              <w:rPr>
                <w:sz w:val="14"/>
                <w:szCs w:val="14"/>
                <w:color w:val="auto"/>
              </w:rPr>
            </w:pPr>
          </w:p>
        </w:tc>
        <w:tc>
          <w:tcPr>
            <w:tcW w:w="1240" w:type="dxa"/>
            <w:vAlign w:val="bottom"/>
            <w:gridSpan w:val="2"/>
          </w:tcPr>
          <w:p>
            <w:pPr>
              <w:jc w:val="center"/>
              <w:ind w:right="360"/>
              <w:spacing w:after="0" w:line="168" w:lineRule="exact"/>
              <w:rPr>
                <w:sz w:val="20"/>
                <w:szCs w:val="20"/>
                <w:color w:val="auto"/>
              </w:rPr>
            </w:pPr>
            <w:r>
              <w:rPr>
                <w:rFonts w:ascii="Calibri" w:cs="Calibri" w:eastAsia="Calibri" w:hAnsi="Calibri"/>
                <w:sz w:val="14"/>
                <w:szCs w:val="14"/>
                <w:b w:val="1"/>
                <w:bCs w:val="1"/>
                <w:color w:val="auto"/>
                <w:w w:val="96"/>
              </w:rPr>
              <w:t>Value</w:t>
            </w:r>
          </w:p>
        </w:tc>
        <w:tc>
          <w:tcPr>
            <w:tcW w:w="0" w:type="dxa"/>
            <w:vAlign w:val="bottom"/>
          </w:tcPr>
          <w:p>
            <w:pPr>
              <w:spacing w:after="0"/>
              <w:rPr>
                <w:sz w:val="1"/>
                <w:szCs w:val="1"/>
                <w:color w:val="auto"/>
              </w:rPr>
            </w:pPr>
          </w:p>
        </w:tc>
      </w:tr>
      <w:tr>
        <w:trPr>
          <w:trHeight w:val="44"/>
        </w:trPr>
        <w:tc>
          <w:tcPr>
            <w:tcW w:w="4340" w:type="dxa"/>
            <w:vAlign w:val="bottom"/>
          </w:tcPr>
          <w:p>
            <w:pPr>
              <w:spacing w:after="0"/>
              <w:rPr>
                <w:sz w:val="3"/>
                <w:szCs w:val="3"/>
                <w:color w:val="auto"/>
              </w:rPr>
            </w:pPr>
          </w:p>
        </w:tc>
        <w:tc>
          <w:tcPr>
            <w:tcW w:w="232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434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gridSpan w:val="2"/>
          </w:tcPr>
          <w:p>
            <w:pPr>
              <w:jc w:val="center"/>
              <w:ind w:right="320"/>
              <w:spacing w:after="0"/>
              <w:rPr>
                <w:sz w:val="20"/>
                <w:szCs w:val="20"/>
                <w:color w:val="auto"/>
              </w:rPr>
            </w:pPr>
            <w:r>
              <w:rPr>
                <w:rFonts w:ascii="Calibri" w:cs="Calibri" w:eastAsia="Calibri" w:hAnsi="Calibri"/>
                <w:sz w:val="14"/>
                <w:szCs w:val="14"/>
                <w:b w:val="1"/>
                <w:bCs w:val="1"/>
                <w:color w:val="auto"/>
              </w:rPr>
              <w:t>(In millions)</w:t>
            </w:r>
          </w:p>
        </w:tc>
        <w:tc>
          <w:tcPr>
            <w:tcW w:w="2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8"/>
        </w:trPr>
        <w:tc>
          <w:tcPr>
            <w:tcW w:w="4340" w:type="dxa"/>
            <w:vAlign w:val="bottom"/>
          </w:tcPr>
          <w:p>
            <w:pPr>
              <w:ind w:left="20"/>
              <w:spacing w:after="0"/>
              <w:rPr>
                <w:sz w:val="20"/>
                <w:szCs w:val="20"/>
                <w:color w:val="auto"/>
              </w:rPr>
            </w:pPr>
            <w:r>
              <w:rPr>
                <w:rFonts w:ascii="Calibri" w:cs="Calibri" w:eastAsia="Calibri" w:hAnsi="Calibri"/>
                <w:sz w:val="18"/>
                <w:szCs w:val="18"/>
                <w:b w:val="1"/>
                <w:bCs w:val="1"/>
                <w:color w:val="auto"/>
              </w:rPr>
              <w:t>As of October 29, 2023:</w:t>
            </w:r>
          </w:p>
        </w:tc>
        <w:tc>
          <w:tcPr>
            <w:tcW w:w="23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
        </w:trPr>
        <w:tc>
          <w:tcPr>
            <w:tcW w:w="434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340" w:type="dxa"/>
            <w:vAlign w:val="bottom"/>
            <w:shd w:val="clear" w:color="auto" w:fill="CCEEFF"/>
          </w:tcPr>
          <w:p>
            <w:pPr>
              <w:ind w:left="20"/>
              <w:spacing w:after="0" w:line="210" w:lineRule="exact"/>
              <w:rPr>
                <w:sz w:val="20"/>
                <w:szCs w:val="20"/>
                <w:color w:val="auto"/>
              </w:rPr>
            </w:pPr>
            <w:r>
              <w:rPr>
                <w:rFonts w:ascii="Calibri" w:cs="Calibri" w:eastAsia="Calibri" w:hAnsi="Calibri"/>
                <w:sz w:val="18"/>
                <w:szCs w:val="18"/>
                <w:color w:val="auto"/>
              </w:rPr>
              <w:t>Purchased technology</w:t>
            </w:r>
          </w:p>
        </w:tc>
        <w:tc>
          <w:tcPr>
            <w:tcW w:w="2520" w:type="dxa"/>
            <w:vAlign w:val="bottom"/>
            <w:gridSpan w:val="2"/>
            <w:shd w:val="clear" w:color="auto" w:fill="CCEEFF"/>
          </w:tcPr>
          <w:p>
            <w:pPr>
              <w:jc w:val="right"/>
              <w:ind w:right="12"/>
              <w:spacing w:after="0" w:line="210" w:lineRule="exact"/>
              <w:rPr>
                <w:sz w:val="20"/>
                <w:szCs w:val="20"/>
                <w:color w:val="auto"/>
              </w:rPr>
            </w:pPr>
            <w:r>
              <w:rPr>
                <w:rFonts w:ascii="Calibri" w:cs="Calibri" w:eastAsia="Calibri" w:hAnsi="Calibri"/>
                <w:sz w:val="18"/>
                <w:szCs w:val="18"/>
                <w:color w:val="auto"/>
              </w:rPr>
              <w:t>$</w:t>
            </w:r>
          </w:p>
        </w:tc>
        <w:tc>
          <w:tcPr>
            <w:tcW w:w="1220" w:type="dxa"/>
            <w:vAlign w:val="bottom"/>
            <w:shd w:val="clear" w:color="auto" w:fill="CCEEFF"/>
          </w:tcPr>
          <w:p>
            <w:pPr>
              <w:jc w:val="right"/>
              <w:spacing w:after="0" w:line="210" w:lineRule="exact"/>
              <w:rPr>
                <w:sz w:val="20"/>
                <w:szCs w:val="20"/>
                <w:color w:val="auto"/>
              </w:rPr>
            </w:pPr>
            <w:r>
              <w:rPr>
                <w:rFonts w:ascii="Calibri" w:cs="Calibri" w:eastAsia="Calibri" w:hAnsi="Calibri"/>
                <w:sz w:val="18"/>
                <w:szCs w:val="18"/>
                <w:color w:val="auto"/>
              </w:rPr>
              <w:t>12,938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2"/>
              <w:spacing w:after="0" w:line="210" w:lineRule="exact"/>
              <w:rPr>
                <w:sz w:val="20"/>
                <w:szCs w:val="20"/>
                <w:color w:val="auto"/>
              </w:rPr>
            </w:pPr>
            <w:r>
              <w:rPr>
                <w:rFonts w:ascii="Calibri" w:cs="Calibri" w:eastAsia="Calibri" w:hAnsi="Calibri"/>
                <w:sz w:val="18"/>
                <w:szCs w:val="18"/>
                <w:color w:val="auto"/>
                <w:w w:val="87"/>
              </w:rPr>
              <w:t>$</w:t>
            </w:r>
          </w:p>
        </w:tc>
        <w:tc>
          <w:tcPr>
            <w:tcW w:w="1200" w:type="dxa"/>
            <w:vAlign w:val="bottom"/>
            <w:shd w:val="clear" w:color="auto" w:fill="CCEEFF"/>
          </w:tcPr>
          <w:p>
            <w:pPr>
              <w:jc w:val="right"/>
              <w:spacing w:after="0" w:line="210" w:lineRule="exact"/>
              <w:rPr>
                <w:sz w:val="20"/>
                <w:szCs w:val="20"/>
                <w:color w:val="auto"/>
              </w:rPr>
            </w:pPr>
            <w:r>
              <w:rPr>
                <w:rFonts w:ascii="Calibri" w:cs="Calibri" w:eastAsia="Calibri" w:hAnsi="Calibri"/>
                <w:sz w:val="18"/>
                <w:szCs w:val="18"/>
                <w:color w:val="auto"/>
              </w:rPr>
              <w:t>(10,723)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2"/>
              <w:spacing w:after="0" w:line="210" w:lineRule="exact"/>
              <w:rPr>
                <w:sz w:val="20"/>
                <w:szCs w:val="20"/>
                <w:color w:val="auto"/>
              </w:rPr>
            </w:pPr>
            <w:r>
              <w:rPr>
                <w:rFonts w:ascii="Calibri" w:cs="Calibri" w:eastAsia="Calibri" w:hAnsi="Calibri"/>
                <w:sz w:val="18"/>
                <w:szCs w:val="18"/>
                <w:color w:val="auto"/>
              </w:rPr>
              <w:t>$</w:t>
            </w:r>
          </w:p>
        </w:tc>
        <w:tc>
          <w:tcPr>
            <w:tcW w:w="1140" w:type="dxa"/>
            <w:vAlign w:val="bottom"/>
            <w:shd w:val="clear" w:color="auto" w:fill="CCEEFF"/>
          </w:tcPr>
          <w:p>
            <w:pPr>
              <w:jc w:val="right"/>
              <w:spacing w:after="0" w:line="210" w:lineRule="exact"/>
              <w:rPr>
                <w:sz w:val="20"/>
                <w:szCs w:val="20"/>
                <w:color w:val="auto"/>
              </w:rPr>
            </w:pPr>
            <w:r>
              <w:rPr>
                <w:rFonts w:ascii="Calibri" w:cs="Calibri" w:eastAsia="Calibri" w:hAnsi="Calibri"/>
                <w:sz w:val="18"/>
                <w:szCs w:val="18"/>
                <w:color w:val="auto"/>
              </w:rPr>
              <w:t>2,215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4340" w:type="dxa"/>
            <w:vAlign w:val="bottom"/>
          </w:tcPr>
          <w:p>
            <w:pPr>
              <w:ind w:left="20"/>
              <w:spacing w:after="0" w:line="210" w:lineRule="exact"/>
              <w:rPr>
                <w:sz w:val="20"/>
                <w:szCs w:val="20"/>
                <w:color w:val="auto"/>
              </w:rPr>
            </w:pPr>
            <w:r>
              <w:rPr>
                <w:rFonts w:ascii="Calibri" w:cs="Calibri" w:eastAsia="Calibri" w:hAnsi="Calibri"/>
                <w:sz w:val="18"/>
                <w:szCs w:val="18"/>
                <w:color w:val="auto"/>
              </w:rPr>
              <w:t>Customer contracts and related relatonships</w:t>
            </w:r>
          </w:p>
        </w:tc>
        <w:tc>
          <w:tcPr>
            <w:tcW w:w="2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spacing w:after="0" w:line="210" w:lineRule="exact"/>
              <w:rPr>
                <w:sz w:val="20"/>
                <w:szCs w:val="20"/>
                <w:color w:val="auto"/>
              </w:rPr>
            </w:pPr>
            <w:r>
              <w:rPr>
                <w:rFonts w:ascii="Calibri" w:cs="Calibri" w:eastAsia="Calibri" w:hAnsi="Calibri"/>
                <w:sz w:val="18"/>
                <w:szCs w:val="18"/>
                <w:color w:val="auto"/>
              </w:rPr>
              <w:t>7,059</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right"/>
              <w:spacing w:after="0" w:line="210" w:lineRule="exact"/>
              <w:rPr>
                <w:sz w:val="20"/>
                <w:szCs w:val="20"/>
                <w:color w:val="auto"/>
              </w:rPr>
            </w:pPr>
            <w:r>
              <w:rPr>
                <w:rFonts w:ascii="Calibri" w:cs="Calibri" w:eastAsia="Calibri" w:hAnsi="Calibri"/>
                <w:sz w:val="18"/>
                <w:szCs w:val="18"/>
                <w:color w:val="auto"/>
              </w:rPr>
              <w:t>(5,753)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jc w:val="right"/>
              <w:spacing w:after="0" w:line="210" w:lineRule="exact"/>
              <w:rPr>
                <w:sz w:val="20"/>
                <w:szCs w:val="20"/>
                <w:color w:val="auto"/>
              </w:rPr>
            </w:pPr>
            <w:r>
              <w:rPr>
                <w:rFonts w:ascii="Calibri" w:cs="Calibri" w:eastAsia="Calibri" w:hAnsi="Calibri"/>
                <w:sz w:val="18"/>
                <w:szCs w:val="18"/>
                <w:color w:val="auto"/>
              </w:rPr>
              <w:t>1,306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4340" w:type="dxa"/>
            <w:vAlign w:val="bottom"/>
            <w:shd w:val="clear" w:color="auto" w:fill="CCEEFF"/>
          </w:tcPr>
          <w:p>
            <w:pPr>
              <w:ind w:left="20"/>
              <w:spacing w:after="0" w:line="217" w:lineRule="exact"/>
              <w:rPr>
                <w:sz w:val="20"/>
                <w:szCs w:val="20"/>
                <w:color w:val="auto"/>
              </w:rPr>
            </w:pPr>
            <w:r>
              <w:rPr>
                <w:rFonts w:ascii="Calibri" w:cs="Calibri" w:eastAsia="Calibri" w:hAnsi="Calibri"/>
                <w:sz w:val="18"/>
                <w:szCs w:val="18"/>
                <w:color w:val="auto"/>
              </w:rPr>
              <w:t>Order backlog</w:t>
            </w:r>
          </w:p>
        </w:tc>
        <w:tc>
          <w:tcPr>
            <w:tcW w:w="23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line="217" w:lineRule="exact"/>
              <w:rPr>
                <w:sz w:val="20"/>
                <w:szCs w:val="20"/>
                <w:color w:val="auto"/>
              </w:rPr>
            </w:pPr>
            <w:r>
              <w:rPr>
                <w:rFonts w:ascii="Calibri" w:cs="Calibri" w:eastAsia="Calibri" w:hAnsi="Calibri"/>
                <w:sz w:val="18"/>
                <w:szCs w:val="18"/>
                <w:color w:val="auto"/>
              </w:rPr>
              <w:t>9</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line="217" w:lineRule="exact"/>
              <w:rPr>
                <w:sz w:val="20"/>
                <w:szCs w:val="20"/>
                <w:color w:val="auto"/>
              </w:rPr>
            </w:pPr>
            <w:r>
              <w:rPr>
                <w:rFonts w:ascii="Calibri" w:cs="Calibri" w:eastAsia="Calibri" w:hAnsi="Calibri"/>
                <w:sz w:val="18"/>
                <w:szCs w:val="18"/>
                <w:color w:val="auto"/>
              </w:rPr>
              <w:t>(8)</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line="217" w:lineRule="exact"/>
              <w:rPr>
                <w:sz w:val="20"/>
                <w:szCs w:val="20"/>
                <w:color w:val="auto"/>
              </w:rPr>
            </w:pPr>
            <w:r>
              <w:rPr>
                <w:rFonts w:ascii="Calibri" w:cs="Calibri" w:eastAsia="Calibri" w:hAnsi="Calibri"/>
                <w:sz w:val="18"/>
                <w:szCs w:val="18"/>
                <w:color w:val="auto"/>
              </w:rPr>
              <w:t>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7"/>
        </w:trPr>
        <w:tc>
          <w:tcPr>
            <w:tcW w:w="4340" w:type="dxa"/>
            <w:vAlign w:val="bottom"/>
          </w:tcPr>
          <w:p>
            <w:pPr>
              <w:ind w:left="20"/>
              <w:spacing w:after="0" w:line="210" w:lineRule="exact"/>
              <w:rPr>
                <w:sz w:val="20"/>
                <w:szCs w:val="20"/>
                <w:color w:val="auto"/>
              </w:rPr>
            </w:pPr>
            <w:r>
              <w:rPr>
                <w:rFonts w:ascii="Calibri" w:cs="Calibri" w:eastAsia="Calibri" w:hAnsi="Calibri"/>
                <w:sz w:val="18"/>
                <w:szCs w:val="18"/>
                <w:color w:val="auto"/>
              </w:rPr>
              <w:t>Trade names</w:t>
            </w:r>
          </w:p>
        </w:tc>
        <w:tc>
          <w:tcPr>
            <w:tcW w:w="2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spacing w:after="0" w:line="210" w:lineRule="exact"/>
              <w:rPr>
                <w:sz w:val="20"/>
                <w:szCs w:val="20"/>
                <w:color w:val="auto"/>
              </w:rPr>
            </w:pPr>
            <w:r>
              <w:rPr>
                <w:rFonts w:ascii="Calibri" w:cs="Calibri" w:eastAsia="Calibri" w:hAnsi="Calibri"/>
                <w:sz w:val="18"/>
                <w:szCs w:val="18"/>
                <w:color w:val="auto"/>
              </w:rPr>
              <w:t>649</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right"/>
              <w:spacing w:after="0" w:line="210" w:lineRule="exact"/>
              <w:rPr>
                <w:sz w:val="20"/>
                <w:szCs w:val="20"/>
                <w:color w:val="auto"/>
              </w:rPr>
            </w:pPr>
            <w:r>
              <w:rPr>
                <w:rFonts w:ascii="Calibri" w:cs="Calibri" w:eastAsia="Calibri" w:hAnsi="Calibri"/>
                <w:sz w:val="18"/>
                <w:szCs w:val="18"/>
                <w:color w:val="auto"/>
              </w:rPr>
              <w:t>(388)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jc w:val="right"/>
              <w:spacing w:after="0" w:line="210" w:lineRule="exact"/>
              <w:rPr>
                <w:sz w:val="20"/>
                <w:szCs w:val="20"/>
                <w:color w:val="auto"/>
              </w:rPr>
            </w:pPr>
            <w:r>
              <w:rPr>
                <w:rFonts w:ascii="Calibri" w:cs="Calibri" w:eastAsia="Calibri" w:hAnsi="Calibri"/>
                <w:sz w:val="18"/>
                <w:szCs w:val="18"/>
                <w:color w:val="auto"/>
              </w:rPr>
              <w:t>261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4340" w:type="dxa"/>
            <w:vAlign w:val="bottom"/>
            <w:shd w:val="clear" w:color="auto" w:fill="CCEEFF"/>
          </w:tcPr>
          <w:p>
            <w:pPr>
              <w:ind w:left="20"/>
              <w:spacing w:after="0" w:line="217" w:lineRule="exact"/>
              <w:rPr>
                <w:sz w:val="20"/>
                <w:szCs w:val="20"/>
                <w:color w:val="auto"/>
              </w:rPr>
            </w:pPr>
            <w:r>
              <w:rPr>
                <w:rFonts w:ascii="Calibri" w:cs="Calibri" w:eastAsia="Calibri" w:hAnsi="Calibri"/>
                <w:sz w:val="18"/>
                <w:szCs w:val="18"/>
                <w:color w:val="auto"/>
              </w:rPr>
              <w:t>Other</w:t>
            </w:r>
          </w:p>
        </w:tc>
        <w:tc>
          <w:tcPr>
            <w:tcW w:w="232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line="217" w:lineRule="exact"/>
              <w:rPr>
                <w:sz w:val="20"/>
                <w:szCs w:val="20"/>
                <w:color w:val="auto"/>
              </w:rPr>
            </w:pPr>
            <w:r>
              <w:rPr>
                <w:rFonts w:ascii="Calibri" w:cs="Calibri" w:eastAsia="Calibri" w:hAnsi="Calibri"/>
                <w:sz w:val="18"/>
                <w:szCs w:val="18"/>
                <w:color w:val="auto"/>
              </w:rPr>
              <w:t>168</w:t>
            </w:r>
          </w:p>
        </w:tc>
        <w:tc>
          <w:tcPr>
            <w:tcW w:w="12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line="217" w:lineRule="exact"/>
              <w:rPr>
                <w:sz w:val="20"/>
                <w:szCs w:val="20"/>
                <w:color w:val="auto"/>
              </w:rPr>
            </w:pPr>
            <w:r>
              <w:rPr>
                <w:rFonts w:ascii="Calibri" w:cs="Calibri" w:eastAsia="Calibri" w:hAnsi="Calibri"/>
                <w:sz w:val="18"/>
                <w:szCs w:val="18"/>
                <w:color w:val="auto"/>
              </w:rPr>
              <w:t>(94)</w:t>
            </w:r>
          </w:p>
        </w:tc>
        <w:tc>
          <w:tcPr>
            <w:tcW w:w="100" w:type="dxa"/>
            <w:vAlign w:val="bottom"/>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line="217" w:lineRule="exact"/>
              <w:rPr>
                <w:sz w:val="20"/>
                <w:szCs w:val="20"/>
                <w:color w:val="auto"/>
              </w:rPr>
            </w:pPr>
            <w:r>
              <w:rPr>
                <w:rFonts w:ascii="Calibri" w:cs="Calibri" w:eastAsia="Calibri" w:hAnsi="Calibri"/>
                <w:sz w:val="18"/>
                <w:szCs w:val="18"/>
                <w:color w:val="auto"/>
              </w:rPr>
              <w:t>74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340" w:type="dxa"/>
            <w:vAlign w:val="bottom"/>
          </w:tcPr>
          <w:p>
            <w:pPr>
              <w:ind w:left="140"/>
              <w:spacing w:after="0" w:line="196" w:lineRule="exact"/>
              <w:rPr>
                <w:sz w:val="20"/>
                <w:szCs w:val="20"/>
                <w:color w:val="auto"/>
              </w:rPr>
            </w:pPr>
            <w:r>
              <w:rPr>
                <w:rFonts w:ascii="Calibri" w:cs="Calibri" w:eastAsia="Calibri" w:hAnsi="Calibri"/>
                <w:sz w:val="18"/>
                <w:szCs w:val="18"/>
                <w:color w:val="auto"/>
              </w:rPr>
              <w:t>Intangible assets subject to amortzaton</w:t>
            </w:r>
          </w:p>
        </w:tc>
        <w:tc>
          <w:tcPr>
            <w:tcW w:w="2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spacing w:after="0" w:line="210" w:lineRule="exact"/>
              <w:rPr>
                <w:sz w:val="20"/>
                <w:szCs w:val="20"/>
                <w:color w:val="auto"/>
              </w:rPr>
            </w:pPr>
            <w:r>
              <w:rPr>
                <w:rFonts w:ascii="Calibri" w:cs="Calibri" w:eastAsia="Calibri" w:hAnsi="Calibri"/>
                <w:sz w:val="18"/>
                <w:szCs w:val="18"/>
                <w:color w:val="auto"/>
              </w:rPr>
              <w:t>20,823</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right"/>
              <w:spacing w:after="0" w:line="210" w:lineRule="exact"/>
              <w:rPr>
                <w:sz w:val="20"/>
                <w:szCs w:val="20"/>
                <w:color w:val="auto"/>
              </w:rPr>
            </w:pPr>
            <w:r>
              <w:rPr>
                <w:rFonts w:ascii="Calibri" w:cs="Calibri" w:eastAsia="Calibri" w:hAnsi="Calibri"/>
                <w:sz w:val="18"/>
                <w:szCs w:val="18"/>
                <w:color w:val="auto"/>
              </w:rPr>
              <w:t>(16,966)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jc w:val="right"/>
              <w:spacing w:after="0" w:line="210" w:lineRule="exact"/>
              <w:rPr>
                <w:sz w:val="20"/>
                <w:szCs w:val="20"/>
                <w:color w:val="auto"/>
              </w:rPr>
            </w:pPr>
            <w:r>
              <w:rPr>
                <w:rFonts w:ascii="Calibri" w:cs="Calibri" w:eastAsia="Calibri" w:hAnsi="Calibri"/>
                <w:sz w:val="18"/>
                <w:szCs w:val="18"/>
                <w:color w:val="auto"/>
              </w:rPr>
              <w:t>3,857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4340" w:type="dxa"/>
            <w:vAlign w:val="bottom"/>
            <w:shd w:val="clear" w:color="auto" w:fill="CCEEFF"/>
          </w:tcPr>
          <w:p>
            <w:pPr>
              <w:ind w:left="20"/>
              <w:spacing w:after="0" w:line="217" w:lineRule="exact"/>
              <w:rPr>
                <w:sz w:val="20"/>
                <w:szCs w:val="20"/>
                <w:color w:val="auto"/>
              </w:rPr>
            </w:pPr>
            <w:r>
              <w:rPr>
                <w:rFonts w:ascii="Calibri" w:cs="Calibri" w:eastAsia="Calibri" w:hAnsi="Calibri"/>
                <w:sz w:val="18"/>
                <w:szCs w:val="18"/>
                <w:color w:val="auto"/>
              </w:rPr>
              <w:t>IPR&amp;D</w:t>
            </w:r>
          </w:p>
        </w:tc>
        <w:tc>
          <w:tcPr>
            <w:tcW w:w="23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line="217" w:lineRule="exact"/>
              <w:rPr>
                <w:sz w:val="20"/>
                <w:szCs w:val="20"/>
                <w:color w:val="auto"/>
              </w:rPr>
            </w:pPr>
            <w:r>
              <w:rPr>
                <w:rFonts w:ascii="Calibri" w:cs="Calibri" w:eastAsia="Calibri" w:hAnsi="Calibri"/>
                <w:sz w:val="18"/>
                <w:szCs w:val="18"/>
                <w:color w:val="auto"/>
              </w:rPr>
              <w:t>10</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ind w:left="980"/>
              <w:spacing w:after="0" w:line="217" w:lineRule="exact"/>
              <w:rPr>
                <w:sz w:val="20"/>
                <w:szCs w:val="20"/>
                <w:color w:val="auto"/>
              </w:rPr>
            </w:pPr>
            <w:r>
              <w:rPr>
                <w:rFonts w:ascii="Calibri" w:cs="Calibri" w:eastAsia="Calibri" w:hAnsi="Calibri"/>
                <w:sz w:val="18"/>
                <w:szCs w:val="18"/>
                <w:color w:val="auto"/>
              </w:rPr>
              <w:t>—</w:t>
            </w:r>
          </w:p>
        </w:tc>
        <w:tc>
          <w:tcPr>
            <w:tcW w:w="28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line="217" w:lineRule="exact"/>
              <w:rPr>
                <w:sz w:val="20"/>
                <w:szCs w:val="20"/>
                <w:color w:val="auto"/>
              </w:rPr>
            </w:pPr>
            <w:r>
              <w:rPr>
                <w:rFonts w:ascii="Calibri" w:cs="Calibri" w:eastAsia="Calibri" w:hAnsi="Calibri"/>
                <w:sz w:val="18"/>
                <w:szCs w:val="18"/>
                <w:color w:val="auto"/>
              </w:rPr>
              <w:t>10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4340" w:type="dxa"/>
            <w:vAlign w:val="bottom"/>
          </w:tcPr>
          <w:p>
            <w:pPr>
              <w:ind w:left="140"/>
              <w:spacing w:after="0" w:line="217" w:lineRule="exact"/>
              <w:rPr>
                <w:sz w:val="20"/>
                <w:szCs w:val="20"/>
                <w:color w:val="auto"/>
              </w:rPr>
            </w:pPr>
            <w:r>
              <w:rPr>
                <w:rFonts w:ascii="Calibri" w:cs="Calibri" w:eastAsia="Calibri" w:hAnsi="Calibri"/>
                <w:sz w:val="18"/>
                <w:szCs w:val="18"/>
                <w:color w:val="auto"/>
              </w:rPr>
              <w:t>Total</w:t>
            </w:r>
          </w:p>
        </w:tc>
        <w:tc>
          <w:tcPr>
            <w:tcW w:w="232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2"/>
              <w:spacing w:after="0" w:line="210" w:lineRule="exact"/>
              <w:rPr>
                <w:sz w:val="20"/>
                <w:szCs w:val="20"/>
                <w:color w:val="auto"/>
              </w:rPr>
            </w:pPr>
            <w:r>
              <w:rPr>
                <w:rFonts w:ascii="Calibri" w:cs="Calibri" w:eastAsia="Calibri" w:hAnsi="Calibri"/>
                <w:sz w:val="18"/>
                <w:szCs w:val="18"/>
                <w:color w:val="auto"/>
                <w:w w:val="87"/>
              </w:rPr>
              <w:t>$</w:t>
            </w:r>
          </w:p>
        </w:tc>
        <w:tc>
          <w:tcPr>
            <w:tcW w:w="1220" w:type="dxa"/>
            <w:vAlign w:val="bottom"/>
            <w:tcBorders>
              <w:top w:val="single" w:sz="8" w:color="auto"/>
              <w:bottom w:val="single" w:sz="8" w:color="auto"/>
            </w:tcBorders>
          </w:tcPr>
          <w:p>
            <w:pPr>
              <w:jc w:val="right"/>
              <w:spacing w:after="0" w:line="210" w:lineRule="exact"/>
              <w:rPr>
                <w:sz w:val="20"/>
                <w:szCs w:val="20"/>
                <w:color w:val="auto"/>
              </w:rPr>
            </w:pPr>
            <w:r>
              <w:rPr>
                <w:rFonts w:ascii="Calibri" w:cs="Calibri" w:eastAsia="Calibri" w:hAnsi="Calibri"/>
                <w:sz w:val="18"/>
                <w:szCs w:val="18"/>
                <w:color w:val="auto"/>
              </w:rPr>
              <w:t>20,833</w:t>
            </w:r>
          </w:p>
        </w:tc>
        <w:tc>
          <w:tcPr>
            <w:tcW w:w="12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2"/>
              <w:spacing w:after="0" w:line="210" w:lineRule="exact"/>
              <w:rPr>
                <w:sz w:val="20"/>
                <w:szCs w:val="20"/>
                <w:color w:val="auto"/>
              </w:rPr>
            </w:pPr>
            <w:r>
              <w:rPr>
                <w:rFonts w:ascii="Calibri" w:cs="Calibri" w:eastAsia="Calibri" w:hAnsi="Calibri"/>
                <w:sz w:val="18"/>
                <w:szCs w:val="18"/>
                <w:color w:val="auto"/>
                <w:w w:val="87"/>
              </w:rPr>
              <w:t>$</w:t>
            </w:r>
          </w:p>
        </w:tc>
        <w:tc>
          <w:tcPr>
            <w:tcW w:w="1200" w:type="dxa"/>
            <w:vAlign w:val="bottom"/>
            <w:tcBorders>
              <w:top w:val="single" w:sz="8" w:color="auto"/>
              <w:bottom w:val="single" w:sz="8" w:color="auto"/>
            </w:tcBorders>
          </w:tcPr>
          <w:p>
            <w:pPr>
              <w:jc w:val="right"/>
              <w:spacing w:after="0" w:line="210" w:lineRule="exact"/>
              <w:rPr>
                <w:sz w:val="20"/>
                <w:szCs w:val="20"/>
                <w:color w:val="auto"/>
              </w:rPr>
            </w:pPr>
            <w:r>
              <w:rPr>
                <w:rFonts w:ascii="Calibri" w:cs="Calibri" w:eastAsia="Calibri" w:hAnsi="Calibri"/>
                <w:sz w:val="18"/>
                <w:szCs w:val="18"/>
                <w:color w:val="auto"/>
              </w:rPr>
              <w:t>(16,966)</w:t>
            </w:r>
          </w:p>
        </w:tc>
        <w:tc>
          <w:tcPr>
            <w:tcW w:w="10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72"/>
              <w:spacing w:after="0" w:line="210" w:lineRule="exact"/>
              <w:rPr>
                <w:sz w:val="20"/>
                <w:szCs w:val="20"/>
                <w:color w:val="auto"/>
              </w:rPr>
            </w:pPr>
            <w:r>
              <w:rPr>
                <w:rFonts w:ascii="Calibri" w:cs="Calibri" w:eastAsia="Calibri" w:hAnsi="Calibri"/>
                <w:sz w:val="18"/>
                <w:szCs w:val="18"/>
                <w:color w:val="auto"/>
              </w:rPr>
              <w:t>$</w:t>
            </w:r>
          </w:p>
        </w:tc>
        <w:tc>
          <w:tcPr>
            <w:tcW w:w="1140" w:type="dxa"/>
            <w:vAlign w:val="bottom"/>
            <w:tcBorders>
              <w:top w:val="single" w:sz="8" w:color="auto"/>
              <w:bottom w:val="single" w:sz="8" w:color="auto"/>
            </w:tcBorders>
          </w:tcPr>
          <w:p>
            <w:pPr>
              <w:jc w:val="right"/>
              <w:spacing w:after="0" w:line="210" w:lineRule="exact"/>
              <w:rPr>
                <w:sz w:val="20"/>
                <w:szCs w:val="20"/>
                <w:color w:val="auto"/>
              </w:rPr>
            </w:pPr>
            <w:r>
              <w:rPr>
                <w:rFonts w:ascii="Calibri" w:cs="Calibri" w:eastAsia="Calibri" w:hAnsi="Calibri"/>
                <w:sz w:val="18"/>
                <w:szCs w:val="18"/>
                <w:color w:val="auto"/>
              </w:rPr>
              <w:t>3,867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40" w:type="dxa"/>
            <w:vAlign w:val="bottom"/>
            <w:vMerge w:val="restart"/>
          </w:tcPr>
          <w:p>
            <w:pPr>
              <w:ind w:left="20"/>
              <w:spacing w:after="0"/>
              <w:rPr>
                <w:sz w:val="20"/>
                <w:szCs w:val="20"/>
                <w:color w:val="auto"/>
              </w:rPr>
            </w:pPr>
            <w:r>
              <w:rPr>
                <w:rFonts w:ascii="Calibri" w:cs="Calibri" w:eastAsia="Calibri" w:hAnsi="Calibri"/>
                <w:sz w:val="18"/>
                <w:szCs w:val="18"/>
                <w:b w:val="1"/>
                <w:bCs w:val="1"/>
                <w:color w:val="auto"/>
              </w:rPr>
              <w:t>As of October 30, 2022:</w:t>
            </w:r>
          </w:p>
        </w:tc>
        <w:tc>
          <w:tcPr>
            <w:tcW w:w="2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3"/>
        </w:trPr>
        <w:tc>
          <w:tcPr>
            <w:tcW w:w="4340" w:type="dxa"/>
            <w:vAlign w:val="bottom"/>
            <w:vMerge w:val="continue"/>
          </w:tcPr>
          <w:p>
            <w:pPr>
              <w:spacing w:after="0"/>
              <w:rPr>
                <w:sz w:val="24"/>
                <w:szCs w:val="24"/>
                <w:color w:val="auto"/>
              </w:rPr>
            </w:pPr>
          </w:p>
        </w:tc>
        <w:tc>
          <w:tcPr>
            <w:tcW w:w="2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
        </w:trPr>
        <w:tc>
          <w:tcPr>
            <w:tcW w:w="434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340" w:type="dxa"/>
            <w:vAlign w:val="bottom"/>
            <w:shd w:val="clear" w:color="auto" w:fill="CCEEFF"/>
          </w:tcPr>
          <w:p>
            <w:pPr>
              <w:ind w:left="20"/>
              <w:spacing w:after="0" w:line="210" w:lineRule="exact"/>
              <w:rPr>
                <w:sz w:val="20"/>
                <w:szCs w:val="20"/>
                <w:color w:val="auto"/>
              </w:rPr>
            </w:pPr>
            <w:r>
              <w:rPr>
                <w:rFonts w:ascii="Calibri" w:cs="Calibri" w:eastAsia="Calibri" w:hAnsi="Calibri"/>
                <w:sz w:val="18"/>
                <w:szCs w:val="18"/>
                <w:color w:val="auto"/>
              </w:rPr>
              <w:t>Purchased technology</w:t>
            </w:r>
          </w:p>
        </w:tc>
        <w:tc>
          <w:tcPr>
            <w:tcW w:w="2520" w:type="dxa"/>
            <w:vAlign w:val="bottom"/>
            <w:gridSpan w:val="2"/>
            <w:shd w:val="clear" w:color="auto" w:fill="CCEEFF"/>
          </w:tcPr>
          <w:p>
            <w:pPr>
              <w:jc w:val="right"/>
              <w:ind w:right="12"/>
              <w:spacing w:after="0" w:line="210" w:lineRule="exact"/>
              <w:rPr>
                <w:sz w:val="20"/>
                <w:szCs w:val="20"/>
                <w:color w:val="auto"/>
              </w:rPr>
            </w:pPr>
            <w:r>
              <w:rPr>
                <w:rFonts w:ascii="Calibri" w:cs="Calibri" w:eastAsia="Calibri" w:hAnsi="Calibri"/>
                <w:sz w:val="18"/>
                <w:szCs w:val="18"/>
                <w:color w:val="auto"/>
              </w:rPr>
              <w:t>$</w:t>
            </w:r>
          </w:p>
        </w:tc>
        <w:tc>
          <w:tcPr>
            <w:tcW w:w="1220" w:type="dxa"/>
            <w:vAlign w:val="bottom"/>
            <w:shd w:val="clear" w:color="auto" w:fill="CCEEFF"/>
          </w:tcPr>
          <w:p>
            <w:pPr>
              <w:jc w:val="right"/>
              <w:spacing w:after="0" w:line="210" w:lineRule="exact"/>
              <w:rPr>
                <w:sz w:val="20"/>
                <w:szCs w:val="20"/>
                <w:color w:val="auto"/>
              </w:rPr>
            </w:pPr>
            <w:r>
              <w:rPr>
                <w:rFonts w:ascii="Calibri" w:cs="Calibri" w:eastAsia="Calibri" w:hAnsi="Calibri"/>
                <w:sz w:val="18"/>
                <w:szCs w:val="18"/>
                <w:color w:val="auto"/>
              </w:rPr>
              <w:t>19,450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2"/>
              <w:spacing w:after="0" w:line="210" w:lineRule="exact"/>
              <w:rPr>
                <w:sz w:val="20"/>
                <w:szCs w:val="20"/>
                <w:color w:val="auto"/>
              </w:rPr>
            </w:pPr>
            <w:r>
              <w:rPr>
                <w:rFonts w:ascii="Calibri" w:cs="Calibri" w:eastAsia="Calibri" w:hAnsi="Calibri"/>
                <w:sz w:val="18"/>
                <w:szCs w:val="18"/>
                <w:color w:val="auto"/>
                <w:w w:val="87"/>
              </w:rPr>
              <w:t>$</w:t>
            </w:r>
          </w:p>
        </w:tc>
        <w:tc>
          <w:tcPr>
            <w:tcW w:w="1200" w:type="dxa"/>
            <w:vAlign w:val="bottom"/>
            <w:shd w:val="clear" w:color="auto" w:fill="CCEEFF"/>
          </w:tcPr>
          <w:p>
            <w:pPr>
              <w:jc w:val="right"/>
              <w:spacing w:after="0" w:line="210" w:lineRule="exact"/>
              <w:rPr>
                <w:sz w:val="20"/>
                <w:szCs w:val="20"/>
                <w:color w:val="auto"/>
              </w:rPr>
            </w:pPr>
            <w:r>
              <w:rPr>
                <w:rFonts w:ascii="Calibri" w:cs="Calibri" w:eastAsia="Calibri" w:hAnsi="Calibri"/>
                <w:sz w:val="18"/>
                <w:szCs w:val="18"/>
                <w:color w:val="auto"/>
              </w:rPr>
              <w:t>(15,422)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2"/>
              <w:spacing w:after="0" w:line="210" w:lineRule="exact"/>
              <w:rPr>
                <w:sz w:val="20"/>
                <w:szCs w:val="20"/>
                <w:color w:val="auto"/>
              </w:rPr>
            </w:pPr>
            <w:r>
              <w:rPr>
                <w:rFonts w:ascii="Calibri" w:cs="Calibri" w:eastAsia="Calibri" w:hAnsi="Calibri"/>
                <w:sz w:val="18"/>
                <w:szCs w:val="18"/>
                <w:color w:val="auto"/>
              </w:rPr>
              <w:t>$</w:t>
            </w:r>
          </w:p>
        </w:tc>
        <w:tc>
          <w:tcPr>
            <w:tcW w:w="1140" w:type="dxa"/>
            <w:vAlign w:val="bottom"/>
            <w:shd w:val="clear" w:color="auto" w:fill="CCEEFF"/>
          </w:tcPr>
          <w:p>
            <w:pPr>
              <w:jc w:val="right"/>
              <w:spacing w:after="0" w:line="210" w:lineRule="exact"/>
              <w:rPr>
                <w:sz w:val="20"/>
                <w:szCs w:val="20"/>
                <w:color w:val="auto"/>
              </w:rPr>
            </w:pPr>
            <w:r>
              <w:rPr>
                <w:rFonts w:ascii="Calibri" w:cs="Calibri" w:eastAsia="Calibri" w:hAnsi="Calibri"/>
                <w:sz w:val="18"/>
                <w:szCs w:val="18"/>
                <w:color w:val="auto"/>
              </w:rPr>
              <w:t>4,028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4340" w:type="dxa"/>
            <w:vAlign w:val="bottom"/>
          </w:tcPr>
          <w:p>
            <w:pPr>
              <w:ind w:left="20"/>
              <w:spacing w:after="0" w:line="210" w:lineRule="exact"/>
              <w:rPr>
                <w:sz w:val="20"/>
                <w:szCs w:val="20"/>
                <w:color w:val="auto"/>
              </w:rPr>
            </w:pPr>
            <w:r>
              <w:rPr>
                <w:rFonts w:ascii="Calibri" w:cs="Calibri" w:eastAsia="Calibri" w:hAnsi="Calibri"/>
                <w:sz w:val="18"/>
                <w:szCs w:val="18"/>
                <w:color w:val="auto"/>
              </w:rPr>
              <w:t>Customer contracts and related relatonships</w:t>
            </w:r>
          </w:p>
        </w:tc>
        <w:tc>
          <w:tcPr>
            <w:tcW w:w="2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spacing w:after="0" w:line="210" w:lineRule="exact"/>
              <w:rPr>
                <w:sz w:val="20"/>
                <w:szCs w:val="20"/>
                <w:color w:val="auto"/>
              </w:rPr>
            </w:pPr>
            <w:r>
              <w:rPr>
                <w:rFonts w:ascii="Calibri" w:cs="Calibri" w:eastAsia="Calibri" w:hAnsi="Calibri"/>
                <w:sz w:val="18"/>
                <w:szCs w:val="18"/>
                <w:color w:val="auto"/>
              </w:rPr>
              <w:t>7,066</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right"/>
              <w:spacing w:after="0" w:line="210" w:lineRule="exact"/>
              <w:rPr>
                <w:sz w:val="20"/>
                <w:szCs w:val="20"/>
                <w:color w:val="auto"/>
              </w:rPr>
            </w:pPr>
            <w:r>
              <w:rPr>
                <w:rFonts w:ascii="Calibri" w:cs="Calibri" w:eastAsia="Calibri" w:hAnsi="Calibri"/>
                <w:sz w:val="18"/>
                <w:szCs w:val="18"/>
                <w:color w:val="auto"/>
              </w:rPr>
              <w:t>(4,535)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jc w:val="right"/>
              <w:spacing w:after="0" w:line="210" w:lineRule="exact"/>
              <w:rPr>
                <w:sz w:val="20"/>
                <w:szCs w:val="20"/>
                <w:color w:val="auto"/>
              </w:rPr>
            </w:pPr>
            <w:r>
              <w:rPr>
                <w:rFonts w:ascii="Calibri" w:cs="Calibri" w:eastAsia="Calibri" w:hAnsi="Calibri"/>
                <w:sz w:val="18"/>
                <w:szCs w:val="18"/>
                <w:color w:val="auto"/>
              </w:rPr>
              <w:t>2,531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4340" w:type="dxa"/>
            <w:vAlign w:val="bottom"/>
            <w:shd w:val="clear" w:color="auto" w:fill="CCEEFF"/>
          </w:tcPr>
          <w:p>
            <w:pPr>
              <w:ind w:left="20"/>
              <w:spacing w:after="0" w:line="217" w:lineRule="exact"/>
              <w:rPr>
                <w:sz w:val="20"/>
                <w:szCs w:val="20"/>
                <w:color w:val="auto"/>
              </w:rPr>
            </w:pPr>
            <w:r>
              <w:rPr>
                <w:rFonts w:ascii="Calibri" w:cs="Calibri" w:eastAsia="Calibri" w:hAnsi="Calibri"/>
                <w:sz w:val="18"/>
                <w:szCs w:val="18"/>
                <w:color w:val="auto"/>
              </w:rPr>
              <w:t>Order backlog</w:t>
            </w:r>
          </w:p>
        </w:tc>
        <w:tc>
          <w:tcPr>
            <w:tcW w:w="23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line="217" w:lineRule="exact"/>
              <w:rPr>
                <w:sz w:val="20"/>
                <w:szCs w:val="20"/>
                <w:color w:val="auto"/>
              </w:rPr>
            </w:pPr>
            <w:r>
              <w:rPr>
                <w:rFonts w:ascii="Calibri" w:cs="Calibri" w:eastAsia="Calibri" w:hAnsi="Calibri"/>
                <w:sz w:val="18"/>
                <w:szCs w:val="18"/>
                <w:color w:val="auto"/>
              </w:rPr>
              <w:t>484</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line="217" w:lineRule="exact"/>
              <w:rPr>
                <w:sz w:val="20"/>
                <w:szCs w:val="20"/>
                <w:color w:val="auto"/>
              </w:rPr>
            </w:pPr>
            <w:r>
              <w:rPr>
                <w:rFonts w:ascii="Calibri" w:cs="Calibri" w:eastAsia="Calibri" w:hAnsi="Calibri"/>
                <w:sz w:val="18"/>
                <w:szCs w:val="18"/>
                <w:color w:val="auto"/>
              </w:rPr>
              <w:t>(382)</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line="217" w:lineRule="exact"/>
              <w:rPr>
                <w:sz w:val="20"/>
                <w:szCs w:val="20"/>
                <w:color w:val="auto"/>
              </w:rPr>
            </w:pPr>
            <w:r>
              <w:rPr>
                <w:rFonts w:ascii="Calibri" w:cs="Calibri" w:eastAsia="Calibri" w:hAnsi="Calibri"/>
                <w:sz w:val="18"/>
                <w:szCs w:val="18"/>
                <w:color w:val="auto"/>
              </w:rPr>
              <w:t>102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7"/>
        </w:trPr>
        <w:tc>
          <w:tcPr>
            <w:tcW w:w="4340" w:type="dxa"/>
            <w:vAlign w:val="bottom"/>
          </w:tcPr>
          <w:p>
            <w:pPr>
              <w:ind w:left="20"/>
              <w:spacing w:after="0" w:line="210" w:lineRule="exact"/>
              <w:rPr>
                <w:sz w:val="20"/>
                <w:szCs w:val="20"/>
                <w:color w:val="auto"/>
              </w:rPr>
            </w:pPr>
            <w:r>
              <w:rPr>
                <w:rFonts w:ascii="Calibri" w:cs="Calibri" w:eastAsia="Calibri" w:hAnsi="Calibri"/>
                <w:sz w:val="18"/>
                <w:szCs w:val="18"/>
                <w:color w:val="auto"/>
              </w:rPr>
              <w:t>Trade names</w:t>
            </w:r>
          </w:p>
        </w:tc>
        <w:tc>
          <w:tcPr>
            <w:tcW w:w="2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spacing w:after="0" w:line="210" w:lineRule="exact"/>
              <w:rPr>
                <w:sz w:val="20"/>
                <w:szCs w:val="20"/>
                <w:color w:val="auto"/>
              </w:rPr>
            </w:pPr>
            <w:r>
              <w:rPr>
                <w:rFonts w:ascii="Calibri" w:cs="Calibri" w:eastAsia="Calibri" w:hAnsi="Calibri"/>
                <w:sz w:val="18"/>
                <w:szCs w:val="18"/>
                <w:color w:val="auto"/>
              </w:rPr>
              <w:t>700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right"/>
              <w:spacing w:after="0" w:line="210" w:lineRule="exact"/>
              <w:rPr>
                <w:sz w:val="20"/>
                <w:szCs w:val="20"/>
                <w:color w:val="auto"/>
              </w:rPr>
            </w:pPr>
            <w:r>
              <w:rPr>
                <w:rFonts w:ascii="Calibri" w:cs="Calibri" w:eastAsia="Calibri" w:hAnsi="Calibri"/>
                <w:sz w:val="18"/>
                <w:szCs w:val="18"/>
                <w:color w:val="auto"/>
              </w:rPr>
              <w:t>(372)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jc w:val="right"/>
              <w:spacing w:after="0" w:line="210" w:lineRule="exact"/>
              <w:rPr>
                <w:sz w:val="20"/>
                <w:szCs w:val="20"/>
                <w:color w:val="auto"/>
              </w:rPr>
            </w:pPr>
            <w:r>
              <w:rPr>
                <w:rFonts w:ascii="Calibri" w:cs="Calibri" w:eastAsia="Calibri" w:hAnsi="Calibri"/>
                <w:sz w:val="18"/>
                <w:szCs w:val="18"/>
                <w:color w:val="auto"/>
              </w:rPr>
              <w:t>328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4340" w:type="dxa"/>
            <w:vAlign w:val="bottom"/>
            <w:shd w:val="clear" w:color="auto" w:fill="CCEEFF"/>
          </w:tcPr>
          <w:p>
            <w:pPr>
              <w:ind w:left="20"/>
              <w:spacing w:after="0" w:line="217" w:lineRule="exact"/>
              <w:rPr>
                <w:sz w:val="20"/>
                <w:szCs w:val="20"/>
                <w:color w:val="auto"/>
              </w:rPr>
            </w:pPr>
            <w:r>
              <w:rPr>
                <w:rFonts w:ascii="Calibri" w:cs="Calibri" w:eastAsia="Calibri" w:hAnsi="Calibri"/>
                <w:sz w:val="18"/>
                <w:szCs w:val="18"/>
                <w:color w:val="auto"/>
              </w:rPr>
              <w:t>Other</w:t>
            </w:r>
          </w:p>
        </w:tc>
        <w:tc>
          <w:tcPr>
            <w:tcW w:w="232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line="217" w:lineRule="exact"/>
              <w:rPr>
                <w:sz w:val="20"/>
                <w:szCs w:val="20"/>
                <w:color w:val="auto"/>
              </w:rPr>
            </w:pPr>
            <w:r>
              <w:rPr>
                <w:rFonts w:ascii="Calibri" w:cs="Calibri" w:eastAsia="Calibri" w:hAnsi="Calibri"/>
                <w:sz w:val="18"/>
                <w:szCs w:val="18"/>
                <w:color w:val="auto"/>
              </w:rPr>
              <w:t>174</w:t>
            </w:r>
          </w:p>
        </w:tc>
        <w:tc>
          <w:tcPr>
            <w:tcW w:w="12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line="217" w:lineRule="exact"/>
              <w:rPr>
                <w:sz w:val="20"/>
                <w:szCs w:val="20"/>
                <w:color w:val="auto"/>
              </w:rPr>
            </w:pPr>
            <w:r>
              <w:rPr>
                <w:rFonts w:ascii="Calibri" w:cs="Calibri" w:eastAsia="Calibri" w:hAnsi="Calibri"/>
                <w:sz w:val="18"/>
                <w:szCs w:val="18"/>
                <w:color w:val="auto"/>
              </w:rPr>
              <w:t>(81)</w:t>
            </w:r>
          </w:p>
        </w:tc>
        <w:tc>
          <w:tcPr>
            <w:tcW w:w="100" w:type="dxa"/>
            <w:vAlign w:val="bottom"/>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line="217" w:lineRule="exact"/>
              <w:rPr>
                <w:sz w:val="20"/>
                <w:szCs w:val="20"/>
                <w:color w:val="auto"/>
              </w:rPr>
            </w:pPr>
            <w:r>
              <w:rPr>
                <w:rFonts w:ascii="Calibri" w:cs="Calibri" w:eastAsia="Calibri" w:hAnsi="Calibri"/>
                <w:sz w:val="18"/>
                <w:szCs w:val="18"/>
                <w:color w:val="auto"/>
              </w:rPr>
              <w:t>93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340" w:type="dxa"/>
            <w:vAlign w:val="bottom"/>
          </w:tcPr>
          <w:p>
            <w:pPr>
              <w:ind w:left="140"/>
              <w:spacing w:after="0" w:line="196" w:lineRule="exact"/>
              <w:rPr>
                <w:sz w:val="20"/>
                <w:szCs w:val="20"/>
                <w:color w:val="auto"/>
              </w:rPr>
            </w:pPr>
            <w:r>
              <w:rPr>
                <w:rFonts w:ascii="Calibri" w:cs="Calibri" w:eastAsia="Calibri" w:hAnsi="Calibri"/>
                <w:sz w:val="18"/>
                <w:szCs w:val="18"/>
                <w:color w:val="auto"/>
              </w:rPr>
              <w:t>Intangible assets subject to amortzaton</w:t>
            </w:r>
          </w:p>
        </w:tc>
        <w:tc>
          <w:tcPr>
            <w:tcW w:w="2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spacing w:after="0" w:line="210" w:lineRule="exact"/>
              <w:rPr>
                <w:sz w:val="20"/>
                <w:szCs w:val="20"/>
                <w:color w:val="auto"/>
              </w:rPr>
            </w:pPr>
            <w:r>
              <w:rPr>
                <w:rFonts w:ascii="Calibri" w:cs="Calibri" w:eastAsia="Calibri" w:hAnsi="Calibri"/>
                <w:sz w:val="18"/>
                <w:szCs w:val="18"/>
                <w:color w:val="auto"/>
              </w:rPr>
              <w:t>27,874</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right"/>
              <w:spacing w:after="0" w:line="210" w:lineRule="exact"/>
              <w:rPr>
                <w:sz w:val="20"/>
                <w:szCs w:val="20"/>
                <w:color w:val="auto"/>
              </w:rPr>
            </w:pPr>
            <w:r>
              <w:rPr>
                <w:rFonts w:ascii="Calibri" w:cs="Calibri" w:eastAsia="Calibri" w:hAnsi="Calibri"/>
                <w:sz w:val="18"/>
                <w:szCs w:val="18"/>
                <w:color w:val="auto"/>
              </w:rPr>
              <w:t>(20,792)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jc w:val="right"/>
              <w:spacing w:after="0" w:line="210" w:lineRule="exact"/>
              <w:rPr>
                <w:sz w:val="20"/>
                <w:szCs w:val="20"/>
                <w:color w:val="auto"/>
              </w:rPr>
            </w:pPr>
            <w:r>
              <w:rPr>
                <w:rFonts w:ascii="Calibri" w:cs="Calibri" w:eastAsia="Calibri" w:hAnsi="Calibri"/>
                <w:sz w:val="18"/>
                <w:szCs w:val="18"/>
                <w:color w:val="auto"/>
              </w:rPr>
              <w:t>7,082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4340" w:type="dxa"/>
            <w:vAlign w:val="bottom"/>
            <w:shd w:val="clear" w:color="auto" w:fill="CCEEFF"/>
          </w:tcPr>
          <w:p>
            <w:pPr>
              <w:ind w:left="20"/>
              <w:spacing w:after="0" w:line="217" w:lineRule="exact"/>
              <w:rPr>
                <w:sz w:val="20"/>
                <w:szCs w:val="20"/>
                <w:color w:val="auto"/>
              </w:rPr>
            </w:pPr>
            <w:r>
              <w:rPr>
                <w:rFonts w:ascii="Calibri" w:cs="Calibri" w:eastAsia="Calibri" w:hAnsi="Calibri"/>
                <w:sz w:val="18"/>
                <w:szCs w:val="18"/>
                <w:color w:val="auto"/>
              </w:rPr>
              <w:t>IPR&amp;D</w:t>
            </w:r>
          </w:p>
        </w:tc>
        <w:tc>
          <w:tcPr>
            <w:tcW w:w="23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line="217" w:lineRule="exact"/>
              <w:rPr>
                <w:sz w:val="20"/>
                <w:szCs w:val="20"/>
                <w:color w:val="auto"/>
              </w:rPr>
            </w:pPr>
            <w:r>
              <w:rPr>
                <w:rFonts w:ascii="Calibri" w:cs="Calibri" w:eastAsia="Calibri" w:hAnsi="Calibri"/>
                <w:sz w:val="18"/>
                <w:szCs w:val="18"/>
                <w:color w:val="auto"/>
              </w:rPr>
              <w:t>29</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ind w:left="980"/>
              <w:spacing w:after="0" w:line="217" w:lineRule="exact"/>
              <w:rPr>
                <w:sz w:val="20"/>
                <w:szCs w:val="20"/>
                <w:color w:val="auto"/>
              </w:rPr>
            </w:pPr>
            <w:r>
              <w:rPr>
                <w:rFonts w:ascii="Calibri" w:cs="Calibri" w:eastAsia="Calibri" w:hAnsi="Calibri"/>
                <w:sz w:val="18"/>
                <w:szCs w:val="18"/>
                <w:color w:val="auto"/>
              </w:rPr>
              <w:t>—</w:t>
            </w:r>
          </w:p>
        </w:tc>
        <w:tc>
          <w:tcPr>
            <w:tcW w:w="28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line="217" w:lineRule="exact"/>
              <w:rPr>
                <w:sz w:val="20"/>
                <w:szCs w:val="20"/>
                <w:color w:val="auto"/>
              </w:rPr>
            </w:pPr>
            <w:r>
              <w:rPr>
                <w:rFonts w:ascii="Calibri" w:cs="Calibri" w:eastAsia="Calibri" w:hAnsi="Calibri"/>
                <w:sz w:val="18"/>
                <w:szCs w:val="18"/>
                <w:color w:val="auto"/>
              </w:rPr>
              <w:t>29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4340" w:type="dxa"/>
            <w:vAlign w:val="bottom"/>
          </w:tcPr>
          <w:p>
            <w:pPr>
              <w:ind w:left="140"/>
              <w:spacing w:after="0" w:line="217" w:lineRule="exact"/>
              <w:rPr>
                <w:sz w:val="20"/>
                <w:szCs w:val="20"/>
                <w:color w:val="auto"/>
              </w:rPr>
            </w:pPr>
            <w:r>
              <w:rPr>
                <w:rFonts w:ascii="Calibri" w:cs="Calibri" w:eastAsia="Calibri" w:hAnsi="Calibri"/>
                <w:sz w:val="18"/>
                <w:szCs w:val="18"/>
                <w:color w:val="auto"/>
              </w:rPr>
              <w:t>Total</w:t>
            </w:r>
          </w:p>
        </w:tc>
        <w:tc>
          <w:tcPr>
            <w:tcW w:w="232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2"/>
              <w:spacing w:after="0" w:line="210" w:lineRule="exact"/>
              <w:rPr>
                <w:sz w:val="20"/>
                <w:szCs w:val="20"/>
                <w:color w:val="auto"/>
              </w:rPr>
            </w:pPr>
            <w:r>
              <w:rPr>
                <w:rFonts w:ascii="Calibri" w:cs="Calibri" w:eastAsia="Calibri" w:hAnsi="Calibri"/>
                <w:sz w:val="18"/>
                <w:szCs w:val="18"/>
                <w:color w:val="auto"/>
                <w:w w:val="87"/>
              </w:rPr>
              <w:t>$</w:t>
            </w:r>
          </w:p>
        </w:tc>
        <w:tc>
          <w:tcPr>
            <w:tcW w:w="1220" w:type="dxa"/>
            <w:vAlign w:val="bottom"/>
            <w:tcBorders>
              <w:top w:val="single" w:sz="8" w:color="auto"/>
              <w:bottom w:val="single" w:sz="8" w:color="auto"/>
            </w:tcBorders>
          </w:tcPr>
          <w:p>
            <w:pPr>
              <w:jc w:val="right"/>
              <w:spacing w:after="0" w:line="210" w:lineRule="exact"/>
              <w:rPr>
                <w:sz w:val="20"/>
                <w:szCs w:val="20"/>
                <w:color w:val="auto"/>
              </w:rPr>
            </w:pPr>
            <w:r>
              <w:rPr>
                <w:rFonts w:ascii="Calibri" w:cs="Calibri" w:eastAsia="Calibri" w:hAnsi="Calibri"/>
                <w:sz w:val="18"/>
                <w:szCs w:val="18"/>
                <w:color w:val="auto"/>
              </w:rPr>
              <w:t>27,903</w:t>
            </w:r>
          </w:p>
        </w:tc>
        <w:tc>
          <w:tcPr>
            <w:tcW w:w="12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2"/>
              <w:spacing w:after="0" w:line="210" w:lineRule="exact"/>
              <w:rPr>
                <w:sz w:val="20"/>
                <w:szCs w:val="20"/>
                <w:color w:val="auto"/>
              </w:rPr>
            </w:pPr>
            <w:r>
              <w:rPr>
                <w:rFonts w:ascii="Calibri" w:cs="Calibri" w:eastAsia="Calibri" w:hAnsi="Calibri"/>
                <w:sz w:val="18"/>
                <w:szCs w:val="18"/>
                <w:color w:val="auto"/>
                <w:w w:val="87"/>
              </w:rPr>
              <w:t>$</w:t>
            </w:r>
          </w:p>
        </w:tc>
        <w:tc>
          <w:tcPr>
            <w:tcW w:w="1200" w:type="dxa"/>
            <w:vAlign w:val="bottom"/>
            <w:tcBorders>
              <w:top w:val="single" w:sz="8" w:color="auto"/>
              <w:bottom w:val="single" w:sz="8" w:color="auto"/>
            </w:tcBorders>
          </w:tcPr>
          <w:p>
            <w:pPr>
              <w:jc w:val="right"/>
              <w:spacing w:after="0" w:line="210" w:lineRule="exact"/>
              <w:rPr>
                <w:sz w:val="20"/>
                <w:szCs w:val="20"/>
                <w:color w:val="auto"/>
              </w:rPr>
            </w:pPr>
            <w:r>
              <w:rPr>
                <w:rFonts w:ascii="Calibri" w:cs="Calibri" w:eastAsia="Calibri" w:hAnsi="Calibri"/>
                <w:sz w:val="18"/>
                <w:szCs w:val="18"/>
                <w:color w:val="auto"/>
              </w:rPr>
              <w:t>(20,792)</w:t>
            </w:r>
          </w:p>
        </w:tc>
        <w:tc>
          <w:tcPr>
            <w:tcW w:w="10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72"/>
              <w:spacing w:after="0" w:line="210" w:lineRule="exact"/>
              <w:rPr>
                <w:sz w:val="20"/>
                <w:szCs w:val="20"/>
                <w:color w:val="auto"/>
              </w:rPr>
            </w:pPr>
            <w:r>
              <w:rPr>
                <w:rFonts w:ascii="Calibri" w:cs="Calibri" w:eastAsia="Calibri" w:hAnsi="Calibri"/>
                <w:sz w:val="18"/>
                <w:szCs w:val="18"/>
                <w:color w:val="auto"/>
              </w:rPr>
              <w:t>$</w:t>
            </w:r>
          </w:p>
        </w:tc>
        <w:tc>
          <w:tcPr>
            <w:tcW w:w="1140" w:type="dxa"/>
            <w:vAlign w:val="bottom"/>
            <w:tcBorders>
              <w:top w:val="single" w:sz="8" w:color="auto"/>
              <w:bottom w:val="single" w:sz="8" w:color="auto"/>
            </w:tcBorders>
          </w:tcPr>
          <w:p>
            <w:pPr>
              <w:jc w:val="right"/>
              <w:spacing w:after="0" w:line="210" w:lineRule="exact"/>
              <w:rPr>
                <w:sz w:val="20"/>
                <w:szCs w:val="20"/>
                <w:color w:val="auto"/>
              </w:rPr>
            </w:pPr>
            <w:r>
              <w:rPr>
                <w:rFonts w:ascii="Calibri" w:cs="Calibri" w:eastAsia="Calibri" w:hAnsi="Calibri"/>
                <w:sz w:val="18"/>
                <w:szCs w:val="18"/>
                <w:color w:val="auto"/>
              </w:rPr>
              <w:t>7,111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40" w:type="dxa"/>
            <w:vAlign w:val="bottom"/>
          </w:tcPr>
          <w:p>
            <w:pPr>
              <w:spacing w:after="0" w:line="20" w:lineRule="exact"/>
              <w:rPr>
                <w:sz w:val="1"/>
                <w:szCs w:val="1"/>
                <w:color w:val="auto"/>
              </w:rPr>
            </w:pPr>
          </w:p>
        </w:tc>
        <w:tc>
          <w:tcPr>
            <w:tcW w:w="2320" w:type="dxa"/>
            <w:vAlign w:val="bottom"/>
            <w:vMerge w:val="restart"/>
          </w:tcPr>
          <w:p>
            <w:pPr>
              <w:jc w:val="right"/>
              <w:ind w:right="852"/>
              <w:spacing w:after="0"/>
              <w:rPr>
                <w:sz w:val="20"/>
                <w:szCs w:val="20"/>
                <w:color w:val="auto"/>
              </w:rPr>
            </w:pPr>
            <w:r>
              <w:rPr>
                <w:rFonts w:ascii="Calibri" w:cs="Calibri" w:eastAsia="Calibri" w:hAnsi="Calibri"/>
                <w:sz w:val="18"/>
                <w:szCs w:val="18"/>
                <w:color w:val="auto"/>
              </w:rPr>
              <w:t>66</w:t>
            </w: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2"/>
        </w:trPr>
        <w:tc>
          <w:tcPr>
            <w:tcW w:w="4340" w:type="dxa"/>
            <w:vAlign w:val="bottom"/>
          </w:tcPr>
          <w:p>
            <w:pPr>
              <w:spacing w:after="0"/>
              <w:rPr>
                <w:sz w:val="24"/>
                <w:szCs w:val="24"/>
                <w:color w:val="auto"/>
              </w:rPr>
            </w:pPr>
          </w:p>
        </w:tc>
        <w:tc>
          <w:tcPr>
            <w:tcW w:w="232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4340" w:type="dxa"/>
            <w:vAlign w:val="bottom"/>
            <w:tcBorders>
              <w:bottom w:val="single" w:sz="8" w:color="9A9A9A"/>
            </w:tcBorders>
          </w:tcPr>
          <w:p>
            <w:pPr>
              <w:spacing w:after="0"/>
              <w:rPr>
                <w:sz w:val="11"/>
                <w:szCs w:val="11"/>
                <w:color w:val="auto"/>
              </w:rPr>
            </w:pPr>
          </w:p>
        </w:tc>
        <w:tc>
          <w:tcPr>
            <w:tcW w:w="2320" w:type="dxa"/>
            <w:vAlign w:val="bottom"/>
            <w:tcBorders>
              <w:bottom w:val="single" w:sz="8" w:color="9A9A9A"/>
            </w:tcBorders>
          </w:tcPr>
          <w:p>
            <w:pPr>
              <w:spacing w:after="0"/>
              <w:rPr>
                <w:sz w:val="11"/>
                <w:szCs w:val="11"/>
                <w:color w:val="auto"/>
              </w:rPr>
            </w:pPr>
          </w:p>
        </w:tc>
        <w:tc>
          <w:tcPr>
            <w:tcW w:w="200" w:type="dxa"/>
            <w:vAlign w:val="bottom"/>
            <w:tcBorders>
              <w:bottom w:val="single" w:sz="8" w:color="9A9A9A"/>
            </w:tcBorders>
          </w:tcPr>
          <w:p>
            <w:pPr>
              <w:spacing w:after="0"/>
              <w:rPr>
                <w:sz w:val="11"/>
                <w:szCs w:val="11"/>
                <w:color w:val="auto"/>
              </w:rPr>
            </w:pPr>
          </w:p>
        </w:tc>
        <w:tc>
          <w:tcPr>
            <w:tcW w:w="1220" w:type="dxa"/>
            <w:vAlign w:val="bottom"/>
            <w:tcBorders>
              <w:bottom w:val="single" w:sz="8" w:color="9A9A9A"/>
            </w:tcBorders>
          </w:tcPr>
          <w:p>
            <w:pPr>
              <w:spacing w:after="0"/>
              <w:rPr>
                <w:sz w:val="11"/>
                <w:szCs w:val="11"/>
                <w:color w:val="auto"/>
              </w:rPr>
            </w:pPr>
          </w:p>
        </w:tc>
        <w:tc>
          <w:tcPr>
            <w:tcW w:w="120" w:type="dxa"/>
            <w:vAlign w:val="bottom"/>
            <w:tcBorders>
              <w:bottom w:val="single" w:sz="8" w:color="9A9A9A"/>
            </w:tcBorders>
          </w:tcPr>
          <w:p>
            <w:pPr>
              <w:spacing w:after="0"/>
              <w:rPr>
                <w:sz w:val="11"/>
                <w:szCs w:val="11"/>
                <w:color w:val="auto"/>
              </w:rPr>
            </w:pPr>
          </w:p>
        </w:tc>
        <w:tc>
          <w:tcPr>
            <w:tcW w:w="220" w:type="dxa"/>
            <w:vAlign w:val="bottom"/>
            <w:tcBorders>
              <w:bottom w:val="single" w:sz="8" w:color="9A9A9A"/>
            </w:tcBorders>
          </w:tcPr>
          <w:p>
            <w:pPr>
              <w:spacing w:after="0"/>
              <w:rPr>
                <w:sz w:val="11"/>
                <w:szCs w:val="11"/>
                <w:color w:val="auto"/>
              </w:rPr>
            </w:pPr>
          </w:p>
        </w:tc>
        <w:tc>
          <w:tcPr>
            <w:tcW w:w="1200" w:type="dxa"/>
            <w:vAlign w:val="bottom"/>
            <w:tcBorders>
              <w:bottom w:val="single" w:sz="8" w:color="9A9A9A"/>
            </w:tcBorders>
          </w:tcPr>
          <w:p>
            <w:pPr>
              <w:spacing w:after="0"/>
              <w:rPr>
                <w:sz w:val="11"/>
                <w:szCs w:val="11"/>
                <w:color w:val="auto"/>
              </w:rPr>
            </w:pPr>
          </w:p>
        </w:tc>
        <w:tc>
          <w:tcPr>
            <w:tcW w:w="100" w:type="dxa"/>
            <w:vAlign w:val="bottom"/>
            <w:tcBorders>
              <w:bottom w:val="single" w:sz="8" w:color="9A9A9A"/>
            </w:tcBorders>
          </w:tcPr>
          <w:p>
            <w:pPr>
              <w:spacing w:after="0"/>
              <w:rPr>
                <w:sz w:val="11"/>
                <w:szCs w:val="11"/>
                <w:color w:val="auto"/>
              </w:rPr>
            </w:pPr>
          </w:p>
        </w:tc>
        <w:tc>
          <w:tcPr>
            <w:tcW w:w="280" w:type="dxa"/>
            <w:vAlign w:val="bottom"/>
            <w:tcBorders>
              <w:bottom w:val="single" w:sz="8" w:color="9A9A9A"/>
            </w:tcBorders>
          </w:tcPr>
          <w:p>
            <w:pPr>
              <w:spacing w:after="0"/>
              <w:rPr>
                <w:sz w:val="11"/>
                <w:szCs w:val="11"/>
                <w:color w:val="auto"/>
              </w:rPr>
            </w:pPr>
          </w:p>
        </w:tc>
        <w:tc>
          <w:tcPr>
            <w:tcW w:w="1140" w:type="dxa"/>
            <w:vAlign w:val="bottom"/>
            <w:tcBorders>
              <w:bottom w:val="single" w:sz="8" w:color="9A9A9A"/>
            </w:tcBorders>
          </w:tcPr>
          <w:p>
            <w:pPr>
              <w:spacing w:after="0"/>
              <w:rPr>
                <w:sz w:val="11"/>
                <w:szCs w:val="11"/>
                <w:color w:val="auto"/>
              </w:rPr>
            </w:pPr>
          </w:p>
        </w:tc>
        <w:tc>
          <w:tcPr>
            <w:tcW w:w="100" w:type="dxa"/>
            <w:vAlign w:val="bottom"/>
            <w:tcBorders>
              <w:bottom w:val="single" w:sz="8" w:color="9A9A9A"/>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-28575</wp:posOffset>
            </wp:positionV>
            <wp:extent cx="33655" cy="419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-28575</wp:posOffset>
            </wp:positionV>
            <wp:extent cx="33655" cy="419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09" w:right="339" w:bottom="1440" w:gutter="0" w:footer="0" w:header="0"/>
        </w:sectPr>
      </w:pPr>
    </w:p>
    <w:bookmarkStart w:id="68" w:name="page69"/>
    <w:bookmarkEnd w:id="68"/>
    <w:p>
      <w:pPr>
        <w:spacing w:after="0"/>
        <w:rPr>
          <w:sz w:val="20"/>
          <w:szCs w:val="20"/>
          <w:color w:val="auto"/>
        </w:rPr>
      </w:pPr>
      <w:r>
        <w:rPr>
          <w:rFonts w:ascii="Calibri" w:cs="Calibri" w:eastAsia="Calibri" w:hAnsi="Calibri"/>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right="280" w:firstLine="396"/>
        <w:spacing w:after="0" w:line="230" w:lineRule="auto"/>
        <w:rPr>
          <w:sz w:val="20"/>
          <w:szCs w:val="20"/>
          <w:color w:val="auto"/>
        </w:rPr>
      </w:pPr>
      <w:r>
        <w:rPr>
          <w:rFonts w:ascii="Calibri" w:cs="Calibri" w:eastAsia="Calibri" w:hAnsi="Calibri"/>
          <w:sz w:val="18"/>
          <w:szCs w:val="18"/>
          <w:color w:val="auto"/>
        </w:rPr>
        <w:t>Based on the amount of intangible assets subject to amortzaton at October 29, 2023, the expected amortzaton expense for each of the next fve fscal years and thereafer was as follows: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720" w:type="dxa"/>
            <w:vAlign w:val="bottom"/>
            <w:vMerge w:val="restart"/>
          </w:tcPr>
          <w:p>
            <w:pPr>
              <w:ind w:left="20"/>
              <w:spacing w:after="0"/>
              <w:rPr>
                <w:sz w:val="20"/>
                <w:szCs w:val="20"/>
                <w:color w:val="auto"/>
              </w:rPr>
            </w:pPr>
            <w:r>
              <w:rPr>
                <w:rFonts w:ascii="Calibri" w:cs="Calibri" w:eastAsia="Calibri" w:hAnsi="Calibri"/>
                <w:sz w:val="18"/>
                <w:szCs w:val="18"/>
                <w:b w:val="1"/>
                <w:bCs w:val="1"/>
                <w:color w:val="auto"/>
              </w:rPr>
              <w:t>Fiscal Year:</w:t>
            </w:r>
          </w:p>
        </w:tc>
        <w:tc>
          <w:tcPr>
            <w:tcW w:w="1420" w:type="dxa"/>
            <w:vAlign w:val="bottom"/>
            <w:gridSpan w:val="2"/>
          </w:tcPr>
          <w:p>
            <w:pPr>
              <w:jc w:val="center"/>
              <w:spacing w:after="0"/>
              <w:rPr>
                <w:sz w:val="20"/>
                <w:szCs w:val="20"/>
                <w:color w:val="auto"/>
              </w:rPr>
            </w:pPr>
            <w:r>
              <w:rPr>
                <w:rFonts w:ascii="Calibri" w:cs="Calibri" w:eastAsia="Calibri" w:hAnsi="Calibri"/>
                <w:sz w:val="14"/>
                <w:szCs w:val="14"/>
                <w:b w:val="1"/>
                <w:bCs w:val="1"/>
                <w:color w:val="auto"/>
              </w:rPr>
              <w:t>Expected Amortzaton</w:t>
            </w:r>
          </w:p>
        </w:tc>
        <w:tc>
          <w:tcPr>
            <w:tcW w:w="0" w:type="dxa"/>
            <w:vAlign w:val="bottom"/>
          </w:tcPr>
          <w:p>
            <w:pPr>
              <w:spacing w:after="0"/>
              <w:rPr>
                <w:sz w:val="1"/>
                <w:szCs w:val="1"/>
                <w:color w:val="auto"/>
              </w:rPr>
            </w:pPr>
          </w:p>
        </w:tc>
      </w:tr>
      <w:tr>
        <w:trPr>
          <w:trHeight w:val="178"/>
        </w:trPr>
        <w:tc>
          <w:tcPr>
            <w:tcW w:w="972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180" w:type="dxa"/>
            <w:vAlign w:val="bottom"/>
          </w:tcPr>
          <w:p>
            <w:pPr>
              <w:jc w:val="center"/>
              <w:ind w:right="136"/>
              <w:spacing w:after="0" w:line="168" w:lineRule="exact"/>
              <w:rPr>
                <w:sz w:val="20"/>
                <w:szCs w:val="20"/>
                <w:color w:val="auto"/>
              </w:rPr>
            </w:pPr>
            <w:r>
              <w:rPr>
                <w:rFonts w:ascii="Calibri" w:cs="Calibri" w:eastAsia="Calibri" w:hAnsi="Calibri"/>
                <w:sz w:val="14"/>
                <w:szCs w:val="14"/>
                <w:b w:val="1"/>
                <w:bCs w:val="1"/>
                <w:color w:val="auto"/>
                <w:w w:val="99"/>
              </w:rPr>
              <w:t>Expense</w:t>
            </w:r>
          </w:p>
        </w:tc>
        <w:tc>
          <w:tcPr>
            <w:tcW w:w="0" w:type="dxa"/>
            <w:vAlign w:val="bottom"/>
          </w:tcPr>
          <w:p>
            <w:pPr>
              <w:spacing w:after="0"/>
              <w:rPr>
                <w:sz w:val="1"/>
                <w:szCs w:val="1"/>
                <w:color w:val="auto"/>
              </w:rPr>
            </w:pPr>
          </w:p>
        </w:tc>
      </w:tr>
      <w:tr>
        <w:trPr>
          <w:trHeight w:val="22"/>
        </w:trPr>
        <w:tc>
          <w:tcPr>
            <w:tcW w:w="97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6"/>
        </w:trPr>
        <w:tc>
          <w:tcPr>
            <w:tcW w:w="9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tcPr>
          <w:p>
            <w:pPr>
              <w:jc w:val="center"/>
              <w:ind w:right="136"/>
              <w:spacing w:after="0"/>
              <w:rPr>
                <w:sz w:val="20"/>
                <w:szCs w:val="20"/>
                <w:color w:val="auto"/>
              </w:rPr>
            </w:pPr>
            <w:r>
              <w:rPr>
                <w:rFonts w:ascii="Calibri" w:cs="Calibri" w:eastAsia="Calibri" w:hAnsi="Calibri"/>
                <w:sz w:val="14"/>
                <w:szCs w:val="14"/>
                <w:b w:val="1"/>
                <w:bCs w:val="1"/>
                <w:color w:val="auto"/>
                <w:w w:val="98"/>
              </w:rPr>
              <w:t>(In millions)</w:t>
            </w:r>
          </w:p>
        </w:tc>
        <w:tc>
          <w:tcPr>
            <w:tcW w:w="0" w:type="dxa"/>
            <w:vAlign w:val="bottom"/>
          </w:tcPr>
          <w:p>
            <w:pPr>
              <w:spacing w:after="0"/>
              <w:rPr>
                <w:sz w:val="1"/>
                <w:szCs w:val="1"/>
                <w:color w:val="auto"/>
              </w:rPr>
            </w:pPr>
          </w:p>
        </w:tc>
      </w:tr>
      <w:tr>
        <w:trPr>
          <w:trHeight w:val="45"/>
        </w:trPr>
        <w:tc>
          <w:tcPr>
            <w:tcW w:w="97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4"/>
        </w:trPr>
        <w:tc>
          <w:tcPr>
            <w:tcW w:w="9720" w:type="dxa"/>
            <w:vAlign w:val="bottom"/>
            <w:shd w:val="clear" w:color="auto" w:fill="CCEEFF"/>
          </w:tcPr>
          <w:p>
            <w:pPr>
              <w:ind w:left="20"/>
              <w:spacing w:after="0" w:line="210" w:lineRule="exact"/>
              <w:rPr>
                <w:sz w:val="20"/>
                <w:szCs w:val="20"/>
                <w:color w:val="auto"/>
              </w:rPr>
            </w:pPr>
            <w:r>
              <w:rPr>
                <w:rFonts w:ascii="Calibri" w:cs="Calibri" w:eastAsia="Calibri" w:hAnsi="Calibri"/>
                <w:sz w:val="18"/>
                <w:szCs w:val="18"/>
                <w:color w:val="auto"/>
              </w:rPr>
              <w:t>2024</w:t>
            </w:r>
          </w:p>
        </w:tc>
        <w:tc>
          <w:tcPr>
            <w:tcW w:w="240" w:type="dxa"/>
            <w:vAlign w:val="bottom"/>
            <w:shd w:val="clear" w:color="auto" w:fill="CCEEFF"/>
          </w:tcPr>
          <w:p>
            <w:pPr>
              <w:jc w:val="right"/>
              <w:ind w:right="38"/>
              <w:spacing w:after="0" w:line="210" w:lineRule="exact"/>
              <w:rPr>
                <w:sz w:val="20"/>
                <w:szCs w:val="20"/>
                <w:color w:val="auto"/>
              </w:rPr>
            </w:pPr>
            <w:r>
              <w:rPr>
                <w:rFonts w:ascii="Calibri" w:cs="Calibri" w:eastAsia="Calibri" w:hAnsi="Calibri"/>
                <w:sz w:val="18"/>
                <w:szCs w:val="18"/>
                <w:color w:val="auto"/>
              </w:rPr>
              <w:t>$</w:t>
            </w:r>
          </w:p>
        </w:tc>
        <w:tc>
          <w:tcPr>
            <w:tcW w:w="1180" w:type="dxa"/>
            <w:vAlign w:val="bottom"/>
            <w:shd w:val="clear" w:color="auto" w:fill="CCEEFF"/>
          </w:tcPr>
          <w:p>
            <w:pPr>
              <w:jc w:val="right"/>
              <w:spacing w:after="0" w:line="210" w:lineRule="exact"/>
              <w:rPr>
                <w:sz w:val="20"/>
                <w:szCs w:val="20"/>
                <w:color w:val="auto"/>
              </w:rPr>
            </w:pPr>
            <w:r>
              <w:rPr>
                <w:rFonts w:ascii="Calibri" w:cs="Calibri" w:eastAsia="Calibri" w:hAnsi="Calibri"/>
                <w:sz w:val="18"/>
                <w:szCs w:val="18"/>
                <w:color w:val="auto"/>
              </w:rPr>
              <w:t>2,392</w:t>
            </w:r>
          </w:p>
        </w:tc>
        <w:tc>
          <w:tcPr>
            <w:tcW w:w="0" w:type="dxa"/>
            <w:vAlign w:val="bottom"/>
          </w:tcPr>
          <w:p>
            <w:pPr>
              <w:spacing w:after="0"/>
              <w:rPr>
                <w:sz w:val="1"/>
                <w:szCs w:val="1"/>
                <w:color w:val="auto"/>
              </w:rPr>
            </w:pPr>
          </w:p>
        </w:tc>
      </w:tr>
      <w:tr>
        <w:trPr>
          <w:trHeight w:val="217"/>
        </w:trPr>
        <w:tc>
          <w:tcPr>
            <w:tcW w:w="9720" w:type="dxa"/>
            <w:vAlign w:val="bottom"/>
          </w:tcPr>
          <w:p>
            <w:pPr>
              <w:ind w:left="20"/>
              <w:spacing w:after="0" w:line="210" w:lineRule="exact"/>
              <w:rPr>
                <w:sz w:val="20"/>
                <w:szCs w:val="20"/>
                <w:color w:val="auto"/>
              </w:rPr>
            </w:pPr>
            <w:r>
              <w:rPr>
                <w:rFonts w:ascii="Calibri" w:cs="Calibri" w:eastAsia="Calibri" w:hAnsi="Calibri"/>
                <w:sz w:val="18"/>
                <w:szCs w:val="18"/>
                <w:color w:val="auto"/>
              </w:rPr>
              <w:t>2025</w:t>
            </w:r>
          </w:p>
        </w:tc>
        <w:tc>
          <w:tcPr>
            <w:tcW w:w="240" w:type="dxa"/>
            <w:vAlign w:val="bottom"/>
          </w:tcPr>
          <w:p>
            <w:pPr>
              <w:spacing w:after="0"/>
              <w:rPr>
                <w:sz w:val="18"/>
                <w:szCs w:val="18"/>
                <w:color w:val="auto"/>
              </w:rPr>
            </w:pPr>
          </w:p>
        </w:tc>
        <w:tc>
          <w:tcPr>
            <w:tcW w:w="1180" w:type="dxa"/>
            <w:vAlign w:val="bottom"/>
          </w:tcPr>
          <w:p>
            <w:pPr>
              <w:jc w:val="right"/>
              <w:spacing w:after="0" w:line="210" w:lineRule="exact"/>
              <w:rPr>
                <w:sz w:val="20"/>
                <w:szCs w:val="20"/>
                <w:color w:val="auto"/>
              </w:rPr>
            </w:pPr>
            <w:r>
              <w:rPr>
                <w:rFonts w:ascii="Calibri" w:cs="Calibri" w:eastAsia="Calibri" w:hAnsi="Calibri"/>
                <w:sz w:val="18"/>
                <w:szCs w:val="18"/>
                <w:color w:val="auto"/>
              </w:rPr>
              <w:t>685</w:t>
            </w:r>
          </w:p>
        </w:tc>
        <w:tc>
          <w:tcPr>
            <w:tcW w:w="0" w:type="dxa"/>
            <w:vAlign w:val="bottom"/>
          </w:tcPr>
          <w:p>
            <w:pPr>
              <w:spacing w:after="0"/>
              <w:rPr>
                <w:sz w:val="1"/>
                <w:szCs w:val="1"/>
                <w:color w:val="auto"/>
              </w:rPr>
            </w:pPr>
          </w:p>
        </w:tc>
      </w:tr>
      <w:tr>
        <w:trPr>
          <w:trHeight w:val="232"/>
        </w:trPr>
        <w:tc>
          <w:tcPr>
            <w:tcW w:w="9720" w:type="dxa"/>
            <w:vAlign w:val="bottom"/>
            <w:shd w:val="clear" w:color="auto" w:fill="CCEEFF"/>
          </w:tcPr>
          <w:p>
            <w:pPr>
              <w:ind w:left="20"/>
              <w:spacing w:after="0" w:line="217" w:lineRule="exact"/>
              <w:rPr>
                <w:sz w:val="20"/>
                <w:szCs w:val="20"/>
                <w:color w:val="auto"/>
              </w:rPr>
            </w:pPr>
            <w:r>
              <w:rPr>
                <w:rFonts w:ascii="Calibri" w:cs="Calibri" w:eastAsia="Calibri" w:hAnsi="Calibri"/>
                <w:sz w:val="18"/>
                <w:szCs w:val="18"/>
                <w:color w:val="auto"/>
              </w:rPr>
              <w:t>2026</w:t>
            </w:r>
          </w:p>
        </w:tc>
        <w:tc>
          <w:tcPr>
            <w:tcW w:w="24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line="217" w:lineRule="exact"/>
              <w:rPr>
                <w:sz w:val="20"/>
                <w:szCs w:val="20"/>
                <w:color w:val="auto"/>
              </w:rPr>
            </w:pPr>
            <w:r>
              <w:rPr>
                <w:rFonts w:ascii="Calibri" w:cs="Calibri" w:eastAsia="Calibri" w:hAnsi="Calibri"/>
                <w:sz w:val="18"/>
                <w:szCs w:val="18"/>
                <w:color w:val="auto"/>
              </w:rPr>
              <w:t>348</w:t>
            </w:r>
          </w:p>
        </w:tc>
        <w:tc>
          <w:tcPr>
            <w:tcW w:w="0" w:type="dxa"/>
            <w:vAlign w:val="bottom"/>
          </w:tcPr>
          <w:p>
            <w:pPr>
              <w:spacing w:after="0"/>
              <w:rPr>
                <w:sz w:val="1"/>
                <w:szCs w:val="1"/>
                <w:color w:val="auto"/>
              </w:rPr>
            </w:pPr>
          </w:p>
        </w:tc>
      </w:tr>
      <w:tr>
        <w:trPr>
          <w:trHeight w:val="217"/>
        </w:trPr>
        <w:tc>
          <w:tcPr>
            <w:tcW w:w="9720" w:type="dxa"/>
            <w:vAlign w:val="bottom"/>
          </w:tcPr>
          <w:p>
            <w:pPr>
              <w:ind w:left="20"/>
              <w:spacing w:after="0" w:line="210" w:lineRule="exact"/>
              <w:rPr>
                <w:sz w:val="20"/>
                <w:szCs w:val="20"/>
                <w:color w:val="auto"/>
              </w:rPr>
            </w:pPr>
            <w:r>
              <w:rPr>
                <w:rFonts w:ascii="Calibri" w:cs="Calibri" w:eastAsia="Calibri" w:hAnsi="Calibri"/>
                <w:sz w:val="18"/>
                <w:szCs w:val="18"/>
                <w:color w:val="auto"/>
              </w:rPr>
              <w:t>2027</w:t>
            </w:r>
          </w:p>
        </w:tc>
        <w:tc>
          <w:tcPr>
            <w:tcW w:w="240" w:type="dxa"/>
            <w:vAlign w:val="bottom"/>
          </w:tcPr>
          <w:p>
            <w:pPr>
              <w:spacing w:after="0"/>
              <w:rPr>
                <w:sz w:val="18"/>
                <w:szCs w:val="18"/>
                <w:color w:val="auto"/>
              </w:rPr>
            </w:pPr>
          </w:p>
        </w:tc>
        <w:tc>
          <w:tcPr>
            <w:tcW w:w="1180" w:type="dxa"/>
            <w:vAlign w:val="bottom"/>
          </w:tcPr>
          <w:p>
            <w:pPr>
              <w:jc w:val="right"/>
              <w:spacing w:after="0" w:line="210" w:lineRule="exact"/>
              <w:rPr>
                <w:sz w:val="20"/>
                <w:szCs w:val="20"/>
                <w:color w:val="auto"/>
              </w:rPr>
            </w:pPr>
            <w:r>
              <w:rPr>
                <w:rFonts w:ascii="Calibri" w:cs="Calibri" w:eastAsia="Calibri" w:hAnsi="Calibri"/>
                <w:sz w:val="18"/>
                <w:szCs w:val="18"/>
                <w:color w:val="auto"/>
              </w:rPr>
              <w:t>222</w:t>
            </w:r>
          </w:p>
        </w:tc>
        <w:tc>
          <w:tcPr>
            <w:tcW w:w="0" w:type="dxa"/>
            <w:vAlign w:val="bottom"/>
          </w:tcPr>
          <w:p>
            <w:pPr>
              <w:spacing w:after="0"/>
              <w:rPr>
                <w:sz w:val="1"/>
                <w:szCs w:val="1"/>
                <w:color w:val="auto"/>
              </w:rPr>
            </w:pPr>
          </w:p>
        </w:tc>
      </w:tr>
      <w:tr>
        <w:trPr>
          <w:trHeight w:val="232"/>
        </w:trPr>
        <w:tc>
          <w:tcPr>
            <w:tcW w:w="9720" w:type="dxa"/>
            <w:vAlign w:val="bottom"/>
            <w:shd w:val="clear" w:color="auto" w:fill="CCEEFF"/>
          </w:tcPr>
          <w:p>
            <w:pPr>
              <w:ind w:left="20"/>
              <w:spacing w:after="0" w:line="217" w:lineRule="exact"/>
              <w:rPr>
                <w:sz w:val="20"/>
                <w:szCs w:val="20"/>
                <w:color w:val="auto"/>
              </w:rPr>
            </w:pPr>
            <w:r>
              <w:rPr>
                <w:rFonts w:ascii="Calibri" w:cs="Calibri" w:eastAsia="Calibri" w:hAnsi="Calibri"/>
                <w:sz w:val="18"/>
                <w:szCs w:val="18"/>
                <w:color w:val="auto"/>
              </w:rPr>
              <w:t>2028</w:t>
            </w:r>
          </w:p>
        </w:tc>
        <w:tc>
          <w:tcPr>
            <w:tcW w:w="24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line="217" w:lineRule="exact"/>
              <w:rPr>
                <w:sz w:val="20"/>
                <w:szCs w:val="20"/>
                <w:color w:val="auto"/>
              </w:rPr>
            </w:pPr>
            <w:r>
              <w:rPr>
                <w:rFonts w:ascii="Calibri" w:cs="Calibri" w:eastAsia="Calibri" w:hAnsi="Calibri"/>
                <w:sz w:val="18"/>
                <w:szCs w:val="18"/>
                <w:color w:val="auto"/>
              </w:rPr>
              <w:t>69</w:t>
            </w:r>
          </w:p>
        </w:tc>
        <w:tc>
          <w:tcPr>
            <w:tcW w:w="0" w:type="dxa"/>
            <w:vAlign w:val="bottom"/>
          </w:tcPr>
          <w:p>
            <w:pPr>
              <w:spacing w:after="0"/>
              <w:rPr>
                <w:sz w:val="1"/>
                <w:szCs w:val="1"/>
                <w:color w:val="auto"/>
              </w:rPr>
            </w:pPr>
          </w:p>
        </w:tc>
      </w:tr>
      <w:tr>
        <w:trPr>
          <w:trHeight w:val="218"/>
        </w:trPr>
        <w:tc>
          <w:tcPr>
            <w:tcW w:w="9720" w:type="dxa"/>
            <w:vAlign w:val="bottom"/>
            <w:tcBorders>
              <w:bottom w:val="single" w:sz="8" w:color="CCEEFF"/>
            </w:tcBorders>
          </w:tcPr>
          <w:p>
            <w:pPr>
              <w:ind w:left="20"/>
              <w:spacing w:after="0" w:line="210" w:lineRule="exact"/>
              <w:rPr>
                <w:sz w:val="20"/>
                <w:szCs w:val="20"/>
                <w:color w:val="auto"/>
              </w:rPr>
            </w:pPr>
            <w:r>
              <w:rPr>
                <w:rFonts w:ascii="Calibri" w:cs="Calibri" w:eastAsia="Calibri" w:hAnsi="Calibri"/>
                <w:sz w:val="18"/>
                <w:szCs w:val="18"/>
                <w:color w:val="auto"/>
              </w:rPr>
              <w:t>Thereafer</w:t>
            </w:r>
          </w:p>
        </w:tc>
        <w:tc>
          <w:tcPr>
            <w:tcW w:w="2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line="210" w:lineRule="exact"/>
              <w:rPr>
                <w:sz w:val="20"/>
                <w:szCs w:val="20"/>
                <w:color w:val="auto"/>
              </w:rPr>
            </w:pPr>
            <w:r>
              <w:rPr>
                <w:rFonts w:ascii="Calibri" w:cs="Calibri" w:eastAsia="Calibri" w:hAnsi="Calibri"/>
                <w:sz w:val="18"/>
                <w:szCs w:val="18"/>
                <w:color w:val="auto"/>
              </w:rPr>
              <w:t>141</w:t>
            </w:r>
          </w:p>
        </w:tc>
        <w:tc>
          <w:tcPr>
            <w:tcW w:w="0" w:type="dxa"/>
            <w:vAlign w:val="bottom"/>
          </w:tcPr>
          <w:p>
            <w:pPr>
              <w:spacing w:after="0"/>
              <w:rPr>
                <w:sz w:val="1"/>
                <w:szCs w:val="1"/>
                <w:color w:val="auto"/>
              </w:rPr>
            </w:pPr>
          </w:p>
        </w:tc>
      </w:tr>
      <w:tr>
        <w:trPr>
          <w:trHeight w:val="249"/>
        </w:trPr>
        <w:tc>
          <w:tcPr>
            <w:tcW w:w="9720" w:type="dxa"/>
            <w:vAlign w:val="bottom"/>
            <w:tcBorders>
              <w:bottom w:val="single" w:sz="8" w:color="CCEEFF"/>
            </w:tcBorders>
            <w:shd w:val="clear" w:color="auto" w:fill="CCEEFF"/>
          </w:tcPr>
          <w:p>
            <w:pPr>
              <w:ind w:left="140"/>
              <w:spacing w:after="0"/>
              <w:rPr>
                <w:sz w:val="20"/>
                <w:szCs w:val="20"/>
                <w:color w:val="auto"/>
              </w:rPr>
            </w:pPr>
            <w:r>
              <w:rPr>
                <w:rFonts w:ascii="Calibri" w:cs="Calibri" w:eastAsia="Calibri" w:hAnsi="Calibri"/>
                <w:sz w:val="18"/>
                <w:szCs w:val="18"/>
                <w:color w:val="auto"/>
              </w:rPr>
              <w:t>Total</w:t>
            </w:r>
          </w:p>
        </w:tc>
        <w:tc>
          <w:tcPr>
            <w:tcW w:w="240" w:type="dxa"/>
            <w:vAlign w:val="bottom"/>
            <w:tcBorders>
              <w:bottom w:val="single" w:sz="8" w:color="auto"/>
            </w:tcBorders>
            <w:shd w:val="clear" w:color="auto" w:fill="CCEEFF"/>
          </w:tcPr>
          <w:p>
            <w:pPr>
              <w:jc w:val="right"/>
              <w:ind w:right="38"/>
              <w:spacing w:after="0" w:line="210" w:lineRule="exact"/>
              <w:rPr>
                <w:sz w:val="20"/>
                <w:szCs w:val="20"/>
                <w:color w:val="auto"/>
              </w:rPr>
            </w:pPr>
            <w:r>
              <w:rPr>
                <w:rFonts w:ascii="Calibri" w:cs="Calibri" w:eastAsia="Calibri" w:hAnsi="Calibri"/>
                <w:sz w:val="18"/>
                <w:szCs w:val="18"/>
                <w:color w:val="auto"/>
              </w:rPr>
              <w:t>$</w:t>
            </w:r>
          </w:p>
        </w:tc>
        <w:tc>
          <w:tcPr>
            <w:tcW w:w="1180" w:type="dxa"/>
            <w:vAlign w:val="bottom"/>
            <w:tcBorders>
              <w:bottom w:val="single" w:sz="8" w:color="auto"/>
            </w:tcBorders>
            <w:shd w:val="clear" w:color="auto" w:fill="CCEEFF"/>
          </w:tcPr>
          <w:p>
            <w:pPr>
              <w:jc w:val="right"/>
              <w:spacing w:after="0" w:line="210" w:lineRule="exact"/>
              <w:rPr>
                <w:sz w:val="20"/>
                <w:szCs w:val="20"/>
                <w:color w:val="auto"/>
              </w:rPr>
            </w:pPr>
            <w:r>
              <w:rPr>
                <w:rFonts w:ascii="Calibri" w:cs="Calibri" w:eastAsia="Calibri" w:hAnsi="Calibri"/>
                <w:sz w:val="18"/>
                <w:szCs w:val="18"/>
                <w:color w:val="auto"/>
              </w:rPr>
              <w:t>3,857</w:t>
            </w:r>
          </w:p>
        </w:tc>
        <w:tc>
          <w:tcPr>
            <w:tcW w:w="0" w:type="dxa"/>
            <w:vAlign w:val="bottom"/>
          </w:tcPr>
          <w:p>
            <w:pPr>
              <w:spacing w:after="0"/>
              <w:rPr>
                <w:sz w:val="1"/>
                <w:szCs w:val="1"/>
                <w:color w:val="auto"/>
              </w:rPr>
            </w:pPr>
          </w:p>
        </w:tc>
      </w:tr>
      <w:tr>
        <w:trPr>
          <w:trHeight w:val="20"/>
        </w:trPr>
        <w:tc>
          <w:tcPr>
            <w:tcW w:w="97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8" w:lineRule="exact"/>
        <w:rPr>
          <w:sz w:val="20"/>
          <w:szCs w:val="20"/>
          <w:color w:val="auto"/>
        </w:rPr>
      </w:pPr>
    </w:p>
    <w:p>
      <w:pPr>
        <w:ind w:left="400"/>
        <w:spacing w:after="0"/>
        <w:rPr>
          <w:sz w:val="20"/>
          <w:szCs w:val="20"/>
          <w:color w:val="auto"/>
        </w:rPr>
      </w:pPr>
      <w:r>
        <w:rPr>
          <w:rFonts w:ascii="Calibri" w:cs="Calibri" w:eastAsia="Calibri" w:hAnsi="Calibri"/>
          <w:sz w:val="18"/>
          <w:szCs w:val="18"/>
          <w:color w:val="auto"/>
        </w:rPr>
        <w:t>The weighted-average remaining amortzaton periods by intangible asset category were as follows: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760" w:type="dxa"/>
            <w:vAlign w:val="bottom"/>
            <w:vMerge w:val="restart"/>
          </w:tcPr>
          <w:p>
            <w:pPr>
              <w:ind w:left="20"/>
              <w:spacing w:after="0"/>
              <w:rPr>
                <w:sz w:val="20"/>
                <w:szCs w:val="20"/>
                <w:color w:val="auto"/>
              </w:rPr>
            </w:pPr>
            <w:r>
              <w:rPr>
                <w:rFonts w:ascii="Calibri" w:cs="Calibri" w:eastAsia="Calibri" w:hAnsi="Calibri"/>
                <w:sz w:val="18"/>
                <w:szCs w:val="18"/>
                <w:b w:val="1"/>
                <w:bCs w:val="1"/>
                <w:color w:val="auto"/>
              </w:rPr>
              <w:t>Amortzable intangible assets:</w:t>
            </w:r>
          </w:p>
        </w:tc>
        <w:tc>
          <w:tcPr>
            <w:tcW w:w="8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gridSpan w:val="3"/>
          </w:tcPr>
          <w:p>
            <w:pPr>
              <w:jc w:val="center"/>
              <w:ind w:right="520"/>
              <w:spacing w:after="0"/>
              <w:rPr>
                <w:sz w:val="20"/>
                <w:szCs w:val="20"/>
                <w:color w:val="auto"/>
              </w:rPr>
            </w:pPr>
            <w:r>
              <w:rPr>
                <w:rFonts w:ascii="Calibri" w:cs="Calibri" w:eastAsia="Calibri" w:hAnsi="Calibri"/>
                <w:sz w:val="14"/>
                <w:szCs w:val="14"/>
                <w:b w:val="1"/>
                <w:bCs w:val="1"/>
                <w:color w:val="auto"/>
                <w:w w:val="99"/>
              </w:rPr>
              <w:t>October 29,</w:t>
            </w: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gridSpan w:val="2"/>
          </w:tcPr>
          <w:p>
            <w:pPr>
              <w:jc w:val="right"/>
              <w:ind w:right="400"/>
              <w:spacing w:after="0"/>
              <w:rPr>
                <w:sz w:val="20"/>
                <w:szCs w:val="20"/>
                <w:color w:val="auto"/>
              </w:rPr>
            </w:pPr>
            <w:r>
              <w:rPr>
                <w:rFonts w:ascii="Calibri" w:cs="Calibri" w:eastAsia="Calibri" w:hAnsi="Calibri"/>
                <w:sz w:val="14"/>
                <w:szCs w:val="14"/>
                <w:b w:val="1"/>
                <w:bCs w:val="1"/>
                <w:color w:val="auto"/>
              </w:rPr>
              <w:t>October 30,</w:t>
            </w:r>
          </w:p>
        </w:tc>
        <w:tc>
          <w:tcPr>
            <w:tcW w:w="0" w:type="dxa"/>
            <w:vAlign w:val="bottom"/>
          </w:tcPr>
          <w:p>
            <w:pPr>
              <w:spacing w:after="0"/>
              <w:rPr>
                <w:sz w:val="1"/>
                <w:szCs w:val="1"/>
                <w:color w:val="auto"/>
              </w:rPr>
            </w:pPr>
          </w:p>
        </w:tc>
      </w:tr>
      <w:tr>
        <w:trPr>
          <w:trHeight w:val="189"/>
        </w:trPr>
        <w:tc>
          <w:tcPr>
            <w:tcW w:w="6760" w:type="dxa"/>
            <w:vAlign w:val="bottom"/>
            <w:vMerge w:val="continue"/>
          </w:tcPr>
          <w:p>
            <w:pPr>
              <w:spacing w:after="0"/>
              <w:rPr>
                <w:sz w:val="16"/>
                <w:szCs w:val="16"/>
                <w:color w:val="auto"/>
              </w:rPr>
            </w:pPr>
          </w:p>
        </w:tc>
        <w:tc>
          <w:tcPr>
            <w:tcW w:w="8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jc w:val="right"/>
              <w:ind w:right="459"/>
              <w:spacing w:after="0" w:line="168" w:lineRule="exact"/>
              <w:rPr>
                <w:sz w:val="20"/>
                <w:szCs w:val="20"/>
                <w:color w:val="auto"/>
              </w:rPr>
            </w:pPr>
            <w:r>
              <w:rPr>
                <w:rFonts w:ascii="Calibri" w:cs="Calibri" w:eastAsia="Calibri" w:hAnsi="Calibri"/>
                <w:sz w:val="14"/>
                <w:szCs w:val="14"/>
                <w:b w:val="1"/>
                <w:bCs w:val="1"/>
                <w:color w:val="auto"/>
              </w:rPr>
              <w:t>2023</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tcPr>
          <w:p>
            <w:pPr>
              <w:jc w:val="right"/>
              <w:ind w:right="415"/>
              <w:spacing w:after="0" w:line="168" w:lineRule="exact"/>
              <w:rPr>
                <w:sz w:val="20"/>
                <w:szCs w:val="20"/>
                <w:color w:val="auto"/>
              </w:rPr>
            </w:pPr>
            <w:r>
              <w:rPr>
                <w:rFonts w:ascii="Calibri" w:cs="Calibri" w:eastAsia="Calibri" w:hAnsi="Calibri"/>
                <w:sz w:val="14"/>
                <w:szCs w:val="14"/>
                <w:b w:val="1"/>
                <w:bCs w:val="1"/>
                <w:color w:val="auto"/>
              </w:rPr>
              <w:t>2022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67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6"/>
        </w:trPr>
        <w:tc>
          <w:tcPr>
            <w:tcW w:w="67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20" w:type="dxa"/>
            <w:vAlign w:val="bottom"/>
            <w:gridSpan w:val="5"/>
          </w:tcPr>
          <w:p>
            <w:pPr>
              <w:jc w:val="right"/>
              <w:ind w:right="140"/>
              <w:spacing w:after="0"/>
              <w:rPr>
                <w:sz w:val="20"/>
                <w:szCs w:val="20"/>
                <w:color w:val="auto"/>
              </w:rPr>
            </w:pPr>
            <w:r>
              <w:rPr>
                <w:rFonts w:ascii="Calibri" w:cs="Calibri" w:eastAsia="Calibri" w:hAnsi="Calibri"/>
                <w:sz w:val="14"/>
                <w:szCs w:val="14"/>
                <w:b w:val="1"/>
                <w:bCs w:val="1"/>
                <w:color w:val="auto"/>
              </w:rPr>
              <w:t>(In years)</w:t>
            </w: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760" w:type="dxa"/>
            <w:vAlign w:val="bottom"/>
          </w:tcPr>
          <w:p>
            <w:pPr>
              <w:spacing w:after="0"/>
              <w:rPr>
                <w:sz w:val="3"/>
                <w:szCs w:val="3"/>
                <w:color w:val="auto"/>
              </w:rPr>
            </w:pPr>
          </w:p>
        </w:tc>
        <w:tc>
          <w:tcPr>
            <w:tcW w:w="86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4"/>
        </w:trPr>
        <w:tc>
          <w:tcPr>
            <w:tcW w:w="6760" w:type="dxa"/>
            <w:vAlign w:val="bottom"/>
            <w:shd w:val="clear" w:color="auto" w:fill="CCEEFF"/>
          </w:tcPr>
          <w:p>
            <w:pPr>
              <w:ind w:left="20"/>
              <w:spacing w:after="0" w:line="210" w:lineRule="exact"/>
              <w:rPr>
                <w:sz w:val="20"/>
                <w:szCs w:val="20"/>
                <w:color w:val="auto"/>
              </w:rPr>
            </w:pPr>
            <w:r>
              <w:rPr>
                <w:rFonts w:ascii="Calibri" w:cs="Calibri" w:eastAsia="Calibri" w:hAnsi="Calibri"/>
                <w:sz w:val="18"/>
                <w:szCs w:val="18"/>
                <w:color w:val="auto"/>
              </w:rPr>
              <w:t>Purchased technology</w:t>
            </w:r>
          </w:p>
        </w:tc>
        <w:tc>
          <w:tcPr>
            <w:tcW w:w="8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center"/>
              <w:ind w:left="879"/>
              <w:spacing w:after="0" w:line="210" w:lineRule="exact"/>
              <w:rPr>
                <w:sz w:val="20"/>
                <w:szCs w:val="20"/>
                <w:color w:val="auto"/>
              </w:rPr>
            </w:pPr>
            <w:r>
              <w:rPr>
                <w:rFonts w:ascii="Calibri" w:cs="Calibri" w:eastAsia="Calibri" w:hAnsi="Calibri"/>
                <w:sz w:val="18"/>
                <w:szCs w:val="18"/>
                <w:color w:val="auto"/>
              </w:rPr>
              <w:t>3</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line="210" w:lineRule="exact"/>
              <w:rPr>
                <w:sz w:val="20"/>
                <w:szCs w:val="20"/>
                <w:color w:val="auto"/>
              </w:rPr>
            </w:pPr>
            <w:r>
              <w:rPr>
                <w:rFonts w:ascii="Calibri" w:cs="Calibri" w:eastAsia="Calibri" w:hAnsi="Calibri"/>
                <w:sz w:val="18"/>
                <w:szCs w:val="18"/>
                <w:color w:val="auto"/>
              </w:rPr>
              <w:t>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6760" w:type="dxa"/>
            <w:vAlign w:val="bottom"/>
          </w:tcPr>
          <w:p>
            <w:pPr>
              <w:ind w:left="20"/>
              <w:spacing w:after="0" w:line="210" w:lineRule="exact"/>
              <w:rPr>
                <w:sz w:val="20"/>
                <w:szCs w:val="20"/>
                <w:color w:val="auto"/>
              </w:rPr>
            </w:pPr>
            <w:r>
              <w:rPr>
                <w:rFonts w:ascii="Calibri" w:cs="Calibri" w:eastAsia="Calibri" w:hAnsi="Calibri"/>
                <w:sz w:val="18"/>
                <w:szCs w:val="18"/>
                <w:color w:val="auto"/>
              </w:rPr>
              <w:t>Customer contracts and related relatonships</w:t>
            </w:r>
          </w:p>
        </w:tc>
        <w:tc>
          <w:tcPr>
            <w:tcW w:w="8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center"/>
              <w:ind w:left="879"/>
              <w:spacing w:after="0" w:line="210" w:lineRule="exact"/>
              <w:rPr>
                <w:sz w:val="20"/>
                <w:szCs w:val="20"/>
                <w:color w:val="auto"/>
              </w:rPr>
            </w:pPr>
            <w:r>
              <w:rPr>
                <w:rFonts w:ascii="Calibri" w:cs="Calibri" w:eastAsia="Calibri" w:hAnsi="Calibri"/>
                <w:sz w:val="18"/>
                <w:szCs w:val="18"/>
                <w:color w:val="auto"/>
              </w:rPr>
              <w:t>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right"/>
              <w:spacing w:after="0" w:line="210" w:lineRule="exact"/>
              <w:rPr>
                <w:sz w:val="20"/>
                <w:szCs w:val="20"/>
                <w:color w:val="auto"/>
              </w:rPr>
            </w:pPr>
            <w:r>
              <w:rPr>
                <w:rFonts w:ascii="Calibri" w:cs="Calibri" w:eastAsia="Calibri" w:hAnsi="Calibri"/>
                <w:sz w:val="18"/>
                <w:szCs w:val="18"/>
                <w:color w:val="auto"/>
              </w:rPr>
              <w:t>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6760" w:type="dxa"/>
            <w:vAlign w:val="bottom"/>
            <w:shd w:val="clear" w:color="auto" w:fill="CCEEFF"/>
          </w:tcPr>
          <w:p>
            <w:pPr>
              <w:ind w:left="20"/>
              <w:spacing w:after="0" w:line="217" w:lineRule="exact"/>
              <w:rPr>
                <w:sz w:val="20"/>
                <w:szCs w:val="20"/>
                <w:color w:val="auto"/>
              </w:rPr>
            </w:pPr>
            <w:r>
              <w:rPr>
                <w:rFonts w:ascii="Calibri" w:cs="Calibri" w:eastAsia="Calibri" w:hAnsi="Calibri"/>
                <w:sz w:val="18"/>
                <w:szCs w:val="18"/>
                <w:color w:val="auto"/>
              </w:rPr>
              <w:t>Order backlog</w:t>
            </w:r>
          </w:p>
        </w:tc>
        <w:tc>
          <w:tcPr>
            <w:tcW w:w="86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60" w:type="dxa"/>
            <w:vAlign w:val="bottom"/>
            <w:gridSpan w:val="3"/>
            <w:shd w:val="clear" w:color="auto" w:fill="CCEEFF"/>
          </w:tcPr>
          <w:p>
            <w:pPr>
              <w:jc w:val="center"/>
              <w:ind w:left="679"/>
              <w:spacing w:after="0" w:line="232" w:lineRule="exact"/>
              <w:rPr>
                <w:sz w:val="20"/>
                <w:szCs w:val="20"/>
                <w:color w:val="auto"/>
              </w:rPr>
            </w:pPr>
            <w:r>
              <w:rPr>
                <w:rFonts w:ascii="Calibri" w:cs="Calibri" w:eastAsia="Calibri" w:hAnsi="Calibri"/>
                <w:sz w:val="25"/>
                <w:szCs w:val="25"/>
                <w:color w:val="auto"/>
                <w:vertAlign w:val="subscript"/>
              </w:rPr>
              <w:t>—</w:t>
            </w:r>
            <w:r>
              <w:rPr>
                <w:rFonts w:ascii="Calibri" w:cs="Calibri" w:eastAsia="Calibri" w:hAnsi="Calibri"/>
                <w:sz w:val="10"/>
                <w:szCs w:val="10"/>
                <w:color w:val="auto"/>
              </w:rPr>
              <w:t xml:space="preserve"> (a)</w:t>
            </w:r>
          </w:p>
        </w:tc>
        <w:tc>
          <w:tcPr>
            <w:tcW w:w="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line="217" w:lineRule="exact"/>
              <w:rPr>
                <w:sz w:val="20"/>
                <w:szCs w:val="20"/>
                <w:color w:val="auto"/>
              </w:rPr>
            </w:pPr>
            <w:r>
              <w:rPr>
                <w:rFonts w:ascii="Calibri" w:cs="Calibri" w:eastAsia="Calibri" w:hAnsi="Calibri"/>
                <w:sz w:val="18"/>
                <w:szCs w:val="18"/>
                <w:color w:val="auto"/>
              </w:rPr>
              <w:t>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7"/>
        </w:trPr>
        <w:tc>
          <w:tcPr>
            <w:tcW w:w="6760" w:type="dxa"/>
            <w:vAlign w:val="bottom"/>
          </w:tcPr>
          <w:p>
            <w:pPr>
              <w:ind w:left="20"/>
              <w:spacing w:after="0" w:line="210" w:lineRule="exact"/>
              <w:rPr>
                <w:sz w:val="20"/>
                <w:szCs w:val="20"/>
                <w:color w:val="auto"/>
              </w:rPr>
            </w:pPr>
            <w:r>
              <w:rPr>
                <w:rFonts w:ascii="Calibri" w:cs="Calibri" w:eastAsia="Calibri" w:hAnsi="Calibri"/>
                <w:sz w:val="18"/>
                <w:szCs w:val="18"/>
                <w:color w:val="auto"/>
              </w:rPr>
              <w:t>Trade names</w:t>
            </w:r>
          </w:p>
        </w:tc>
        <w:tc>
          <w:tcPr>
            <w:tcW w:w="8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center"/>
              <w:ind w:left="879"/>
              <w:spacing w:after="0" w:line="210" w:lineRule="exact"/>
              <w:rPr>
                <w:sz w:val="20"/>
                <w:szCs w:val="20"/>
                <w:color w:val="auto"/>
              </w:rPr>
            </w:pPr>
            <w:r>
              <w:rPr>
                <w:rFonts w:ascii="Calibri" w:cs="Calibri" w:eastAsia="Calibri" w:hAnsi="Calibri"/>
                <w:sz w:val="18"/>
                <w:szCs w:val="18"/>
                <w:color w:val="auto"/>
              </w:rPr>
              <w:t>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right"/>
              <w:spacing w:after="0" w:line="210" w:lineRule="exact"/>
              <w:rPr>
                <w:sz w:val="20"/>
                <w:szCs w:val="20"/>
                <w:color w:val="auto"/>
              </w:rPr>
            </w:pPr>
            <w:r>
              <w:rPr>
                <w:rFonts w:ascii="Calibri" w:cs="Calibri" w:eastAsia="Calibri" w:hAnsi="Calibri"/>
                <w:sz w:val="18"/>
                <w:szCs w:val="18"/>
                <w:color w:val="auto"/>
              </w:rPr>
              <w:t>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6760" w:type="dxa"/>
            <w:vAlign w:val="bottom"/>
            <w:shd w:val="clear" w:color="auto" w:fill="CCEEFF"/>
          </w:tcPr>
          <w:p>
            <w:pPr>
              <w:ind w:left="20"/>
              <w:spacing w:after="0" w:line="217" w:lineRule="exact"/>
              <w:rPr>
                <w:sz w:val="20"/>
                <w:szCs w:val="20"/>
                <w:color w:val="auto"/>
              </w:rPr>
            </w:pPr>
            <w:r>
              <w:rPr>
                <w:rFonts w:ascii="Calibri" w:cs="Calibri" w:eastAsia="Calibri" w:hAnsi="Calibri"/>
                <w:sz w:val="18"/>
                <w:szCs w:val="18"/>
                <w:color w:val="auto"/>
              </w:rPr>
              <w:t>Other</w:t>
            </w:r>
          </w:p>
        </w:tc>
        <w:tc>
          <w:tcPr>
            <w:tcW w:w="86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00" w:type="dxa"/>
            <w:vAlign w:val="bottom"/>
            <w:shd w:val="clear" w:color="auto" w:fill="CCEEFF"/>
          </w:tcPr>
          <w:p>
            <w:pPr>
              <w:jc w:val="center"/>
              <w:ind w:left="879"/>
              <w:spacing w:after="0" w:line="217" w:lineRule="exact"/>
              <w:rPr>
                <w:sz w:val="20"/>
                <w:szCs w:val="20"/>
                <w:color w:val="auto"/>
              </w:rPr>
            </w:pPr>
            <w:r>
              <w:rPr>
                <w:rFonts w:ascii="Calibri" w:cs="Calibri" w:eastAsia="Calibri" w:hAnsi="Calibri"/>
                <w:sz w:val="18"/>
                <w:szCs w:val="18"/>
                <w:color w:val="auto"/>
              </w:rPr>
              <w:t>8</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line="217" w:lineRule="exact"/>
              <w:rPr>
                <w:sz w:val="20"/>
                <w:szCs w:val="20"/>
                <w:color w:val="auto"/>
              </w:rPr>
            </w:pPr>
            <w:r>
              <w:rPr>
                <w:rFonts w:ascii="Calibri" w:cs="Calibri" w:eastAsia="Calibri" w:hAnsi="Calibri"/>
                <w:sz w:val="18"/>
                <w:szCs w:val="18"/>
                <w:color w:val="auto"/>
              </w:rPr>
              <w:t>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4"/>
        </w:trPr>
        <w:tc>
          <w:tcPr>
            <w:tcW w:w="6760" w:type="dxa"/>
            <w:vAlign w:val="bottom"/>
          </w:tcPr>
          <w:p>
            <w:pPr>
              <w:spacing w:after="0"/>
              <w:rPr>
                <w:sz w:val="20"/>
                <w:szCs w:val="20"/>
                <w:color w:val="auto"/>
              </w:rPr>
            </w:pPr>
            <w:r>
              <w:rPr>
                <w:rFonts w:ascii="Calibri" w:cs="Calibri" w:eastAsia="Calibri" w:hAnsi="Calibri"/>
                <w:sz w:val="18"/>
                <w:szCs w:val="18"/>
                <w:color w:val="auto"/>
              </w:rPr>
              <w:t>(a) Represents less than one year.</w:t>
            </w:r>
          </w:p>
        </w:tc>
        <w:tc>
          <w:tcPr>
            <w:tcW w:w="8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7"/>
        </w:trPr>
        <w:tc>
          <w:tcPr>
            <w:tcW w:w="6760" w:type="dxa"/>
            <w:vAlign w:val="bottom"/>
          </w:tcPr>
          <w:p>
            <w:pPr>
              <w:spacing w:after="0"/>
              <w:rPr>
                <w:sz w:val="20"/>
                <w:szCs w:val="20"/>
                <w:color w:val="auto"/>
              </w:rPr>
            </w:pPr>
            <w:r>
              <w:rPr>
                <w:rFonts w:ascii="Calibri" w:cs="Calibri" w:eastAsia="Calibri" w:hAnsi="Calibri"/>
                <w:sz w:val="18"/>
                <w:szCs w:val="18"/>
                <w:b w:val="1"/>
                <w:bCs w:val="1"/>
                <w:color w:val="auto"/>
              </w:rPr>
              <w:t>7. Net Income Per Share</w:t>
            </w:r>
          </w:p>
        </w:tc>
        <w:tc>
          <w:tcPr>
            <w:tcW w:w="8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7"/>
        </w:trPr>
        <w:tc>
          <w:tcPr>
            <w:tcW w:w="67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60" w:type="dxa"/>
            <w:vAlign w:val="bottom"/>
            <w:gridSpan w:val="3"/>
          </w:tcPr>
          <w:p>
            <w:pPr>
              <w:jc w:val="center"/>
              <w:ind w:right="280"/>
              <w:spacing w:after="0"/>
              <w:rPr>
                <w:sz w:val="20"/>
                <w:szCs w:val="20"/>
                <w:color w:val="auto"/>
              </w:rPr>
            </w:pPr>
            <w:r>
              <w:rPr>
                <w:rFonts w:ascii="Calibri" w:cs="Calibri" w:eastAsia="Calibri" w:hAnsi="Calibri"/>
                <w:sz w:val="14"/>
                <w:szCs w:val="14"/>
                <w:b w:val="1"/>
                <w:bCs w:val="1"/>
                <w:color w:val="auto"/>
                <w:w w:val="98"/>
              </w:rPr>
              <w:t>Fiscal Year</w:t>
            </w: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
        </w:trPr>
        <w:tc>
          <w:tcPr>
            <w:tcW w:w="6760" w:type="dxa"/>
            <w:vAlign w:val="bottom"/>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1"/>
        </w:trPr>
        <w:tc>
          <w:tcPr>
            <w:tcW w:w="6760" w:type="dxa"/>
            <w:vAlign w:val="bottom"/>
          </w:tcPr>
          <w:p>
            <w:pPr>
              <w:spacing w:after="0"/>
              <w:rPr>
                <w:sz w:val="13"/>
                <w:szCs w:val="13"/>
                <w:color w:val="auto"/>
              </w:rPr>
            </w:pPr>
          </w:p>
        </w:tc>
        <w:tc>
          <w:tcPr>
            <w:tcW w:w="860" w:type="dxa"/>
            <w:vAlign w:val="bottom"/>
          </w:tcPr>
          <w:p>
            <w:pPr>
              <w:jc w:val="right"/>
              <w:spacing w:after="0" w:line="161" w:lineRule="exact"/>
              <w:rPr>
                <w:sz w:val="20"/>
                <w:szCs w:val="20"/>
                <w:color w:val="auto"/>
              </w:rPr>
            </w:pPr>
            <w:r>
              <w:rPr>
                <w:rFonts w:ascii="Calibri" w:cs="Calibri" w:eastAsia="Calibri" w:hAnsi="Calibri"/>
                <w:sz w:val="14"/>
                <w:szCs w:val="14"/>
                <w:b w:val="1"/>
                <w:bCs w:val="1"/>
                <w:color w:val="auto"/>
              </w:rPr>
              <w:t>2023</w:t>
            </w:r>
          </w:p>
        </w:tc>
        <w:tc>
          <w:tcPr>
            <w:tcW w:w="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00" w:type="dxa"/>
            <w:vAlign w:val="bottom"/>
          </w:tcPr>
          <w:p>
            <w:pPr>
              <w:jc w:val="center"/>
              <w:spacing w:after="0" w:line="161" w:lineRule="exact"/>
              <w:rPr>
                <w:sz w:val="20"/>
                <w:szCs w:val="20"/>
                <w:color w:val="auto"/>
              </w:rPr>
            </w:pPr>
            <w:r>
              <w:rPr>
                <w:rFonts w:ascii="Calibri" w:cs="Calibri" w:eastAsia="Calibri" w:hAnsi="Calibri"/>
                <w:sz w:val="14"/>
                <w:szCs w:val="14"/>
                <w:b w:val="1"/>
                <w:bCs w:val="1"/>
                <w:color w:val="auto"/>
                <w:w w:val="98"/>
              </w:rPr>
              <w:t>2022</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60" w:type="dxa"/>
            <w:vAlign w:val="bottom"/>
          </w:tcPr>
          <w:p>
            <w:pPr>
              <w:jc w:val="right"/>
              <w:ind w:right="375"/>
              <w:spacing w:after="0" w:line="161" w:lineRule="exact"/>
              <w:rPr>
                <w:sz w:val="20"/>
                <w:szCs w:val="20"/>
                <w:color w:val="auto"/>
              </w:rPr>
            </w:pPr>
            <w:r>
              <w:rPr>
                <w:rFonts w:ascii="Calibri" w:cs="Calibri" w:eastAsia="Calibri" w:hAnsi="Calibri"/>
                <w:sz w:val="14"/>
                <w:szCs w:val="14"/>
                <w:b w:val="1"/>
                <w:bCs w:val="1"/>
                <w:color w:val="auto"/>
              </w:rPr>
              <w:t>2021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
        </w:trPr>
        <w:tc>
          <w:tcPr>
            <w:tcW w:w="676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gridSpan w:val="2"/>
          </w:tcPr>
          <w:p>
            <w:pPr>
              <w:spacing w:after="0"/>
              <w:rPr>
                <w:sz w:val="2"/>
                <w:szCs w:val="2"/>
                <w:color w:val="auto"/>
              </w:rPr>
            </w:pPr>
          </w:p>
        </w:tc>
        <w:tc>
          <w:tcPr>
            <w:tcW w:w="1440" w:type="dxa"/>
            <w:vAlign w:val="bottom"/>
            <w:tcBorders>
              <w:bottom w:val="single" w:sz="8" w:color="auto"/>
            </w:tcBorders>
            <w:gridSpan w:val="3"/>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gridSpan w:val="2"/>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67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460" w:type="dxa"/>
            <w:vAlign w:val="bottom"/>
            <w:gridSpan w:val="9"/>
          </w:tcPr>
          <w:p>
            <w:pPr>
              <w:jc w:val="center"/>
              <w:ind w:left="194"/>
              <w:spacing w:after="0"/>
              <w:rPr>
                <w:sz w:val="20"/>
                <w:szCs w:val="20"/>
                <w:color w:val="auto"/>
              </w:rPr>
            </w:pPr>
            <w:r>
              <w:rPr>
                <w:rFonts w:ascii="Calibri" w:cs="Calibri" w:eastAsia="Calibri" w:hAnsi="Calibri"/>
                <w:sz w:val="14"/>
                <w:szCs w:val="14"/>
                <w:b w:val="1"/>
                <w:bCs w:val="1"/>
                <w:color w:val="auto"/>
              </w:rPr>
              <w:t>(In millions, except per share data)</w:t>
            </w: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8"/>
        </w:trPr>
        <w:tc>
          <w:tcPr>
            <w:tcW w:w="6760" w:type="dxa"/>
            <w:vAlign w:val="bottom"/>
          </w:tcPr>
          <w:p>
            <w:pPr>
              <w:ind w:left="20"/>
              <w:spacing w:after="0"/>
              <w:rPr>
                <w:sz w:val="20"/>
                <w:szCs w:val="20"/>
                <w:color w:val="auto"/>
              </w:rPr>
            </w:pPr>
            <w:r>
              <w:rPr>
                <w:rFonts w:ascii="Calibri" w:cs="Calibri" w:eastAsia="Calibri" w:hAnsi="Calibri"/>
                <w:sz w:val="18"/>
                <w:szCs w:val="18"/>
                <w:b w:val="1"/>
                <w:bCs w:val="1"/>
                <w:color w:val="auto"/>
              </w:rPr>
              <w:t>Numerator:</w:t>
            </w:r>
          </w:p>
        </w:tc>
        <w:tc>
          <w:tcPr>
            <w:tcW w:w="8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
        </w:trPr>
        <w:tc>
          <w:tcPr>
            <w:tcW w:w="67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760" w:type="dxa"/>
            <w:vAlign w:val="bottom"/>
            <w:shd w:val="clear" w:color="auto" w:fill="CCEEFF"/>
          </w:tcPr>
          <w:p>
            <w:pPr>
              <w:ind w:left="20"/>
              <w:spacing w:after="0" w:line="210" w:lineRule="exact"/>
              <w:rPr>
                <w:sz w:val="20"/>
                <w:szCs w:val="20"/>
                <w:color w:val="auto"/>
              </w:rPr>
            </w:pPr>
            <w:r>
              <w:rPr>
                <w:rFonts w:ascii="Calibri" w:cs="Calibri" w:eastAsia="Calibri" w:hAnsi="Calibri"/>
                <w:sz w:val="18"/>
                <w:szCs w:val="18"/>
                <w:color w:val="auto"/>
              </w:rPr>
              <w:t>Net income</w:t>
            </w:r>
          </w:p>
        </w:tc>
        <w:tc>
          <w:tcPr>
            <w:tcW w:w="860" w:type="dxa"/>
            <w:vAlign w:val="bottom"/>
            <w:shd w:val="clear" w:color="auto" w:fill="CCEEFF"/>
          </w:tcPr>
          <w:p>
            <w:pPr>
              <w:jc w:val="right"/>
              <w:ind w:right="676"/>
              <w:spacing w:after="0" w:line="210" w:lineRule="exact"/>
              <w:rPr>
                <w:sz w:val="20"/>
                <w:szCs w:val="20"/>
                <w:color w:val="auto"/>
              </w:rPr>
            </w:pPr>
            <w:r>
              <w:rPr>
                <w:rFonts w:ascii="Calibri" w:cs="Calibri" w:eastAsia="Calibri" w:hAnsi="Calibri"/>
                <w:sz w:val="18"/>
                <w:szCs w:val="18"/>
                <w:color w:val="auto"/>
                <w:w w:val="87"/>
              </w:rPr>
              <w:t>$</w:t>
            </w:r>
          </w:p>
        </w:tc>
        <w:tc>
          <w:tcPr>
            <w:tcW w:w="560" w:type="dxa"/>
            <w:vAlign w:val="bottom"/>
            <w:shd w:val="clear" w:color="auto" w:fill="CCEEFF"/>
          </w:tcPr>
          <w:p>
            <w:pPr>
              <w:jc w:val="right"/>
              <w:spacing w:after="0" w:line="210" w:lineRule="exact"/>
              <w:rPr>
                <w:sz w:val="20"/>
                <w:szCs w:val="20"/>
                <w:color w:val="auto"/>
              </w:rPr>
            </w:pPr>
            <w:r>
              <w:rPr>
                <w:rFonts w:ascii="Calibri" w:cs="Calibri" w:eastAsia="Calibri" w:hAnsi="Calibri"/>
                <w:sz w:val="18"/>
                <w:szCs w:val="18"/>
                <w:color w:val="auto"/>
                <w:w w:val="95"/>
              </w:rPr>
              <w:t>14,082</w:t>
            </w:r>
          </w:p>
        </w:tc>
        <w:tc>
          <w:tcPr>
            <w:tcW w:w="20" w:type="dxa"/>
            <w:vAlign w:val="bottom"/>
            <w:shd w:val="clear" w:color="auto" w:fill="CCEEFF"/>
          </w:tcPr>
          <w:p>
            <w:pPr>
              <w:spacing w:after="0"/>
              <w:rPr>
                <w:sz w:val="19"/>
                <w:szCs w:val="19"/>
                <w:color w:val="auto"/>
              </w:rPr>
            </w:pPr>
          </w:p>
        </w:tc>
        <w:tc>
          <w:tcPr>
            <w:tcW w:w="260" w:type="dxa"/>
            <w:vAlign w:val="bottom"/>
            <w:gridSpan w:val="2"/>
            <w:shd w:val="clear" w:color="auto" w:fill="CCEEFF"/>
          </w:tcPr>
          <w:p>
            <w:pPr>
              <w:jc w:val="right"/>
              <w:spacing w:after="0" w:line="210" w:lineRule="exact"/>
              <w:rPr>
                <w:sz w:val="20"/>
                <w:szCs w:val="20"/>
                <w:color w:val="auto"/>
              </w:rPr>
            </w:pPr>
            <w:r>
              <w:rPr>
                <w:rFonts w:ascii="Calibri" w:cs="Calibri" w:eastAsia="Calibri" w:hAnsi="Calibri"/>
                <w:sz w:val="18"/>
                <w:szCs w:val="18"/>
                <w:color w:val="auto"/>
              </w:rPr>
              <w:t>$</w:t>
            </w:r>
          </w:p>
        </w:tc>
        <w:tc>
          <w:tcPr>
            <w:tcW w:w="1260" w:type="dxa"/>
            <w:vAlign w:val="bottom"/>
            <w:gridSpan w:val="2"/>
            <w:shd w:val="clear" w:color="auto" w:fill="CCEEFF"/>
          </w:tcPr>
          <w:p>
            <w:pPr>
              <w:jc w:val="right"/>
              <w:ind w:right="80"/>
              <w:spacing w:after="0" w:line="210" w:lineRule="exact"/>
              <w:rPr>
                <w:sz w:val="20"/>
                <w:szCs w:val="20"/>
                <w:color w:val="auto"/>
              </w:rPr>
            </w:pPr>
            <w:r>
              <w:rPr>
                <w:rFonts w:ascii="Calibri" w:cs="Calibri" w:eastAsia="Calibri" w:hAnsi="Calibri"/>
                <w:sz w:val="18"/>
                <w:szCs w:val="18"/>
                <w:color w:val="auto"/>
              </w:rPr>
              <w:t>11,495</w:t>
            </w:r>
          </w:p>
        </w:tc>
        <w:tc>
          <w:tcPr>
            <w:tcW w:w="100" w:type="dxa"/>
            <w:vAlign w:val="bottom"/>
            <w:shd w:val="clear" w:color="auto" w:fill="CCEEFF"/>
          </w:tcPr>
          <w:p>
            <w:pPr>
              <w:spacing w:after="0"/>
              <w:rPr>
                <w:sz w:val="19"/>
                <w:szCs w:val="19"/>
                <w:color w:val="auto"/>
              </w:rPr>
            </w:pPr>
          </w:p>
        </w:tc>
        <w:tc>
          <w:tcPr>
            <w:tcW w:w="260" w:type="dxa"/>
            <w:vAlign w:val="bottom"/>
            <w:gridSpan w:val="2"/>
            <w:shd w:val="clear" w:color="auto" w:fill="CCEEFF"/>
          </w:tcPr>
          <w:p>
            <w:pPr>
              <w:jc w:val="right"/>
              <w:ind w:right="160"/>
              <w:spacing w:after="0" w:line="210" w:lineRule="exact"/>
              <w:rPr>
                <w:sz w:val="20"/>
                <w:szCs w:val="20"/>
                <w:color w:val="auto"/>
              </w:rPr>
            </w:pPr>
            <w:r>
              <w:rPr>
                <w:rFonts w:ascii="Calibri" w:cs="Calibri" w:eastAsia="Calibri" w:hAnsi="Calibri"/>
                <w:sz w:val="18"/>
                <w:szCs w:val="18"/>
                <w:color w:val="auto"/>
                <w:w w:val="87"/>
              </w:rPr>
              <w:t>$</w:t>
            </w:r>
          </w:p>
        </w:tc>
        <w:tc>
          <w:tcPr>
            <w:tcW w:w="1160" w:type="dxa"/>
            <w:vAlign w:val="bottom"/>
            <w:gridSpan w:val="2"/>
            <w:shd w:val="clear" w:color="auto" w:fill="CCEEFF"/>
          </w:tcPr>
          <w:p>
            <w:pPr>
              <w:jc w:val="right"/>
              <w:ind w:right="60"/>
              <w:spacing w:after="0" w:line="210" w:lineRule="exact"/>
              <w:rPr>
                <w:sz w:val="20"/>
                <w:szCs w:val="20"/>
                <w:color w:val="auto"/>
              </w:rPr>
            </w:pPr>
            <w:r>
              <w:rPr>
                <w:rFonts w:ascii="Calibri" w:cs="Calibri" w:eastAsia="Calibri" w:hAnsi="Calibri"/>
                <w:sz w:val="18"/>
                <w:szCs w:val="18"/>
                <w:color w:val="auto"/>
              </w:rPr>
              <w:t>6,736</w:t>
            </w:r>
          </w:p>
        </w:tc>
        <w:tc>
          <w:tcPr>
            <w:tcW w:w="0" w:type="dxa"/>
            <w:vAlign w:val="bottom"/>
          </w:tcPr>
          <w:p>
            <w:pPr>
              <w:spacing w:after="0"/>
              <w:rPr>
                <w:sz w:val="1"/>
                <w:szCs w:val="1"/>
                <w:color w:val="auto"/>
              </w:rPr>
            </w:pPr>
          </w:p>
        </w:tc>
      </w:tr>
      <w:tr>
        <w:trPr>
          <w:trHeight w:val="218"/>
        </w:trPr>
        <w:tc>
          <w:tcPr>
            <w:tcW w:w="6760" w:type="dxa"/>
            <w:vAlign w:val="bottom"/>
          </w:tcPr>
          <w:p>
            <w:pPr>
              <w:ind w:left="20"/>
              <w:spacing w:after="0" w:line="210" w:lineRule="exact"/>
              <w:rPr>
                <w:sz w:val="20"/>
                <w:szCs w:val="20"/>
                <w:color w:val="auto"/>
              </w:rPr>
            </w:pPr>
            <w:r>
              <w:rPr>
                <w:rFonts w:ascii="Calibri" w:cs="Calibri" w:eastAsia="Calibri" w:hAnsi="Calibri"/>
                <w:sz w:val="18"/>
                <w:szCs w:val="18"/>
                <w:color w:val="auto"/>
              </w:rPr>
              <w:t>Dividends on preferred stock</w:t>
            </w:r>
          </w:p>
        </w:tc>
        <w:tc>
          <w:tcPr>
            <w:tcW w:w="860" w:type="dxa"/>
            <w:vAlign w:val="bottom"/>
          </w:tcPr>
          <w:p>
            <w:pPr>
              <w:spacing w:after="0"/>
              <w:rPr>
                <w:sz w:val="18"/>
                <w:szCs w:val="18"/>
                <w:color w:val="auto"/>
              </w:rPr>
            </w:pPr>
          </w:p>
        </w:tc>
        <w:tc>
          <w:tcPr>
            <w:tcW w:w="580" w:type="dxa"/>
            <w:vAlign w:val="bottom"/>
            <w:gridSpan w:val="2"/>
          </w:tcPr>
          <w:p>
            <w:pPr>
              <w:jc w:val="right"/>
              <w:ind w:right="80"/>
              <w:spacing w:after="0" w:line="210" w:lineRule="exact"/>
              <w:rPr>
                <w:sz w:val="20"/>
                <w:szCs w:val="20"/>
                <w:color w:val="auto"/>
              </w:rPr>
            </w:pPr>
            <w:r>
              <w:rPr>
                <w:rFonts w:ascii="Calibri" w:cs="Calibri" w:eastAsia="Calibri" w:hAnsi="Calibri"/>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center"/>
              <w:ind w:left="739"/>
              <w:spacing w:after="0" w:line="210" w:lineRule="exact"/>
              <w:rPr>
                <w:sz w:val="20"/>
                <w:szCs w:val="20"/>
                <w:color w:val="auto"/>
              </w:rPr>
            </w:pPr>
            <w:r>
              <w:rPr>
                <w:rFonts w:ascii="Calibri" w:cs="Calibri" w:eastAsia="Calibri" w:hAnsi="Calibri"/>
                <w:sz w:val="18"/>
                <w:szCs w:val="18"/>
                <w:color w:val="auto"/>
                <w:w w:val="93"/>
              </w:rPr>
              <w:t>(272)</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20"/>
              <w:spacing w:after="0" w:line="210" w:lineRule="exact"/>
              <w:rPr>
                <w:sz w:val="20"/>
                <w:szCs w:val="20"/>
                <w:color w:val="auto"/>
              </w:rPr>
            </w:pPr>
            <w:r>
              <w:rPr>
                <w:rFonts w:ascii="Calibri" w:cs="Calibri" w:eastAsia="Calibri" w:hAnsi="Calibri"/>
                <w:sz w:val="18"/>
                <w:szCs w:val="18"/>
                <w:color w:val="auto"/>
              </w:rPr>
              <w:t>(299)</w:t>
            </w:r>
          </w:p>
        </w:tc>
        <w:tc>
          <w:tcPr>
            <w:tcW w:w="0" w:type="dxa"/>
            <w:vAlign w:val="bottom"/>
          </w:tcPr>
          <w:p>
            <w:pPr>
              <w:spacing w:after="0"/>
              <w:rPr>
                <w:sz w:val="1"/>
                <w:szCs w:val="1"/>
                <w:color w:val="auto"/>
              </w:rPr>
            </w:pPr>
          </w:p>
        </w:tc>
      </w:tr>
      <w:tr>
        <w:trPr>
          <w:trHeight w:val="249"/>
        </w:trPr>
        <w:tc>
          <w:tcPr>
            <w:tcW w:w="67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Calibri" w:cs="Calibri" w:eastAsia="Calibri" w:hAnsi="Calibri"/>
                <w:sz w:val="18"/>
                <w:szCs w:val="18"/>
                <w:color w:val="auto"/>
              </w:rPr>
              <w:t>Net income atributable to common stock</w:t>
            </w:r>
          </w:p>
        </w:tc>
        <w:tc>
          <w:tcPr>
            <w:tcW w:w="860" w:type="dxa"/>
            <w:vAlign w:val="bottom"/>
            <w:tcBorders>
              <w:top w:val="single" w:sz="8" w:color="auto"/>
              <w:bottom w:val="single" w:sz="8" w:color="auto"/>
            </w:tcBorders>
            <w:shd w:val="clear" w:color="auto" w:fill="CCEEFF"/>
          </w:tcPr>
          <w:p>
            <w:pPr>
              <w:jc w:val="right"/>
              <w:ind w:right="676"/>
              <w:spacing w:after="0" w:line="210" w:lineRule="exact"/>
              <w:rPr>
                <w:sz w:val="20"/>
                <w:szCs w:val="20"/>
                <w:color w:val="auto"/>
              </w:rPr>
            </w:pPr>
            <w:r>
              <w:rPr>
                <w:rFonts w:ascii="Calibri" w:cs="Calibri" w:eastAsia="Calibri" w:hAnsi="Calibri"/>
                <w:sz w:val="18"/>
                <w:szCs w:val="18"/>
                <w:color w:val="auto"/>
                <w:w w:val="87"/>
              </w:rPr>
              <w:t>$</w:t>
            </w:r>
          </w:p>
        </w:tc>
        <w:tc>
          <w:tcPr>
            <w:tcW w:w="560" w:type="dxa"/>
            <w:vAlign w:val="bottom"/>
            <w:tcBorders>
              <w:top w:val="single" w:sz="8" w:color="auto"/>
              <w:bottom w:val="single" w:sz="8" w:color="auto"/>
            </w:tcBorders>
            <w:shd w:val="clear" w:color="auto" w:fill="CCEEFF"/>
          </w:tcPr>
          <w:p>
            <w:pPr>
              <w:jc w:val="right"/>
              <w:spacing w:after="0" w:line="210" w:lineRule="exact"/>
              <w:rPr>
                <w:sz w:val="20"/>
                <w:szCs w:val="20"/>
                <w:color w:val="auto"/>
              </w:rPr>
            </w:pPr>
            <w:r>
              <w:rPr>
                <w:rFonts w:ascii="Calibri" w:cs="Calibri" w:eastAsia="Calibri" w:hAnsi="Calibri"/>
                <w:sz w:val="18"/>
                <w:szCs w:val="18"/>
                <w:color w:val="auto"/>
                <w:w w:val="95"/>
              </w:rPr>
              <w:t>14,082</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line="210" w:lineRule="exact"/>
              <w:rPr>
                <w:sz w:val="20"/>
                <w:szCs w:val="20"/>
                <w:color w:val="auto"/>
              </w:rPr>
            </w:pPr>
            <w:r>
              <w:rPr>
                <w:rFonts w:ascii="Calibri" w:cs="Calibri" w:eastAsia="Calibri" w:hAnsi="Calibri"/>
                <w:sz w:val="18"/>
                <w:szCs w:val="18"/>
                <w:color w:val="auto"/>
              </w:rPr>
              <w:t>$</w:t>
            </w:r>
          </w:p>
        </w:tc>
        <w:tc>
          <w:tcPr>
            <w:tcW w:w="1260" w:type="dxa"/>
            <w:vAlign w:val="bottom"/>
            <w:tcBorders>
              <w:top w:val="single" w:sz="8" w:color="auto"/>
              <w:bottom w:val="single" w:sz="8" w:color="auto"/>
            </w:tcBorders>
            <w:gridSpan w:val="2"/>
            <w:shd w:val="clear" w:color="auto" w:fill="CCEEFF"/>
          </w:tcPr>
          <w:p>
            <w:pPr>
              <w:jc w:val="right"/>
              <w:ind w:right="80"/>
              <w:spacing w:after="0" w:line="210" w:lineRule="exact"/>
              <w:rPr>
                <w:sz w:val="20"/>
                <w:szCs w:val="20"/>
                <w:color w:val="auto"/>
              </w:rPr>
            </w:pPr>
            <w:r>
              <w:rPr>
                <w:rFonts w:ascii="Calibri" w:cs="Calibri" w:eastAsia="Calibri" w:hAnsi="Calibri"/>
                <w:sz w:val="18"/>
                <w:szCs w:val="18"/>
                <w:color w:val="auto"/>
              </w:rPr>
              <w:t>11,223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gridSpan w:val="2"/>
            <w:shd w:val="clear" w:color="auto" w:fill="CCEEFF"/>
          </w:tcPr>
          <w:p>
            <w:pPr>
              <w:jc w:val="right"/>
              <w:ind w:right="160"/>
              <w:spacing w:after="0" w:line="210" w:lineRule="exact"/>
              <w:rPr>
                <w:sz w:val="20"/>
                <w:szCs w:val="20"/>
                <w:color w:val="auto"/>
              </w:rPr>
            </w:pPr>
            <w:r>
              <w:rPr>
                <w:rFonts w:ascii="Calibri" w:cs="Calibri" w:eastAsia="Calibri" w:hAnsi="Calibri"/>
                <w:sz w:val="18"/>
                <w:szCs w:val="18"/>
                <w:color w:val="auto"/>
                <w:w w:val="87"/>
              </w:rPr>
              <w:t>$</w:t>
            </w:r>
          </w:p>
        </w:tc>
        <w:tc>
          <w:tcPr>
            <w:tcW w:w="1160" w:type="dxa"/>
            <w:vAlign w:val="bottom"/>
            <w:tcBorders>
              <w:top w:val="single" w:sz="8" w:color="auto"/>
              <w:bottom w:val="single" w:sz="8" w:color="auto"/>
            </w:tcBorders>
            <w:gridSpan w:val="2"/>
            <w:shd w:val="clear" w:color="auto" w:fill="CCEEFF"/>
          </w:tcPr>
          <w:p>
            <w:pPr>
              <w:jc w:val="right"/>
              <w:ind w:right="60"/>
              <w:spacing w:after="0" w:line="210" w:lineRule="exact"/>
              <w:rPr>
                <w:sz w:val="20"/>
                <w:szCs w:val="20"/>
                <w:color w:val="auto"/>
              </w:rPr>
            </w:pPr>
            <w:r>
              <w:rPr>
                <w:rFonts w:ascii="Calibri" w:cs="Calibri" w:eastAsia="Calibri" w:hAnsi="Calibri"/>
                <w:sz w:val="18"/>
                <w:szCs w:val="18"/>
                <w:color w:val="auto"/>
              </w:rPr>
              <w:t>6,437</w:t>
            </w:r>
          </w:p>
        </w:tc>
        <w:tc>
          <w:tcPr>
            <w:tcW w:w="0" w:type="dxa"/>
            <w:vAlign w:val="bottom"/>
          </w:tcPr>
          <w:p>
            <w:pPr>
              <w:spacing w:after="0"/>
              <w:rPr>
                <w:sz w:val="1"/>
                <w:szCs w:val="1"/>
                <w:color w:val="auto"/>
              </w:rPr>
            </w:pP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7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6760" w:type="dxa"/>
            <w:vAlign w:val="bottom"/>
            <w:shd w:val="clear" w:color="auto" w:fill="CCEEFF"/>
          </w:tcPr>
          <w:p>
            <w:pPr>
              <w:ind w:left="20"/>
              <w:spacing w:after="0" w:line="210" w:lineRule="exact"/>
              <w:rPr>
                <w:sz w:val="20"/>
                <w:szCs w:val="20"/>
                <w:color w:val="auto"/>
              </w:rPr>
            </w:pPr>
            <w:r>
              <w:rPr>
                <w:rFonts w:ascii="Calibri" w:cs="Calibri" w:eastAsia="Calibri" w:hAnsi="Calibri"/>
                <w:sz w:val="18"/>
                <w:szCs w:val="18"/>
                <w:b w:val="1"/>
                <w:bCs w:val="1"/>
                <w:color w:val="auto"/>
              </w:rPr>
              <w:t>Denominator:</w:t>
            </w:r>
          </w:p>
        </w:tc>
        <w:tc>
          <w:tcPr>
            <w:tcW w:w="8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6760" w:type="dxa"/>
            <w:vAlign w:val="bottom"/>
          </w:tcPr>
          <w:p>
            <w:pPr>
              <w:ind w:left="20"/>
              <w:spacing w:after="0" w:line="210" w:lineRule="exact"/>
              <w:rPr>
                <w:sz w:val="20"/>
                <w:szCs w:val="20"/>
                <w:color w:val="auto"/>
              </w:rPr>
            </w:pPr>
            <w:r>
              <w:rPr>
                <w:rFonts w:ascii="Calibri" w:cs="Calibri" w:eastAsia="Calibri" w:hAnsi="Calibri"/>
                <w:sz w:val="18"/>
                <w:szCs w:val="18"/>
                <w:color w:val="auto"/>
              </w:rPr>
              <w:t>Weighted-average shares outstanding - basic</w:t>
            </w:r>
          </w:p>
        </w:tc>
        <w:tc>
          <w:tcPr>
            <w:tcW w:w="860" w:type="dxa"/>
            <w:vAlign w:val="bottom"/>
          </w:tcPr>
          <w:p>
            <w:pPr>
              <w:spacing w:after="0"/>
              <w:rPr>
                <w:sz w:val="18"/>
                <w:szCs w:val="18"/>
                <w:color w:val="auto"/>
              </w:rPr>
            </w:pPr>
          </w:p>
        </w:tc>
        <w:tc>
          <w:tcPr>
            <w:tcW w:w="560" w:type="dxa"/>
            <w:vAlign w:val="bottom"/>
          </w:tcPr>
          <w:p>
            <w:pPr>
              <w:jc w:val="right"/>
              <w:spacing w:after="0" w:line="210" w:lineRule="exact"/>
              <w:rPr>
                <w:sz w:val="20"/>
                <w:szCs w:val="20"/>
                <w:color w:val="auto"/>
              </w:rPr>
            </w:pPr>
            <w:r>
              <w:rPr>
                <w:rFonts w:ascii="Calibri" w:cs="Calibri" w:eastAsia="Calibri" w:hAnsi="Calibri"/>
                <w:sz w:val="18"/>
                <w:szCs w:val="18"/>
                <w:color w:val="auto"/>
              </w:rPr>
              <w:t>415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80"/>
              <w:spacing w:after="0" w:line="210" w:lineRule="exact"/>
              <w:rPr>
                <w:sz w:val="20"/>
                <w:szCs w:val="20"/>
                <w:color w:val="auto"/>
              </w:rPr>
            </w:pPr>
            <w:r>
              <w:rPr>
                <w:rFonts w:ascii="Calibri" w:cs="Calibri" w:eastAsia="Calibri" w:hAnsi="Calibri"/>
                <w:sz w:val="18"/>
                <w:szCs w:val="18"/>
                <w:color w:val="auto"/>
              </w:rPr>
              <w:t>409</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60"/>
              <w:spacing w:after="0" w:line="210" w:lineRule="exact"/>
              <w:rPr>
                <w:sz w:val="20"/>
                <w:szCs w:val="20"/>
                <w:color w:val="auto"/>
              </w:rPr>
            </w:pPr>
            <w:r>
              <w:rPr>
                <w:rFonts w:ascii="Calibri" w:cs="Calibri" w:eastAsia="Calibri" w:hAnsi="Calibri"/>
                <w:sz w:val="18"/>
                <w:szCs w:val="18"/>
                <w:color w:val="auto"/>
              </w:rPr>
              <w:t>410</w:t>
            </w:r>
          </w:p>
        </w:tc>
        <w:tc>
          <w:tcPr>
            <w:tcW w:w="0" w:type="dxa"/>
            <w:vAlign w:val="bottom"/>
          </w:tcPr>
          <w:p>
            <w:pPr>
              <w:spacing w:after="0"/>
              <w:rPr>
                <w:sz w:val="1"/>
                <w:szCs w:val="1"/>
                <w:color w:val="auto"/>
              </w:rPr>
            </w:pPr>
          </w:p>
        </w:tc>
      </w:tr>
      <w:tr>
        <w:trPr>
          <w:trHeight w:val="225"/>
        </w:trPr>
        <w:tc>
          <w:tcPr>
            <w:tcW w:w="6760" w:type="dxa"/>
            <w:vAlign w:val="bottom"/>
            <w:shd w:val="clear" w:color="auto" w:fill="CCEEFF"/>
          </w:tcPr>
          <w:p>
            <w:pPr>
              <w:ind w:left="20"/>
              <w:spacing w:after="0" w:line="217" w:lineRule="exact"/>
              <w:rPr>
                <w:sz w:val="20"/>
                <w:szCs w:val="20"/>
                <w:color w:val="auto"/>
              </w:rPr>
            </w:pPr>
            <w:r>
              <w:rPr>
                <w:rFonts w:ascii="Calibri" w:cs="Calibri" w:eastAsia="Calibri" w:hAnsi="Calibri"/>
                <w:sz w:val="18"/>
                <w:szCs w:val="18"/>
                <w:color w:val="auto"/>
              </w:rPr>
              <w:t>Dilutve efect of equity awards</w:t>
            </w:r>
          </w:p>
        </w:tc>
        <w:tc>
          <w:tcPr>
            <w:tcW w:w="86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line="217" w:lineRule="exact"/>
              <w:rPr>
                <w:sz w:val="20"/>
                <w:szCs w:val="20"/>
                <w:color w:val="auto"/>
              </w:rPr>
            </w:pPr>
            <w:r>
              <w:rPr>
                <w:rFonts w:ascii="Calibri" w:cs="Calibri" w:eastAsia="Calibri" w:hAnsi="Calibri"/>
                <w:sz w:val="18"/>
                <w:szCs w:val="18"/>
                <w:color w:val="auto"/>
              </w:rPr>
              <w:t>12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gridSpan w:val="2"/>
            <w:shd w:val="clear" w:color="auto" w:fill="CCEEFF"/>
          </w:tcPr>
          <w:p>
            <w:pPr>
              <w:jc w:val="right"/>
              <w:ind w:right="80"/>
              <w:spacing w:after="0" w:line="217" w:lineRule="exact"/>
              <w:rPr>
                <w:sz w:val="20"/>
                <w:szCs w:val="20"/>
                <w:color w:val="auto"/>
              </w:rPr>
            </w:pPr>
            <w:r>
              <w:rPr>
                <w:rFonts w:ascii="Calibri" w:cs="Calibri" w:eastAsia="Calibri" w:hAnsi="Calibri"/>
                <w:sz w:val="18"/>
                <w:szCs w:val="18"/>
                <w:color w:val="auto"/>
              </w:rPr>
              <w:t>14</w:t>
            </w:r>
          </w:p>
        </w:tc>
        <w:tc>
          <w:tcPr>
            <w:tcW w:w="10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gridSpan w:val="2"/>
            <w:shd w:val="clear" w:color="auto" w:fill="CCEEFF"/>
          </w:tcPr>
          <w:p>
            <w:pPr>
              <w:jc w:val="right"/>
              <w:ind w:right="60"/>
              <w:spacing w:after="0" w:line="217" w:lineRule="exact"/>
              <w:rPr>
                <w:sz w:val="20"/>
                <w:szCs w:val="20"/>
                <w:color w:val="auto"/>
              </w:rPr>
            </w:pPr>
            <w:r>
              <w:rPr>
                <w:rFonts w:ascii="Calibri" w:cs="Calibri" w:eastAsia="Calibri" w:hAnsi="Calibri"/>
                <w:sz w:val="18"/>
                <w:szCs w:val="18"/>
                <w:color w:val="auto"/>
              </w:rPr>
              <w:t>19</w:t>
            </w:r>
          </w:p>
        </w:tc>
        <w:tc>
          <w:tcPr>
            <w:tcW w:w="0" w:type="dxa"/>
            <w:vAlign w:val="bottom"/>
          </w:tcPr>
          <w:p>
            <w:pPr>
              <w:spacing w:after="0"/>
              <w:rPr>
                <w:sz w:val="1"/>
                <w:szCs w:val="1"/>
                <w:color w:val="auto"/>
              </w:rPr>
            </w:pPr>
          </w:p>
        </w:tc>
      </w:tr>
      <w:tr>
        <w:trPr>
          <w:trHeight w:val="224"/>
        </w:trPr>
        <w:tc>
          <w:tcPr>
            <w:tcW w:w="6760" w:type="dxa"/>
            <w:vAlign w:val="bottom"/>
          </w:tcPr>
          <w:p>
            <w:pPr>
              <w:ind w:left="20"/>
              <w:spacing w:after="0"/>
              <w:rPr>
                <w:sz w:val="20"/>
                <w:szCs w:val="20"/>
                <w:color w:val="auto"/>
              </w:rPr>
            </w:pPr>
            <w:r>
              <w:rPr>
                <w:rFonts w:ascii="Calibri" w:cs="Calibri" w:eastAsia="Calibri" w:hAnsi="Calibri"/>
                <w:sz w:val="18"/>
                <w:szCs w:val="18"/>
                <w:color w:val="auto"/>
              </w:rPr>
              <w:t>Weighted-average shares outstanding - diluted</w:t>
            </w:r>
          </w:p>
        </w:tc>
        <w:tc>
          <w:tcPr>
            <w:tcW w:w="8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line="210" w:lineRule="exact"/>
              <w:rPr>
                <w:sz w:val="20"/>
                <w:szCs w:val="20"/>
                <w:color w:val="auto"/>
              </w:rPr>
            </w:pPr>
            <w:r>
              <w:rPr>
                <w:rFonts w:ascii="Calibri" w:cs="Calibri" w:eastAsia="Calibri" w:hAnsi="Calibri"/>
                <w:sz w:val="18"/>
                <w:szCs w:val="18"/>
                <w:color w:val="auto"/>
              </w:rPr>
              <w:t>427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gridSpan w:val="2"/>
          </w:tcPr>
          <w:p>
            <w:pPr>
              <w:jc w:val="right"/>
              <w:ind w:right="80"/>
              <w:spacing w:after="0" w:line="210" w:lineRule="exact"/>
              <w:rPr>
                <w:sz w:val="20"/>
                <w:szCs w:val="20"/>
                <w:color w:val="auto"/>
              </w:rPr>
            </w:pPr>
            <w:r>
              <w:rPr>
                <w:rFonts w:ascii="Calibri" w:cs="Calibri" w:eastAsia="Calibri" w:hAnsi="Calibri"/>
                <w:sz w:val="18"/>
                <w:szCs w:val="18"/>
                <w:color w:val="auto"/>
              </w:rPr>
              <w:t>423</w:t>
            </w:r>
          </w:p>
        </w:tc>
        <w:tc>
          <w:tcPr>
            <w:tcW w:w="10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2"/>
          </w:tcPr>
          <w:p>
            <w:pPr>
              <w:jc w:val="right"/>
              <w:ind w:right="60"/>
              <w:spacing w:after="0" w:line="210" w:lineRule="exact"/>
              <w:rPr>
                <w:sz w:val="20"/>
                <w:szCs w:val="20"/>
                <w:color w:val="auto"/>
              </w:rPr>
            </w:pPr>
            <w:r>
              <w:rPr>
                <w:rFonts w:ascii="Calibri" w:cs="Calibri" w:eastAsia="Calibri" w:hAnsi="Calibri"/>
                <w:sz w:val="18"/>
                <w:szCs w:val="18"/>
                <w:color w:val="auto"/>
              </w:rPr>
              <w:t>429</w:t>
            </w:r>
          </w:p>
        </w:tc>
        <w:tc>
          <w:tcPr>
            <w:tcW w:w="0" w:type="dxa"/>
            <w:vAlign w:val="bottom"/>
          </w:tcPr>
          <w:p>
            <w:pPr>
              <w:spacing w:after="0"/>
              <w:rPr>
                <w:sz w:val="1"/>
                <w:szCs w:val="1"/>
                <w:color w:val="auto"/>
              </w:rPr>
            </w:pPr>
          </w:p>
        </w:tc>
      </w:tr>
      <w:tr>
        <w:trPr>
          <w:trHeight w:val="20"/>
        </w:trPr>
        <w:tc>
          <w:tcPr>
            <w:tcW w:w="676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76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7"/>
        </w:trPr>
        <w:tc>
          <w:tcPr>
            <w:tcW w:w="6760" w:type="dxa"/>
            <w:vAlign w:val="bottom"/>
          </w:tcPr>
          <w:p>
            <w:pPr>
              <w:ind w:left="20"/>
              <w:spacing w:after="0" w:line="210" w:lineRule="exact"/>
              <w:rPr>
                <w:sz w:val="20"/>
                <w:szCs w:val="20"/>
                <w:color w:val="auto"/>
              </w:rPr>
            </w:pPr>
            <w:r>
              <w:rPr>
                <w:rFonts w:ascii="Calibri" w:cs="Calibri" w:eastAsia="Calibri" w:hAnsi="Calibri"/>
                <w:sz w:val="18"/>
                <w:szCs w:val="18"/>
                <w:b w:val="1"/>
                <w:bCs w:val="1"/>
                <w:color w:val="auto"/>
              </w:rPr>
              <w:t>Net income per share atributable to common stock:</w:t>
            </w:r>
          </w:p>
        </w:tc>
        <w:tc>
          <w:tcPr>
            <w:tcW w:w="8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6760" w:type="dxa"/>
            <w:vAlign w:val="bottom"/>
            <w:shd w:val="clear" w:color="auto" w:fill="CCEEFF"/>
          </w:tcPr>
          <w:p>
            <w:pPr>
              <w:ind w:left="20"/>
              <w:spacing w:after="0" w:line="217" w:lineRule="exact"/>
              <w:rPr>
                <w:sz w:val="20"/>
                <w:szCs w:val="20"/>
                <w:color w:val="auto"/>
              </w:rPr>
            </w:pPr>
            <w:r>
              <w:rPr>
                <w:rFonts w:ascii="Calibri" w:cs="Calibri" w:eastAsia="Calibri" w:hAnsi="Calibri"/>
                <w:sz w:val="18"/>
                <w:szCs w:val="18"/>
                <w:color w:val="auto"/>
              </w:rPr>
              <w:t>Basic</w:t>
            </w:r>
          </w:p>
        </w:tc>
        <w:tc>
          <w:tcPr>
            <w:tcW w:w="860" w:type="dxa"/>
            <w:vAlign w:val="bottom"/>
            <w:shd w:val="clear" w:color="auto" w:fill="CCEEFF"/>
          </w:tcPr>
          <w:p>
            <w:pPr>
              <w:jc w:val="right"/>
              <w:ind w:right="676"/>
              <w:spacing w:after="0" w:line="217" w:lineRule="exact"/>
              <w:rPr>
                <w:sz w:val="20"/>
                <w:szCs w:val="20"/>
                <w:color w:val="auto"/>
              </w:rPr>
            </w:pPr>
            <w:r>
              <w:rPr>
                <w:rFonts w:ascii="Calibri" w:cs="Calibri" w:eastAsia="Calibri" w:hAnsi="Calibri"/>
                <w:sz w:val="18"/>
                <w:szCs w:val="18"/>
                <w:color w:val="auto"/>
                <w:w w:val="87"/>
              </w:rPr>
              <w:t>$</w:t>
            </w:r>
          </w:p>
        </w:tc>
        <w:tc>
          <w:tcPr>
            <w:tcW w:w="560" w:type="dxa"/>
            <w:vAlign w:val="bottom"/>
            <w:shd w:val="clear" w:color="auto" w:fill="CCEEFF"/>
          </w:tcPr>
          <w:p>
            <w:pPr>
              <w:jc w:val="right"/>
              <w:spacing w:after="0" w:line="217" w:lineRule="exact"/>
              <w:rPr>
                <w:sz w:val="20"/>
                <w:szCs w:val="20"/>
                <w:color w:val="auto"/>
              </w:rPr>
            </w:pPr>
            <w:r>
              <w:rPr>
                <w:rFonts w:ascii="Calibri" w:cs="Calibri" w:eastAsia="Calibri" w:hAnsi="Calibri"/>
                <w:sz w:val="18"/>
                <w:szCs w:val="18"/>
                <w:color w:val="auto"/>
              </w:rPr>
              <w:t>33.93</w:t>
            </w:r>
          </w:p>
        </w:tc>
        <w:tc>
          <w:tcPr>
            <w:tcW w:w="20" w:type="dxa"/>
            <w:vAlign w:val="bottom"/>
            <w:shd w:val="clear" w:color="auto" w:fill="CCEEFF"/>
          </w:tcPr>
          <w:p>
            <w:pPr>
              <w:spacing w:after="0"/>
              <w:rPr>
                <w:sz w:val="20"/>
                <w:szCs w:val="20"/>
                <w:color w:val="auto"/>
              </w:rPr>
            </w:pPr>
          </w:p>
        </w:tc>
        <w:tc>
          <w:tcPr>
            <w:tcW w:w="260" w:type="dxa"/>
            <w:vAlign w:val="bottom"/>
            <w:gridSpan w:val="2"/>
            <w:shd w:val="clear" w:color="auto" w:fill="CCEEFF"/>
          </w:tcPr>
          <w:p>
            <w:pPr>
              <w:jc w:val="right"/>
              <w:spacing w:after="0" w:line="217" w:lineRule="exact"/>
              <w:rPr>
                <w:sz w:val="20"/>
                <w:szCs w:val="20"/>
                <w:color w:val="auto"/>
              </w:rPr>
            </w:pPr>
            <w:r>
              <w:rPr>
                <w:rFonts w:ascii="Calibri" w:cs="Calibri" w:eastAsia="Calibri" w:hAnsi="Calibri"/>
                <w:sz w:val="18"/>
                <w:szCs w:val="18"/>
                <w:color w:val="auto"/>
              </w:rPr>
              <w:t>$</w:t>
            </w:r>
          </w:p>
        </w:tc>
        <w:tc>
          <w:tcPr>
            <w:tcW w:w="1260" w:type="dxa"/>
            <w:vAlign w:val="bottom"/>
            <w:gridSpan w:val="2"/>
            <w:shd w:val="clear" w:color="auto" w:fill="CCEEFF"/>
          </w:tcPr>
          <w:p>
            <w:pPr>
              <w:jc w:val="right"/>
              <w:ind w:right="80"/>
              <w:spacing w:after="0" w:line="217" w:lineRule="exact"/>
              <w:rPr>
                <w:sz w:val="20"/>
                <w:szCs w:val="20"/>
                <w:color w:val="auto"/>
              </w:rPr>
            </w:pPr>
            <w:r>
              <w:rPr>
                <w:rFonts w:ascii="Calibri" w:cs="Calibri" w:eastAsia="Calibri" w:hAnsi="Calibri"/>
                <w:sz w:val="18"/>
                <w:szCs w:val="18"/>
                <w:color w:val="auto"/>
              </w:rPr>
              <w:t>27.44</w:t>
            </w:r>
          </w:p>
        </w:tc>
        <w:tc>
          <w:tcPr>
            <w:tcW w:w="100" w:type="dxa"/>
            <w:vAlign w:val="bottom"/>
            <w:shd w:val="clear" w:color="auto" w:fill="CCEEFF"/>
          </w:tcPr>
          <w:p>
            <w:pPr>
              <w:spacing w:after="0"/>
              <w:rPr>
                <w:sz w:val="20"/>
                <w:szCs w:val="20"/>
                <w:color w:val="auto"/>
              </w:rPr>
            </w:pPr>
          </w:p>
        </w:tc>
        <w:tc>
          <w:tcPr>
            <w:tcW w:w="260" w:type="dxa"/>
            <w:vAlign w:val="bottom"/>
            <w:gridSpan w:val="2"/>
            <w:shd w:val="clear" w:color="auto" w:fill="CCEEFF"/>
          </w:tcPr>
          <w:p>
            <w:pPr>
              <w:jc w:val="right"/>
              <w:ind w:right="160"/>
              <w:spacing w:after="0" w:line="217" w:lineRule="exact"/>
              <w:rPr>
                <w:sz w:val="20"/>
                <w:szCs w:val="20"/>
                <w:color w:val="auto"/>
              </w:rPr>
            </w:pPr>
            <w:r>
              <w:rPr>
                <w:rFonts w:ascii="Calibri" w:cs="Calibri" w:eastAsia="Calibri" w:hAnsi="Calibri"/>
                <w:sz w:val="18"/>
                <w:szCs w:val="18"/>
                <w:color w:val="auto"/>
                <w:w w:val="87"/>
              </w:rPr>
              <w:t>$</w:t>
            </w:r>
          </w:p>
        </w:tc>
        <w:tc>
          <w:tcPr>
            <w:tcW w:w="1160" w:type="dxa"/>
            <w:vAlign w:val="bottom"/>
            <w:gridSpan w:val="2"/>
            <w:shd w:val="clear" w:color="auto" w:fill="CCEEFF"/>
          </w:tcPr>
          <w:p>
            <w:pPr>
              <w:jc w:val="right"/>
              <w:ind w:right="60"/>
              <w:spacing w:after="0" w:line="217" w:lineRule="exact"/>
              <w:rPr>
                <w:sz w:val="20"/>
                <w:szCs w:val="20"/>
                <w:color w:val="auto"/>
              </w:rPr>
            </w:pPr>
            <w:r>
              <w:rPr>
                <w:rFonts w:ascii="Calibri" w:cs="Calibri" w:eastAsia="Calibri" w:hAnsi="Calibri"/>
                <w:sz w:val="18"/>
                <w:szCs w:val="18"/>
                <w:color w:val="auto"/>
              </w:rPr>
              <w:t>15.70</w:t>
            </w:r>
          </w:p>
        </w:tc>
        <w:tc>
          <w:tcPr>
            <w:tcW w:w="0" w:type="dxa"/>
            <w:vAlign w:val="bottom"/>
          </w:tcPr>
          <w:p>
            <w:pPr>
              <w:spacing w:after="0"/>
              <w:rPr>
                <w:sz w:val="1"/>
                <w:szCs w:val="1"/>
                <w:color w:val="auto"/>
              </w:rPr>
            </w:pPr>
          </w:p>
        </w:tc>
      </w:tr>
      <w:tr>
        <w:trPr>
          <w:trHeight w:val="210"/>
        </w:trPr>
        <w:tc>
          <w:tcPr>
            <w:tcW w:w="6760" w:type="dxa"/>
            <w:vAlign w:val="bottom"/>
          </w:tcPr>
          <w:p>
            <w:pPr>
              <w:ind w:left="20"/>
              <w:spacing w:after="0" w:line="210" w:lineRule="exact"/>
              <w:rPr>
                <w:sz w:val="20"/>
                <w:szCs w:val="20"/>
                <w:color w:val="auto"/>
              </w:rPr>
            </w:pPr>
            <w:r>
              <w:rPr>
                <w:rFonts w:ascii="Calibri" w:cs="Calibri" w:eastAsia="Calibri" w:hAnsi="Calibri"/>
                <w:sz w:val="18"/>
                <w:szCs w:val="18"/>
                <w:color w:val="auto"/>
              </w:rPr>
              <w:t>Diluted</w:t>
            </w:r>
          </w:p>
        </w:tc>
        <w:tc>
          <w:tcPr>
            <w:tcW w:w="860" w:type="dxa"/>
            <w:vAlign w:val="bottom"/>
          </w:tcPr>
          <w:p>
            <w:pPr>
              <w:jc w:val="right"/>
              <w:ind w:right="676"/>
              <w:spacing w:after="0" w:line="210" w:lineRule="exact"/>
              <w:rPr>
                <w:sz w:val="20"/>
                <w:szCs w:val="20"/>
                <w:color w:val="auto"/>
              </w:rPr>
            </w:pPr>
            <w:r>
              <w:rPr>
                <w:rFonts w:ascii="Calibri" w:cs="Calibri" w:eastAsia="Calibri" w:hAnsi="Calibri"/>
                <w:sz w:val="18"/>
                <w:szCs w:val="18"/>
                <w:color w:val="auto"/>
                <w:w w:val="87"/>
              </w:rPr>
              <w:t>$</w:t>
            </w:r>
          </w:p>
        </w:tc>
        <w:tc>
          <w:tcPr>
            <w:tcW w:w="560" w:type="dxa"/>
            <w:vAlign w:val="bottom"/>
          </w:tcPr>
          <w:p>
            <w:pPr>
              <w:jc w:val="right"/>
              <w:spacing w:after="0" w:line="210" w:lineRule="exact"/>
              <w:rPr>
                <w:sz w:val="20"/>
                <w:szCs w:val="20"/>
                <w:color w:val="auto"/>
              </w:rPr>
            </w:pPr>
            <w:r>
              <w:rPr>
                <w:rFonts w:ascii="Calibri" w:cs="Calibri" w:eastAsia="Calibri" w:hAnsi="Calibri"/>
                <w:sz w:val="18"/>
                <w:szCs w:val="18"/>
                <w:color w:val="auto"/>
              </w:rPr>
              <w:t>32.98</w:t>
            </w:r>
          </w:p>
        </w:tc>
        <w:tc>
          <w:tcPr>
            <w:tcW w:w="20" w:type="dxa"/>
            <w:vAlign w:val="bottom"/>
          </w:tcPr>
          <w:p>
            <w:pPr>
              <w:spacing w:after="0"/>
              <w:rPr>
                <w:sz w:val="18"/>
                <w:szCs w:val="18"/>
                <w:color w:val="auto"/>
              </w:rPr>
            </w:pPr>
          </w:p>
        </w:tc>
        <w:tc>
          <w:tcPr>
            <w:tcW w:w="260" w:type="dxa"/>
            <w:vAlign w:val="bottom"/>
            <w:gridSpan w:val="2"/>
          </w:tcPr>
          <w:p>
            <w:pPr>
              <w:jc w:val="right"/>
              <w:spacing w:after="0" w:line="210" w:lineRule="exact"/>
              <w:rPr>
                <w:sz w:val="20"/>
                <w:szCs w:val="20"/>
                <w:color w:val="auto"/>
              </w:rPr>
            </w:pPr>
            <w:r>
              <w:rPr>
                <w:rFonts w:ascii="Calibri" w:cs="Calibri" w:eastAsia="Calibri" w:hAnsi="Calibri"/>
                <w:sz w:val="18"/>
                <w:szCs w:val="18"/>
                <w:color w:val="auto"/>
              </w:rPr>
              <w:t>$</w:t>
            </w:r>
          </w:p>
        </w:tc>
        <w:tc>
          <w:tcPr>
            <w:tcW w:w="1260" w:type="dxa"/>
            <w:vAlign w:val="bottom"/>
            <w:gridSpan w:val="2"/>
          </w:tcPr>
          <w:p>
            <w:pPr>
              <w:jc w:val="right"/>
              <w:ind w:right="80"/>
              <w:spacing w:after="0" w:line="210" w:lineRule="exact"/>
              <w:rPr>
                <w:sz w:val="20"/>
                <w:szCs w:val="20"/>
                <w:color w:val="auto"/>
              </w:rPr>
            </w:pPr>
            <w:r>
              <w:rPr>
                <w:rFonts w:ascii="Calibri" w:cs="Calibri" w:eastAsia="Calibri" w:hAnsi="Calibri"/>
                <w:sz w:val="18"/>
                <w:szCs w:val="18"/>
                <w:color w:val="auto"/>
              </w:rPr>
              <w:t>26.53</w:t>
            </w:r>
          </w:p>
        </w:tc>
        <w:tc>
          <w:tcPr>
            <w:tcW w:w="100" w:type="dxa"/>
            <w:vAlign w:val="bottom"/>
          </w:tcPr>
          <w:p>
            <w:pPr>
              <w:spacing w:after="0"/>
              <w:rPr>
                <w:sz w:val="18"/>
                <w:szCs w:val="18"/>
                <w:color w:val="auto"/>
              </w:rPr>
            </w:pPr>
          </w:p>
        </w:tc>
        <w:tc>
          <w:tcPr>
            <w:tcW w:w="260" w:type="dxa"/>
            <w:vAlign w:val="bottom"/>
            <w:gridSpan w:val="2"/>
          </w:tcPr>
          <w:p>
            <w:pPr>
              <w:jc w:val="right"/>
              <w:ind w:right="160"/>
              <w:spacing w:after="0" w:line="210" w:lineRule="exact"/>
              <w:rPr>
                <w:sz w:val="20"/>
                <w:szCs w:val="20"/>
                <w:color w:val="auto"/>
              </w:rPr>
            </w:pPr>
            <w:r>
              <w:rPr>
                <w:rFonts w:ascii="Calibri" w:cs="Calibri" w:eastAsia="Calibri" w:hAnsi="Calibri"/>
                <w:sz w:val="18"/>
                <w:szCs w:val="18"/>
                <w:color w:val="auto"/>
                <w:w w:val="87"/>
              </w:rPr>
              <w:t>$</w:t>
            </w:r>
          </w:p>
        </w:tc>
        <w:tc>
          <w:tcPr>
            <w:tcW w:w="1160" w:type="dxa"/>
            <w:vAlign w:val="bottom"/>
            <w:gridSpan w:val="2"/>
          </w:tcPr>
          <w:p>
            <w:pPr>
              <w:jc w:val="right"/>
              <w:ind w:right="60"/>
              <w:spacing w:after="0" w:line="210" w:lineRule="exact"/>
              <w:rPr>
                <w:sz w:val="20"/>
                <w:szCs w:val="20"/>
                <w:color w:val="auto"/>
              </w:rPr>
            </w:pPr>
            <w:r>
              <w:rPr>
                <w:rFonts w:ascii="Calibri" w:cs="Calibri" w:eastAsia="Calibri" w:hAnsi="Calibri"/>
                <w:sz w:val="18"/>
                <w:szCs w:val="18"/>
                <w:color w:val="auto"/>
              </w:rPr>
              <w:t>15.00</w:t>
            </w:r>
          </w:p>
        </w:tc>
        <w:tc>
          <w:tcPr>
            <w:tcW w:w="0" w:type="dxa"/>
            <w:vAlign w:val="bottom"/>
          </w:tcPr>
          <w:p>
            <w:pPr>
              <w:spacing w:after="0"/>
              <w:rPr>
                <w:sz w:val="1"/>
                <w:szCs w:val="1"/>
                <w:color w:val="auto"/>
              </w:rPr>
            </w:pPr>
          </w:p>
        </w:tc>
      </w:tr>
    </w:tbl>
    <w:p>
      <w:pPr>
        <w:spacing w:after="0" w:line="192" w:lineRule="exact"/>
        <w:rPr>
          <w:sz w:val="20"/>
          <w:szCs w:val="20"/>
          <w:color w:val="auto"/>
        </w:rPr>
      </w:pPr>
    </w:p>
    <w:p>
      <w:pPr>
        <w:ind w:firstLine="396"/>
        <w:spacing w:after="0" w:line="230" w:lineRule="auto"/>
        <w:rPr>
          <w:sz w:val="20"/>
          <w:szCs w:val="20"/>
          <w:color w:val="auto"/>
        </w:rPr>
      </w:pPr>
      <w:r>
        <w:rPr>
          <w:rFonts w:ascii="Calibri" w:cs="Calibri" w:eastAsia="Calibri" w:hAnsi="Calibri"/>
          <w:sz w:val="18"/>
          <w:szCs w:val="18"/>
          <w:color w:val="auto"/>
        </w:rPr>
        <w:t>For fscal years 2022 and 2021, diluted net income per share excluded the potentally dilutve efect of 10 million and 12 million shares of common stock, respectvely, issuable upon the conversion of 8.00% Mandatory Convertble Preferred Stock, Series A, $0.001 par value per share (“Mandatory Convertble Preferred Stock”) as their efect was antdilutve. All shares of our Mandatory Convertble Preferred Stock were converted into shares of our common stock before the end of fscal year 2022.</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9" w:right="339" w:bottom="1440" w:gutter="0" w:footer="0" w:header="0"/>
        </w:sectPr>
      </w:pPr>
    </w:p>
    <w:bookmarkStart w:id="69" w:name="page70"/>
    <w:bookmarkEnd w:id="69"/>
    <w:p>
      <w:pPr>
        <w:spacing w:after="0"/>
        <w:rPr>
          <w:sz w:val="20"/>
          <w:szCs w:val="20"/>
          <w:color w:val="auto"/>
        </w:rPr>
      </w:pPr>
      <w:r>
        <w:rPr>
          <w:rFonts w:ascii="Calibri" w:cs="Calibri" w:eastAsia="Calibri" w:hAnsi="Calibri"/>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8. Retrement Plans</w:t>
      </w:r>
    </w:p>
    <w:p>
      <w:pPr>
        <w:spacing w:after="0" w:line="97"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Defned Beneft Pension Plans</w:t>
      </w:r>
    </w:p>
    <w:p>
      <w:pPr>
        <w:spacing w:after="0" w:line="107" w:lineRule="exact"/>
        <w:rPr>
          <w:sz w:val="20"/>
          <w:szCs w:val="20"/>
          <w:color w:val="auto"/>
        </w:rPr>
      </w:pPr>
    </w:p>
    <w:p>
      <w:pPr>
        <w:ind w:right="160" w:firstLine="396"/>
        <w:spacing w:after="0" w:line="230" w:lineRule="auto"/>
        <w:rPr>
          <w:sz w:val="20"/>
          <w:szCs w:val="20"/>
          <w:color w:val="auto"/>
        </w:rPr>
      </w:pPr>
      <w:r>
        <w:rPr>
          <w:rFonts w:ascii="Calibri" w:cs="Calibri" w:eastAsia="Calibri" w:hAnsi="Calibri"/>
          <w:sz w:val="18"/>
          <w:szCs w:val="18"/>
          <w:color w:val="auto"/>
        </w:rPr>
        <w:t>The U.S. defned beneft pension plans primarily consist of a qualifed pension plan. Benefts of the qualifed pension plan are provided under an adjusted career-average-pay program, a cash-balance program or a dollar-per-month program. Beneft accruals under this plan were frozen in 2009. Partcipants in the adjusted career-average-pay program no longer earn service accruals. Partcipants in the cash-balance program no longer earn service accruals, but contnue to earn 4% interest per year on their cash-balance accounts. There are no actve partcipants under the dollar-per-month program. We also have a frozen non-qualifed supplemental pension plan in the United States that principally provides benefts based on compensaton in excess of amounts that can be considered under the qualifed pension plan.</w:t>
      </w:r>
    </w:p>
    <w:p>
      <w:pPr>
        <w:spacing w:after="0" w:line="110" w:lineRule="exact"/>
        <w:rPr>
          <w:sz w:val="20"/>
          <w:szCs w:val="20"/>
          <w:color w:val="auto"/>
        </w:rPr>
      </w:pPr>
    </w:p>
    <w:p>
      <w:pPr>
        <w:ind w:right="220" w:firstLine="396"/>
        <w:spacing w:after="0" w:line="230" w:lineRule="auto"/>
        <w:rPr>
          <w:sz w:val="20"/>
          <w:szCs w:val="20"/>
          <w:color w:val="auto"/>
        </w:rPr>
      </w:pPr>
      <w:r>
        <w:rPr>
          <w:rFonts w:ascii="Calibri" w:cs="Calibri" w:eastAsia="Calibri" w:hAnsi="Calibri"/>
          <w:sz w:val="18"/>
          <w:szCs w:val="18"/>
          <w:color w:val="auto"/>
        </w:rPr>
        <w:t>We also have defned beneft pension plans for certain employees in Austria, France, Germany, India, Israel, Italy, Japan and Taiwan. Eligibility is generally determined based on the terms of our plans and local statutory requirements.</w:t>
      </w:r>
    </w:p>
    <w:p>
      <w:pPr>
        <w:spacing w:after="0" w:line="97" w:lineRule="exact"/>
        <w:rPr>
          <w:sz w:val="20"/>
          <w:szCs w:val="20"/>
          <w:color w:val="auto"/>
        </w:rPr>
      </w:pPr>
    </w:p>
    <w:p>
      <w:pPr>
        <w:ind w:left="400"/>
        <w:spacing w:after="0"/>
        <w:rPr>
          <w:sz w:val="20"/>
          <w:szCs w:val="20"/>
          <w:color w:val="auto"/>
        </w:rPr>
      </w:pPr>
      <w:r>
        <w:rPr>
          <w:rFonts w:ascii="Calibri" w:cs="Calibri" w:eastAsia="Calibri" w:hAnsi="Calibri"/>
          <w:sz w:val="18"/>
          <w:szCs w:val="18"/>
          <w:b w:val="1"/>
          <w:bCs w:val="1"/>
          <w:i w:val="1"/>
          <w:iCs w:val="1"/>
          <w:color w:val="auto"/>
        </w:rPr>
        <w:t>Net Periodic Beneft Cost</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2"/>
          </w:tcPr>
          <w:p>
            <w:pPr>
              <w:jc w:val="center"/>
              <w:ind w:right="260"/>
              <w:spacing w:after="0"/>
              <w:rPr>
                <w:sz w:val="20"/>
                <w:szCs w:val="20"/>
                <w:color w:val="auto"/>
              </w:rPr>
            </w:pPr>
            <w:r>
              <w:rPr>
                <w:rFonts w:ascii="Calibri" w:cs="Calibri" w:eastAsia="Calibri" w:hAnsi="Calibri"/>
                <w:sz w:val="14"/>
                <w:szCs w:val="14"/>
                <w:b w:val="1"/>
                <w:bCs w:val="1"/>
                <w:color w:val="auto"/>
                <w:w w:val="98"/>
              </w:rPr>
              <w:t>Fiscal Year</w:t>
            </w: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45"/>
        </w:trPr>
        <w:tc>
          <w:tcPr>
            <w:tcW w:w="7740" w:type="dxa"/>
            <w:vAlign w:val="bottom"/>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r>
      <w:tr>
        <w:trPr>
          <w:trHeight w:val="161"/>
        </w:trPr>
        <w:tc>
          <w:tcPr>
            <w:tcW w:w="7740" w:type="dxa"/>
            <w:vAlign w:val="bottom"/>
          </w:tcPr>
          <w:p>
            <w:pPr>
              <w:spacing w:after="0"/>
              <w:rPr>
                <w:sz w:val="13"/>
                <w:szCs w:val="13"/>
                <w:color w:val="auto"/>
              </w:rPr>
            </w:pPr>
          </w:p>
        </w:tc>
        <w:tc>
          <w:tcPr>
            <w:tcW w:w="740" w:type="dxa"/>
            <w:vAlign w:val="bottom"/>
          </w:tcPr>
          <w:p>
            <w:pPr>
              <w:jc w:val="right"/>
              <w:spacing w:after="0" w:line="161" w:lineRule="exact"/>
              <w:rPr>
                <w:sz w:val="20"/>
                <w:szCs w:val="20"/>
                <w:color w:val="auto"/>
              </w:rPr>
            </w:pPr>
            <w:r>
              <w:rPr>
                <w:rFonts w:ascii="Calibri" w:cs="Calibri" w:eastAsia="Calibri" w:hAnsi="Calibri"/>
                <w:sz w:val="14"/>
                <w:szCs w:val="14"/>
                <w:b w:val="1"/>
                <w:bCs w:val="1"/>
                <w:color w:val="auto"/>
              </w:rPr>
              <w:t>2023</w:t>
            </w: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tcPr>
          <w:p>
            <w:pPr>
              <w:jc w:val="center"/>
              <w:ind w:right="58"/>
              <w:spacing w:after="0" w:line="161" w:lineRule="exact"/>
              <w:rPr>
                <w:sz w:val="20"/>
                <w:szCs w:val="20"/>
                <w:color w:val="auto"/>
              </w:rPr>
            </w:pPr>
            <w:r>
              <w:rPr>
                <w:rFonts w:ascii="Calibri" w:cs="Calibri" w:eastAsia="Calibri" w:hAnsi="Calibri"/>
                <w:sz w:val="14"/>
                <w:szCs w:val="14"/>
                <w:b w:val="1"/>
                <w:bCs w:val="1"/>
                <w:color w:val="auto"/>
                <w:w w:val="98"/>
              </w:rPr>
              <w:t>2022</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tcPr>
          <w:p>
            <w:pPr>
              <w:jc w:val="right"/>
              <w:ind w:right="315"/>
              <w:spacing w:after="0" w:line="161" w:lineRule="exact"/>
              <w:rPr>
                <w:sz w:val="20"/>
                <w:szCs w:val="20"/>
                <w:color w:val="auto"/>
              </w:rPr>
            </w:pPr>
            <w:r>
              <w:rPr>
                <w:rFonts w:ascii="Calibri" w:cs="Calibri" w:eastAsia="Calibri" w:hAnsi="Calibri"/>
                <w:sz w:val="14"/>
                <w:szCs w:val="14"/>
                <w:b w:val="1"/>
                <w:bCs w:val="1"/>
                <w:color w:val="auto"/>
              </w:rPr>
              <w:t>2021</w:t>
            </w:r>
          </w:p>
        </w:tc>
      </w:tr>
      <w:tr>
        <w:trPr>
          <w:trHeight w:val="30"/>
        </w:trPr>
        <w:tc>
          <w:tcPr>
            <w:tcW w:w="774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186"/>
        </w:trPr>
        <w:tc>
          <w:tcPr>
            <w:tcW w:w="77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gridSpan w:val="2"/>
          </w:tcPr>
          <w:p>
            <w:pPr>
              <w:jc w:val="center"/>
              <w:ind w:right="240"/>
              <w:spacing w:after="0"/>
              <w:rPr>
                <w:sz w:val="20"/>
                <w:szCs w:val="20"/>
                <w:color w:val="auto"/>
              </w:rPr>
            </w:pPr>
            <w:r>
              <w:rPr>
                <w:rFonts w:ascii="Calibri" w:cs="Calibri" w:eastAsia="Calibri" w:hAnsi="Calibri"/>
                <w:sz w:val="14"/>
                <w:szCs w:val="14"/>
                <w:b w:val="1"/>
                <w:bCs w:val="1"/>
                <w:color w:val="auto"/>
              </w:rPr>
              <w:t>(In millions)</w:t>
            </w: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45"/>
        </w:trPr>
        <w:tc>
          <w:tcPr>
            <w:tcW w:w="7740" w:type="dxa"/>
            <w:vAlign w:val="bottom"/>
          </w:tcPr>
          <w:p>
            <w:pPr>
              <w:spacing w:after="0"/>
              <w:rPr>
                <w:sz w:val="3"/>
                <w:szCs w:val="3"/>
                <w:color w:val="auto"/>
              </w:rPr>
            </w:pPr>
          </w:p>
        </w:tc>
        <w:tc>
          <w:tcPr>
            <w:tcW w:w="74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840" w:type="dxa"/>
            <w:vAlign w:val="bottom"/>
          </w:tcPr>
          <w:p>
            <w:pPr>
              <w:spacing w:after="0"/>
              <w:rPr>
                <w:sz w:val="3"/>
                <w:szCs w:val="3"/>
                <w:color w:val="auto"/>
              </w:rPr>
            </w:pPr>
          </w:p>
        </w:tc>
      </w:tr>
      <w:tr>
        <w:trPr>
          <w:trHeight w:val="224"/>
        </w:trPr>
        <w:tc>
          <w:tcPr>
            <w:tcW w:w="7740" w:type="dxa"/>
            <w:vAlign w:val="bottom"/>
            <w:shd w:val="clear" w:color="auto" w:fill="CCEEFF"/>
          </w:tcPr>
          <w:p>
            <w:pPr>
              <w:ind w:left="20"/>
              <w:spacing w:after="0" w:line="210" w:lineRule="exact"/>
              <w:rPr>
                <w:sz w:val="20"/>
                <w:szCs w:val="20"/>
                <w:color w:val="auto"/>
              </w:rPr>
            </w:pPr>
            <w:r>
              <w:rPr>
                <w:rFonts w:ascii="Calibri" w:cs="Calibri" w:eastAsia="Calibri" w:hAnsi="Calibri"/>
                <w:sz w:val="18"/>
                <w:szCs w:val="18"/>
                <w:color w:val="auto"/>
              </w:rPr>
              <w:t>Service cost</w:t>
            </w:r>
          </w:p>
        </w:tc>
        <w:tc>
          <w:tcPr>
            <w:tcW w:w="740" w:type="dxa"/>
            <w:vAlign w:val="bottom"/>
            <w:shd w:val="clear" w:color="auto" w:fill="CCEEFF"/>
          </w:tcPr>
          <w:p>
            <w:pPr>
              <w:jc w:val="right"/>
              <w:ind w:right="556"/>
              <w:spacing w:after="0" w:line="210" w:lineRule="exact"/>
              <w:rPr>
                <w:sz w:val="20"/>
                <w:szCs w:val="20"/>
                <w:color w:val="auto"/>
              </w:rPr>
            </w:pPr>
            <w:r>
              <w:rPr>
                <w:rFonts w:ascii="Calibri" w:cs="Calibri" w:eastAsia="Calibri" w:hAnsi="Calibri"/>
                <w:sz w:val="18"/>
                <w:szCs w:val="18"/>
                <w:color w:val="auto"/>
                <w:w w:val="87"/>
              </w:rPr>
              <w:t>$</w:t>
            </w:r>
          </w:p>
        </w:tc>
        <w:tc>
          <w:tcPr>
            <w:tcW w:w="340" w:type="dxa"/>
            <w:vAlign w:val="bottom"/>
            <w:shd w:val="clear" w:color="auto" w:fill="CCEEFF"/>
          </w:tcPr>
          <w:p>
            <w:pPr>
              <w:jc w:val="right"/>
              <w:spacing w:after="0" w:line="210" w:lineRule="exact"/>
              <w:rPr>
                <w:sz w:val="20"/>
                <w:szCs w:val="20"/>
                <w:color w:val="auto"/>
              </w:rPr>
            </w:pPr>
            <w:r>
              <w:rPr>
                <w:rFonts w:ascii="Calibri" w:cs="Calibri" w:eastAsia="Calibri" w:hAnsi="Calibri"/>
                <w:sz w:val="18"/>
                <w:szCs w:val="18"/>
                <w:color w:val="auto"/>
              </w:rPr>
              <w:t>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line="210" w:lineRule="exact"/>
              <w:rPr>
                <w:sz w:val="20"/>
                <w:szCs w:val="20"/>
                <w:color w:val="auto"/>
              </w:rPr>
            </w:pPr>
            <w:r>
              <w:rPr>
                <w:rFonts w:ascii="Calibri" w:cs="Calibri" w:eastAsia="Calibri" w:hAnsi="Calibri"/>
                <w:sz w:val="18"/>
                <w:szCs w:val="18"/>
                <w:color w:val="auto"/>
                <w:w w:val="87"/>
              </w:rPr>
              <w:t>$</w:t>
            </w:r>
          </w:p>
        </w:tc>
        <w:tc>
          <w:tcPr>
            <w:tcW w:w="940" w:type="dxa"/>
            <w:vAlign w:val="bottom"/>
            <w:shd w:val="clear" w:color="auto" w:fill="CCEEFF"/>
          </w:tcPr>
          <w:p>
            <w:pPr>
              <w:jc w:val="right"/>
              <w:spacing w:after="0" w:line="210" w:lineRule="exact"/>
              <w:rPr>
                <w:sz w:val="20"/>
                <w:szCs w:val="20"/>
                <w:color w:val="auto"/>
              </w:rPr>
            </w:pPr>
            <w:r>
              <w:rPr>
                <w:rFonts w:ascii="Calibri" w:cs="Calibri" w:eastAsia="Calibri" w:hAnsi="Calibri"/>
                <w:sz w:val="18"/>
                <w:szCs w:val="18"/>
                <w:color w:val="auto"/>
              </w:rPr>
              <w:t>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2"/>
              <w:spacing w:after="0" w:line="210" w:lineRule="exact"/>
              <w:rPr>
                <w:sz w:val="20"/>
                <w:szCs w:val="20"/>
                <w:color w:val="auto"/>
              </w:rPr>
            </w:pPr>
            <w:r>
              <w:rPr>
                <w:rFonts w:ascii="Calibri" w:cs="Calibri" w:eastAsia="Calibri" w:hAnsi="Calibri"/>
                <w:sz w:val="18"/>
                <w:szCs w:val="18"/>
                <w:color w:val="auto"/>
                <w:w w:val="87"/>
              </w:rPr>
              <w:t>$</w:t>
            </w:r>
          </w:p>
        </w:tc>
        <w:tc>
          <w:tcPr>
            <w:tcW w:w="840" w:type="dxa"/>
            <w:vAlign w:val="bottom"/>
            <w:shd w:val="clear" w:color="auto" w:fill="CCEEFF"/>
          </w:tcPr>
          <w:p>
            <w:pPr>
              <w:jc w:val="right"/>
              <w:spacing w:after="0" w:line="210" w:lineRule="exact"/>
              <w:rPr>
                <w:sz w:val="20"/>
                <w:szCs w:val="20"/>
                <w:color w:val="auto"/>
              </w:rPr>
            </w:pPr>
            <w:r>
              <w:rPr>
                <w:rFonts w:ascii="Calibri" w:cs="Calibri" w:eastAsia="Calibri" w:hAnsi="Calibri"/>
                <w:sz w:val="18"/>
                <w:szCs w:val="18"/>
                <w:color w:val="auto"/>
              </w:rPr>
              <w:t>11</w:t>
            </w:r>
          </w:p>
        </w:tc>
      </w:tr>
      <w:tr>
        <w:trPr>
          <w:trHeight w:val="217"/>
        </w:trPr>
        <w:tc>
          <w:tcPr>
            <w:tcW w:w="7740" w:type="dxa"/>
            <w:vAlign w:val="bottom"/>
          </w:tcPr>
          <w:p>
            <w:pPr>
              <w:ind w:left="20"/>
              <w:spacing w:after="0" w:line="210" w:lineRule="exact"/>
              <w:rPr>
                <w:sz w:val="20"/>
                <w:szCs w:val="20"/>
                <w:color w:val="auto"/>
              </w:rPr>
            </w:pPr>
            <w:r>
              <w:rPr>
                <w:rFonts w:ascii="Calibri" w:cs="Calibri" w:eastAsia="Calibri" w:hAnsi="Calibri"/>
                <w:sz w:val="18"/>
                <w:szCs w:val="18"/>
                <w:color w:val="auto"/>
              </w:rPr>
              <w:t>Interest cost</w:t>
            </w:r>
          </w:p>
        </w:tc>
        <w:tc>
          <w:tcPr>
            <w:tcW w:w="740" w:type="dxa"/>
            <w:vAlign w:val="bottom"/>
          </w:tcPr>
          <w:p>
            <w:pPr>
              <w:spacing w:after="0"/>
              <w:rPr>
                <w:sz w:val="18"/>
                <w:szCs w:val="18"/>
                <w:color w:val="auto"/>
              </w:rPr>
            </w:pPr>
          </w:p>
        </w:tc>
        <w:tc>
          <w:tcPr>
            <w:tcW w:w="340" w:type="dxa"/>
            <w:vAlign w:val="bottom"/>
          </w:tcPr>
          <w:p>
            <w:pPr>
              <w:jc w:val="right"/>
              <w:spacing w:after="0" w:line="210" w:lineRule="exact"/>
              <w:rPr>
                <w:sz w:val="20"/>
                <w:szCs w:val="20"/>
                <w:color w:val="auto"/>
              </w:rPr>
            </w:pPr>
            <w:r>
              <w:rPr>
                <w:rFonts w:ascii="Calibri" w:cs="Calibri" w:eastAsia="Calibri" w:hAnsi="Calibri"/>
                <w:sz w:val="18"/>
                <w:szCs w:val="18"/>
                <w:color w:val="auto"/>
              </w:rPr>
              <w:t>60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line="210" w:lineRule="exact"/>
              <w:rPr>
                <w:sz w:val="20"/>
                <w:szCs w:val="20"/>
                <w:color w:val="auto"/>
              </w:rPr>
            </w:pPr>
            <w:r>
              <w:rPr>
                <w:rFonts w:ascii="Calibri" w:cs="Calibri" w:eastAsia="Calibri" w:hAnsi="Calibri"/>
                <w:sz w:val="18"/>
                <w:szCs w:val="18"/>
                <w:color w:val="auto"/>
              </w:rPr>
              <w:t>39</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line="210" w:lineRule="exact"/>
              <w:rPr>
                <w:sz w:val="20"/>
                <w:szCs w:val="20"/>
                <w:color w:val="auto"/>
              </w:rPr>
            </w:pPr>
            <w:r>
              <w:rPr>
                <w:rFonts w:ascii="Calibri" w:cs="Calibri" w:eastAsia="Calibri" w:hAnsi="Calibri"/>
                <w:sz w:val="18"/>
                <w:szCs w:val="18"/>
                <w:color w:val="auto"/>
              </w:rPr>
              <w:t>39</w:t>
            </w:r>
          </w:p>
        </w:tc>
      </w:tr>
      <w:tr>
        <w:trPr>
          <w:trHeight w:val="232"/>
        </w:trPr>
        <w:tc>
          <w:tcPr>
            <w:tcW w:w="7740" w:type="dxa"/>
            <w:vAlign w:val="bottom"/>
            <w:shd w:val="clear" w:color="auto" w:fill="CCEEFF"/>
          </w:tcPr>
          <w:p>
            <w:pPr>
              <w:ind w:left="20"/>
              <w:spacing w:after="0" w:line="217" w:lineRule="exact"/>
              <w:rPr>
                <w:sz w:val="20"/>
                <w:szCs w:val="20"/>
                <w:color w:val="auto"/>
              </w:rPr>
            </w:pPr>
            <w:r>
              <w:rPr>
                <w:rFonts w:ascii="Calibri" w:cs="Calibri" w:eastAsia="Calibri" w:hAnsi="Calibri"/>
                <w:sz w:val="18"/>
                <w:szCs w:val="18"/>
                <w:color w:val="auto"/>
              </w:rPr>
              <w:t>Expected return on plan assets</w:t>
            </w:r>
          </w:p>
        </w:tc>
        <w:tc>
          <w:tcPr>
            <w:tcW w:w="740" w:type="dxa"/>
            <w:vAlign w:val="bottom"/>
            <w:shd w:val="clear" w:color="auto" w:fill="CCEEFF"/>
          </w:tcPr>
          <w:p>
            <w:pPr>
              <w:spacing w:after="0"/>
              <w:rPr>
                <w:sz w:val="20"/>
                <w:szCs w:val="20"/>
                <w:color w:val="auto"/>
              </w:rPr>
            </w:pPr>
          </w:p>
        </w:tc>
        <w:tc>
          <w:tcPr>
            <w:tcW w:w="340" w:type="dxa"/>
            <w:vAlign w:val="bottom"/>
            <w:shd w:val="clear" w:color="auto" w:fill="CCEEFF"/>
          </w:tcPr>
          <w:p>
            <w:pPr>
              <w:jc w:val="right"/>
              <w:spacing w:after="0" w:line="217" w:lineRule="exact"/>
              <w:rPr>
                <w:sz w:val="20"/>
                <w:szCs w:val="20"/>
                <w:color w:val="auto"/>
              </w:rPr>
            </w:pPr>
            <w:r>
              <w:rPr>
                <w:rFonts w:ascii="Calibri" w:cs="Calibri" w:eastAsia="Calibri" w:hAnsi="Calibri"/>
                <w:sz w:val="18"/>
                <w:szCs w:val="18"/>
                <w:color w:val="auto"/>
              </w:rPr>
              <w:t>(59)</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line="217" w:lineRule="exact"/>
              <w:rPr>
                <w:sz w:val="20"/>
                <w:szCs w:val="20"/>
                <w:color w:val="auto"/>
              </w:rPr>
            </w:pPr>
            <w:r>
              <w:rPr>
                <w:rFonts w:ascii="Calibri" w:cs="Calibri" w:eastAsia="Calibri" w:hAnsi="Calibri"/>
                <w:sz w:val="18"/>
                <w:szCs w:val="18"/>
                <w:color w:val="auto"/>
              </w:rPr>
              <w:t>(39)</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line="217" w:lineRule="exact"/>
              <w:rPr>
                <w:sz w:val="20"/>
                <w:szCs w:val="20"/>
                <w:color w:val="auto"/>
              </w:rPr>
            </w:pPr>
            <w:r>
              <w:rPr>
                <w:rFonts w:ascii="Calibri" w:cs="Calibri" w:eastAsia="Calibri" w:hAnsi="Calibri"/>
                <w:sz w:val="18"/>
                <w:szCs w:val="18"/>
                <w:color w:val="auto"/>
              </w:rPr>
              <w:t>(40)</w:t>
            </w:r>
          </w:p>
        </w:tc>
      </w:tr>
      <w:tr>
        <w:trPr>
          <w:trHeight w:val="218"/>
        </w:trPr>
        <w:tc>
          <w:tcPr>
            <w:tcW w:w="7740" w:type="dxa"/>
            <w:vAlign w:val="bottom"/>
          </w:tcPr>
          <w:p>
            <w:pPr>
              <w:ind w:left="20"/>
              <w:spacing w:after="0" w:line="210" w:lineRule="exact"/>
              <w:rPr>
                <w:sz w:val="20"/>
                <w:szCs w:val="20"/>
                <w:color w:val="auto"/>
              </w:rPr>
            </w:pPr>
            <w:r>
              <w:rPr>
                <w:rFonts w:ascii="Calibri" w:cs="Calibri" w:eastAsia="Calibri" w:hAnsi="Calibri"/>
                <w:sz w:val="18"/>
                <w:szCs w:val="18"/>
                <w:color w:val="auto"/>
              </w:rPr>
              <w:t>Other</w:t>
            </w:r>
          </w:p>
        </w:tc>
        <w:tc>
          <w:tcPr>
            <w:tcW w:w="740" w:type="dxa"/>
            <w:vAlign w:val="bottom"/>
          </w:tcPr>
          <w:p>
            <w:pPr>
              <w:spacing w:after="0"/>
              <w:rPr>
                <w:sz w:val="18"/>
                <w:szCs w:val="18"/>
                <w:color w:val="auto"/>
              </w:rPr>
            </w:pPr>
          </w:p>
        </w:tc>
        <w:tc>
          <w:tcPr>
            <w:tcW w:w="460" w:type="dxa"/>
            <w:vAlign w:val="bottom"/>
            <w:gridSpan w:val="2"/>
          </w:tcPr>
          <w:p>
            <w:pPr>
              <w:jc w:val="right"/>
              <w:ind w:right="180"/>
              <w:spacing w:after="0" w:line="210" w:lineRule="exact"/>
              <w:rPr>
                <w:sz w:val="20"/>
                <w:szCs w:val="20"/>
                <w:color w:val="auto"/>
              </w:rPr>
            </w:pPr>
            <w:r>
              <w:rPr>
                <w:rFonts w:ascii="Calibri" w:cs="Calibri" w:eastAsia="Calibri" w:hAnsi="Calibri"/>
                <w:sz w:val="18"/>
                <w:szCs w:val="18"/>
                <w:color w:val="auto"/>
              </w:rPr>
              <w:t>—</w:t>
            </w:r>
          </w:p>
        </w:tc>
        <w:tc>
          <w:tcPr>
            <w:tcW w:w="140" w:type="dxa"/>
            <w:vAlign w:val="bottom"/>
          </w:tcPr>
          <w:p>
            <w:pPr>
              <w:spacing w:after="0"/>
              <w:rPr>
                <w:sz w:val="18"/>
                <w:szCs w:val="18"/>
                <w:color w:val="auto"/>
              </w:rPr>
            </w:pPr>
          </w:p>
        </w:tc>
        <w:tc>
          <w:tcPr>
            <w:tcW w:w="940" w:type="dxa"/>
            <w:vAlign w:val="bottom"/>
          </w:tcPr>
          <w:p>
            <w:pPr>
              <w:jc w:val="right"/>
              <w:spacing w:after="0" w:line="210" w:lineRule="exact"/>
              <w:rPr>
                <w:sz w:val="20"/>
                <w:szCs w:val="20"/>
                <w:color w:val="auto"/>
              </w:rPr>
            </w:pPr>
            <w:r>
              <w:rPr>
                <w:rFonts w:ascii="Calibri" w:cs="Calibri" w:eastAsia="Calibri" w:hAnsi="Calibri"/>
                <w:sz w:val="18"/>
                <w:szCs w:val="18"/>
                <w:color w:val="auto"/>
              </w:rPr>
              <w:t>1</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line="210" w:lineRule="exact"/>
              <w:rPr>
                <w:sz w:val="20"/>
                <w:szCs w:val="20"/>
                <w:color w:val="auto"/>
              </w:rPr>
            </w:pPr>
            <w:r>
              <w:rPr>
                <w:rFonts w:ascii="Calibri" w:cs="Calibri" w:eastAsia="Calibri" w:hAnsi="Calibri"/>
                <w:sz w:val="18"/>
                <w:szCs w:val="18"/>
                <w:color w:val="auto"/>
              </w:rPr>
              <w:t>1</w:t>
            </w:r>
          </w:p>
        </w:tc>
      </w:tr>
      <w:tr>
        <w:trPr>
          <w:trHeight w:val="249"/>
        </w:trPr>
        <w:tc>
          <w:tcPr>
            <w:tcW w:w="774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Calibri" w:cs="Calibri" w:eastAsia="Calibri" w:hAnsi="Calibri"/>
                <w:sz w:val="18"/>
                <w:szCs w:val="18"/>
                <w:color w:val="auto"/>
              </w:rPr>
              <w:t>Net periodic beneft cost</w:t>
            </w:r>
          </w:p>
        </w:tc>
        <w:tc>
          <w:tcPr>
            <w:tcW w:w="740" w:type="dxa"/>
            <w:vAlign w:val="bottom"/>
            <w:tcBorders>
              <w:top w:val="single" w:sz="8" w:color="auto"/>
              <w:bottom w:val="single" w:sz="8" w:color="auto"/>
            </w:tcBorders>
            <w:shd w:val="clear" w:color="auto" w:fill="CCEEFF"/>
          </w:tcPr>
          <w:p>
            <w:pPr>
              <w:jc w:val="right"/>
              <w:ind w:right="556"/>
              <w:spacing w:after="0" w:line="210" w:lineRule="exact"/>
              <w:rPr>
                <w:sz w:val="20"/>
                <w:szCs w:val="20"/>
                <w:color w:val="auto"/>
              </w:rPr>
            </w:pPr>
            <w:r>
              <w:rPr>
                <w:rFonts w:ascii="Calibri" w:cs="Calibri" w:eastAsia="Calibri" w:hAnsi="Calibri"/>
                <w:sz w:val="18"/>
                <w:szCs w:val="18"/>
                <w:color w:val="auto"/>
                <w:w w:val="87"/>
              </w:rPr>
              <w:t>$</w:t>
            </w:r>
          </w:p>
        </w:tc>
        <w:tc>
          <w:tcPr>
            <w:tcW w:w="340" w:type="dxa"/>
            <w:vAlign w:val="bottom"/>
            <w:tcBorders>
              <w:top w:val="single" w:sz="8" w:color="auto"/>
              <w:bottom w:val="single" w:sz="8" w:color="auto"/>
            </w:tcBorders>
            <w:shd w:val="clear" w:color="auto" w:fill="CCEEFF"/>
          </w:tcPr>
          <w:p>
            <w:pPr>
              <w:jc w:val="right"/>
              <w:spacing w:after="0" w:line="210" w:lineRule="exact"/>
              <w:rPr>
                <w:sz w:val="20"/>
                <w:szCs w:val="20"/>
                <w:color w:val="auto"/>
              </w:rPr>
            </w:pPr>
            <w:r>
              <w:rPr>
                <w:rFonts w:ascii="Calibri" w:cs="Calibri" w:eastAsia="Calibri" w:hAnsi="Calibri"/>
                <w:sz w:val="18"/>
                <w:szCs w:val="18"/>
                <w:color w:val="auto"/>
              </w:rPr>
              <w:t>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line="210" w:lineRule="exact"/>
              <w:rPr>
                <w:sz w:val="20"/>
                <w:szCs w:val="20"/>
                <w:color w:val="auto"/>
              </w:rPr>
            </w:pPr>
            <w:r>
              <w:rPr>
                <w:rFonts w:ascii="Calibri" w:cs="Calibri" w:eastAsia="Calibri" w:hAnsi="Calibri"/>
                <w:sz w:val="18"/>
                <w:szCs w:val="18"/>
                <w:color w:val="auto"/>
                <w:w w:val="87"/>
              </w:rPr>
              <w:t>$</w:t>
            </w:r>
          </w:p>
        </w:tc>
        <w:tc>
          <w:tcPr>
            <w:tcW w:w="940" w:type="dxa"/>
            <w:vAlign w:val="bottom"/>
            <w:tcBorders>
              <w:top w:val="single" w:sz="8" w:color="auto"/>
              <w:bottom w:val="single" w:sz="8" w:color="auto"/>
            </w:tcBorders>
            <w:shd w:val="clear" w:color="auto" w:fill="CCEEFF"/>
          </w:tcPr>
          <w:p>
            <w:pPr>
              <w:jc w:val="right"/>
              <w:spacing w:after="0" w:line="210" w:lineRule="exact"/>
              <w:rPr>
                <w:sz w:val="20"/>
                <w:szCs w:val="20"/>
                <w:color w:val="auto"/>
              </w:rPr>
            </w:pPr>
            <w:r>
              <w:rPr>
                <w:rFonts w:ascii="Calibri" w:cs="Calibri" w:eastAsia="Calibri" w:hAnsi="Calibri"/>
                <w:sz w:val="18"/>
                <w:szCs w:val="18"/>
                <w:color w:val="auto"/>
              </w:rPr>
              <w:t>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2"/>
              <w:spacing w:after="0" w:line="210" w:lineRule="exact"/>
              <w:rPr>
                <w:sz w:val="20"/>
                <w:szCs w:val="20"/>
                <w:color w:val="auto"/>
              </w:rPr>
            </w:pPr>
            <w:r>
              <w:rPr>
                <w:rFonts w:ascii="Calibri" w:cs="Calibri" w:eastAsia="Calibri" w:hAnsi="Calibri"/>
                <w:sz w:val="18"/>
                <w:szCs w:val="18"/>
                <w:color w:val="auto"/>
                <w:w w:val="87"/>
              </w:rPr>
              <w:t>$</w:t>
            </w:r>
          </w:p>
        </w:tc>
        <w:tc>
          <w:tcPr>
            <w:tcW w:w="840" w:type="dxa"/>
            <w:vAlign w:val="bottom"/>
            <w:tcBorders>
              <w:top w:val="single" w:sz="8" w:color="auto"/>
              <w:bottom w:val="single" w:sz="8" w:color="auto"/>
            </w:tcBorders>
            <w:shd w:val="clear" w:color="auto" w:fill="CCEEFF"/>
          </w:tcPr>
          <w:p>
            <w:pPr>
              <w:jc w:val="right"/>
              <w:spacing w:after="0" w:line="210" w:lineRule="exact"/>
              <w:rPr>
                <w:sz w:val="20"/>
                <w:szCs w:val="20"/>
                <w:color w:val="auto"/>
              </w:rPr>
            </w:pPr>
            <w:r>
              <w:rPr>
                <w:rFonts w:ascii="Calibri" w:cs="Calibri" w:eastAsia="Calibri" w:hAnsi="Calibri"/>
                <w:sz w:val="18"/>
                <w:szCs w:val="18"/>
                <w:color w:val="auto"/>
              </w:rPr>
              <w:t>11</w:t>
            </w:r>
          </w:p>
        </w:tc>
      </w:tr>
      <w:tr>
        <w:trPr>
          <w:trHeight w:val="20"/>
        </w:trPr>
        <w:tc>
          <w:tcPr>
            <w:tcW w:w="774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r>
        <w:trPr>
          <w:trHeight w:val="52"/>
        </w:trPr>
        <w:tc>
          <w:tcPr>
            <w:tcW w:w="7740" w:type="dxa"/>
            <w:vAlign w:val="bottom"/>
          </w:tcPr>
          <w:p>
            <w:pPr>
              <w:spacing w:after="0"/>
              <w:rPr>
                <w:sz w:val="4"/>
                <w:szCs w:val="4"/>
                <w:color w:val="auto"/>
              </w:rPr>
            </w:pPr>
          </w:p>
        </w:tc>
        <w:tc>
          <w:tcPr>
            <w:tcW w:w="74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9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840" w:type="dxa"/>
            <w:vAlign w:val="bottom"/>
          </w:tcPr>
          <w:p>
            <w:pPr>
              <w:spacing w:after="0"/>
              <w:rPr>
                <w:sz w:val="4"/>
                <w:szCs w:val="4"/>
                <w:color w:val="auto"/>
              </w:rPr>
            </w:pPr>
          </w:p>
        </w:tc>
      </w:tr>
      <w:tr>
        <w:trPr>
          <w:trHeight w:val="224"/>
        </w:trPr>
        <w:tc>
          <w:tcPr>
            <w:tcW w:w="7740" w:type="dxa"/>
            <w:vAlign w:val="bottom"/>
            <w:shd w:val="clear" w:color="auto" w:fill="CCEEFF"/>
          </w:tcPr>
          <w:p>
            <w:pPr>
              <w:ind w:left="20"/>
              <w:spacing w:after="0" w:line="210" w:lineRule="exact"/>
              <w:rPr>
                <w:sz w:val="20"/>
                <w:szCs w:val="20"/>
                <w:color w:val="auto"/>
              </w:rPr>
            </w:pPr>
            <w:r>
              <w:rPr>
                <w:rFonts w:ascii="Calibri" w:cs="Calibri" w:eastAsia="Calibri" w:hAnsi="Calibri"/>
                <w:sz w:val="18"/>
                <w:szCs w:val="18"/>
                <w:color w:val="auto"/>
              </w:rPr>
              <w:t>Net actuarial (gain) loss</w:t>
            </w:r>
          </w:p>
        </w:tc>
        <w:tc>
          <w:tcPr>
            <w:tcW w:w="740" w:type="dxa"/>
            <w:vAlign w:val="bottom"/>
            <w:shd w:val="clear" w:color="auto" w:fill="CCEEFF"/>
          </w:tcPr>
          <w:p>
            <w:pPr>
              <w:jc w:val="right"/>
              <w:ind w:right="556"/>
              <w:spacing w:after="0" w:line="210" w:lineRule="exact"/>
              <w:rPr>
                <w:sz w:val="20"/>
                <w:szCs w:val="20"/>
                <w:color w:val="auto"/>
              </w:rPr>
            </w:pPr>
            <w:r>
              <w:rPr>
                <w:rFonts w:ascii="Calibri" w:cs="Calibri" w:eastAsia="Calibri" w:hAnsi="Calibri"/>
                <w:sz w:val="18"/>
                <w:szCs w:val="18"/>
                <w:color w:val="auto"/>
                <w:w w:val="87"/>
              </w:rPr>
              <w:t>$</w:t>
            </w:r>
          </w:p>
        </w:tc>
        <w:tc>
          <w:tcPr>
            <w:tcW w:w="340" w:type="dxa"/>
            <w:vAlign w:val="bottom"/>
            <w:shd w:val="clear" w:color="auto" w:fill="CCEEFF"/>
          </w:tcPr>
          <w:p>
            <w:pPr>
              <w:jc w:val="right"/>
              <w:spacing w:after="0" w:line="210" w:lineRule="exact"/>
              <w:rPr>
                <w:sz w:val="20"/>
                <w:szCs w:val="20"/>
                <w:color w:val="auto"/>
              </w:rPr>
            </w:pPr>
            <w:r>
              <w:rPr>
                <w:rFonts w:ascii="Calibri" w:cs="Calibri" w:eastAsia="Calibri" w:hAnsi="Calibri"/>
                <w:sz w:val="18"/>
                <w:szCs w:val="18"/>
                <w:color w:val="auto"/>
              </w:rPr>
              <w:t>20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line="210" w:lineRule="exact"/>
              <w:rPr>
                <w:sz w:val="20"/>
                <w:szCs w:val="20"/>
                <w:color w:val="auto"/>
              </w:rPr>
            </w:pPr>
            <w:r>
              <w:rPr>
                <w:rFonts w:ascii="Calibri" w:cs="Calibri" w:eastAsia="Calibri" w:hAnsi="Calibri"/>
                <w:sz w:val="18"/>
                <w:szCs w:val="18"/>
                <w:color w:val="auto"/>
                <w:w w:val="87"/>
              </w:rPr>
              <w:t>$</w:t>
            </w:r>
          </w:p>
        </w:tc>
        <w:tc>
          <w:tcPr>
            <w:tcW w:w="940" w:type="dxa"/>
            <w:vAlign w:val="bottom"/>
            <w:shd w:val="clear" w:color="auto" w:fill="CCEEFF"/>
          </w:tcPr>
          <w:p>
            <w:pPr>
              <w:jc w:val="right"/>
              <w:spacing w:after="0" w:line="210" w:lineRule="exact"/>
              <w:rPr>
                <w:sz w:val="20"/>
                <w:szCs w:val="20"/>
                <w:color w:val="auto"/>
              </w:rPr>
            </w:pPr>
            <w:r>
              <w:rPr>
                <w:rFonts w:ascii="Calibri" w:cs="Calibri" w:eastAsia="Calibri" w:hAnsi="Calibri"/>
                <w:sz w:val="18"/>
                <w:szCs w:val="18"/>
                <w:color w:val="auto"/>
              </w:rPr>
              <w:t>(17)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2"/>
              <w:spacing w:after="0" w:line="210" w:lineRule="exact"/>
              <w:rPr>
                <w:sz w:val="20"/>
                <w:szCs w:val="20"/>
                <w:color w:val="auto"/>
              </w:rPr>
            </w:pPr>
            <w:r>
              <w:rPr>
                <w:rFonts w:ascii="Calibri" w:cs="Calibri" w:eastAsia="Calibri" w:hAnsi="Calibri"/>
                <w:sz w:val="18"/>
                <w:szCs w:val="18"/>
                <w:color w:val="auto"/>
                <w:w w:val="87"/>
              </w:rPr>
              <w:t>$</w:t>
            </w:r>
          </w:p>
        </w:tc>
        <w:tc>
          <w:tcPr>
            <w:tcW w:w="840" w:type="dxa"/>
            <w:vAlign w:val="bottom"/>
            <w:shd w:val="clear" w:color="auto" w:fill="CCEEFF"/>
          </w:tcPr>
          <w:p>
            <w:pPr>
              <w:jc w:val="right"/>
              <w:spacing w:after="0" w:line="210" w:lineRule="exact"/>
              <w:rPr>
                <w:sz w:val="20"/>
                <w:szCs w:val="20"/>
                <w:color w:val="auto"/>
              </w:rPr>
            </w:pPr>
            <w:r>
              <w:rPr>
                <w:rFonts w:ascii="Calibri" w:cs="Calibri" w:eastAsia="Calibri" w:hAnsi="Calibri"/>
                <w:sz w:val="18"/>
                <w:szCs w:val="18"/>
                <w:color w:val="auto"/>
              </w:rPr>
              <w:t>8</w:t>
            </w:r>
          </w:p>
        </w:tc>
      </w:tr>
    </w:tbl>
    <w:p>
      <w:pPr>
        <w:spacing w:after="0" w:line="177" w:lineRule="exact"/>
        <w:rPr>
          <w:sz w:val="20"/>
          <w:szCs w:val="20"/>
          <w:color w:val="auto"/>
        </w:rPr>
      </w:pPr>
    </w:p>
    <w:p>
      <w:pPr>
        <w:ind w:right="60" w:firstLine="396"/>
        <w:spacing w:after="0" w:line="230" w:lineRule="auto"/>
        <w:rPr>
          <w:sz w:val="20"/>
          <w:szCs w:val="20"/>
          <w:color w:val="auto"/>
        </w:rPr>
      </w:pPr>
      <w:r>
        <w:rPr>
          <w:rFonts w:ascii="Calibri" w:cs="Calibri" w:eastAsia="Calibri" w:hAnsi="Calibri"/>
          <w:sz w:val="18"/>
          <w:szCs w:val="18"/>
          <w:color w:val="auto"/>
        </w:rPr>
        <w:t>The components of net periodic beneft cost other than the service cost are included in other income (expense), net. Service cost is recognized in operatng expenses.</w:t>
      </w: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9" w:right="339" w:bottom="1440" w:gutter="0" w:footer="0" w:header="0"/>
        </w:sectPr>
      </w:pPr>
    </w:p>
    <w:bookmarkStart w:id="70" w:name="page71"/>
    <w:bookmarkEnd w:id="70"/>
    <w:p>
      <w:pPr>
        <w:spacing w:after="0"/>
        <w:rPr>
          <w:sz w:val="20"/>
          <w:szCs w:val="20"/>
          <w:color w:val="auto"/>
        </w:rPr>
      </w:pPr>
      <w:r>
        <w:rPr>
          <w:rFonts w:ascii="Calibri" w:cs="Calibri" w:eastAsia="Calibri" w:hAnsi="Calibri"/>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400"/>
        <w:spacing w:after="0"/>
        <w:rPr>
          <w:sz w:val="20"/>
          <w:szCs w:val="20"/>
          <w:color w:val="auto"/>
        </w:rPr>
      </w:pPr>
      <w:r>
        <w:rPr>
          <w:rFonts w:ascii="Calibri" w:cs="Calibri" w:eastAsia="Calibri" w:hAnsi="Calibri"/>
          <w:sz w:val="18"/>
          <w:szCs w:val="18"/>
          <w:b w:val="1"/>
          <w:bCs w:val="1"/>
          <w:i w:val="1"/>
          <w:iCs w:val="1"/>
          <w:color w:val="auto"/>
        </w:rPr>
        <w:t>Beneft Obligatons and Plan Assets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2"/>
          </w:tcPr>
          <w:p>
            <w:pPr>
              <w:ind w:left="60"/>
              <w:spacing w:after="0"/>
              <w:rPr>
                <w:sz w:val="20"/>
                <w:szCs w:val="20"/>
                <w:color w:val="auto"/>
              </w:rPr>
            </w:pPr>
            <w:r>
              <w:rPr>
                <w:rFonts w:ascii="Calibri" w:cs="Calibri" w:eastAsia="Calibri" w:hAnsi="Calibri"/>
                <w:sz w:val="14"/>
                <w:szCs w:val="14"/>
                <w:b w:val="1"/>
                <w:bCs w:val="1"/>
                <w:color w:val="auto"/>
              </w:rPr>
              <w:t>October 29,</w:t>
            </w:r>
          </w:p>
        </w:tc>
        <w:tc>
          <w:tcPr>
            <w:tcW w:w="160" w:type="dxa"/>
            <w:vAlign w:val="bottom"/>
          </w:tcPr>
          <w:p>
            <w:pPr>
              <w:spacing w:after="0"/>
              <w:rPr>
                <w:sz w:val="14"/>
                <w:szCs w:val="14"/>
                <w:color w:val="auto"/>
              </w:rPr>
            </w:pPr>
          </w:p>
        </w:tc>
        <w:tc>
          <w:tcPr>
            <w:tcW w:w="940" w:type="dxa"/>
            <w:vAlign w:val="bottom"/>
          </w:tcPr>
          <w:p>
            <w:pPr>
              <w:jc w:val="right"/>
              <w:ind w:right="114"/>
              <w:spacing w:after="0"/>
              <w:rPr>
                <w:sz w:val="20"/>
                <w:szCs w:val="20"/>
                <w:color w:val="auto"/>
              </w:rPr>
            </w:pPr>
            <w:r>
              <w:rPr>
                <w:rFonts w:ascii="Calibri" w:cs="Calibri" w:eastAsia="Calibri" w:hAnsi="Calibri"/>
                <w:sz w:val="14"/>
                <w:szCs w:val="14"/>
                <w:b w:val="1"/>
                <w:bCs w:val="1"/>
                <w:color w:val="auto"/>
              </w:rPr>
              <w:t>October 30,</w:t>
            </w:r>
          </w:p>
        </w:tc>
      </w:tr>
      <w:tr>
        <w:trPr>
          <w:trHeight w:val="168"/>
        </w:trPr>
        <w:tc>
          <w:tcPr>
            <w:tcW w:w="8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jc w:val="right"/>
              <w:ind w:right="315"/>
              <w:spacing w:after="0" w:line="168" w:lineRule="exact"/>
              <w:rPr>
                <w:sz w:val="20"/>
                <w:szCs w:val="20"/>
                <w:color w:val="auto"/>
              </w:rPr>
            </w:pPr>
            <w:r>
              <w:rPr>
                <w:rFonts w:ascii="Calibri" w:cs="Calibri" w:eastAsia="Calibri" w:hAnsi="Calibri"/>
                <w:sz w:val="14"/>
                <w:szCs w:val="14"/>
                <w:b w:val="1"/>
                <w:bCs w:val="1"/>
                <w:color w:val="auto"/>
              </w:rPr>
              <w:t>2023</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jc w:val="right"/>
              <w:ind w:right="314"/>
              <w:spacing w:after="0" w:line="168" w:lineRule="exact"/>
              <w:rPr>
                <w:sz w:val="20"/>
                <w:szCs w:val="20"/>
                <w:color w:val="auto"/>
              </w:rPr>
            </w:pPr>
            <w:r>
              <w:rPr>
                <w:rFonts w:ascii="Calibri" w:cs="Calibri" w:eastAsia="Calibri" w:hAnsi="Calibri"/>
                <w:sz w:val="14"/>
                <w:szCs w:val="14"/>
                <w:b w:val="1"/>
                <w:bCs w:val="1"/>
                <w:color w:val="auto"/>
              </w:rPr>
              <w:t>2022</w:t>
            </w:r>
          </w:p>
        </w:tc>
      </w:tr>
      <w:tr>
        <w:trPr>
          <w:trHeight w:val="32"/>
        </w:trPr>
        <w:tc>
          <w:tcPr>
            <w:tcW w:w="89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r>
      <w:tr>
        <w:trPr>
          <w:trHeight w:val="186"/>
        </w:trPr>
        <w:tc>
          <w:tcPr>
            <w:tcW w:w="8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160" w:type="dxa"/>
            <w:vAlign w:val="bottom"/>
            <w:gridSpan w:val="4"/>
          </w:tcPr>
          <w:p>
            <w:pPr>
              <w:jc w:val="right"/>
              <w:ind w:right="714"/>
              <w:spacing w:after="0"/>
              <w:rPr>
                <w:sz w:val="20"/>
                <w:szCs w:val="20"/>
                <w:color w:val="auto"/>
              </w:rPr>
            </w:pPr>
            <w:r>
              <w:rPr>
                <w:rFonts w:ascii="Calibri" w:cs="Calibri" w:eastAsia="Calibri" w:hAnsi="Calibri"/>
                <w:sz w:val="14"/>
                <w:szCs w:val="14"/>
                <w:b w:val="1"/>
                <w:bCs w:val="1"/>
                <w:color w:val="auto"/>
              </w:rPr>
              <w:t>(In millions)</w:t>
            </w:r>
          </w:p>
        </w:tc>
      </w:tr>
      <w:tr>
        <w:trPr>
          <w:trHeight w:val="248"/>
        </w:trPr>
        <w:tc>
          <w:tcPr>
            <w:tcW w:w="8940" w:type="dxa"/>
            <w:vAlign w:val="bottom"/>
          </w:tcPr>
          <w:p>
            <w:pPr>
              <w:ind w:left="20"/>
              <w:spacing w:after="0"/>
              <w:rPr>
                <w:sz w:val="20"/>
                <w:szCs w:val="20"/>
                <w:color w:val="auto"/>
              </w:rPr>
            </w:pPr>
            <w:r>
              <w:rPr>
                <w:rFonts w:ascii="Calibri" w:cs="Calibri" w:eastAsia="Calibri" w:hAnsi="Calibri"/>
                <w:sz w:val="18"/>
                <w:szCs w:val="18"/>
                <w:b w:val="1"/>
                <w:bCs w:val="1"/>
                <w:color w:val="auto"/>
              </w:rPr>
              <w:t>Change in plan assets:</w:t>
            </w:r>
          </w:p>
        </w:tc>
        <w:tc>
          <w:tcPr>
            <w:tcW w:w="1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2"/>
        </w:trPr>
        <w:tc>
          <w:tcPr>
            <w:tcW w:w="8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224"/>
        </w:trPr>
        <w:tc>
          <w:tcPr>
            <w:tcW w:w="8940" w:type="dxa"/>
            <w:vAlign w:val="bottom"/>
            <w:shd w:val="clear" w:color="auto" w:fill="CCEEFF"/>
          </w:tcPr>
          <w:p>
            <w:pPr>
              <w:ind w:left="140"/>
              <w:spacing w:after="0" w:line="210" w:lineRule="exact"/>
              <w:rPr>
                <w:sz w:val="20"/>
                <w:szCs w:val="20"/>
                <w:color w:val="auto"/>
              </w:rPr>
            </w:pPr>
            <w:r>
              <w:rPr>
                <w:rFonts w:ascii="Calibri" w:cs="Calibri" w:eastAsia="Calibri" w:hAnsi="Calibri"/>
                <w:sz w:val="18"/>
                <w:szCs w:val="18"/>
                <w:color w:val="auto"/>
              </w:rPr>
              <w:t>Fair value of plan assets — beginning of period</w:t>
            </w:r>
          </w:p>
        </w:tc>
        <w:tc>
          <w:tcPr>
            <w:tcW w:w="140" w:type="dxa"/>
            <w:vAlign w:val="bottom"/>
            <w:shd w:val="clear" w:color="auto" w:fill="CCEEFF"/>
          </w:tcPr>
          <w:p>
            <w:pPr>
              <w:jc w:val="right"/>
              <w:spacing w:after="0" w:line="210" w:lineRule="exact"/>
              <w:rPr>
                <w:sz w:val="20"/>
                <w:szCs w:val="20"/>
                <w:color w:val="auto"/>
              </w:rPr>
            </w:pPr>
            <w:r>
              <w:rPr>
                <w:rFonts w:ascii="Calibri" w:cs="Calibri" w:eastAsia="Calibri" w:hAnsi="Calibri"/>
                <w:sz w:val="18"/>
                <w:szCs w:val="18"/>
                <w:color w:val="auto"/>
                <w:w w:val="87"/>
              </w:rPr>
              <w:t>$</w:t>
            </w:r>
          </w:p>
        </w:tc>
        <w:tc>
          <w:tcPr>
            <w:tcW w:w="940" w:type="dxa"/>
            <w:vAlign w:val="bottom"/>
            <w:shd w:val="clear" w:color="auto" w:fill="CCEEFF"/>
          </w:tcPr>
          <w:p>
            <w:pPr>
              <w:jc w:val="right"/>
              <w:spacing w:after="0" w:line="210" w:lineRule="exact"/>
              <w:rPr>
                <w:sz w:val="20"/>
                <w:szCs w:val="20"/>
                <w:color w:val="auto"/>
              </w:rPr>
            </w:pPr>
            <w:r>
              <w:rPr>
                <w:rFonts w:ascii="Calibri" w:cs="Calibri" w:eastAsia="Calibri" w:hAnsi="Calibri"/>
                <w:sz w:val="18"/>
                <w:szCs w:val="18"/>
                <w:color w:val="auto"/>
              </w:rPr>
              <w:t>1,160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line="210" w:lineRule="exact"/>
              <w:rPr>
                <w:sz w:val="20"/>
                <w:szCs w:val="20"/>
                <w:color w:val="auto"/>
              </w:rPr>
            </w:pPr>
            <w:r>
              <w:rPr>
                <w:rFonts w:ascii="Calibri" w:cs="Calibri" w:eastAsia="Calibri" w:hAnsi="Calibri"/>
                <w:sz w:val="18"/>
                <w:szCs w:val="18"/>
                <w:color w:val="auto"/>
                <w:w w:val="87"/>
              </w:rPr>
              <w:t>$</w:t>
            </w:r>
          </w:p>
        </w:tc>
        <w:tc>
          <w:tcPr>
            <w:tcW w:w="940" w:type="dxa"/>
            <w:vAlign w:val="bottom"/>
            <w:shd w:val="clear" w:color="auto" w:fill="CCEEFF"/>
          </w:tcPr>
          <w:p>
            <w:pPr>
              <w:jc w:val="right"/>
              <w:spacing w:after="0" w:line="210" w:lineRule="exact"/>
              <w:rPr>
                <w:sz w:val="20"/>
                <w:szCs w:val="20"/>
                <w:color w:val="auto"/>
              </w:rPr>
            </w:pPr>
            <w:r>
              <w:rPr>
                <w:rFonts w:ascii="Calibri" w:cs="Calibri" w:eastAsia="Calibri" w:hAnsi="Calibri"/>
                <w:sz w:val="18"/>
                <w:szCs w:val="18"/>
                <w:color w:val="auto"/>
              </w:rPr>
              <w:t>1,521</w:t>
            </w:r>
          </w:p>
        </w:tc>
      </w:tr>
      <w:tr>
        <w:trPr>
          <w:trHeight w:val="217"/>
        </w:trPr>
        <w:tc>
          <w:tcPr>
            <w:tcW w:w="8940" w:type="dxa"/>
            <w:vAlign w:val="bottom"/>
          </w:tcPr>
          <w:p>
            <w:pPr>
              <w:ind w:left="220"/>
              <w:spacing w:after="0" w:line="210" w:lineRule="exact"/>
              <w:rPr>
                <w:sz w:val="20"/>
                <w:szCs w:val="20"/>
                <w:color w:val="auto"/>
              </w:rPr>
            </w:pPr>
            <w:r>
              <w:rPr>
                <w:rFonts w:ascii="Calibri" w:cs="Calibri" w:eastAsia="Calibri" w:hAnsi="Calibri"/>
                <w:sz w:val="18"/>
                <w:szCs w:val="18"/>
                <w:color w:val="auto"/>
              </w:rPr>
              <w:t>Actual return on plan assets</w:t>
            </w:r>
          </w:p>
        </w:tc>
        <w:tc>
          <w:tcPr>
            <w:tcW w:w="140" w:type="dxa"/>
            <w:vAlign w:val="bottom"/>
          </w:tcPr>
          <w:p>
            <w:pPr>
              <w:spacing w:after="0"/>
              <w:rPr>
                <w:sz w:val="18"/>
                <w:szCs w:val="18"/>
                <w:color w:val="auto"/>
              </w:rPr>
            </w:pPr>
          </w:p>
        </w:tc>
        <w:tc>
          <w:tcPr>
            <w:tcW w:w="940" w:type="dxa"/>
            <w:vAlign w:val="bottom"/>
          </w:tcPr>
          <w:p>
            <w:pPr>
              <w:jc w:val="right"/>
              <w:spacing w:after="0" w:line="210" w:lineRule="exact"/>
              <w:rPr>
                <w:sz w:val="20"/>
                <w:szCs w:val="20"/>
                <w:color w:val="auto"/>
              </w:rPr>
            </w:pPr>
            <w:r>
              <w:rPr>
                <w:rFonts w:ascii="Calibri" w:cs="Calibri" w:eastAsia="Calibri" w:hAnsi="Calibri"/>
                <w:sz w:val="18"/>
                <w:szCs w:val="18"/>
                <w:color w:val="auto"/>
              </w:rPr>
              <w:t>19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line="210" w:lineRule="exact"/>
              <w:rPr>
                <w:sz w:val="20"/>
                <w:szCs w:val="20"/>
                <w:color w:val="auto"/>
              </w:rPr>
            </w:pPr>
            <w:r>
              <w:rPr>
                <w:rFonts w:ascii="Calibri" w:cs="Calibri" w:eastAsia="Calibri" w:hAnsi="Calibri"/>
                <w:sz w:val="18"/>
                <w:szCs w:val="18"/>
                <w:color w:val="auto"/>
              </w:rPr>
              <w:t>(279)</w:t>
            </w:r>
          </w:p>
        </w:tc>
      </w:tr>
      <w:tr>
        <w:trPr>
          <w:trHeight w:val="232"/>
        </w:trPr>
        <w:tc>
          <w:tcPr>
            <w:tcW w:w="8940" w:type="dxa"/>
            <w:vAlign w:val="bottom"/>
            <w:shd w:val="clear" w:color="auto" w:fill="CCEEFF"/>
          </w:tcPr>
          <w:p>
            <w:pPr>
              <w:ind w:left="220"/>
              <w:spacing w:after="0" w:line="217" w:lineRule="exact"/>
              <w:rPr>
                <w:sz w:val="20"/>
                <w:szCs w:val="20"/>
                <w:color w:val="auto"/>
              </w:rPr>
            </w:pPr>
            <w:r>
              <w:rPr>
                <w:rFonts w:ascii="Calibri" w:cs="Calibri" w:eastAsia="Calibri" w:hAnsi="Calibri"/>
                <w:sz w:val="18"/>
                <w:szCs w:val="18"/>
                <w:color w:val="auto"/>
              </w:rPr>
              <w:t>Employer contributons</w:t>
            </w:r>
          </w:p>
        </w:tc>
        <w:tc>
          <w:tcPr>
            <w:tcW w:w="14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line="217" w:lineRule="exact"/>
              <w:rPr>
                <w:sz w:val="20"/>
                <w:szCs w:val="20"/>
                <w:color w:val="auto"/>
              </w:rPr>
            </w:pPr>
            <w:r>
              <w:rPr>
                <w:rFonts w:ascii="Calibri" w:cs="Calibri" w:eastAsia="Calibri" w:hAnsi="Calibri"/>
                <w:sz w:val="18"/>
                <w:szCs w:val="18"/>
                <w:color w:val="auto"/>
              </w:rPr>
              <w:t>15</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line="217" w:lineRule="exact"/>
              <w:rPr>
                <w:sz w:val="20"/>
                <w:szCs w:val="20"/>
                <w:color w:val="auto"/>
              </w:rPr>
            </w:pPr>
            <w:r>
              <w:rPr>
                <w:rFonts w:ascii="Calibri" w:cs="Calibri" w:eastAsia="Calibri" w:hAnsi="Calibri"/>
                <w:sz w:val="18"/>
                <w:szCs w:val="18"/>
                <w:color w:val="auto"/>
              </w:rPr>
              <w:t>10</w:t>
            </w:r>
          </w:p>
        </w:tc>
      </w:tr>
      <w:tr>
        <w:trPr>
          <w:trHeight w:val="217"/>
        </w:trPr>
        <w:tc>
          <w:tcPr>
            <w:tcW w:w="8940" w:type="dxa"/>
            <w:vAlign w:val="bottom"/>
          </w:tcPr>
          <w:p>
            <w:pPr>
              <w:ind w:left="220"/>
              <w:spacing w:after="0" w:line="210" w:lineRule="exact"/>
              <w:rPr>
                <w:sz w:val="20"/>
                <w:szCs w:val="20"/>
                <w:color w:val="auto"/>
              </w:rPr>
            </w:pPr>
            <w:r>
              <w:rPr>
                <w:rFonts w:ascii="Calibri" w:cs="Calibri" w:eastAsia="Calibri" w:hAnsi="Calibri"/>
                <w:sz w:val="18"/>
                <w:szCs w:val="18"/>
                <w:color w:val="auto"/>
              </w:rPr>
              <w:t>Plan partcipants’ contributons</w:t>
            </w:r>
          </w:p>
        </w:tc>
        <w:tc>
          <w:tcPr>
            <w:tcW w:w="140" w:type="dxa"/>
            <w:vAlign w:val="bottom"/>
          </w:tcPr>
          <w:p>
            <w:pPr>
              <w:spacing w:after="0"/>
              <w:rPr>
                <w:sz w:val="18"/>
                <w:szCs w:val="18"/>
                <w:color w:val="auto"/>
              </w:rPr>
            </w:pPr>
          </w:p>
        </w:tc>
        <w:tc>
          <w:tcPr>
            <w:tcW w:w="940" w:type="dxa"/>
            <w:vAlign w:val="bottom"/>
          </w:tcPr>
          <w:p>
            <w:pPr>
              <w:jc w:val="right"/>
              <w:spacing w:after="0" w:line="210" w:lineRule="exact"/>
              <w:rPr>
                <w:sz w:val="20"/>
                <w:szCs w:val="20"/>
                <w:color w:val="auto"/>
              </w:rPr>
            </w:pPr>
            <w:r>
              <w:rPr>
                <w:rFonts w:ascii="Calibri" w:cs="Calibri" w:eastAsia="Calibri" w:hAnsi="Calibri"/>
                <w:sz w:val="18"/>
                <w:szCs w:val="18"/>
                <w:color w:val="auto"/>
              </w:rPr>
              <w:t>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line="210" w:lineRule="exact"/>
              <w:rPr>
                <w:sz w:val="20"/>
                <w:szCs w:val="20"/>
                <w:color w:val="auto"/>
              </w:rPr>
            </w:pPr>
            <w:r>
              <w:rPr>
                <w:rFonts w:ascii="Calibri" w:cs="Calibri" w:eastAsia="Calibri" w:hAnsi="Calibri"/>
                <w:sz w:val="18"/>
                <w:szCs w:val="18"/>
                <w:color w:val="auto"/>
              </w:rPr>
              <w:t>1</w:t>
            </w:r>
          </w:p>
        </w:tc>
      </w:tr>
      <w:tr>
        <w:trPr>
          <w:trHeight w:val="232"/>
        </w:trPr>
        <w:tc>
          <w:tcPr>
            <w:tcW w:w="8940" w:type="dxa"/>
            <w:vAlign w:val="bottom"/>
            <w:shd w:val="clear" w:color="auto" w:fill="CCEEFF"/>
          </w:tcPr>
          <w:p>
            <w:pPr>
              <w:ind w:left="220"/>
              <w:spacing w:after="0" w:line="217" w:lineRule="exact"/>
              <w:rPr>
                <w:sz w:val="20"/>
                <w:szCs w:val="20"/>
                <w:color w:val="auto"/>
              </w:rPr>
            </w:pPr>
            <w:r>
              <w:rPr>
                <w:rFonts w:ascii="Calibri" w:cs="Calibri" w:eastAsia="Calibri" w:hAnsi="Calibri"/>
                <w:sz w:val="18"/>
                <w:szCs w:val="18"/>
                <w:color w:val="auto"/>
              </w:rPr>
              <w:t>Beneft payments</w:t>
            </w:r>
          </w:p>
        </w:tc>
        <w:tc>
          <w:tcPr>
            <w:tcW w:w="14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line="217" w:lineRule="exact"/>
              <w:rPr>
                <w:sz w:val="20"/>
                <w:szCs w:val="20"/>
                <w:color w:val="auto"/>
              </w:rPr>
            </w:pPr>
            <w:r>
              <w:rPr>
                <w:rFonts w:ascii="Calibri" w:cs="Calibri" w:eastAsia="Calibri" w:hAnsi="Calibri"/>
                <w:sz w:val="18"/>
                <w:szCs w:val="18"/>
                <w:color w:val="auto"/>
              </w:rPr>
              <w:t>(94)</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line="217" w:lineRule="exact"/>
              <w:rPr>
                <w:sz w:val="20"/>
                <w:szCs w:val="20"/>
                <w:color w:val="auto"/>
              </w:rPr>
            </w:pPr>
            <w:r>
              <w:rPr>
                <w:rFonts w:ascii="Calibri" w:cs="Calibri" w:eastAsia="Calibri" w:hAnsi="Calibri"/>
                <w:sz w:val="18"/>
                <w:szCs w:val="18"/>
                <w:color w:val="auto"/>
              </w:rPr>
              <w:t>(95)</w:t>
            </w:r>
          </w:p>
        </w:tc>
      </w:tr>
      <w:tr>
        <w:trPr>
          <w:trHeight w:val="218"/>
        </w:trPr>
        <w:tc>
          <w:tcPr>
            <w:tcW w:w="8940" w:type="dxa"/>
            <w:vAlign w:val="bottom"/>
            <w:tcBorders>
              <w:bottom w:val="single" w:sz="8" w:color="CCEEFF"/>
            </w:tcBorders>
          </w:tcPr>
          <w:p>
            <w:pPr>
              <w:ind w:left="220"/>
              <w:spacing w:after="0" w:line="210" w:lineRule="exact"/>
              <w:rPr>
                <w:sz w:val="20"/>
                <w:szCs w:val="20"/>
                <w:color w:val="auto"/>
              </w:rPr>
            </w:pPr>
            <w:r>
              <w:rPr>
                <w:rFonts w:ascii="Calibri" w:cs="Calibri" w:eastAsia="Calibri" w:hAnsi="Calibri"/>
                <w:sz w:val="18"/>
                <w:szCs w:val="18"/>
                <w:color w:val="auto"/>
              </w:rPr>
              <w:t>Foreign currency impact</w:t>
            </w: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line="210" w:lineRule="exact"/>
              <w:rPr>
                <w:sz w:val="20"/>
                <w:szCs w:val="20"/>
                <w:color w:val="auto"/>
              </w:rPr>
            </w:pPr>
            <w:r>
              <w:rPr>
                <w:rFonts w:ascii="Calibri" w:cs="Calibri" w:eastAsia="Calibri" w:hAnsi="Calibri"/>
                <w:sz w:val="18"/>
                <w:szCs w:val="18"/>
                <w:color w:val="auto"/>
              </w:rPr>
              <w:t>4</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line="210" w:lineRule="exact"/>
              <w:rPr>
                <w:sz w:val="20"/>
                <w:szCs w:val="20"/>
                <w:color w:val="auto"/>
              </w:rPr>
            </w:pPr>
            <w:r>
              <w:rPr>
                <w:rFonts w:ascii="Calibri" w:cs="Calibri" w:eastAsia="Calibri" w:hAnsi="Calibri"/>
                <w:sz w:val="18"/>
                <w:szCs w:val="18"/>
                <w:color w:val="auto"/>
              </w:rPr>
              <w:t>2</w:t>
            </w:r>
          </w:p>
        </w:tc>
      </w:tr>
      <w:tr>
        <w:trPr>
          <w:trHeight w:val="224"/>
        </w:trPr>
        <w:tc>
          <w:tcPr>
            <w:tcW w:w="8940" w:type="dxa"/>
            <w:vAlign w:val="bottom"/>
            <w:shd w:val="clear" w:color="auto" w:fill="CCEEFF"/>
          </w:tcPr>
          <w:p>
            <w:pPr>
              <w:ind w:left="140"/>
              <w:spacing w:after="0" w:line="203" w:lineRule="exact"/>
              <w:rPr>
                <w:sz w:val="20"/>
                <w:szCs w:val="20"/>
                <w:color w:val="auto"/>
              </w:rPr>
            </w:pPr>
            <w:r>
              <w:rPr>
                <w:rFonts w:ascii="Calibri" w:cs="Calibri" w:eastAsia="Calibri" w:hAnsi="Calibri"/>
                <w:sz w:val="18"/>
                <w:szCs w:val="18"/>
                <w:color w:val="auto"/>
              </w:rPr>
              <w:t>Fair value of plan assets — end of period</w:t>
            </w:r>
          </w:p>
        </w:tc>
        <w:tc>
          <w:tcPr>
            <w:tcW w:w="1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line="210" w:lineRule="exact"/>
              <w:rPr>
                <w:sz w:val="20"/>
                <w:szCs w:val="20"/>
                <w:color w:val="auto"/>
              </w:rPr>
            </w:pPr>
            <w:r>
              <w:rPr>
                <w:rFonts w:ascii="Calibri" w:cs="Calibri" w:eastAsia="Calibri" w:hAnsi="Calibri"/>
                <w:sz w:val="18"/>
                <w:szCs w:val="18"/>
                <w:color w:val="auto"/>
              </w:rPr>
              <w:t>1,105</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line="210" w:lineRule="exact"/>
              <w:rPr>
                <w:sz w:val="20"/>
                <w:szCs w:val="20"/>
                <w:color w:val="auto"/>
              </w:rPr>
            </w:pPr>
            <w:r>
              <w:rPr>
                <w:rFonts w:ascii="Calibri" w:cs="Calibri" w:eastAsia="Calibri" w:hAnsi="Calibri"/>
                <w:sz w:val="18"/>
                <w:szCs w:val="18"/>
                <w:color w:val="auto"/>
              </w:rPr>
              <w:t>1,160</w:t>
            </w:r>
          </w:p>
        </w:tc>
      </w:tr>
      <w:tr>
        <w:trPr>
          <w:trHeight w:val="196"/>
        </w:trPr>
        <w:tc>
          <w:tcPr>
            <w:tcW w:w="8940" w:type="dxa"/>
            <w:vAlign w:val="bottom"/>
          </w:tcPr>
          <w:p>
            <w:pPr>
              <w:ind w:left="20"/>
              <w:spacing w:after="0" w:line="196" w:lineRule="exact"/>
              <w:rPr>
                <w:sz w:val="20"/>
                <w:szCs w:val="20"/>
                <w:color w:val="auto"/>
              </w:rPr>
            </w:pPr>
            <w:r>
              <w:rPr>
                <w:rFonts w:ascii="Calibri" w:cs="Calibri" w:eastAsia="Calibri" w:hAnsi="Calibri"/>
                <w:sz w:val="18"/>
                <w:szCs w:val="18"/>
                <w:b w:val="1"/>
                <w:bCs w:val="1"/>
                <w:color w:val="auto"/>
              </w:rPr>
              <w:t>Change in beneft obligatons:</w:t>
            </w: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2"/>
        </w:trPr>
        <w:tc>
          <w:tcPr>
            <w:tcW w:w="8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224"/>
        </w:trPr>
        <w:tc>
          <w:tcPr>
            <w:tcW w:w="8940" w:type="dxa"/>
            <w:vAlign w:val="bottom"/>
            <w:shd w:val="clear" w:color="auto" w:fill="CCEEFF"/>
          </w:tcPr>
          <w:p>
            <w:pPr>
              <w:ind w:left="140"/>
              <w:spacing w:after="0" w:line="210" w:lineRule="exact"/>
              <w:rPr>
                <w:sz w:val="20"/>
                <w:szCs w:val="20"/>
                <w:color w:val="auto"/>
              </w:rPr>
            </w:pPr>
            <w:r>
              <w:rPr>
                <w:rFonts w:ascii="Calibri" w:cs="Calibri" w:eastAsia="Calibri" w:hAnsi="Calibri"/>
                <w:sz w:val="18"/>
                <w:szCs w:val="18"/>
                <w:color w:val="auto"/>
              </w:rPr>
              <w:t>Beneft obligatons — beginning of period</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line="210" w:lineRule="exact"/>
              <w:rPr>
                <w:sz w:val="20"/>
                <w:szCs w:val="20"/>
                <w:color w:val="auto"/>
              </w:rPr>
            </w:pPr>
            <w:r>
              <w:rPr>
                <w:rFonts w:ascii="Calibri" w:cs="Calibri" w:eastAsia="Calibri" w:hAnsi="Calibri"/>
                <w:sz w:val="18"/>
                <w:szCs w:val="18"/>
                <w:color w:val="auto"/>
              </w:rPr>
              <w:t>1,143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line="210" w:lineRule="exact"/>
              <w:rPr>
                <w:sz w:val="20"/>
                <w:szCs w:val="20"/>
                <w:color w:val="auto"/>
              </w:rPr>
            </w:pPr>
            <w:r>
              <w:rPr>
                <w:rFonts w:ascii="Calibri" w:cs="Calibri" w:eastAsia="Calibri" w:hAnsi="Calibri"/>
                <w:sz w:val="18"/>
                <w:szCs w:val="18"/>
                <w:color w:val="auto"/>
              </w:rPr>
              <w:t>1,526</w:t>
            </w:r>
          </w:p>
        </w:tc>
      </w:tr>
      <w:tr>
        <w:trPr>
          <w:trHeight w:val="217"/>
        </w:trPr>
        <w:tc>
          <w:tcPr>
            <w:tcW w:w="8940" w:type="dxa"/>
            <w:vAlign w:val="bottom"/>
          </w:tcPr>
          <w:p>
            <w:pPr>
              <w:ind w:left="220"/>
              <w:spacing w:after="0" w:line="210" w:lineRule="exact"/>
              <w:rPr>
                <w:sz w:val="20"/>
                <w:szCs w:val="20"/>
                <w:color w:val="auto"/>
              </w:rPr>
            </w:pPr>
            <w:r>
              <w:rPr>
                <w:rFonts w:ascii="Calibri" w:cs="Calibri" w:eastAsia="Calibri" w:hAnsi="Calibri"/>
                <w:sz w:val="18"/>
                <w:szCs w:val="18"/>
                <w:color w:val="auto"/>
              </w:rPr>
              <w:t>Service cost</w:t>
            </w:r>
          </w:p>
        </w:tc>
        <w:tc>
          <w:tcPr>
            <w:tcW w:w="140" w:type="dxa"/>
            <w:vAlign w:val="bottom"/>
          </w:tcPr>
          <w:p>
            <w:pPr>
              <w:spacing w:after="0"/>
              <w:rPr>
                <w:sz w:val="18"/>
                <w:szCs w:val="18"/>
                <w:color w:val="auto"/>
              </w:rPr>
            </w:pPr>
          </w:p>
        </w:tc>
        <w:tc>
          <w:tcPr>
            <w:tcW w:w="940" w:type="dxa"/>
            <w:vAlign w:val="bottom"/>
          </w:tcPr>
          <w:p>
            <w:pPr>
              <w:jc w:val="right"/>
              <w:spacing w:after="0" w:line="210" w:lineRule="exact"/>
              <w:rPr>
                <w:sz w:val="20"/>
                <w:szCs w:val="20"/>
                <w:color w:val="auto"/>
              </w:rPr>
            </w:pPr>
            <w:r>
              <w:rPr>
                <w:rFonts w:ascii="Calibri" w:cs="Calibri" w:eastAsia="Calibri" w:hAnsi="Calibri"/>
                <w:sz w:val="18"/>
                <w:szCs w:val="18"/>
                <w:color w:val="auto"/>
              </w:rPr>
              <w:t>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line="210" w:lineRule="exact"/>
              <w:rPr>
                <w:sz w:val="20"/>
                <w:szCs w:val="20"/>
                <w:color w:val="auto"/>
              </w:rPr>
            </w:pPr>
            <w:r>
              <w:rPr>
                <w:rFonts w:ascii="Calibri" w:cs="Calibri" w:eastAsia="Calibri" w:hAnsi="Calibri"/>
                <w:sz w:val="18"/>
                <w:szCs w:val="18"/>
                <w:color w:val="auto"/>
              </w:rPr>
              <w:t>8</w:t>
            </w:r>
          </w:p>
        </w:tc>
      </w:tr>
      <w:tr>
        <w:trPr>
          <w:trHeight w:val="232"/>
        </w:trPr>
        <w:tc>
          <w:tcPr>
            <w:tcW w:w="8940" w:type="dxa"/>
            <w:vAlign w:val="bottom"/>
            <w:shd w:val="clear" w:color="auto" w:fill="CCEEFF"/>
          </w:tcPr>
          <w:p>
            <w:pPr>
              <w:ind w:left="220"/>
              <w:spacing w:after="0" w:line="217" w:lineRule="exact"/>
              <w:rPr>
                <w:sz w:val="20"/>
                <w:szCs w:val="20"/>
                <w:color w:val="auto"/>
              </w:rPr>
            </w:pPr>
            <w:r>
              <w:rPr>
                <w:rFonts w:ascii="Calibri" w:cs="Calibri" w:eastAsia="Calibri" w:hAnsi="Calibri"/>
                <w:sz w:val="18"/>
                <w:szCs w:val="18"/>
                <w:color w:val="auto"/>
              </w:rPr>
              <w:t>Interest cost</w:t>
            </w:r>
          </w:p>
        </w:tc>
        <w:tc>
          <w:tcPr>
            <w:tcW w:w="14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line="217" w:lineRule="exact"/>
              <w:rPr>
                <w:sz w:val="20"/>
                <w:szCs w:val="20"/>
                <w:color w:val="auto"/>
              </w:rPr>
            </w:pPr>
            <w:r>
              <w:rPr>
                <w:rFonts w:ascii="Calibri" w:cs="Calibri" w:eastAsia="Calibri" w:hAnsi="Calibri"/>
                <w:sz w:val="18"/>
                <w:szCs w:val="18"/>
                <w:color w:val="auto"/>
              </w:rPr>
              <w:t>60</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line="217" w:lineRule="exact"/>
              <w:rPr>
                <w:sz w:val="20"/>
                <w:szCs w:val="20"/>
                <w:color w:val="auto"/>
              </w:rPr>
            </w:pPr>
            <w:r>
              <w:rPr>
                <w:rFonts w:ascii="Calibri" w:cs="Calibri" w:eastAsia="Calibri" w:hAnsi="Calibri"/>
                <w:sz w:val="18"/>
                <w:szCs w:val="18"/>
                <w:color w:val="auto"/>
              </w:rPr>
              <w:t>39</w:t>
            </w:r>
          </w:p>
        </w:tc>
      </w:tr>
      <w:tr>
        <w:trPr>
          <w:trHeight w:val="224"/>
        </w:trPr>
        <w:tc>
          <w:tcPr>
            <w:tcW w:w="8940" w:type="dxa"/>
            <w:vAlign w:val="bottom"/>
          </w:tcPr>
          <w:p>
            <w:pPr>
              <w:ind w:left="220"/>
              <w:spacing w:after="0" w:line="224" w:lineRule="exact"/>
              <w:rPr>
                <w:sz w:val="20"/>
                <w:szCs w:val="20"/>
                <w:color w:val="auto"/>
              </w:rPr>
            </w:pPr>
            <w:r>
              <w:rPr>
                <w:rFonts w:ascii="Calibri" w:cs="Calibri" w:eastAsia="Calibri" w:hAnsi="Calibri"/>
                <w:sz w:val="18"/>
                <w:szCs w:val="18"/>
                <w:color w:val="auto"/>
              </w:rPr>
              <w:t xml:space="preserve">Actuarial gain </w:t>
            </w:r>
            <w:r>
              <w:rPr>
                <w:rFonts w:ascii="Calibri" w:cs="Calibri" w:eastAsia="Calibri" w:hAnsi="Calibri"/>
                <w:sz w:val="22"/>
                <w:szCs w:val="22"/>
                <w:color w:val="auto"/>
                <w:vertAlign w:val="superscript"/>
              </w:rPr>
              <w:t>(a)</w:t>
            </w:r>
          </w:p>
        </w:tc>
        <w:tc>
          <w:tcPr>
            <w:tcW w:w="140" w:type="dxa"/>
            <w:vAlign w:val="bottom"/>
          </w:tcPr>
          <w:p>
            <w:pPr>
              <w:spacing w:after="0"/>
              <w:rPr>
                <w:sz w:val="19"/>
                <w:szCs w:val="19"/>
                <w:color w:val="auto"/>
              </w:rPr>
            </w:pPr>
          </w:p>
        </w:tc>
        <w:tc>
          <w:tcPr>
            <w:tcW w:w="940" w:type="dxa"/>
            <w:vAlign w:val="bottom"/>
          </w:tcPr>
          <w:p>
            <w:pPr>
              <w:jc w:val="right"/>
              <w:spacing w:after="0" w:line="210" w:lineRule="exact"/>
              <w:rPr>
                <w:sz w:val="20"/>
                <w:szCs w:val="20"/>
                <w:color w:val="auto"/>
              </w:rPr>
            </w:pPr>
            <w:r>
              <w:rPr>
                <w:rFonts w:ascii="Calibri" w:cs="Calibri" w:eastAsia="Calibri" w:hAnsi="Calibri"/>
                <w:sz w:val="18"/>
                <w:szCs w:val="18"/>
                <w:color w:val="auto"/>
              </w:rPr>
              <w:t>(22)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line="210" w:lineRule="exact"/>
              <w:rPr>
                <w:sz w:val="20"/>
                <w:szCs w:val="20"/>
                <w:color w:val="auto"/>
              </w:rPr>
            </w:pPr>
            <w:r>
              <w:rPr>
                <w:rFonts w:ascii="Calibri" w:cs="Calibri" w:eastAsia="Calibri" w:hAnsi="Calibri"/>
                <w:sz w:val="18"/>
                <w:szCs w:val="18"/>
                <w:color w:val="auto"/>
              </w:rPr>
              <w:t>(336)</w:t>
            </w:r>
          </w:p>
        </w:tc>
      </w:tr>
      <w:tr>
        <w:trPr>
          <w:trHeight w:val="224"/>
        </w:trPr>
        <w:tc>
          <w:tcPr>
            <w:tcW w:w="8940" w:type="dxa"/>
            <w:vAlign w:val="bottom"/>
            <w:shd w:val="clear" w:color="auto" w:fill="CCEEFF"/>
          </w:tcPr>
          <w:p>
            <w:pPr>
              <w:ind w:left="220"/>
              <w:spacing w:after="0" w:line="210" w:lineRule="exact"/>
              <w:rPr>
                <w:sz w:val="20"/>
                <w:szCs w:val="20"/>
                <w:color w:val="auto"/>
              </w:rPr>
            </w:pPr>
            <w:r>
              <w:rPr>
                <w:rFonts w:ascii="Calibri" w:cs="Calibri" w:eastAsia="Calibri" w:hAnsi="Calibri"/>
                <w:sz w:val="18"/>
                <w:szCs w:val="18"/>
                <w:color w:val="auto"/>
              </w:rPr>
              <w:t>Plan partcipants’ contributons</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line="210" w:lineRule="exact"/>
              <w:rPr>
                <w:sz w:val="20"/>
                <w:szCs w:val="20"/>
                <w:color w:val="auto"/>
              </w:rPr>
            </w:pPr>
            <w:r>
              <w:rPr>
                <w:rFonts w:ascii="Calibri" w:cs="Calibri" w:eastAsia="Calibri" w:hAnsi="Calibri"/>
                <w:sz w:val="18"/>
                <w:szCs w:val="18"/>
                <w:color w:val="auto"/>
              </w:rPr>
              <w:t>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line="210" w:lineRule="exact"/>
              <w:rPr>
                <w:sz w:val="20"/>
                <w:szCs w:val="20"/>
                <w:color w:val="auto"/>
              </w:rPr>
            </w:pPr>
            <w:r>
              <w:rPr>
                <w:rFonts w:ascii="Calibri" w:cs="Calibri" w:eastAsia="Calibri" w:hAnsi="Calibri"/>
                <w:sz w:val="18"/>
                <w:szCs w:val="18"/>
                <w:color w:val="auto"/>
              </w:rPr>
              <w:t>1</w:t>
            </w:r>
          </w:p>
        </w:tc>
      </w:tr>
      <w:tr>
        <w:trPr>
          <w:trHeight w:val="217"/>
        </w:trPr>
        <w:tc>
          <w:tcPr>
            <w:tcW w:w="8940" w:type="dxa"/>
            <w:vAlign w:val="bottom"/>
          </w:tcPr>
          <w:p>
            <w:pPr>
              <w:ind w:left="220"/>
              <w:spacing w:after="0" w:line="210" w:lineRule="exact"/>
              <w:rPr>
                <w:sz w:val="20"/>
                <w:szCs w:val="20"/>
                <w:color w:val="auto"/>
              </w:rPr>
            </w:pPr>
            <w:r>
              <w:rPr>
                <w:rFonts w:ascii="Calibri" w:cs="Calibri" w:eastAsia="Calibri" w:hAnsi="Calibri"/>
                <w:sz w:val="18"/>
                <w:szCs w:val="18"/>
                <w:color w:val="auto"/>
              </w:rPr>
              <w:t>Beneft payments</w:t>
            </w:r>
          </w:p>
        </w:tc>
        <w:tc>
          <w:tcPr>
            <w:tcW w:w="140" w:type="dxa"/>
            <w:vAlign w:val="bottom"/>
          </w:tcPr>
          <w:p>
            <w:pPr>
              <w:spacing w:after="0"/>
              <w:rPr>
                <w:sz w:val="18"/>
                <w:szCs w:val="18"/>
                <w:color w:val="auto"/>
              </w:rPr>
            </w:pPr>
          </w:p>
        </w:tc>
        <w:tc>
          <w:tcPr>
            <w:tcW w:w="940" w:type="dxa"/>
            <w:vAlign w:val="bottom"/>
          </w:tcPr>
          <w:p>
            <w:pPr>
              <w:jc w:val="right"/>
              <w:spacing w:after="0" w:line="210" w:lineRule="exact"/>
              <w:rPr>
                <w:sz w:val="20"/>
                <w:szCs w:val="20"/>
                <w:color w:val="auto"/>
              </w:rPr>
            </w:pPr>
            <w:r>
              <w:rPr>
                <w:rFonts w:ascii="Calibri" w:cs="Calibri" w:eastAsia="Calibri" w:hAnsi="Calibri"/>
                <w:sz w:val="18"/>
                <w:szCs w:val="18"/>
                <w:color w:val="auto"/>
              </w:rPr>
              <w:t>(94)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line="210" w:lineRule="exact"/>
              <w:rPr>
                <w:sz w:val="20"/>
                <w:szCs w:val="20"/>
                <w:color w:val="auto"/>
              </w:rPr>
            </w:pPr>
            <w:r>
              <w:rPr>
                <w:rFonts w:ascii="Calibri" w:cs="Calibri" w:eastAsia="Calibri" w:hAnsi="Calibri"/>
                <w:sz w:val="18"/>
                <w:szCs w:val="18"/>
                <w:color w:val="auto"/>
              </w:rPr>
              <w:t>(95)</w:t>
            </w:r>
          </w:p>
        </w:tc>
      </w:tr>
      <w:tr>
        <w:trPr>
          <w:trHeight w:val="232"/>
        </w:trPr>
        <w:tc>
          <w:tcPr>
            <w:tcW w:w="8940" w:type="dxa"/>
            <w:vAlign w:val="bottom"/>
            <w:shd w:val="clear" w:color="auto" w:fill="CCEEFF"/>
          </w:tcPr>
          <w:p>
            <w:pPr>
              <w:ind w:left="220"/>
              <w:spacing w:after="0" w:line="217" w:lineRule="exact"/>
              <w:rPr>
                <w:sz w:val="20"/>
                <w:szCs w:val="20"/>
                <w:color w:val="auto"/>
              </w:rPr>
            </w:pPr>
            <w:r>
              <w:rPr>
                <w:rFonts w:ascii="Calibri" w:cs="Calibri" w:eastAsia="Calibri" w:hAnsi="Calibri"/>
                <w:sz w:val="18"/>
                <w:szCs w:val="18"/>
                <w:color w:val="auto"/>
              </w:rPr>
              <w:t>Foreign currency impact</w:t>
            </w:r>
          </w:p>
        </w:tc>
        <w:tc>
          <w:tcPr>
            <w:tcW w:w="14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line="217" w:lineRule="exact"/>
              <w:rPr>
                <w:sz w:val="20"/>
                <w:szCs w:val="20"/>
                <w:color w:val="auto"/>
              </w:rPr>
            </w:pPr>
            <w:r>
              <w:rPr>
                <w:rFonts w:ascii="Calibri" w:cs="Calibri" w:eastAsia="Calibri" w:hAnsi="Calibri"/>
                <w:sz w:val="18"/>
                <w:szCs w:val="18"/>
                <w:color w:val="auto"/>
              </w:rPr>
              <w:t>5</w:t>
            </w:r>
          </w:p>
        </w:tc>
        <w:tc>
          <w:tcPr>
            <w:tcW w:w="12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line="217" w:lineRule="exact"/>
              <w:rPr>
                <w:sz w:val="20"/>
                <w:szCs w:val="20"/>
                <w:color w:val="auto"/>
              </w:rPr>
            </w:pPr>
            <w:r>
              <w:rPr>
                <w:rFonts w:ascii="Calibri" w:cs="Calibri" w:eastAsia="Calibri" w:hAnsi="Calibri"/>
                <w:sz w:val="18"/>
                <w:szCs w:val="18"/>
                <w:color w:val="auto"/>
              </w:rPr>
              <w:t>—</w:t>
            </w:r>
          </w:p>
        </w:tc>
      </w:tr>
      <w:tr>
        <w:trPr>
          <w:trHeight w:val="211"/>
        </w:trPr>
        <w:tc>
          <w:tcPr>
            <w:tcW w:w="8940" w:type="dxa"/>
            <w:vAlign w:val="bottom"/>
            <w:tcBorders>
              <w:bottom w:val="single" w:sz="8" w:color="CCEEFF"/>
            </w:tcBorders>
          </w:tcPr>
          <w:p>
            <w:pPr>
              <w:ind w:left="140"/>
              <w:spacing w:after="0" w:line="196" w:lineRule="exact"/>
              <w:rPr>
                <w:sz w:val="20"/>
                <w:szCs w:val="20"/>
                <w:color w:val="auto"/>
              </w:rPr>
            </w:pPr>
            <w:r>
              <w:rPr>
                <w:rFonts w:ascii="Calibri" w:cs="Calibri" w:eastAsia="Calibri" w:hAnsi="Calibri"/>
                <w:sz w:val="18"/>
                <w:szCs w:val="18"/>
                <w:color w:val="auto"/>
              </w:rPr>
              <w:t>Beneft obligatons — end of period</w:t>
            </w: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line="210" w:lineRule="exact"/>
              <w:rPr>
                <w:sz w:val="20"/>
                <w:szCs w:val="20"/>
                <w:color w:val="auto"/>
              </w:rPr>
            </w:pPr>
            <w:r>
              <w:rPr>
                <w:rFonts w:ascii="Calibri" w:cs="Calibri" w:eastAsia="Calibri" w:hAnsi="Calibri"/>
                <w:sz w:val="18"/>
                <w:szCs w:val="18"/>
                <w:color w:val="auto"/>
              </w:rPr>
              <w:t>1,101</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line="210" w:lineRule="exact"/>
              <w:rPr>
                <w:sz w:val="20"/>
                <w:szCs w:val="20"/>
                <w:color w:val="auto"/>
              </w:rPr>
            </w:pPr>
            <w:r>
              <w:rPr>
                <w:rFonts w:ascii="Calibri" w:cs="Calibri" w:eastAsia="Calibri" w:hAnsi="Calibri"/>
                <w:sz w:val="18"/>
                <w:szCs w:val="18"/>
                <w:color w:val="auto"/>
              </w:rPr>
              <w:t>1,143</w:t>
            </w:r>
          </w:p>
        </w:tc>
      </w:tr>
      <w:tr>
        <w:trPr>
          <w:trHeight w:val="92"/>
        </w:trPr>
        <w:tc>
          <w:tcPr>
            <w:tcW w:w="89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9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940" w:type="dxa"/>
            <w:vAlign w:val="bottom"/>
            <w:shd w:val="clear" w:color="auto" w:fill="CCEEFF"/>
          </w:tcPr>
          <w:p>
            <w:pPr>
              <w:spacing w:after="0"/>
              <w:rPr>
                <w:sz w:val="8"/>
                <w:szCs w:val="8"/>
                <w:color w:val="auto"/>
              </w:rPr>
            </w:pPr>
          </w:p>
        </w:tc>
      </w:tr>
      <w:tr>
        <w:trPr>
          <w:trHeight w:val="224"/>
        </w:trPr>
        <w:tc>
          <w:tcPr>
            <w:tcW w:w="8940" w:type="dxa"/>
            <w:vAlign w:val="bottom"/>
          </w:tcPr>
          <w:p>
            <w:pPr>
              <w:ind w:left="20"/>
              <w:spacing w:after="0" w:line="224" w:lineRule="exact"/>
              <w:rPr>
                <w:sz w:val="20"/>
                <w:szCs w:val="20"/>
                <w:color w:val="auto"/>
              </w:rPr>
            </w:pPr>
            <w:r>
              <w:rPr>
                <w:rFonts w:ascii="Calibri" w:cs="Calibri" w:eastAsia="Calibri" w:hAnsi="Calibri"/>
                <w:sz w:val="18"/>
                <w:szCs w:val="18"/>
                <w:color w:val="auto"/>
              </w:rPr>
              <w:t xml:space="preserve">Overfunded (underfunded) status of beneft obligatons </w:t>
            </w:r>
            <w:r>
              <w:rPr>
                <w:rFonts w:ascii="Calibri" w:cs="Calibri" w:eastAsia="Calibri" w:hAnsi="Calibri"/>
                <w:sz w:val="22"/>
                <w:szCs w:val="22"/>
                <w:color w:val="auto"/>
                <w:vertAlign w:val="superscript"/>
              </w:rPr>
              <w:t>(b)</w:t>
            </w:r>
          </w:p>
        </w:tc>
        <w:tc>
          <w:tcPr>
            <w:tcW w:w="140" w:type="dxa"/>
            <w:vAlign w:val="bottom"/>
            <w:tcBorders>
              <w:bottom w:val="single" w:sz="8" w:color="auto"/>
            </w:tcBorders>
          </w:tcPr>
          <w:p>
            <w:pPr>
              <w:jc w:val="right"/>
              <w:spacing w:after="0" w:line="210" w:lineRule="exact"/>
              <w:rPr>
                <w:sz w:val="20"/>
                <w:szCs w:val="20"/>
                <w:color w:val="auto"/>
              </w:rPr>
            </w:pPr>
            <w:r>
              <w:rPr>
                <w:rFonts w:ascii="Calibri" w:cs="Calibri" w:eastAsia="Calibri" w:hAnsi="Calibri"/>
                <w:sz w:val="18"/>
                <w:szCs w:val="18"/>
                <w:color w:val="auto"/>
                <w:w w:val="87"/>
              </w:rPr>
              <w:t>$</w:t>
            </w:r>
          </w:p>
        </w:tc>
        <w:tc>
          <w:tcPr>
            <w:tcW w:w="940" w:type="dxa"/>
            <w:vAlign w:val="bottom"/>
            <w:tcBorders>
              <w:bottom w:val="single" w:sz="8" w:color="auto"/>
            </w:tcBorders>
          </w:tcPr>
          <w:p>
            <w:pPr>
              <w:jc w:val="right"/>
              <w:spacing w:after="0" w:line="210" w:lineRule="exact"/>
              <w:rPr>
                <w:sz w:val="20"/>
                <w:szCs w:val="20"/>
                <w:color w:val="auto"/>
              </w:rPr>
            </w:pPr>
            <w:r>
              <w:rPr>
                <w:rFonts w:ascii="Calibri" w:cs="Calibri" w:eastAsia="Calibri" w:hAnsi="Calibri"/>
                <w:sz w:val="18"/>
                <w:szCs w:val="18"/>
                <w:color w:val="auto"/>
              </w:rPr>
              <w:t>4</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line="210" w:lineRule="exact"/>
              <w:rPr>
                <w:sz w:val="20"/>
                <w:szCs w:val="20"/>
                <w:color w:val="auto"/>
              </w:rPr>
            </w:pPr>
            <w:r>
              <w:rPr>
                <w:rFonts w:ascii="Calibri" w:cs="Calibri" w:eastAsia="Calibri" w:hAnsi="Calibri"/>
                <w:sz w:val="18"/>
                <w:szCs w:val="18"/>
                <w:color w:val="auto"/>
                <w:w w:val="87"/>
              </w:rPr>
              <w:t>$</w:t>
            </w:r>
          </w:p>
        </w:tc>
        <w:tc>
          <w:tcPr>
            <w:tcW w:w="940" w:type="dxa"/>
            <w:vAlign w:val="bottom"/>
            <w:tcBorders>
              <w:bottom w:val="single" w:sz="8" w:color="auto"/>
            </w:tcBorders>
          </w:tcPr>
          <w:p>
            <w:pPr>
              <w:jc w:val="right"/>
              <w:spacing w:after="0" w:line="210" w:lineRule="exact"/>
              <w:rPr>
                <w:sz w:val="20"/>
                <w:szCs w:val="20"/>
                <w:color w:val="auto"/>
              </w:rPr>
            </w:pPr>
            <w:r>
              <w:rPr>
                <w:rFonts w:ascii="Calibri" w:cs="Calibri" w:eastAsia="Calibri" w:hAnsi="Calibri"/>
                <w:sz w:val="18"/>
                <w:szCs w:val="18"/>
                <w:color w:val="auto"/>
              </w:rPr>
              <w:t>17</w:t>
            </w:r>
          </w:p>
        </w:tc>
      </w:tr>
      <w:tr>
        <w:trPr>
          <w:trHeight w:val="20"/>
        </w:trPr>
        <w:tc>
          <w:tcPr>
            <w:tcW w:w="89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72"/>
        </w:trPr>
        <w:tc>
          <w:tcPr>
            <w:tcW w:w="894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9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940" w:type="dxa"/>
            <w:vAlign w:val="bottom"/>
            <w:shd w:val="clear" w:color="auto" w:fill="CCEEFF"/>
          </w:tcPr>
          <w:p>
            <w:pPr>
              <w:spacing w:after="0"/>
              <w:rPr>
                <w:sz w:val="6"/>
                <w:szCs w:val="6"/>
                <w:color w:val="auto"/>
              </w:rPr>
            </w:pPr>
          </w:p>
        </w:tc>
      </w:tr>
      <w:tr>
        <w:trPr>
          <w:trHeight w:val="210"/>
        </w:trPr>
        <w:tc>
          <w:tcPr>
            <w:tcW w:w="8940" w:type="dxa"/>
            <w:vAlign w:val="bottom"/>
          </w:tcPr>
          <w:p>
            <w:pPr>
              <w:ind w:left="20"/>
              <w:spacing w:after="0" w:line="210" w:lineRule="exact"/>
              <w:rPr>
                <w:sz w:val="20"/>
                <w:szCs w:val="20"/>
                <w:color w:val="auto"/>
              </w:rPr>
            </w:pPr>
            <w:r>
              <w:rPr>
                <w:rFonts w:ascii="Calibri" w:cs="Calibri" w:eastAsia="Calibri" w:hAnsi="Calibri"/>
                <w:sz w:val="18"/>
                <w:szCs w:val="18"/>
                <w:color w:val="auto"/>
              </w:rPr>
              <w:t>Actuarial losses and prior service costs recognized in accumulated other comprehensive loss, net of taxes</w:t>
            </w:r>
          </w:p>
        </w:tc>
        <w:tc>
          <w:tcPr>
            <w:tcW w:w="140" w:type="dxa"/>
            <w:vAlign w:val="bottom"/>
          </w:tcPr>
          <w:p>
            <w:pPr>
              <w:jc w:val="right"/>
              <w:spacing w:after="0" w:line="210" w:lineRule="exact"/>
              <w:rPr>
                <w:sz w:val="20"/>
                <w:szCs w:val="20"/>
                <w:color w:val="auto"/>
              </w:rPr>
            </w:pPr>
            <w:r>
              <w:rPr>
                <w:rFonts w:ascii="Calibri" w:cs="Calibri" w:eastAsia="Calibri" w:hAnsi="Calibri"/>
                <w:sz w:val="18"/>
                <w:szCs w:val="18"/>
                <w:color w:val="auto"/>
                <w:w w:val="87"/>
              </w:rPr>
              <w:t>$</w:t>
            </w:r>
          </w:p>
        </w:tc>
        <w:tc>
          <w:tcPr>
            <w:tcW w:w="940" w:type="dxa"/>
            <w:vAlign w:val="bottom"/>
          </w:tcPr>
          <w:p>
            <w:pPr>
              <w:jc w:val="right"/>
              <w:spacing w:after="0" w:line="210" w:lineRule="exact"/>
              <w:rPr>
                <w:sz w:val="20"/>
                <w:szCs w:val="20"/>
                <w:color w:val="auto"/>
              </w:rPr>
            </w:pPr>
            <w:r>
              <w:rPr>
                <w:rFonts w:ascii="Calibri" w:cs="Calibri" w:eastAsia="Calibri" w:hAnsi="Calibri"/>
                <w:sz w:val="18"/>
                <w:szCs w:val="18"/>
                <w:color w:val="auto"/>
              </w:rPr>
              <w:t>(108)</w:t>
            </w:r>
          </w:p>
        </w:tc>
        <w:tc>
          <w:tcPr>
            <w:tcW w:w="120" w:type="dxa"/>
            <w:vAlign w:val="bottom"/>
          </w:tcPr>
          <w:p>
            <w:pPr>
              <w:spacing w:after="0"/>
              <w:rPr>
                <w:sz w:val="18"/>
                <w:szCs w:val="18"/>
                <w:color w:val="auto"/>
              </w:rPr>
            </w:pPr>
          </w:p>
        </w:tc>
        <w:tc>
          <w:tcPr>
            <w:tcW w:w="160" w:type="dxa"/>
            <w:vAlign w:val="bottom"/>
          </w:tcPr>
          <w:p>
            <w:pPr>
              <w:jc w:val="right"/>
              <w:spacing w:after="0" w:line="210" w:lineRule="exact"/>
              <w:rPr>
                <w:sz w:val="20"/>
                <w:szCs w:val="20"/>
                <w:color w:val="auto"/>
              </w:rPr>
            </w:pPr>
            <w:r>
              <w:rPr>
                <w:rFonts w:ascii="Calibri" w:cs="Calibri" w:eastAsia="Calibri" w:hAnsi="Calibri"/>
                <w:sz w:val="18"/>
                <w:szCs w:val="18"/>
                <w:color w:val="auto"/>
                <w:w w:val="87"/>
              </w:rPr>
              <w:t>$</w:t>
            </w:r>
          </w:p>
        </w:tc>
        <w:tc>
          <w:tcPr>
            <w:tcW w:w="940" w:type="dxa"/>
            <w:vAlign w:val="bottom"/>
          </w:tcPr>
          <w:p>
            <w:pPr>
              <w:jc w:val="right"/>
              <w:spacing w:after="0" w:line="210" w:lineRule="exact"/>
              <w:rPr>
                <w:sz w:val="20"/>
                <w:szCs w:val="20"/>
                <w:color w:val="auto"/>
              </w:rPr>
            </w:pPr>
            <w:r>
              <w:rPr>
                <w:rFonts w:ascii="Calibri" w:cs="Calibri" w:eastAsia="Calibri" w:hAnsi="Calibri"/>
                <w:sz w:val="18"/>
                <w:szCs w:val="18"/>
                <w:color w:val="auto"/>
              </w:rPr>
              <w:t>(82)</w:t>
            </w:r>
          </w:p>
        </w:tc>
      </w:tr>
      <w:tr>
        <w:trPr>
          <w:trHeight w:val="296"/>
        </w:trPr>
        <w:tc>
          <w:tcPr>
            <w:tcW w:w="8940" w:type="dxa"/>
            <w:vAlign w:val="bottom"/>
          </w:tcPr>
          <w:p>
            <w:pPr>
              <w:spacing w:after="0"/>
              <w:rPr>
                <w:sz w:val="20"/>
                <w:szCs w:val="20"/>
                <w:color w:val="auto"/>
              </w:rPr>
            </w:pPr>
            <w:r>
              <w:rPr>
                <w:rFonts w:ascii="Calibri" w:cs="Calibri" w:eastAsia="Calibri" w:hAnsi="Calibri"/>
                <w:sz w:val="18"/>
                <w:szCs w:val="18"/>
                <w:color w:val="auto"/>
              </w:rPr>
              <w:t>_______________________________</w:t>
            </w: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r>
    </w:tbl>
    <w:p>
      <w:pPr>
        <w:spacing w:after="0" w:line="97" w:lineRule="exact"/>
        <w:rPr>
          <w:sz w:val="20"/>
          <w:szCs w:val="20"/>
          <w:color w:val="auto"/>
        </w:rPr>
      </w:pPr>
    </w:p>
    <w:p>
      <w:pPr>
        <w:ind w:left="320" w:hanging="314"/>
        <w:spacing w:after="0"/>
        <w:tabs>
          <w:tab w:leader="none" w:pos="320" w:val="left"/>
        </w:tabs>
        <w:numPr>
          <w:ilvl w:val="0"/>
          <w:numId w:val="28"/>
        </w:numPr>
        <w:rPr>
          <w:rFonts w:ascii="Calibri" w:cs="Calibri" w:eastAsia="Calibri" w:hAnsi="Calibri"/>
          <w:sz w:val="18"/>
          <w:szCs w:val="18"/>
          <w:color w:val="auto"/>
        </w:rPr>
      </w:pPr>
      <w:r>
        <w:rPr>
          <w:rFonts w:ascii="Calibri" w:cs="Calibri" w:eastAsia="Calibri" w:hAnsi="Calibri"/>
          <w:sz w:val="18"/>
          <w:szCs w:val="18"/>
          <w:color w:val="auto"/>
        </w:rPr>
        <w:t>The actuarial gain in fscal year 2022 was primarily due to an increase in discount rates experienced by the majority of our plans.</w:t>
      </w:r>
    </w:p>
    <w:p>
      <w:pPr>
        <w:spacing w:after="0" w:line="106" w:lineRule="exact"/>
        <w:rPr>
          <w:rFonts w:ascii="Calibri" w:cs="Calibri" w:eastAsia="Calibri" w:hAnsi="Calibri"/>
          <w:sz w:val="18"/>
          <w:szCs w:val="18"/>
          <w:color w:val="auto"/>
        </w:rPr>
      </w:pPr>
    </w:p>
    <w:p>
      <w:pPr>
        <w:ind w:left="320" w:right="520" w:hanging="314"/>
        <w:spacing w:after="0" w:line="230" w:lineRule="auto"/>
        <w:tabs>
          <w:tab w:leader="none" w:pos="303" w:val="left"/>
        </w:tabs>
        <w:numPr>
          <w:ilvl w:val="0"/>
          <w:numId w:val="28"/>
        </w:numPr>
        <w:rPr>
          <w:rFonts w:ascii="Calibri" w:cs="Calibri" w:eastAsia="Calibri" w:hAnsi="Calibri"/>
          <w:sz w:val="18"/>
          <w:szCs w:val="18"/>
          <w:color w:val="auto"/>
        </w:rPr>
      </w:pPr>
      <w:r>
        <w:rPr>
          <w:rFonts w:ascii="Calibri" w:cs="Calibri" w:eastAsia="Calibri" w:hAnsi="Calibri"/>
          <w:sz w:val="18"/>
          <w:szCs w:val="18"/>
          <w:color w:val="auto"/>
        </w:rPr>
        <w:t>Substantally all amounts recognized on the consolidated balance sheets were recorded in other long-term assets and other long-term liabilites for all periods presented.</w:t>
      </w:r>
    </w:p>
    <w:p>
      <w:pPr>
        <w:spacing w:after="0" w:line="97" w:lineRule="exact"/>
        <w:rPr>
          <w:sz w:val="20"/>
          <w:szCs w:val="20"/>
          <w:color w:val="auto"/>
        </w:rPr>
      </w:pPr>
    </w:p>
    <w:p>
      <w:pPr>
        <w:ind w:left="400"/>
        <w:spacing w:after="0"/>
        <w:rPr>
          <w:sz w:val="20"/>
          <w:szCs w:val="20"/>
          <w:color w:val="auto"/>
        </w:rPr>
      </w:pPr>
      <w:r>
        <w:rPr>
          <w:rFonts w:ascii="Calibri" w:cs="Calibri" w:eastAsia="Calibri" w:hAnsi="Calibri"/>
          <w:sz w:val="18"/>
          <w:szCs w:val="18"/>
          <w:i w:val="1"/>
          <w:iCs w:val="1"/>
          <w:color w:val="auto"/>
        </w:rPr>
        <w:t>Plans with beneft obligatons in excess of plan assets: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3"/>
          </w:tcPr>
          <w:p>
            <w:pPr>
              <w:jc w:val="center"/>
              <w:ind w:right="240"/>
              <w:spacing w:after="0"/>
              <w:rPr>
                <w:sz w:val="20"/>
                <w:szCs w:val="20"/>
                <w:color w:val="auto"/>
              </w:rPr>
            </w:pPr>
            <w:r>
              <w:rPr>
                <w:rFonts w:ascii="Calibri" w:cs="Calibri" w:eastAsia="Calibri" w:hAnsi="Calibri"/>
                <w:sz w:val="14"/>
                <w:szCs w:val="14"/>
                <w:b w:val="1"/>
                <w:bCs w:val="1"/>
                <w:color w:val="auto"/>
                <w:w w:val="99"/>
              </w:rPr>
              <w:t>October 29,</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jc w:val="center"/>
              <w:ind w:right="79"/>
              <w:spacing w:after="0"/>
              <w:rPr>
                <w:sz w:val="20"/>
                <w:szCs w:val="20"/>
                <w:color w:val="auto"/>
              </w:rPr>
            </w:pPr>
            <w:r>
              <w:rPr>
                <w:rFonts w:ascii="Calibri" w:cs="Calibri" w:eastAsia="Calibri" w:hAnsi="Calibri"/>
                <w:sz w:val="14"/>
                <w:szCs w:val="14"/>
                <w:b w:val="1"/>
                <w:bCs w:val="1"/>
                <w:color w:val="auto"/>
                <w:w w:val="99"/>
              </w:rPr>
              <w:t>October 30,</w:t>
            </w:r>
          </w:p>
        </w:tc>
      </w:tr>
      <w:tr>
        <w:trPr>
          <w:trHeight w:val="168"/>
        </w:trPr>
        <w:tc>
          <w:tcPr>
            <w:tcW w:w="8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jc w:val="center"/>
              <w:ind w:right="61"/>
              <w:spacing w:after="0" w:line="168" w:lineRule="exact"/>
              <w:rPr>
                <w:sz w:val="20"/>
                <w:szCs w:val="20"/>
                <w:color w:val="auto"/>
              </w:rPr>
            </w:pPr>
            <w:r>
              <w:rPr>
                <w:rFonts w:ascii="Calibri" w:cs="Calibri" w:eastAsia="Calibri" w:hAnsi="Calibri"/>
                <w:sz w:val="14"/>
                <w:szCs w:val="14"/>
                <w:b w:val="1"/>
                <w:bCs w:val="1"/>
                <w:color w:val="auto"/>
                <w:w w:val="98"/>
              </w:rPr>
              <w:t>2023</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jc w:val="center"/>
              <w:ind w:right="79"/>
              <w:spacing w:after="0" w:line="168" w:lineRule="exact"/>
              <w:rPr>
                <w:sz w:val="20"/>
                <w:szCs w:val="20"/>
                <w:color w:val="auto"/>
              </w:rPr>
            </w:pPr>
            <w:r>
              <w:rPr>
                <w:rFonts w:ascii="Calibri" w:cs="Calibri" w:eastAsia="Calibri" w:hAnsi="Calibri"/>
                <w:sz w:val="14"/>
                <w:szCs w:val="14"/>
                <w:b w:val="1"/>
                <w:bCs w:val="1"/>
                <w:color w:val="auto"/>
                <w:w w:val="98"/>
              </w:rPr>
              <w:t>2022</w:t>
            </w:r>
          </w:p>
        </w:tc>
      </w:tr>
      <w:tr>
        <w:trPr>
          <w:trHeight w:val="44"/>
        </w:trPr>
        <w:tc>
          <w:tcPr>
            <w:tcW w:w="894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gridSpan w:val="2"/>
          </w:tcPr>
          <w:p>
            <w:pPr>
              <w:spacing w:after="0"/>
              <w:rPr>
                <w:sz w:val="3"/>
                <w:szCs w:val="3"/>
                <w:color w:val="auto"/>
              </w:rPr>
            </w:pPr>
          </w:p>
        </w:tc>
      </w:tr>
      <w:tr>
        <w:trPr>
          <w:trHeight w:val="186"/>
        </w:trPr>
        <w:tc>
          <w:tcPr>
            <w:tcW w:w="89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140" w:type="dxa"/>
            <w:vAlign w:val="bottom"/>
            <w:gridSpan w:val="6"/>
          </w:tcPr>
          <w:p>
            <w:pPr>
              <w:ind w:left="660"/>
              <w:spacing w:after="0"/>
              <w:rPr>
                <w:sz w:val="20"/>
                <w:szCs w:val="20"/>
                <w:color w:val="auto"/>
              </w:rPr>
            </w:pPr>
            <w:r>
              <w:rPr>
                <w:rFonts w:ascii="Calibri" w:cs="Calibri" w:eastAsia="Calibri" w:hAnsi="Calibri"/>
                <w:sz w:val="14"/>
                <w:szCs w:val="14"/>
                <w:b w:val="1"/>
                <w:bCs w:val="1"/>
                <w:color w:val="auto"/>
              </w:rPr>
              <w:t>(In millions)</w:t>
            </w:r>
          </w:p>
        </w:tc>
      </w:tr>
      <w:tr>
        <w:trPr>
          <w:trHeight w:val="45"/>
        </w:trPr>
        <w:tc>
          <w:tcPr>
            <w:tcW w:w="894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9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960" w:type="dxa"/>
            <w:vAlign w:val="bottom"/>
          </w:tcPr>
          <w:p>
            <w:pPr>
              <w:spacing w:after="0"/>
              <w:rPr>
                <w:sz w:val="3"/>
                <w:szCs w:val="3"/>
                <w:color w:val="auto"/>
              </w:rPr>
            </w:pPr>
          </w:p>
        </w:tc>
      </w:tr>
      <w:tr>
        <w:trPr>
          <w:trHeight w:val="224"/>
        </w:trPr>
        <w:tc>
          <w:tcPr>
            <w:tcW w:w="8940" w:type="dxa"/>
            <w:vAlign w:val="bottom"/>
            <w:shd w:val="clear" w:color="auto" w:fill="CCEEFF"/>
          </w:tcPr>
          <w:p>
            <w:pPr>
              <w:ind w:left="20"/>
              <w:spacing w:after="0" w:line="210" w:lineRule="exact"/>
              <w:rPr>
                <w:sz w:val="20"/>
                <w:szCs w:val="20"/>
                <w:color w:val="auto"/>
              </w:rPr>
            </w:pPr>
            <w:r>
              <w:rPr>
                <w:rFonts w:ascii="Calibri" w:cs="Calibri" w:eastAsia="Calibri" w:hAnsi="Calibri"/>
                <w:sz w:val="18"/>
                <w:szCs w:val="18"/>
                <w:color w:val="auto"/>
              </w:rPr>
              <w:t>Projected beneft obligatons</w:t>
            </w:r>
          </w:p>
        </w:tc>
        <w:tc>
          <w:tcPr>
            <w:tcW w:w="160" w:type="dxa"/>
            <w:vAlign w:val="bottom"/>
            <w:gridSpan w:val="2"/>
            <w:shd w:val="clear" w:color="auto" w:fill="CCEEFF"/>
          </w:tcPr>
          <w:p>
            <w:pPr>
              <w:jc w:val="right"/>
              <w:ind w:right="40"/>
              <w:spacing w:after="0" w:line="210" w:lineRule="exact"/>
              <w:rPr>
                <w:sz w:val="20"/>
                <w:szCs w:val="20"/>
                <w:color w:val="auto"/>
              </w:rPr>
            </w:pPr>
            <w:r>
              <w:rPr>
                <w:rFonts w:ascii="Calibri" w:cs="Calibri" w:eastAsia="Calibri" w:hAnsi="Calibri"/>
                <w:sz w:val="18"/>
                <w:szCs w:val="18"/>
                <w:color w:val="auto"/>
              </w:rPr>
              <w:t>$</w:t>
            </w:r>
          </w:p>
        </w:tc>
        <w:tc>
          <w:tcPr>
            <w:tcW w:w="900" w:type="dxa"/>
            <w:vAlign w:val="bottom"/>
            <w:shd w:val="clear" w:color="auto" w:fill="CCEEFF"/>
          </w:tcPr>
          <w:p>
            <w:pPr>
              <w:ind w:left="660"/>
              <w:spacing w:after="0" w:line="210" w:lineRule="exact"/>
              <w:rPr>
                <w:sz w:val="20"/>
                <w:szCs w:val="20"/>
                <w:color w:val="auto"/>
              </w:rPr>
            </w:pPr>
            <w:r>
              <w:rPr>
                <w:rFonts w:ascii="Calibri" w:cs="Calibri" w:eastAsia="Calibri" w:hAnsi="Calibri"/>
                <w:sz w:val="18"/>
                <w:szCs w:val="18"/>
                <w:color w:val="auto"/>
              </w:rPr>
              <w:t>79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gridSpan w:val="2"/>
            <w:shd w:val="clear" w:color="auto" w:fill="CCEEFF"/>
          </w:tcPr>
          <w:p>
            <w:pPr>
              <w:jc w:val="right"/>
              <w:ind w:right="60"/>
              <w:spacing w:after="0" w:line="210" w:lineRule="exact"/>
              <w:rPr>
                <w:sz w:val="20"/>
                <w:szCs w:val="20"/>
                <w:color w:val="auto"/>
              </w:rPr>
            </w:pPr>
            <w:r>
              <w:rPr>
                <w:rFonts w:ascii="Calibri" w:cs="Calibri" w:eastAsia="Calibri" w:hAnsi="Calibri"/>
                <w:sz w:val="18"/>
                <w:szCs w:val="18"/>
                <w:color w:val="auto"/>
              </w:rPr>
              <w:t>$</w:t>
            </w:r>
          </w:p>
        </w:tc>
        <w:tc>
          <w:tcPr>
            <w:tcW w:w="960" w:type="dxa"/>
            <w:vAlign w:val="bottom"/>
            <w:shd w:val="clear" w:color="auto" w:fill="CCEEFF"/>
          </w:tcPr>
          <w:p>
            <w:pPr>
              <w:jc w:val="right"/>
              <w:spacing w:after="0" w:line="210" w:lineRule="exact"/>
              <w:rPr>
                <w:sz w:val="20"/>
                <w:szCs w:val="20"/>
                <w:color w:val="auto"/>
              </w:rPr>
            </w:pPr>
            <w:r>
              <w:rPr>
                <w:rFonts w:ascii="Calibri" w:cs="Calibri" w:eastAsia="Calibri" w:hAnsi="Calibri"/>
                <w:sz w:val="18"/>
                <w:szCs w:val="18"/>
                <w:color w:val="auto"/>
              </w:rPr>
              <w:t>71</w:t>
            </w:r>
          </w:p>
        </w:tc>
      </w:tr>
      <w:tr>
        <w:trPr>
          <w:trHeight w:val="217"/>
        </w:trPr>
        <w:tc>
          <w:tcPr>
            <w:tcW w:w="8940" w:type="dxa"/>
            <w:vAlign w:val="bottom"/>
          </w:tcPr>
          <w:p>
            <w:pPr>
              <w:ind w:left="20"/>
              <w:spacing w:after="0" w:line="210" w:lineRule="exact"/>
              <w:rPr>
                <w:sz w:val="20"/>
                <w:szCs w:val="20"/>
                <w:color w:val="auto"/>
              </w:rPr>
            </w:pPr>
            <w:r>
              <w:rPr>
                <w:rFonts w:ascii="Calibri" w:cs="Calibri" w:eastAsia="Calibri" w:hAnsi="Calibri"/>
                <w:sz w:val="18"/>
                <w:szCs w:val="18"/>
                <w:color w:val="auto"/>
              </w:rPr>
              <w:t>Accumulated beneft obligatons</w:t>
            </w:r>
          </w:p>
        </w:tc>
        <w:tc>
          <w:tcPr>
            <w:tcW w:w="160" w:type="dxa"/>
            <w:vAlign w:val="bottom"/>
            <w:gridSpan w:val="2"/>
          </w:tcPr>
          <w:p>
            <w:pPr>
              <w:jc w:val="right"/>
              <w:ind w:right="40"/>
              <w:spacing w:after="0" w:line="210" w:lineRule="exact"/>
              <w:rPr>
                <w:sz w:val="20"/>
                <w:szCs w:val="20"/>
                <w:color w:val="auto"/>
              </w:rPr>
            </w:pPr>
            <w:r>
              <w:rPr>
                <w:rFonts w:ascii="Calibri" w:cs="Calibri" w:eastAsia="Calibri" w:hAnsi="Calibri"/>
                <w:sz w:val="18"/>
                <w:szCs w:val="18"/>
                <w:color w:val="auto"/>
              </w:rPr>
              <w:t>$</w:t>
            </w:r>
          </w:p>
        </w:tc>
        <w:tc>
          <w:tcPr>
            <w:tcW w:w="900" w:type="dxa"/>
            <w:vAlign w:val="bottom"/>
          </w:tcPr>
          <w:p>
            <w:pPr>
              <w:ind w:left="660"/>
              <w:spacing w:after="0" w:line="210" w:lineRule="exact"/>
              <w:rPr>
                <w:sz w:val="20"/>
                <w:szCs w:val="20"/>
                <w:color w:val="auto"/>
              </w:rPr>
            </w:pPr>
            <w:r>
              <w:rPr>
                <w:rFonts w:ascii="Calibri" w:cs="Calibri" w:eastAsia="Calibri" w:hAnsi="Calibri"/>
                <w:sz w:val="18"/>
                <w:szCs w:val="18"/>
                <w:color w:val="auto"/>
              </w:rPr>
              <w:t>64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gridSpan w:val="2"/>
          </w:tcPr>
          <w:p>
            <w:pPr>
              <w:jc w:val="right"/>
              <w:ind w:right="60"/>
              <w:spacing w:after="0" w:line="210" w:lineRule="exact"/>
              <w:rPr>
                <w:sz w:val="20"/>
                <w:szCs w:val="20"/>
                <w:color w:val="auto"/>
              </w:rPr>
            </w:pPr>
            <w:r>
              <w:rPr>
                <w:rFonts w:ascii="Calibri" w:cs="Calibri" w:eastAsia="Calibri" w:hAnsi="Calibri"/>
                <w:sz w:val="18"/>
                <w:szCs w:val="18"/>
                <w:color w:val="auto"/>
              </w:rPr>
              <w:t>$</w:t>
            </w:r>
          </w:p>
        </w:tc>
        <w:tc>
          <w:tcPr>
            <w:tcW w:w="960" w:type="dxa"/>
            <w:vAlign w:val="bottom"/>
          </w:tcPr>
          <w:p>
            <w:pPr>
              <w:jc w:val="right"/>
              <w:spacing w:after="0" w:line="210" w:lineRule="exact"/>
              <w:rPr>
                <w:sz w:val="20"/>
                <w:szCs w:val="20"/>
                <w:color w:val="auto"/>
              </w:rPr>
            </w:pPr>
            <w:r>
              <w:rPr>
                <w:rFonts w:ascii="Calibri" w:cs="Calibri" w:eastAsia="Calibri" w:hAnsi="Calibri"/>
                <w:sz w:val="18"/>
                <w:szCs w:val="18"/>
                <w:color w:val="auto"/>
              </w:rPr>
              <w:t>55</w:t>
            </w:r>
          </w:p>
        </w:tc>
      </w:tr>
      <w:tr>
        <w:trPr>
          <w:trHeight w:val="232"/>
        </w:trPr>
        <w:tc>
          <w:tcPr>
            <w:tcW w:w="8940" w:type="dxa"/>
            <w:vAlign w:val="bottom"/>
            <w:shd w:val="clear" w:color="auto" w:fill="CCEEFF"/>
          </w:tcPr>
          <w:p>
            <w:pPr>
              <w:ind w:left="20"/>
              <w:spacing w:after="0" w:line="217" w:lineRule="exact"/>
              <w:rPr>
                <w:sz w:val="20"/>
                <w:szCs w:val="20"/>
                <w:color w:val="auto"/>
              </w:rPr>
            </w:pPr>
            <w:r>
              <w:rPr>
                <w:rFonts w:ascii="Calibri" w:cs="Calibri" w:eastAsia="Calibri" w:hAnsi="Calibri"/>
                <w:sz w:val="18"/>
                <w:szCs w:val="18"/>
                <w:color w:val="auto"/>
              </w:rPr>
              <w:t>Fair value of plan assets</w:t>
            </w:r>
          </w:p>
        </w:tc>
        <w:tc>
          <w:tcPr>
            <w:tcW w:w="160" w:type="dxa"/>
            <w:vAlign w:val="bottom"/>
            <w:gridSpan w:val="2"/>
            <w:shd w:val="clear" w:color="auto" w:fill="CCEEFF"/>
          </w:tcPr>
          <w:p>
            <w:pPr>
              <w:jc w:val="right"/>
              <w:ind w:right="40"/>
              <w:spacing w:after="0" w:line="217" w:lineRule="exact"/>
              <w:rPr>
                <w:sz w:val="20"/>
                <w:szCs w:val="20"/>
                <w:color w:val="auto"/>
              </w:rPr>
            </w:pPr>
            <w:r>
              <w:rPr>
                <w:rFonts w:ascii="Calibri" w:cs="Calibri" w:eastAsia="Calibri" w:hAnsi="Calibri"/>
                <w:sz w:val="18"/>
                <w:szCs w:val="18"/>
                <w:color w:val="auto"/>
              </w:rPr>
              <w:t>$</w:t>
            </w:r>
          </w:p>
        </w:tc>
        <w:tc>
          <w:tcPr>
            <w:tcW w:w="900" w:type="dxa"/>
            <w:vAlign w:val="bottom"/>
            <w:shd w:val="clear" w:color="auto" w:fill="CCEEFF"/>
          </w:tcPr>
          <w:p>
            <w:pPr>
              <w:ind w:left="660"/>
              <w:spacing w:after="0" w:line="217" w:lineRule="exact"/>
              <w:rPr>
                <w:sz w:val="20"/>
                <w:szCs w:val="20"/>
                <w:color w:val="auto"/>
              </w:rPr>
            </w:pPr>
            <w:r>
              <w:rPr>
                <w:rFonts w:ascii="Calibri" w:cs="Calibri" w:eastAsia="Calibri" w:hAnsi="Calibri"/>
                <w:sz w:val="18"/>
                <w:szCs w:val="18"/>
                <w:color w:val="auto"/>
              </w:rPr>
              <w:t>26</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gridSpan w:val="2"/>
            <w:shd w:val="clear" w:color="auto" w:fill="CCEEFF"/>
          </w:tcPr>
          <w:p>
            <w:pPr>
              <w:jc w:val="right"/>
              <w:ind w:right="60"/>
              <w:spacing w:after="0" w:line="217" w:lineRule="exact"/>
              <w:rPr>
                <w:sz w:val="20"/>
                <w:szCs w:val="20"/>
                <w:color w:val="auto"/>
              </w:rPr>
            </w:pPr>
            <w:r>
              <w:rPr>
                <w:rFonts w:ascii="Calibri" w:cs="Calibri" w:eastAsia="Calibri" w:hAnsi="Calibri"/>
                <w:sz w:val="18"/>
                <w:szCs w:val="18"/>
                <w:color w:val="auto"/>
              </w:rPr>
              <w:t>$</w:t>
            </w:r>
          </w:p>
        </w:tc>
        <w:tc>
          <w:tcPr>
            <w:tcW w:w="960" w:type="dxa"/>
            <w:vAlign w:val="bottom"/>
            <w:shd w:val="clear" w:color="auto" w:fill="CCEEFF"/>
          </w:tcPr>
          <w:p>
            <w:pPr>
              <w:jc w:val="right"/>
              <w:spacing w:after="0" w:line="217" w:lineRule="exact"/>
              <w:rPr>
                <w:sz w:val="20"/>
                <w:szCs w:val="20"/>
                <w:color w:val="auto"/>
              </w:rPr>
            </w:pPr>
            <w:r>
              <w:rPr>
                <w:rFonts w:ascii="Calibri" w:cs="Calibri" w:eastAsia="Calibri" w:hAnsi="Calibri"/>
                <w:sz w:val="18"/>
                <w:szCs w:val="18"/>
                <w:color w:val="auto"/>
              </w:rPr>
              <w:t>12</w:t>
            </w:r>
          </w:p>
        </w:tc>
      </w:tr>
      <w:tr>
        <w:trPr>
          <w:trHeight w:val="374"/>
        </w:trPr>
        <w:tc>
          <w:tcPr>
            <w:tcW w:w="8940" w:type="dxa"/>
            <w:vAlign w:val="bottom"/>
          </w:tcPr>
          <w:p>
            <w:pPr>
              <w:ind w:left="400"/>
              <w:spacing w:after="0"/>
              <w:rPr>
                <w:sz w:val="20"/>
                <w:szCs w:val="20"/>
                <w:color w:val="auto"/>
              </w:rPr>
            </w:pPr>
            <w:r>
              <w:rPr>
                <w:rFonts w:ascii="Calibri" w:cs="Calibri" w:eastAsia="Calibri" w:hAnsi="Calibri"/>
                <w:sz w:val="18"/>
                <w:szCs w:val="18"/>
                <w:i w:val="1"/>
                <w:iCs w:val="1"/>
                <w:color w:val="auto"/>
              </w:rPr>
              <w:t>Plans with beneft obligatons less than plan assets:</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85"/>
        </w:trPr>
        <w:tc>
          <w:tcPr>
            <w:tcW w:w="8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gridSpan w:val="3"/>
          </w:tcPr>
          <w:p>
            <w:pPr>
              <w:jc w:val="center"/>
              <w:ind w:right="240"/>
              <w:spacing w:after="0"/>
              <w:rPr>
                <w:sz w:val="20"/>
                <w:szCs w:val="20"/>
                <w:color w:val="auto"/>
              </w:rPr>
            </w:pPr>
            <w:r>
              <w:rPr>
                <w:rFonts w:ascii="Calibri" w:cs="Calibri" w:eastAsia="Calibri" w:hAnsi="Calibri"/>
                <w:sz w:val="14"/>
                <w:szCs w:val="14"/>
                <w:b w:val="1"/>
                <w:bCs w:val="1"/>
                <w:color w:val="auto"/>
                <w:w w:val="99"/>
              </w:rPr>
              <w:t>October 29,</w:t>
            </w: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jc w:val="center"/>
              <w:ind w:right="59"/>
              <w:spacing w:after="0"/>
              <w:rPr>
                <w:sz w:val="20"/>
                <w:szCs w:val="20"/>
                <w:color w:val="auto"/>
              </w:rPr>
            </w:pPr>
            <w:r>
              <w:rPr>
                <w:rFonts w:ascii="Calibri" w:cs="Calibri" w:eastAsia="Calibri" w:hAnsi="Calibri"/>
                <w:sz w:val="14"/>
                <w:szCs w:val="14"/>
                <w:b w:val="1"/>
                <w:bCs w:val="1"/>
                <w:color w:val="auto"/>
              </w:rPr>
              <w:t>October 30,</w:t>
            </w:r>
          </w:p>
        </w:tc>
      </w:tr>
      <w:tr>
        <w:trPr>
          <w:trHeight w:val="168"/>
        </w:trPr>
        <w:tc>
          <w:tcPr>
            <w:tcW w:w="8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jc w:val="center"/>
              <w:ind w:right="61"/>
              <w:spacing w:after="0" w:line="168" w:lineRule="exact"/>
              <w:rPr>
                <w:sz w:val="20"/>
                <w:szCs w:val="20"/>
                <w:color w:val="auto"/>
              </w:rPr>
            </w:pPr>
            <w:r>
              <w:rPr>
                <w:rFonts w:ascii="Calibri" w:cs="Calibri" w:eastAsia="Calibri" w:hAnsi="Calibri"/>
                <w:sz w:val="14"/>
                <w:szCs w:val="14"/>
                <w:b w:val="1"/>
                <w:bCs w:val="1"/>
                <w:color w:val="auto"/>
                <w:w w:val="98"/>
              </w:rPr>
              <w:t>2023</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jc w:val="center"/>
              <w:ind w:right="59"/>
              <w:spacing w:after="0" w:line="168" w:lineRule="exact"/>
              <w:rPr>
                <w:sz w:val="20"/>
                <w:szCs w:val="20"/>
                <w:color w:val="auto"/>
              </w:rPr>
            </w:pPr>
            <w:r>
              <w:rPr>
                <w:rFonts w:ascii="Calibri" w:cs="Calibri" w:eastAsia="Calibri" w:hAnsi="Calibri"/>
                <w:sz w:val="14"/>
                <w:szCs w:val="14"/>
                <w:b w:val="1"/>
                <w:bCs w:val="1"/>
                <w:color w:val="auto"/>
              </w:rPr>
              <w:t>2022</w:t>
            </w:r>
          </w:p>
        </w:tc>
      </w:tr>
      <w:tr>
        <w:trPr>
          <w:trHeight w:val="32"/>
        </w:trPr>
        <w:tc>
          <w:tcPr>
            <w:tcW w:w="894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gridSpan w:val="2"/>
          </w:tcPr>
          <w:p>
            <w:pPr>
              <w:spacing w:after="0"/>
              <w:rPr>
                <w:sz w:val="2"/>
                <w:szCs w:val="2"/>
                <w:color w:val="auto"/>
              </w:rPr>
            </w:pPr>
          </w:p>
        </w:tc>
        <w:tc>
          <w:tcPr>
            <w:tcW w:w="120" w:type="dxa"/>
            <w:vAlign w:val="bottom"/>
            <w:gridSpan w:val="2"/>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r>
      <w:tr>
        <w:trPr>
          <w:trHeight w:val="186"/>
        </w:trPr>
        <w:tc>
          <w:tcPr>
            <w:tcW w:w="89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140" w:type="dxa"/>
            <w:vAlign w:val="bottom"/>
            <w:gridSpan w:val="6"/>
          </w:tcPr>
          <w:p>
            <w:pPr>
              <w:ind w:left="640"/>
              <w:spacing w:after="0"/>
              <w:rPr>
                <w:sz w:val="20"/>
                <w:szCs w:val="20"/>
                <w:color w:val="auto"/>
              </w:rPr>
            </w:pPr>
            <w:r>
              <w:rPr>
                <w:rFonts w:ascii="Calibri" w:cs="Calibri" w:eastAsia="Calibri" w:hAnsi="Calibri"/>
                <w:sz w:val="14"/>
                <w:szCs w:val="14"/>
                <w:b w:val="1"/>
                <w:bCs w:val="1"/>
                <w:color w:val="auto"/>
              </w:rPr>
              <w:t>(In millions)</w:t>
            </w:r>
          </w:p>
        </w:tc>
      </w:tr>
      <w:tr>
        <w:trPr>
          <w:trHeight w:val="45"/>
        </w:trPr>
        <w:tc>
          <w:tcPr>
            <w:tcW w:w="8940" w:type="dxa"/>
            <w:vAlign w:val="bottom"/>
          </w:tcPr>
          <w:p>
            <w:pPr>
              <w:spacing w:after="0"/>
              <w:rPr>
                <w:sz w:val="3"/>
                <w:szCs w:val="3"/>
                <w:color w:val="auto"/>
              </w:rPr>
            </w:pPr>
          </w:p>
        </w:tc>
        <w:tc>
          <w:tcPr>
            <w:tcW w:w="160" w:type="dxa"/>
            <w:vAlign w:val="bottom"/>
            <w:gridSpan w:val="2"/>
          </w:tcPr>
          <w:p>
            <w:pPr>
              <w:spacing w:after="0"/>
              <w:rPr>
                <w:sz w:val="3"/>
                <w:szCs w:val="3"/>
                <w:color w:val="auto"/>
              </w:rPr>
            </w:pPr>
          </w:p>
        </w:tc>
        <w:tc>
          <w:tcPr>
            <w:tcW w:w="9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960" w:type="dxa"/>
            <w:vAlign w:val="bottom"/>
          </w:tcPr>
          <w:p>
            <w:pPr>
              <w:spacing w:after="0"/>
              <w:rPr>
                <w:sz w:val="3"/>
                <w:szCs w:val="3"/>
                <w:color w:val="auto"/>
              </w:rPr>
            </w:pPr>
          </w:p>
        </w:tc>
      </w:tr>
      <w:tr>
        <w:trPr>
          <w:trHeight w:val="224"/>
        </w:trPr>
        <w:tc>
          <w:tcPr>
            <w:tcW w:w="8940" w:type="dxa"/>
            <w:vAlign w:val="bottom"/>
            <w:shd w:val="clear" w:color="auto" w:fill="CCEEFF"/>
          </w:tcPr>
          <w:p>
            <w:pPr>
              <w:ind w:left="20"/>
              <w:spacing w:after="0" w:line="210" w:lineRule="exact"/>
              <w:rPr>
                <w:sz w:val="20"/>
                <w:szCs w:val="20"/>
                <w:color w:val="auto"/>
              </w:rPr>
            </w:pPr>
            <w:r>
              <w:rPr>
                <w:rFonts w:ascii="Calibri" w:cs="Calibri" w:eastAsia="Calibri" w:hAnsi="Calibri"/>
                <w:sz w:val="18"/>
                <w:szCs w:val="18"/>
                <w:color w:val="auto"/>
              </w:rPr>
              <w:t>Projected beneft obligatons</w:t>
            </w:r>
          </w:p>
        </w:tc>
        <w:tc>
          <w:tcPr>
            <w:tcW w:w="160" w:type="dxa"/>
            <w:vAlign w:val="bottom"/>
            <w:gridSpan w:val="2"/>
            <w:shd w:val="clear" w:color="auto" w:fill="CCEEFF"/>
          </w:tcPr>
          <w:p>
            <w:pPr>
              <w:jc w:val="right"/>
              <w:ind w:right="60"/>
              <w:spacing w:after="0" w:line="210" w:lineRule="exact"/>
              <w:rPr>
                <w:sz w:val="20"/>
                <w:szCs w:val="20"/>
                <w:color w:val="auto"/>
              </w:rPr>
            </w:pPr>
            <w:r>
              <w:rPr>
                <w:rFonts w:ascii="Calibri" w:cs="Calibri" w:eastAsia="Calibri" w:hAnsi="Calibri"/>
                <w:sz w:val="18"/>
                <w:szCs w:val="18"/>
                <w:color w:val="auto"/>
                <w:w w:val="87"/>
              </w:rPr>
              <w:t>$</w:t>
            </w:r>
          </w:p>
        </w:tc>
        <w:tc>
          <w:tcPr>
            <w:tcW w:w="900" w:type="dxa"/>
            <w:vAlign w:val="bottom"/>
            <w:shd w:val="clear" w:color="auto" w:fill="CCEEFF"/>
          </w:tcPr>
          <w:p>
            <w:pPr>
              <w:ind w:left="480"/>
              <w:spacing w:after="0" w:line="210" w:lineRule="exact"/>
              <w:rPr>
                <w:sz w:val="20"/>
                <w:szCs w:val="20"/>
                <w:color w:val="auto"/>
              </w:rPr>
            </w:pPr>
            <w:r>
              <w:rPr>
                <w:rFonts w:ascii="Calibri" w:cs="Calibri" w:eastAsia="Calibri" w:hAnsi="Calibri"/>
                <w:sz w:val="18"/>
                <w:szCs w:val="18"/>
                <w:color w:val="auto"/>
                <w:w w:val="97"/>
              </w:rPr>
              <w:t>1,022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gridSpan w:val="2"/>
            <w:shd w:val="clear" w:color="auto" w:fill="CCEEFF"/>
          </w:tcPr>
          <w:p>
            <w:pPr>
              <w:jc w:val="right"/>
              <w:ind w:right="40"/>
              <w:spacing w:after="0" w:line="210" w:lineRule="exact"/>
              <w:rPr>
                <w:sz w:val="20"/>
                <w:szCs w:val="20"/>
                <w:color w:val="auto"/>
              </w:rPr>
            </w:pPr>
            <w:r>
              <w:rPr>
                <w:rFonts w:ascii="Calibri" w:cs="Calibri" w:eastAsia="Calibri" w:hAnsi="Calibri"/>
                <w:sz w:val="18"/>
                <w:szCs w:val="18"/>
                <w:color w:val="auto"/>
              </w:rPr>
              <w:t>$</w:t>
            </w:r>
          </w:p>
        </w:tc>
        <w:tc>
          <w:tcPr>
            <w:tcW w:w="960" w:type="dxa"/>
            <w:vAlign w:val="bottom"/>
            <w:shd w:val="clear" w:color="auto" w:fill="CCEEFF"/>
          </w:tcPr>
          <w:p>
            <w:pPr>
              <w:jc w:val="right"/>
              <w:spacing w:after="0" w:line="210" w:lineRule="exact"/>
              <w:rPr>
                <w:sz w:val="20"/>
                <w:szCs w:val="20"/>
                <w:color w:val="auto"/>
              </w:rPr>
            </w:pPr>
            <w:r>
              <w:rPr>
                <w:rFonts w:ascii="Calibri" w:cs="Calibri" w:eastAsia="Calibri" w:hAnsi="Calibri"/>
                <w:sz w:val="18"/>
                <w:szCs w:val="18"/>
                <w:color w:val="auto"/>
              </w:rPr>
              <w:t>1,072</w:t>
            </w:r>
          </w:p>
        </w:tc>
      </w:tr>
      <w:tr>
        <w:trPr>
          <w:trHeight w:val="217"/>
        </w:trPr>
        <w:tc>
          <w:tcPr>
            <w:tcW w:w="8940" w:type="dxa"/>
            <w:vAlign w:val="bottom"/>
          </w:tcPr>
          <w:p>
            <w:pPr>
              <w:ind w:left="20"/>
              <w:spacing w:after="0" w:line="210" w:lineRule="exact"/>
              <w:rPr>
                <w:sz w:val="20"/>
                <w:szCs w:val="20"/>
                <w:color w:val="auto"/>
              </w:rPr>
            </w:pPr>
            <w:r>
              <w:rPr>
                <w:rFonts w:ascii="Calibri" w:cs="Calibri" w:eastAsia="Calibri" w:hAnsi="Calibri"/>
                <w:sz w:val="18"/>
                <w:szCs w:val="18"/>
                <w:color w:val="auto"/>
              </w:rPr>
              <w:t>Accumulated beneft obligatons</w:t>
            </w:r>
          </w:p>
        </w:tc>
        <w:tc>
          <w:tcPr>
            <w:tcW w:w="160" w:type="dxa"/>
            <w:vAlign w:val="bottom"/>
            <w:gridSpan w:val="2"/>
          </w:tcPr>
          <w:p>
            <w:pPr>
              <w:jc w:val="right"/>
              <w:ind w:right="60"/>
              <w:spacing w:after="0" w:line="210" w:lineRule="exact"/>
              <w:rPr>
                <w:sz w:val="20"/>
                <w:szCs w:val="20"/>
                <w:color w:val="auto"/>
              </w:rPr>
            </w:pPr>
            <w:r>
              <w:rPr>
                <w:rFonts w:ascii="Calibri" w:cs="Calibri" w:eastAsia="Calibri" w:hAnsi="Calibri"/>
                <w:sz w:val="18"/>
                <w:szCs w:val="18"/>
                <w:color w:val="auto"/>
                <w:w w:val="87"/>
              </w:rPr>
              <w:t>$</w:t>
            </w:r>
          </w:p>
        </w:tc>
        <w:tc>
          <w:tcPr>
            <w:tcW w:w="900" w:type="dxa"/>
            <w:vAlign w:val="bottom"/>
          </w:tcPr>
          <w:p>
            <w:pPr>
              <w:ind w:left="480"/>
              <w:spacing w:after="0" w:line="210" w:lineRule="exact"/>
              <w:rPr>
                <w:sz w:val="20"/>
                <w:szCs w:val="20"/>
                <w:color w:val="auto"/>
              </w:rPr>
            </w:pPr>
            <w:r>
              <w:rPr>
                <w:rFonts w:ascii="Calibri" w:cs="Calibri" w:eastAsia="Calibri" w:hAnsi="Calibri"/>
                <w:sz w:val="18"/>
                <w:szCs w:val="18"/>
                <w:color w:val="auto"/>
                <w:w w:val="97"/>
              </w:rPr>
              <w:t>1,022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gridSpan w:val="2"/>
          </w:tcPr>
          <w:p>
            <w:pPr>
              <w:jc w:val="right"/>
              <w:ind w:right="40"/>
              <w:spacing w:after="0" w:line="210" w:lineRule="exact"/>
              <w:rPr>
                <w:sz w:val="20"/>
                <w:szCs w:val="20"/>
                <w:color w:val="auto"/>
              </w:rPr>
            </w:pPr>
            <w:r>
              <w:rPr>
                <w:rFonts w:ascii="Calibri" w:cs="Calibri" w:eastAsia="Calibri" w:hAnsi="Calibri"/>
                <w:sz w:val="18"/>
                <w:szCs w:val="18"/>
                <w:color w:val="auto"/>
              </w:rPr>
              <w:t>$</w:t>
            </w:r>
          </w:p>
        </w:tc>
        <w:tc>
          <w:tcPr>
            <w:tcW w:w="960" w:type="dxa"/>
            <w:vAlign w:val="bottom"/>
          </w:tcPr>
          <w:p>
            <w:pPr>
              <w:jc w:val="right"/>
              <w:spacing w:after="0" w:line="210" w:lineRule="exact"/>
              <w:rPr>
                <w:sz w:val="20"/>
                <w:szCs w:val="20"/>
                <w:color w:val="auto"/>
              </w:rPr>
            </w:pPr>
            <w:r>
              <w:rPr>
                <w:rFonts w:ascii="Calibri" w:cs="Calibri" w:eastAsia="Calibri" w:hAnsi="Calibri"/>
                <w:sz w:val="18"/>
                <w:szCs w:val="18"/>
                <w:color w:val="auto"/>
              </w:rPr>
              <w:t>1,070</w:t>
            </w:r>
          </w:p>
        </w:tc>
      </w:tr>
      <w:tr>
        <w:trPr>
          <w:trHeight w:val="232"/>
        </w:trPr>
        <w:tc>
          <w:tcPr>
            <w:tcW w:w="8940" w:type="dxa"/>
            <w:vAlign w:val="bottom"/>
            <w:shd w:val="clear" w:color="auto" w:fill="CCEEFF"/>
          </w:tcPr>
          <w:p>
            <w:pPr>
              <w:ind w:left="20"/>
              <w:spacing w:after="0" w:line="217" w:lineRule="exact"/>
              <w:rPr>
                <w:sz w:val="20"/>
                <w:szCs w:val="20"/>
                <w:color w:val="auto"/>
              </w:rPr>
            </w:pPr>
            <w:r>
              <w:rPr>
                <w:rFonts w:ascii="Calibri" w:cs="Calibri" w:eastAsia="Calibri" w:hAnsi="Calibri"/>
                <w:sz w:val="18"/>
                <w:szCs w:val="18"/>
                <w:color w:val="auto"/>
              </w:rPr>
              <w:t>Fair value of plan assets</w:t>
            </w:r>
          </w:p>
        </w:tc>
        <w:tc>
          <w:tcPr>
            <w:tcW w:w="160" w:type="dxa"/>
            <w:vAlign w:val="bottom"/>
            <w:gridSpan w:val="2"/>
            <w:shd w:val="clear" w:color="auto" w:fill="CCEEFF"/>
          </w:tcPr>
          <w:p>
            <w:pPr>
              <w:jc w:val="right"/>
              <w:ind w:right="60"/>
              <w:spacing w:after="0" w:line="217" w:lineRule="exact"/>
              <w:rPr>
                <w:sz w:val="20"/>
                <w:szCs w:val="20"/>
                <w:color w:val="auto"/>
              </w:rPr>
            </w:pPr>
            <w:r>
              <w:rPr>
                <w:rFonts w:ascii="Calibri" w:cs="Calibri" w:eastAsia="Calibri" w:hAnsi="Calibri"/>
                <w:sz w:val="18"/>
                <w:szCs w:val="18"/>
                <w:color w:val="auto"/>
                <w:w w:val="87"/>
              </w:rPr>
              <w:t>$</w:t>
            </w:r>
          </w:p>
        </w:tc>
        <w:tc>
          <w:tcPr>
            <w:tcW w:w="900" w:type="dxa"/>
            <w:vAlign w:val="bottom"/>
            <w:shd w:val="clear" w:color="auto" w:fill="CCEEFF"/>
          </w:tcPr>
          <w:p>
            <w:pPr>
              <w:ind w:left="480"/>
              <w:spacing w:after="0" w:line="217" w:lineRule="exact"/>
              <w:rPr>
                <w:sz w:val="20"/>
                <w:szCs w:val="20"/>
                <w:color w:val="auto"/>
              </w:rPr>
            </w:pPr>
            <w:r>
              <w:rPr>
                <w:rFonts w:ascii="Calibri" w:cs="Calibri" w:eastAsia="Calibri" w:hAnsi="Calibri"/>
                <w:sz w:val="18"/>
                <w:szCs w:val="18"/>
                <w:color w:val="auto"/>
                <w:w w:val="97"/>
              </w:rPr>
              <w:t>1,079</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gridSpan w:val="2"/>
            <w:shd w:val="clear" w:color="auto" w:fill="CCEEFF"/>
          </w:tcPr>
          <w:p>
            <w:pPr>
              <w:jc w:val="right"/>
              <w:ind w:right="40"/>
              <w:spacing w:after="0" w:line="217" w:lineRule="exact"/>
              <w:rPr>
                <w:sz w:val="20"/>
                <w:szCs w:val="20"/>
                <w:color w:val="auto"/>
              </w:rPr>
            </w:pPr>
            <w:r>
              <w:rPr>
                <w:rFonts w:ascii="Calibri" w:cs="Calibri" w:eastAsia="Calibri" w:hAnsi="Calibri"/>
                <w:sz w:val="18"/>
                <w:szCs w:val="18"/>
                <w:color w:val="auto"/>
              </w:rPr>
              <w:t>$</w:t>
            </w:r>
          </w:p>
        </w:tc>
        <w:tc>
          <w:tcPr>
            <w:tcW w:w="960" w:type="dxa"/>
            <w:vAlign w:val="bottom"/>
            <w:shd w:val="clear" w:color="auto" w:fill="CCEEFF"/>
          </w:tcPr>
          <w:p>
            <w:pPr>
              <w:jc w:val="right"/>
              <w:spacing w:after="0" w:line="217" w:lineRule="exact"/>
              <w:rPr>
                <w:sz w:val="20"/>
                <w:szCs w:val="20"/>
                <w:color w:val="auto"/>
              </w:rPr>
            </w:pPr>
            <w:r>
              <w:rPr>
                <w:rFonts w:ascii="Calibri" w:cs="Calibri" w:eastAsia="Calibri" w:hAnsi="Calibri"/>
                <w:sz w:val="18"/>
                <w:szCs w:val="18"/>
                <w:color w:val="auto"/>
              </w:rPr>
              <w:t>1,148</w:t>
            </w:r>
          </w:p>
        </w:tc>
      </w:tr>
    </w:tbl>
    <w:p>
      <w:pPr>
        <w:spacing w:after="0" w:line="177" w:lineRule="exact"/>
        <w:rPr>
          <w:sz w:val="20"/>
          <w:szCs w:val="20"/>
          <w:color w:val="auto"/>
        </w:rPr>
      </w:pPr>
    </w:p>
    <w:p>
      <w:pPr>
        <w:ind w:right="300" w:firstLine="396"/>
        <w:spacing w:after="0" w:line="230" w:lineRule="auto"/>
        <w:rPr>
          <w:sz w:val="20"/>
          <w:szCs w:val="20"/>
          <w:color w:val="auto"/>
        </w:rPr>
      </w:pPr>
      <w:r>
        <w:rPr>
          <w:rFonts w:ascii="Calibri" w:cs="Calibri" w:eastAsia="Calibri" w:hAnsi="Calibri"/>
          <w:sz w:val="18"/>
          <w:szCs w:val="18"/>
          <w:color w:val="auto"/>
        </w:rPr>
        <w:t>The fair value of pension plan assets as of October 29, 2023 and October 30, 2022 included $204 million and $184 million, respectvely, of assets for our non-U.S. pension plans.</w:t>
      </w: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9" w:right="339" w:bottom="1440" w:gutter="0" w:footer="0" w:header="0"/>
        </w:sectPr>
      </w:pPr>
    </w:p>
    <w:bookmarkStart w:id="71" w:name="page72"/>
    <w:bookmarkEnd w:id="71"/>
    <w:p>
      <w:pPr>
        <w:spacing w:after="0"/>
        <w:rPr>
          <w:sz w:val="20"/>
          <w:szCs w:val="20"/>
          <w:color w:val="auto"/>
        </w:rPr>
      </w:pPr>
      <w:r>
        <w:rPr>
          <w:rFonts w:ascii="Calibri" w:cs="Calibri" w:eastAsia="Calibri" w:hAnsi="Calibri"/>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right="160" w:firstLine="396"/>
        <w:spacing w:after="0" w:line="230" w:lineRule="auto"/>
        <w:rPr>
          <w:sz w:val="20"/>
          <w:szCs w:val="20"/>
          <w:color w:val="auto"/>
        </w:rPr>
      </w:pPr>
      <w:r>
        <w:rPr>
          <w:rFonts w:ascii="Calibri" w:cs="Calibri" w:eastAsia="Calibri" w:hAnsi="Calibri"/>
          <w:sz w:val="18"/>
          <w:szCs w:val="18"/>
          <w:color w:val="auto"/>
        </w:rPr>
        <w:t>The projected beneft obligatons as of October 29, 2023 and October 30, 2022 included $202 million and $185 million, respectvely, of obligatons related to our non-U.S. pension plans. The accumulated beneft obligatons as of October 29, 2023 and October 30, 2022 included $188 million and $168 million, respectvely, of obligatons related to our non-U.S. pension plans.</w:t>
      </w:r>
    </w:p>
    <w:p>
      <w:pPr>
        <w:spacing w:after="0" w:line="98" w:lineRule="exact"/>
        <w:rPr>
          <w:sz w:val="20"/>
          <w:szCs w:val="20"/>
          <w:color w:val="auto"/>
        </w:rPr>
      </w:pPr>
    </w:p>
    <w:p>
      <w:pPr>
        <w:ind w:left="400"/>
        <w:spacing w:after="0"/>
        <w:rPr>
          <w:sz w:val="20"/>
          <w:szCs w:val="20"/>
          <w:color w:val="auto"/>
        </w:rPr>
      </w:pPr>
      <w:r>
        <w:rPr>
          <w:rFonts w:ascii="Calibri" w:cs="Calibri" w:eastAsia="Calibri" w:hAnsi="Calibri"/>
          <w:sz w:val="18"/>
          <w:szCs w:val="18"/>
          <w:b w:val="1"/>
          <w:bCs w:val="1"/>
          <w:i w:val="1"/>
          <w:iCs w:val="1"/>
          <w:color w:val="auto"/>
        </w:rPr>
        <w:t>Expected Future Beneft Payments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140" w:type="dxa"/>
            <w:vAlign w:val="bottom"/>
            <w:vMerge w:val="restart"/>
          </w:tcPr>
          <w:p>
            <w:pPr>
              <w:ind w:left="20"/>
              <w:spacing w:after="0"/>
              <w:rPr>
                <w:sz w:val="20"/>
                <w:szCs w:val="20"/>
                <w:color w:val="auto"/>
              </w:rPr>
            </w:pPr>
            <w:r>
              <w:rPr>
                <w:rFonts w:ascii="Calibri" w:cs="Calibri" w:eastAsia="Calibri" w:hAnsi="Calibri"/>
                <w:sz w:val="18"/>
                <w:szCs w:val="18"/>
                <w:b w:val="1"/>
                <w:bCs w:val="1"/>
                <w:color w:val="auto"/>
              </w:rPr>
              <w:t>Fiscal Years:</w:t>
            </w:r>
          </w:p>
        </w:tc>
        <w:tc>
          <w:tcPr>
            <w:tcW w:w="1100" w:type="dxa"/>
            <w:vAlign w:val="bottom"/>
            <w:gridSpan w:val="2"/>
          </w:tcPr>
          <w:p>
            <w:pPr>
              <w:jc w:val="center"/>
              <w:spacing w:after="0"/>
              <w:rPr>
                <w:sz w:val="20"/>
                <w:szCs w:val="20"/>
                <w:color w:val="auto"/>
              </w:rPr>
            </w:pPr>
            <w:r>
              <w:rPr>
                <w:rFonts w:ascii="Calibri" w:cs="Calibri" w:eastAsia="Calibri" w:hAnsi="Calibri"/>
                <w:sz w:val="14"/>
                <w:szCs w:val="14"/>
                <w:b w:val="1"/>
                <w:bCs w:val="1"/>
                <w:color w:val="auto"/>
              </w:rPr>
              <w:t>Expected Beneft</w:t>
            </w:r>
          </w:p>
        </w:tc>
        <w:tc>
          <w:tcPr>
            <w:tcW w:w="0" w:type="dxa"/>
            <w:vAlign w:val="bottom"/>
          </w:tcPr>
          <w:p>
            <w:pPr>
              <w:spacing w:after="0"/>
              <w:rPr>
                <w:sz w:val="1"/>
                <w:szCs w:val="1"/>
                <w:color w:val="auto"/>
              </w:rPr>
            </w:pPr>
          </w:p>
        </w:tc>
      </w:tr>
      <w:tr>
        <w:trPr>
          <w:trHeight w:val="178"/>
        </w:trPr>
        <w:tc>
          <w:tcPr>
            <w:tcW w:w="1014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jc w:val="center"/>
              <w:ind w:right="76"/>
              <w:spacing w:after="0" w:line="168" w:lineRule="exact"/>
              <w:rPr>
                <w:sz w:val="20"/>
                <w:szCs w:val="20"/>
                <w:color w:val="auto"/>
              </w:rPr>
            </w:pPr>
            <w:r>
              <w:rPr>
                <w:rFonts w:ascii="Calibri" w:cs="Calibri" w:eastAsia="Calibri" w:hAnsi="Calibri"/>
                <w:sz w:val="14"/>
                <w:szCs w:val="14"/>
                <w:b w:val="1"/>
                <w:bCs w:val="1"/>
                <w:color w:val="auto"/>
              </w:rPr>
              <w:t>Payments</w:t>
            </w:r>
          </w:p>
        </w:tc>
        <w:tc>
          <w:tcPr>
            <w:tcW w:w="0" w:type="dxa"/>
            <w:vAlign w:val="bottom"/>
          </w:tcPr>
          <w:p>
            <w:pPr>
              <w:spacing w:after="0"/>
              <w:rPr>
                <w:sz w:val="1"/>
                <w:szCs w:val="1"/>
                <w:color w:val="auto"/>
              </w:rPr>
            </w:pPr>
          </w:p>
        </w:tc>
      </w:tr>
      <w:tr>
        <w:trPr>
          <w:trHeight w:val="22"/>
        </w:trPr>
        <w:tc>
          <w:tcPr>
            <w:tcW w:w="10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6"/>
        </w:trPr>
        <w:tc>
          <w:tcPr>
            <w:tcW w:w="10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center"/>
              <w:ind w:right="76"/>
              <w:spacing w:after="0"/>
              <w:rPr>
                <w:sz w:val="20"/>
                <w:szCs w:val="20"/>
                <w:color w:val="auto"/>
              </w:rPr>
            </w:pPr>
            <w:r>
              <w:rPr>
                <w:rFonts w:ascii="Calibri" w:cs="Calibri" w:eastAsia="Calibri" w:hAnsi="Calibri"/>
                <w:sz w:val="14"/>
                <w:szCs w:val="14"/>
                <w:b w:val="1"/>
                <w:bCs w:val="1"/>
                <w:color w:val="auto"/>
              </w:rPr>
              <w:t>(In millions)</w:t>
            </w:r>
          </w:p>
        </w:tc>
        <w:tc>
          <w:tcPr>
            <w:tcW w:w="0" w:type="dxa"/>
            <w:vAlign w:val="bottom"/>
          </w:tcPr>
          <w:p>
            <w:pPr>
              <w:spacing w:after="0"/>
              <w:rPr>
                <w:sz w:val="1"/>
                <w:szCs w:val="1"/>
                <w:color w:val="auto"/>
              </w:rPr>
            </w:pPr>
          </w:p>
        </w:tc>
      </w:tr>
      <w:tr>
        <w:trPr>
          <w:trHeight w:val="45"/>
        </w:trPr>
        <w:tc>
          <w:tcPr>
            <w:tcW w:w="1014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4"/>
        </w:trPr>
        <w:tc>
          <w:tcPr>
            <w:tcW w:w="10140" w:type="dxa"/>
            <w:vAlign w:val="bottom"/>
            <w:shd w:val="clear" w:color="auto" w:fill="CCEEFF"/>
          </w:tcPr>
          <w:p>
            <w:pPr>
              <w:ind w:left="20"/>
              <w:spacing w:after="0" w:line="210" w:lineRule="exact"/>
              <w:rPr>
                <w:sz w:val="20"/>
                <w:szCs w:val="20"/>
                <w:color w:val="auto"/>
              </w:rPr>
            </w:pPr>
            <w:r>
              <w:rPr>
                <w:rFonts w:ascii="Calibri" w:cs="Calibri" w:eastAsia="Calibri" w:hAnsi="Calibri"/>
                <w:sz w:val="18"/>
                <w:szCs w:val="18"/>
                <w:color w:val="auto"/>
              </w:rPr>
              <w:t>2024</w:t>
            </w:r>
          </w:p>
        </w:tc>
        <w:tc>
          <w:tcPr>
            <w:tcW w:w="160" w:type="dxa"/>
            <w:vAlign w:val="bottom"/>
            <w:shd w:val="clear" w:color="auto" w:fill="CCEEFF"/>
          </w:tcPr>
          <w:p>
            <w:pPr>
              <w:jc w:val="right"/>
              <w:spacing w:after="0" w:line="210" w:lineRule="exact"/>
              <w:rPr>
                <w:sz w:val="20"/>
                <w:szCs w:val="20"/>
                <w:color w:val="auto"/>
              </w:rPr>
            </w:pPr>
            <w:r>
              <w:rPr>
                <w:rFonts w:ascii="Calibri" w:cs="Calibri" w:eastAsia="Calibri" w:hAnsi="Calibri"/>
                <w:sz w:val="18"/>
                <w:szCs w:val="18"/>
                <w:color w:val="auto"/>
                <w:w w:val="87"/>
              </w:rPr>
              <w:t>$</w:t>
            </w:r>
          </w:p>
        </w:tc>
        <w:tc>
          <w:tcPr>
            <w:tcW w:w="940" w:type="dxa"/>
            <w:vAlign w:val="bottom"/>
            <w:shd w:val="clear" w:color="auto" w:fill="CCEEFF"/>
          </w:tcPr>
          <w:p>
            <w:pPr>
              <w:jc w:val="right"/>
              <w:spacing w:after="0" w:line="210" w:lineRule="exact"/>
              <w:rPr>
                <w:sz w:val="20"/>
                <w:szCs w:val="20"/>
                <w:color w:val="auto"/>
              </w:rPr>
            </w:pPr>
            <w:r>
              <w:rPr>
                <w:rFonts w:ascii="Calibri" w:cs="Calibri" w:eastAsia="Calibri" w:hAnsi="Calibri"/>
                <w:sz w:val="18"/>
                <w:szCs w:val="18"/>
                <w:color w:val="auto"/>
              </w:rPr>
              <w:t>96</w:t>
            </w:r>
          </w:p>
        </w:tc>
        <w:tc>
          <w:tcPr>
            <w:tcW w:w="0" w:type="dxa"/>
            <w:vAlign w:val="bottom"/>
          </w:tcPr>
          <w:p>
            <w:pPr>
              <w:spacing w:after="0"/>
              <w:rPr>
                <w:sz w:val="1"/>
                <w:szCs w:val="1"/>
                <w:color w:val="auto"/>
              </w:rPr>
            </w:pPr>
          </w:p>
        </w:tc>
      </w:tr>
      <w:tr>
        <w:trPr>
          <w:trHeight w:val="217"/>
        </w:trPr>
        <w:tc>
          <w:tcPr>
            <w:tcW w:w="10140" w:type="dxa"/>
            <w:vAlign w:val="bottom"/>
          </w:tcPr>
          <w:p>
            <w:pPr>
              <w:ind w:left="20"/>
              <w:spacing w:after="0" w:line="210" w:lineRule="exact"/>
              <w:rPr>
                <w:sz w:val="20"/>
                <w:szCs w:val="20"/>
                <w:color w:val="auto"/>
              </w:rPr>
            </w:pPr>
            <w:r>
              <w:rPr>
                <w:rFonts w:ascii="Calibri" w:cs="Calibri" w:eastAsia="Calibri" w:hAnsi="Calibri"/>
                <w:sz w:val="18"/>
                <w:szCs w:val="18"/>
                <w:color w:val="auto"/>
              </w:rPr>
              <w:t>2025</w:t>
            </w:r>
          </w:p>
        </w:tc>
        <w:tc>
          <w:tcPr>
            <w:tcW w:w="160" w:type="dxa"/>
            <w:vAlign w:val="bottom"/>
          </w:tcPr>
          <w:p>
            <w:pPr>
              <w:jc w:val="right"/>
              <w:spacing w:after="0" w:line="210" w:lineRule="exact"/>
              <w:rPr>
                <w:sz w:val="20"/>
                <w:szCs w:val="20"/>
                <w:color w:val="auto"/>
              </w:rPr>
            </w:pPr>
            <w:r>
              <w:rPr>
                <w:rFonts w:ascii="Calibri" w:cs="Calibri" w:eastAsia="Calibri" w:hAnsi="Calibri"/>
                <w:sz w:val="18"/>
                <w:szCs w:val="18"/>
                <w:color w:val="auto"/>
                <w:w w:val="87"/>
              </w:rPr>
              <w:t>$</w:t>
            </w:r>
          </w:p>
        </w:tc>
        <w:tc>
          <w:tcPr>
            <w:tcW w:w="940" w:type="dxa"/>
            <w:vAlign w:val="bottom"/>
          </w:tcPr>
          <w:p>
            <w:pPr>
              <w:jc w:val="right"/>
              <w:spacing w:after="0" w:line="210" w:lineRule="exact"/>
              <w:rPr>
                <w:sz w:val="20"/>
                <w:szCs w:val="20"/>
                <w:color w:val="auto"/>
              </w:rPr>
            </w:pPr>
            <w:r>
              <w:rPr>
                <w:rFonts w:ascii="Calibri" w:cs="Calibri" w:eastAsia="Calibri" w:hAnsi="Calibri"/>
                <w:sz w:val="18"/>
                <w:szCs w:val="18"/>
                <w:color w:val="auto"/>
              </w:rPr>
              <w:t>95</w:t>
            </w:r>
          </w:p>
        </w:tc>
        <w:tc>
          <w:tcPr>
            <w:tcW w:w="0" w:type="dxa"/>
            <w:vAlign w:val="bottom"/>
          </w:tcPr>
          <w:p>
            <w:pPr>
              <w:spacing w:after="0"/>
              <w:rPr>
                <w:sz w:val="1"/>
                <w:szCs w:val="1"/>
                <w:color w:val="auto"/>
              </w:rPr>
            </w:pPr>
          </w:p>
        </w:tc>
      </w:tr>
      <w:tr>
        <w:trPr>
          <w:trHeight w:val="232"/>
        </w:trPr>
        <w:tc>
          <w:tcPr>
            <w:tcW w:w="10140" w:type="dxa"/>
            <w:vAlign w:val="bottom"/>
            <w:shd w:val="clear" w:color="auto" w:fill="CCEEFF"/>
          </w:tcPr>
          <w:p>
            <w:pPr>
              <w:ind w:left="20"/>
              <w:spacing w:after="0" w:line="217" w:lineRule="exact"/>
              <w:rPr>
                <w:sz w:val="20"/>
                <w:szCs w:val="20"/>
                <w:color w:val="auto"/>
              </w:rPr>
            </w:pPr>
            <w:r>
              <w:rPr>
                <w:rFonts w:ascii="Calibri" w:cs="Calibri" w:eastAsia="Calibri" w:hAnsi="Calibri"/>
                <w:sz w:val="18"/>
                <w:szCs w:val="18"/>
                <w:color w:val="auto"/>
              </w:rPr>
              <w:t>2026</w:t>
            </w:r>
          </w:p>
        </w:tc>
        <w:tc>
          <w:tcPr>
            <w:tcW w:w="160" w:type="dxa"/>
            <w:vAlign w:val="bottom"/>
            <w:shd w:val="clear" w:color="auto" w:fill="CCEEFF"/>
          </w:tcPr>
          <w:p>
            <w:pPr>
              <w:jc w:val="right"/>
              <w:spacing w:after="0" w:line="217" w:lineRule="exact"/>
              <w:rPr>
                <w:sz w:val="20"/>
                <w:szCs w:val="20"/>
                <w:color w:val="auto"/>
              </w:rPr>
            </w:pPr>
            <w:r>
              <w:rPr>
                <w:rFonts w:ascii="Calibri" w:cs="Calibri" w:eastAsia="Calibri" w:hAnsi="Calibri"/>
                <w:sz w:val="18"/>
                <w:szCs w:val="18"/>
                <w:color w:val="auto"/>
                <w:w w:val="87"/>
              </w:rPr>
              <w:t>$</w:t>
            </w:r>
          </w:p>
        </w:tc>
        <w:tc>
          <w:tcPr>
            <w:tcW w:w="940" w:type="dxa"/>
            <w:vAlign w:val="bottom"/>
            <w:shd w:val="clear" w:color="auto" w:fill="CCEEFF"/>
          </w:tcPr>
          <w:p>
            <w:pPr>
              <w:jc w:val="right"/>
              <w:spacing w:after="0" w:line="217" w:lineRule="exact"/>
              <w:rPr>
                <w:sz w:val="20"/>
                <w:szCs w:val="20"/>
                <w:color w:val="auto"/>
              </w:rPr>
            </w:pPr>
            <w:r>
              <w:rPr>
                <w:rFonts w:ascii="Calibri" w:cs="Calibri" w:eastAsia="Calibri" w:hAnsi="Calibri"/>
                <w:sz w:val="18"/>
                <w:szCs w:val="18"/>
                <w:color w:val="auto"/>
              </w:rPr>
              <w:t>95</w:t>
            </w:r>
          </w:p>
        </w:tc>
        <w:tc>
          <w:tcPr>
            <w:tcW w:w="0" w:type="dxa"/>
            <w:vAlign w:val="bottom"/>
          </w:tcPr>
          <w:p>
            <w:pPr>
              <w:spacing w:after="0"/>
              <w:rPr>
                <w:sz w:val="1"/>
                <w:szCs w:val="1"/>
                <w:color w:val="auto"/>
              </w:rPr>
            </w:pPr>
          </w:p>
        </w:tc>
      </w:tr>
      <w:tr>
        <w:trPr>
          <w:trHeight w:val="217"/>
        </w:trPr>
        <w:tc>
          <w:tcPr>
            <w:tcW w:w="10140" w:type="dxa"/>
            <w:vAlign w:val="bottom"/>
          </w:tcPr>
          <w:p>
            <w:pPr>
              <w:ind w:left="20"/>
              <w:spacing w:after="0" w:line="210" w:lineRule="exact"/>
              <w:rPr>
                <w:sz w:val="20"/>
                <w:szCs w:val="20"/>
                <w:color w:val="auto"/>
              </w:rPr>
            </w:pPr>
            <w:r>
              <w:rPr>
                <w:rFonts w:ascii="Calibri" w:cs="Calibri" w:eastAsia="Calibri" w:hAnsi="Calibri"/>
                <w:sz w:val="18"/>
                <w:szCs w:val="18"/>
                <w:color w:val="auto"/>
              </w:rPr>
              <w:t>2027</w:t>
            </w:r>
          </w:p>
        </w:tc>
        <w:tc>
          <w:tcPr>
            <w:tcW w:w="160" w:type="dxa"/>
            <w:vAlign w:val="bottom"/>
          </w:tcPr>
          <w:p>
            <w:pPr>
              <w:jc w:val="right"/>
              <w:spacing w:after="0" w:line="210" w:lineRule="exact"/>
              <w:rPr>
                <w:sz w:val="20"/>
                <w:szCs w:val="20"/>
                <w:color w:val="auto"/>
              </w:rPr>
            </w:pPr>
            <w:r>
              <w:rPr>
                <w:rFonts w:ascii="Calibri" w:cs="Calibri" w:eastAsia="Calibri" w:hAnsi="Calibri"/>
                <w:sz w:val="18"/>
                <w:szCs w:val="18"/>
                <w:color w:val="auto"/>
                <w:w w:val="87"/>
              </w:rPr>
              <w:t>$</w:t>
            </w:r>
          </w:p>
        </w:tc>
        <w:tc>
          <w:tcPr>
            <w:tcW w:w="940" w:type="dxa"/>
            <w:vAlign w:val="bottom"/>
          </w:tcPr>
          <w:p>
            <w:pPr>
              <w:jc w:val="right"/>
              <w:spacing w:after="0" w:line="210" w:lineRule="exact"/>
              <w:rPr>
                <w:sz w:val="20"/>
                <w:szCs w:val="20"/>
                <w:color w:val="auto"/>
              </w:rPr>
            </w:pPr>
            <w:r>
              <w:rPr>
                <w:rFonts w:ascii="Calibri" w:cs="Calibri" w:eastAsia="Calibri" w:hAnsi="Calibri"/>
                <w:sz w:val="18"/>
                <w:szCs w:val="18"/>
                <w:color w:val="auto"/>
              </w:rPr>
              <w:t>93</w:t>
            </w:r>
          </w:p>
        </w:tc>
        <w:tc>
          <w:tcPr>
            <w:tcW w:w="0" w:type="dxa"/>
            <w:vAlign w:val="bottom"/>
          </w:tcPr>
          <w:p>
            <w:pPr>
              <w:spacing w:after="0"/>
              <w:rPr>
                <w:sz w:val="1"/>
                <w:szCs w:val="1"/>
                <w:color w:val="auto"/>
              </w:rPr>
            </w:pPr>
          </w:p>
        </w:tc>
      </w:tr>
      <w:tr>
        <w:trPr>
          <w:trHeight w:val="232"/>
        </w:trPr>
        <w:tc>
          <w:tcPr>
            <w:tcW w:w="10140" w:type="dxa"/>
            <w:vAlign w:val="bottom"/>
            <w:shd w:val="clear" w:color="auto" w:fill="CCEEFF"/>
          </w:tcPr>
          <w:p>
            <w:pPr>
              <w:ind w:left="20"/>
              <w:spacing w:after="0" w:line="217" w:lineRule="exact"/>
              <w:rPr>
                <w:sz w:val="20"/>
                <w:szCs w:val="20"/>
                <w:color w:val="auto"/>
              </w:rPr>
            </w:pPr>
            <w:r>
              <w:rPr>
                <w:rFonts w:ascii="Calibri" w:cs="Calibri" w:eastAsia="Calibri" w:hAnsi="Calibri"/>
                <w:sz w:val="18"/>
                <w:szCs w:val="18"/>
                <w:color w:val="auto"/>
              </w:rPr>
              <w:t>2028</w:t>
            </w:r>
          </w:p>
        </w:tc>
        <w:tc>
          <w:tcPr>
            <w:tcW w:w="160" w:type="dxa"/>
            <w:vAlign w:val="bottom"/>
            <w:shd w:val="clear" w:color="auto" w:fill="CCEEFF"/>
          </w:tcPr>
          <w:p>
            <w:pPr>
              <w:jc w:val="right"/>
              <w:spacing w:after="0" w:line="217" w:lineRule="exact"/>
              <w:rPr>
                <w:sz w:val="20"/>
                <w:szCs w:val="20"/>
                <w:color w:val="auto"/>
              </w:rPr>
            </w:pPr>
            <w:r>
              <w:rPr>
                <w:rFonts w:ascii="Calibri" w:cs="Calibri" w:eastAsia="Calibri" w:hAnsi="Calibri"/>
                <w:sz w:val="18"/>
                <w:szCs w:val="18"/>
                <w:color w:val="auto"/>
                <w:w w:val="87"/>
              </w:rPr>
              <w:t>$</w:t>
            </w:r>
          </w:p>
        </w:tc>
        <w:tc>
          <w:tcPr>
            <w:tcW w:w="940" w:type="dxa"/>
            <w:vAlign w:val="bottom"/>
            <w:shd w:val="clear" w:color="auto" w:fill="CCEEFF"/>
          </w:tcPr>
          <w:p>
            <w:pPr>
              <w:jc w:val="right"/>
              <w:spacing w:after="0" w:line="217" w:lineRule="exact"/>
              <w:rPr>
                <w:sz w:val="20"/>
                <w:szCs w:val="20"/>
                <w:color w:val="auto"/>
              </w:rPr>
            </w:pPr>
            <w:r>
              <w:rPr>
                <w:rFonts w:ascii="Calibri" w:cs="Calibri" w:eastAsia="Calibri" w:hAnsi="Calibri"/>
                <w:sz w:val="18"/>
                <w:szCs w:val="18"/>
                <w:color w:val="auto"/>
              </w:rPr>
              <w:t>91</w:t>
            </w:r>
          </w:p>
        </w:tc>
        <w:tc>
          <w:tcPr>
            <w:tcW w:w="0" w:type="dxa"/>
            <w:vAlign w:val="bottom"/>
          </w:tcPr>
          <w:p>
            <w:pPr>
              <w:spacing w:after="0"/>
              <w:rPr>
                <w:sz w:val="1"/>
                <w:szCs w:val="1"/>
                <w:color w:val="auto"/>
              </w:rPr>
            </w:pPr>
          </w:p>
        </w:tc>
      </w:tr>
      <w:tr>
        <w:trPr>
          <w:trHeight w:val="210"/>
        </w:trPr>
        <w:tc>
          <w:tcPr>
            <w:tcW w:w="10140" w:type="dxa"/>
            <w:vAlign w:val="bottom"/>
          </w:tcPr>
          <w:p>
            <w:pPr>
              <w:ind w:left="20"/>
              <w:spacing w:after="0" w:line="210" w:lineRule="exact"/>
              <w:rPr>
                <w:sz w:val="20"/>
                <w:szCs w:val="20"/>
                <w:color w:val="auto"/>
              </w:rPr>
            </w:pPr>
            <w:r>
              <w:rPr>
                <w:rFonts w:ascii="Calibri" w:cs="Calibri" w:eastAsia="Calibri" w:hAnsi="Calibri"/>
                <w:sz w:val="18"/>
                <w:szCs w:val="18"/>
                <w:color w:val="auto"/>
              </w:rPr>
              <w:t>2029-2033</w:t>
            </w:r>
          </w:p>
        </w:tc>
        <w:tc>
          <w:tcPr>
            <w:tcW w:w="160" w:type="dxa"/>
            <w:vAlign w:val="bottom"/>
          </w:tcPr>
          <w:p>
            <w:pPr>
              <w:jc w:val="right"/>
              <w:spacing w:after="0" w:line="210" w:lineRule="exact"/>
              <w:rPr>
                <w:sz w:val="20"/>
                <w:szCs w:val="20"/>
                <w:color w:val="auto"/>
              </w:rPr>
            </w:pPr>
            <w:r>
              <w:rPr>
                <w:rFonts w:ascii="Calibri" w:cs="Calibri" w:eastAsia="Calibri" w:hAnsi="Calibri"/>
                <w:sz w:val="18"/>
                <w:szCs w:val="18"/>
                <w:color w:val="auto"/>
                <w:w w:val="87"/>
              </w:rPr>
              <w:t>$</w:t>
            </w:r>
          </w:p>
        </w:tc>
        <w:tc>
          <w:tcPr>
            <w:tcW w:w="940" w:type="dxa"/>
            <w:vAlign w:val="bottom"/>
          </w:tcPr>
          <w:p>
            <w:pPr>
              <w:jc w:val="right"/>
              <w:spacing w:after="0" w:line="210" w:lineRule="exact"/>
              <w:rPr>
                <w:sz w:val="20"/>
                <w:szCs w:val="20"/>
                <w:color w:val="auto"/>
              </w:rPr>
            </w:pPr>
            <w:r>
              <w:rPr>
                <w:rFonts w:ascii="Calibri" w:cs="Calibri" w:eastAsia="Calibri" w:hAnsi="Calibri"/>
                <w:sz w:val="18"/>
                <w:szCs w:val="18"/>
                <w:color w:val="auto"/>
              </w:rPr>
              <w:t>429</w:t>
            </w:r>
          </w:p>
        </w:tc>
        <w:tc>
          <w:tcPr>
            <w:tcW w:w="0" w:type="dxa"/>
            <w:vAlign w:val="bottom"/>
          </w:tcPr>
          <w:p>
            <w:pPr>
              <w:spacing w:after="0"/>
              <w:rPr>
                <w:sz w:val="1"/>
                <w:szCs w:val="1"/>
                <w:color w:val="auto"/>
              </w:rPr>
            </w:pPr>
          </w:p>
        </w:tc>
      </w:tr>
    </w:tbl>
    <w:p>
      <w:pPr>
        <w:spacing w:after="0" w:line="182" w:lineRule="exact"/>
        <w:rPr>
          <w:sz w:val="20"/>
          <w:szCs w:val="20"/>
          <w:color w:val="auto"/>
        </w:rPr>
      </w:pPr>
    </w:p>
    <w:p>
      <w:pPr>
        <w:ind w:left="400"/>
        <w:spacing w:after="0"/>
        <w:rPr>
          <w:sz w:val="20"/>
          <w:szCs w:val="20"/>
          <w:color w:val="auto"/>
        </w:rPr>
      </w:pPr>
      <w:r>
        <w:rPr>
          <w:rFonts w:ascii="Calibri" w:cs="Calibri" w:eastAsia="Calibri" w:hAnsi="Calibri"/>
          <w:sz w:val="18"/>
          <w:szCs w:val="18"/>
          <w:b w:val="1"/>
          <w:bCs w:val="1"/>
          <w:i w:val="1"/>
          <w:iCs w:val="1"/>
          <w:color w:val="auto"/>
        </w:rPr>
        <w:t>Investment Policy</w:t>
      </w:r>
    </w:p>
    <w:p>
      <w:pPr>
        <w:spacing w:after="0" w:line="107" w:lineRule="exact"/>
        <w:rPr>
          <w:sz w:val="20"/>
          <w:szCs w:val="20"/>
          <w:color w:val="auto"/>
        </w:rPr>
      </w:pPr>
    </w:p>
    <w:p>
      <w:pPr>
        <w:ind w:right="40" w:firstLine="396"/>
        <w:spacing w:after="0" w:line="245" w:lineRule="auto"/>
        <w:rPr>
          <w:sz w:val="20"/>
          <w:szCs w:val="20"/>
          <w:color w:val="auto"/>
        </w:rPr>
      </w:pPr>
      <w:r>
        <w:rPr>
          <w:rFonts w:ascii="Calibri" w:cs="Calibri" w:eastAsia="Calibri" w:hAnsi="Calibri"/>
          <w:sz w:val="17"/>
          <w:szCs w:val="17"/>
          <w:color w:val="auto"/>
        </w:rPr>
        <w:t>Plan assets of the U.S. qualifed pension plan, which represent substantally all of the plan assets, are generally invested in funds held by third-party fund managers. Our beneft plan investment commitee has set the investment strategy to fully match the liability. We direct the overall portolio allocaton and use a third-party investment consultant that has the discreton to structure portolios and select the investment managers within those allocaton parameters. Multple investment managers are utlized, including both actve and passive management approaches. The plan assets are invested using the liability-driven investment strategy intended to minimize market and interest rate risks, and those assets are periodically rebalanced toward asset allocaton targets.</w:t>
      </w:r>
    </w:p>
    <w:p>
      <w:pPr>
        <w:spacing w:after="0" w:line="103" w:lineRule="exact"/>
        <w:rPr>
          <w:sz w:val="20"/>
          <w:szCs w:val="20"/>
          <w:color w:val="auto"/>
        </w:rPr>
      </w:pPr>
    </w:p>
    <w:p>
      <w:pPr>
        <w:ind w:firstLine="396"/>
        <w:spacing w:after="0" w:line="230" w:lineRule="auto"/>
        <w:rPr>
          <w:sz w:val="20"/>
          <w:szCs w:val="20"/>
          <w:color w:val="auto"/>
        </w:rPr>
      </w:pPr>
      <w:r>
        <w:rPr>
          <w:rFonts w:ascii="Calibri" w:cs="Calibri" w:eastAsia="Calibri" w:hAnsi="Calibri"/>
          <w:sz w:val="18"/>
          <w:szCs w:val="18"/>
          <w:color w:val="auto"/>
        </w:rPr>
        <w:t>The target asset allocaton for the U.S. qualifed pension plan refects a risk/return profle that we believe is appropriate relatve to the liability structure and return goals for the plan. We periodically review the allocaton of plan assets relatve to alternatve allocaton models to evaluate the need for adjustments based on forecasted liabilites and plan liquidity needs. For both fscal years 2023 and 2022, 100% of the U.S. qualifed pension plan assets were allocated to fxed income, in line with the target allocaton. The fxed income allocaton is primarily directed toward long-term core bond investments, with smaller allocatons to Treasury Infaton-Protected Securites and high-yield bonds.</w:t>
      </w: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9" w:right="339" w:bottom="1440" w:gutter="0" w:footer="0" w:header="0"/>
        </w:sectPr>
      </w:pPr>
    </w:p>
    <w:bookmarkStart w:id="72" w:name="page73"/>
    <w:bookmarkEnd w:id="72"/>
    <w:p>
      <w:pPr>
        <w:spacing w:after="0"/>
        <w:rPr>
          <w:sz w:val="20"/>
          <w:szCs w:val="20"/>
          <w:color w:val="auto"/>
        </w:rPr>
      </w:pPr>
      <w:r>
        <w:rPr>
          <w:rFonts w:ascii="Calibri" w:cs="Calibri" w:eastAsia="Calibri" w:hAnsi="Calibri"/>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400"/>
        <w:spacing w:after="0"/>
        <w:rPr>
          <w:sz w:val="20"/>
          <w:szCs w:val="20"/>
          <w:color w:val="auto"/>
        </w:rPr>
      </w:pPr>
      <w:r>
        <w:rPr>
          <w:rFonts w:ascii="Calibri" w:cs="Calibri" w:eastAsia="Calibri" w:hAnsi="Calibri"/>
          <w:sz w:val="18"/>
          <w:szCs w:val="18"/>
          <w:b w:val="1"/>
          <w:bCs w:val="1"/>
          <w:i w:val="1"/>
          <w:iCs w:val="1"/>
          <w:color w:val="auto"/>
        </w:rPr>
        <w:t>Fair Value Measurement of Plan Assets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9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100" w:type="dxa"/>
            <w:vAlign w:val="bottom"/>
            <w:gridSpan w:val="2"/>
          </w:tcPr>
          <w:p>
            <w:pPr>
              <w:jc w:val="center"/>
              <w:spacing w:after="0"/>
              <w:rPr>
                <w:sz w:val="20"/>
                <w:szCs w:val="20"/>
                <w:color w:val="auto"/>
              </w:rPr>
            </w:pPr>
            <w:r>
              <w:rPr>
                <w:rFonts w:ascii="Calibri" w:cs="Calibri" w:eastAsia="Calibri" w:hAnsi="Calibri"/>
                <w:sz w:val="14"/>
                <w:szCs w:val="14"/>
                <w:b w:val="1"/>
                <w:bCs w:val="1"/>
                <w:color w:val="auto"/>
              </w:rPr>
              <w:t>October 29, 2023</w:t>
            </w: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6940" w:type="dxa"/>
            <w:vAlign w:val="bottom"/>
          </w:tcPr>
          <w:p>
            <w:pPr>
              <w:spacing w:after="0"/>
              <w:rPr>
                <w:sz w:val="3"/>
                <w:szCs w:val="3"/>
                <w:color w:val="auto"/>
              </w:rPr>
            </w:pPr>
          </w:p>
        </w:tc>
        <w:tc>
          <w:tcPr>
            <w:tcW w:w="3460" w:type="dxa"/>
            <w:vAlign w:val="bottom"/>
            <w:tcBorders>
              <w:bottom w:val="single" w:sz="8" w:color="auto"/>
            </w:tcBorders>
            <w:gridSpan w:val="7"/>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1"/>
        </w:trPr>
        <w:tc>
          <w:tcPr>
            <w:tcW w:w="6940" w:type="dxa"/>
            <w:vAlign w:val="bottom"/>
          </w:tcPr>
          <w:p>
            <w:pPr>
              <w:spacing w:after="0"/>
              <w:rPr>
                <w:sz w:val="13"/>
                <w:szCs w:val="13"/>
                <w:color w:val="auto"/>
              </w:rPr>
            </w:pPr>
          </w:p>
        </w:tc>
        <w:tc>
          <w:tcPr>
            <w:tcW w:w="3460" w:type="dxa"/>
            <w:vAlign w:val="bottom"/>
            <w:gridSpan w:val="7"/>
          </w:tcPr>
          <w:p>
            <w:pPr>
              <w:ind w:left="140"/>
              <w:spacing w:after="0" w:line="161" w:lineRule="exact"/>
              <w:rPr>
                <w:sz w:val="20"/>
                <w:szCs w:val="20"/>
                <w:color w:val="auto"/>
              </w:rPr>
            </w:pPr>
            <w:r>
              <w:rPr>
                <w:rFonts w:ascii="Calibri" w:cs="Calibri" w:eastAsia="Calibri" w:hAnsi="Calibri"/>
                <w:sz w:val="14"/>
                <w:szCs w:val="14"/>
                <w:b w:val="1"/>
                <w:bCs w:val="1"/>
                <w:color w:val="auto"/>
              </w:rPr>
              <w:t>Fair Value Measurements at Reportng Date Using</w:t>
            </w: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
        </w:trPr>
        <w:tc>
          <w:tcPr>
            <w:tcW w:w="694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vMerge w:val="restart"/>
          </w:tcPr>
          <w:p>
            <w:pPr>
              <w:jc w:val="right"/>
              <w:ind w:right="314"/>
              <w:spacing w:after="0"/>
              <w:rPr>
                <w:sz w:val="20"/>
                <w:szCs w:val="20"/>
                <w:color w:val="auto"/>
              </w:rPr>
            </w:pPr>
            <w:r>
              <w:rPr>
                <w:rFonts w:ascii="Calibri" w:cs="Calibri" w:eastAsia="Calibri" w:hAnsi="Calibri"/>
                <w:sz w:val="14"/>
                <w:szCs w:val="14"/>
                <w:b w:val="1"/>
                <w:bCs w:val="1"/>
                <w:color w:val="auto"/>
              </w:rPr>
              <w:t>Total</w:t>
            </w:r>
          </w:p>
        </w:tc>
        <w:tc>
          <w:tcPr>
            <w:tcW w:w="0" w:type="dxa"/>
            <w:vAlign w:val="bottom"/>
          </w:tcPr>
          <w:p>
            <w:pPr>
              <w:spacing w:after="0"/>
              <w:rPr>
                <w:sz w:val="1"/>
                <w:szCs w:val="1"/>
                <w:color w:val="auto"/>
              </w:rPr>
            </w:pPr>
          </w:p>
        </w:tc>
      </w:tr>
      <w:tr>
        <w:trPr>
          <w:trHeight w:val="161"/>
        </w:trPr>
        <w:tc>
          <w:tcPr>
            <w:tcW w:w="6940" w:type="dxa"/>
            <w:vAlign w:val="bottom"/>
          </w:tcPr>
          <w:p>
            <w:pPr>
              <w:spacing w:after="0"/>
              <w:rPr>
                <w:sz w:val="13"/>
                <w:szCs w:val="13"/>
                <w:color w:val="auto"/>
              </w:rPr>
            </w:pPr>
          </w:p>
        </w:tc>
        <w:tc>
          <w:tcPr>
            <w:tcW w:w="800" w:type="dxa"/>
            <w:vAlign w:val="bottom"/>
          </w:tcPr>
          <w:p>
            <w:pPr>
              <w:jc w:val="right"/>
              <w:spacing w:after="0" w:line="161" w:lineRule="exact"/>
              <w:rPr>
                <w:sz w:val="20"/>
                <w:szCs w:val="20"/>
                <w:color w:val="auto"/>
              </w:rPr>
            </w:pPr>
            <w:r>
              <w:rPr>
                <w:rFonts w:ascii="Calibri" w:cs="Calibri" w:eastAsia="Calibri" w:hAnsi="Calibri"/>
                <w:sz w:val="14"/>
                <w:szCs w:val="14"/>
                <w:b w:val="1"/>
                <w:bCs w:val="1"/>
                <w:color w:val="auto"/>
              </w:rPr>
              <w:t>Level 1</w:t>
            </w:r>
          </w:p>
        </w:tc>
        <w:tc>
          <w:tcPr>
            <w:tcW w:w="3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tcPr>
          <w:p>
            <w:pPr>
              <w:jc w:val="center"/>
              <w:ind w:right="96"/>
              <w:spacing w:after="0" w:line="161" w:lineRule="exact"/>
              <w:rPr>
                <w:sz w:val="20"/>
                <w:szCs w:val="20"/>
                <w:color w:val="auto"/>
              </w:rPr>
            </w:pPr>
            <w:r>
              <w:rPr>
                <w:rFonts w:ascii="Calibri" w:cs="Calibri" w:eastAsia="Calibri" w:hAnsi="Calibri"/>
                <w:sz w:val="14"/>
                <w:szCs w:val="14"/>
                <w:b w:val="1"/>
                <w:bCs w:val="1"/>
                <w:color w:val="auto"/>
                <w:w w:val="99"/>
              </w:rPr>
              <w:t>Level 2</w:t>
            </w:r>
          </w:p>
        </w:tc>
        <w:tc>
          <w:tcPr>
            <w:tcW w:w="5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30"/>
        </w:trPr>
        <w:tc>
          <w:tcPr>
            <w:tcW w:w="694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5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69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center"/>
              <w:ind w:right="76"/>
              <w:spacing w:after="0"/>
              <w:rPr>
                <w:sz w:val="20"/>
                <w:szCs w:val="20"/>
                <w:color w:val="auto"/>
              </w:rPr>
            </w:pPr>
            <w:r>
              <w:rPr>
                <w:rFonts w:ascii="Calibri" w:cs="Calibri" w:eastAsia="Calibri" w:hAnsi="Calibri"/>
                <w:sz w:val="14"/>
                <w:szCs w:val="14"/>
                <w:b w:val="1"/>
                <w:bCs w:val="1"/>
                <w:color w:val="auto"/>
              </w:rPr>
              <w:t>(In millions)</w:t>
            </w:r>
          </w:p>
        </w:tc>
        <w:tc>
          <w:tcPr>
            <w:tcW w:w="5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940" w:type="dxa"/>
            <w:vAlign w:val="bottom"/>
          </w:tcPr>
          <w:p>
            <w:pPr>
              <w:spacing w:after="0"/>
              <w:rPr>
                <w:sz w:val="3"/>
                <w:szCs w:val="3"/>
                <w:color w:val="auto"/>
              </w:rPr>
            </w:pPr>
          </w:p>
        </w:tc>
        <w:tc>
          <w:tcPr>
            <w:tcW w:w="800" w:type="dxa"/>
            <w:vAlign w:val="bottom"/>
          </w:tcPr>
          <w:p>
            <w:pPr>
              <w:spacing w:after="0"/>
              <w:rPr>
                <w:sz w:val="3"/>
                <w:szCs w:val="3"/>
                <w:color w:val="auto"/>
              </w:rPr>
            </w:pPr>
          </w:p>
        </w:tc>
        <w:tc>
          <w:tcPr>
            <w:tcW w:w="3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5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4"/>
        </w:trPr>
        <w:tc>
          <w:tcPr>
            <w:tcW w:w="6940" w:type="dxa"/>
            <w:vAlign w:val="bottom"/>
            <w:shd w:val="clear" w:color="auto" w:fill="CCEEFF"/>
          </w:tcPr>
          <w:p>
            <w:pPr>
              <w:ind w:left="20"/>
              <w:spacing w:after="0" w:line="210" w:lineRule="exact"/>
              <w:rPr>
                <w:sz w:val="20"/>
                <w:szCs w:val="20"/>
                <w:color w:val="auto"/>
              </w:rPr>
            </w:pPr>
            <w:r>
              <w:rPr>
                <w:rFonts w:ascii="Calibri" w:cs="Calibri" w:eastAsia="Calibri" w:hAnsi="Calibri"/>
                <w:sz w:val="18"/>
                <w:szCs w:val="18"/>
                <w:color w:val="auto"/>
              </w:rPr>
              <w:t>Cash equivalents</w:t>
            </w:r>
          </w:p>
        </w:tc>
        <w:tc>
          <w:tcPr>
            <w:tcW w:w="800" w:type="dxa"/>
            <w:vAlign w:val="bottom"/>
            <w:shd w:val="clear" w:color="auto" w:fill="CCEEFF"/>
          </w:tcPr>
          <w:p>
            <w:pPr>
              <w:jc w:val="right"/>
              <w:ind w:right="621"/>
              <w:spacing w:after="0" w:line="210" w:lineRule="exact"/>
              <w:rPr>
                <w:sz w:val="20"/>
                <w:szCs w:val="20"/>
                <w:color w:val="auto"/>
              </w:rPr>
            </w:pPr>
            <w:r>
              <w:rPr>
                <w:rFonts w:ascii="Calibri" w:cs="Calibri" w:eastAsia="Calibri" w:hAnsi="Calibri"/>
                <w:sz w:val="18"/>
                <w:szCs w:val="18"/>
                <w:color w:val="auto"/>
                <w:w w:val="87"/>
              </w:rPr>
              <w:t>$</w:t>
            </w:r>
          </w:p>
        </w:tc>
        <w:tc>
          <w:tcPr>
            <w:tcW w:w="300" w:type="dxa"/>
            <w:vAlign w:val="bottom"/>
            <w:shd w:val="clear" w:color="auto" w:fill="CCEEFF"/>
          </w:tcPr>
          <w:p>
            <w:pPr>
              <w:jc w:val="right"/>
              <w:spacing w:after="0" w:line="210" w:lineRule="exact"/>
              <w:rPr>
                <w:sz w:val="20"/>
                <w:szCs w:val="20"/>
                <w:color w:val="auto"/>
              </w:rPr>
            </w:pPr>
            <w:r>
              <w:rPr>
                <w:rFonts w:ascii="Calibri" w:cs="Calibri" w:eastAsia="Calibri" w:hAnsi="Calibri"/>
                <w:sz w:val="18"/>
                <w:szCs w:val="18"/>
                <w:color w:val="auto"/>
              </w:rPr>
              <w:t>16</w:t>
            </w:r>
          </w:p>
        </w:tc>
        <w:tc>
          <w:tcPr>
            <w:tcW w:w="500" w:type="dxa"/>
            <w:vAlign w:val="bottom"/>
            <w:shd w:val="clear" w:color="auto" w:fill="CCEEFF"/>
          </w:tcPr>
          <w:p>
            <w:pPr>
              <w:ind w:left="20"/>
              <w:spacing w:after="0"/>
              <w:rPr>
                <w:sz w:val="20"/>
                <w:szCs w:val="20"/>
                <w:color w:val="auto"/>
              </w:rPr>
            </w:pPr>
            <w:r>
              <w:rPr>
                <w:rFonts w:ascii="Calibri" w:cs="Calibri" w:eastAsia="Calibri" w:hAnsi="Calibri"/>
                <w:sz w:val="11"/>
                <w:szCs w:val="11"/>
                <w:color w:val="auto"/>
              </w:rPr>
              <w:t>(a)</w:t>
            </w:r>
          </w:p>
        </w:tc>
        <w:tc>
          <w:tcPr>
            <w:tcW w:w="160" w:type="dxa"/>
            <w:vAlign w:val="bottom"/>
            <w:shd w:val="clear" w:color="auto" w:fill="CCEEFF"/>
          </w:tcPr>
          <w:p>
            <w:pPr>
              <w:jc w:val="right"/>
              <w:spacing w:after="0" w:line="210" w:lineRule="exact"/>
              <w:rPr>
                <w:sz w:val="20"/>
                <w:szCs w:val="20"/>
                <w:color w:val="auto"/>
              </w:rPr>
            </w:pPr>
            <w:r>
              <w:rPr>
                <w:rFonts w:ascii="Calibri" w:cs="Calibri" w:eastAsia="Calibri" w:hAnsi="Calibri"/>
                <w:sz w:val="18"/>
                <w:szCs w:val="18"/>
                <w:color w:val="auto"/>
                <w:w w:val="87"/>
              </w:rPr>
              <w:t>$</w:t>
            </w:r>
          </w:p>
        </w:tc>
        <w:tc>
          <w:tcPr>
            <w:tcW w:w="940" w:type="dxa"/>
            <w:vAlign w:val="bottom"/>
            <w:shd w:val="clear" w:color="auto" w:fill="CCEEFF"/>
          </w:tcPr>
          <w:p>
            <w:pPr>
              <w:jc w:val="right"/>
              <w:spacing w:after="0" w:line="210" w:lineRule="exact"/>
              <w:rPr>
                <w:sz w:val="20"/>
                <w:szCs w:val="20"/>
                <w:color w:val="auto"/>
              </w:rPr>
            </w:pPr>
            <w:r>
              <w:rPr>
                <w:rFonts w:ascii="Calibri" w:cs="Calibri" w:eastAsia="Calibri" w:hAnsi="Calibri"/>
                <w:sz w:val="18"/>
                <w:szCs w:val="18"/>
                <w:color w:val="auto"/>
              </w:rPr>
              <w:t>—</w:t>
            </w:r>
          </w:p>
        </w:tc>
        <w:tc>
          <w:tcPr>
            <w:tcW w:w="760" w:type="dxa"/>
            <w:vAlign w:val="bottom"/>
            <w:gridSpan w:val="2"/>
            <w:shd w:val="clear" w:color="auto" w:fill="CCEEFF"/>
          </w:tcPr>
          <w:p>
            <w:pPr>
              <w:ind w:left="520"/>
              <w:spacing w:after="0" w:line="210" w:lineRule="exact"/>
              <w:rPr>
                <w:sz w:val="20"/>
                <w:szCs w:val="20"/>
                <w:color w:val="auto"/>
              </w:rPr>
            </w:pPr>
            <w:r>
              <w:rPr>
                <w:rFonts w:ascii="Calibri" w:cs="Calibri" w:eastAsia="Calibri" w:hAnsi="Calibri"/>
                <w:sz w:val="18"/>
                <w:szCs w:val="18"/>
                <w:color w:val="auto"/>
              </w:rPr>
              <w:t>$</w:t>
            </w:r>
          </w:p>
        </w:tc>
        <w:tc>
          <w:tcPr>
            <w:tcW w:w="840" w:type="dxa"/>
            <w:vAlign w:val="bottom"/>
            <w:shd w:val="clear" w:color="auto" w:fill="CCEEFF"/>
          </w:tcPr>
          <w:p>
            <w:pPr>
              <w:jc w:val="right"/>
              <w:spacing w:after="0" w:line="210" w:lineRule="exact"/>
              <w:rPr>
                <w:sz w:val="20"/>
                <w:szCs w:val="20"/>
                <w:color w:val="auto"/>
              </w:rPr>
            </w:pPr>
            <w:r>
              <w:rPr>
                <w:rFonts w:ascii="Calibri" w:cs="Calibri" w:eastAsia="Calibri" w:hAnsi="Calibri"/>
                <w:sz w:val="18"/>
                <w:szCs w:val="18"/>
                <w:color w:val="auto"/>
              </w:rPr>
              <w:t>16</w:t>
            </w:r>
          </w:p>
        </w:tc>
        <w:tc>
          <w:tcPr>
            <w:tcW w:w="0" w:type="dxa"/>
            <w:vAlign w:val="bottom"/>
          </w:tcPr>
          <w:p>
            <w:pPr>
              <w:spacing w:after="0"/>
              <w:rPr>
                <w:sz w:val="1"/>
                <w:szCs w:val="1"/>
                <w:color w:val="auto"/>
              </w:rPr>
            </w:pPr>
          </w:p>
        </w:tc>
      </w:tr>
      <w:tr>
        <w:trPr>
          <w:trHeight w:val="217"/>
        </w:trPr>
        <w:tc>
          <w:tcPr>
            <w:tcW w:w="6940" w:type="dxa"/>
            <w:vAlign w:val="bottom"/>
          </w:tcPr>
          <w:p>
            <w:pPr>
              <w:ind w:left="20"/>
              <w:spacing w:after="0" w:line="210" w:lineRule="exact"/>
              <w:rPr>
                <w:sz w:val="20"/>
                <w:szCs w:val="20"/>
                <w:color w:val="auto"/>
              </w:rPr>
            </w:pPr>
            <w:r>
              <w:rPr>
                <w:rFonts w:ascii="Calibri" w:cs="Calibri" w:eastAsia="Calibri" w:hAnsi="Calibri"/>
                <w:sz w:val="18"/>
                <w:szCs w:val="18"/>
                <w:color w:val="auto"/>
              </w:rPr>
              <w:t>Equity securites:</w:t>
            </w: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6940" w:type="dxa"/>
            <w:vAlign w:val="bottom"/>
            <w:shd w:val="clear" w:color="auto" w:fill="CCEEFF"/>
          </w:tcPr>
          <w:p>
            <w:pPr>
              <w:ind w:left="140"/>
              <w:spacing w:after="0" w:line="217" w:lineRule="exact"/>
              <w:rPr>
                <w:sz w:val="20"/>
                <w:szCs w:val="20"/>
                <w:color w:val="auto"/>
              </w:rPr>
            </w:pPr>
            <w:r>
              <w:rPr>
                <w:rFonts w:ascii="Calibri" w:cs="Calibri" w:eastAsia="Calibri" w:hAnsi="Calibri"/>
                <w:sz w:val="18"/>
                <w:szCs w:val="18"/>
                <w:color w:val="auto"/>
              </w:rPr>
              <w:t>Non-U.S. equity securites</w:t>
            </w:r>
          </w:p>
        </w:tc>
        <w:tc>
          <w:tcPr>
            <w:tcW w:w="800" w:type="dxa"/>
            <w:vAlign w:val="bottom"/>
            <w:shd w:val="clear" w:color="auto" w:fill="CCEEFF"/>
          </w:tcPr>
          <w:p>
            <w:pPr>
              <w:spacing w:after="0"/>
              <w:rPr>
                <w:sz w:val="20"/>
                <w:szCs w:val="20"/>
                <w:color w:val="auto"/>
              </w:rPr>
            </w:pPr>
          </w:p>
        </w:tc>
        <w:tc>
          <w:tcPr>
            <w:tcW w:w="300" w:type="dxa"/>
            <w:vAlign w:val="bottom"/>
            <w:shd w:val="clear" w:color="auto" w:fill="CCEEFF"/>
          </w:tcPr>
          <w:p>
            <w:pPr>
              <w:jc w:val="right"/>
              <w:spacing w:after="0" w:line="217" w:lineRule="exact"/>
              <w:rPr>
                <w:sz w:val="20"/>
                <w:szCs w:val="20"/>
                <w:color w:val="auto"/>
              </w:rPr>
            </w:pPr>
            <w:r>
              <w:rPr>
                <w:rFonts w:ascii="Calibri" w:cs="Calibri" w:eastAsia="Calibri" w:hAnsi="Calibri"/>
                <w:sz w:val="18"/>
                <w:szCs w:val="18"/>
                <w:color w:val="auto"/>
              </w:rPr>
              <w:t>62</w:t>
            </w:r>
          </w:p>
        </w:tc>
        <w:tc>
          <w:tcPr>
            <w:tcW w:w="500" w:type="dxa"/>
            <w:vAlign w:val="bottom"/>
            <w:shd w:val="clear" w:color="auto" w:fill="CCEEFF"/>
          </w:tcPr>
          <w:p>
            <w:pPr>
              <w:ind w:left="20"/>
              <w:spacing w:after="0"/>
              <w:rPr>
                <w:sz w:val="20"/>
                <w:szCs w:val="20"/>
                <w:color w:val="auto"/>
              </w:rPr>
            </w:pPr>
            <w:r>
              <w:rPr>
                <w:rFonts w:ascii="Calibri" w:cs="Calibri" w:eastAsia="Calibri" w:hAnsi="Calibri"/>
                <w:sz w:val="11"/>
                <w:szCs w:val="11"/>
                <w:color w:val="auto"/>
              </w:rPr>
              <w:t>(b)</w:t>
            </w:r>
          </w:p>
        </w:tc>
        <w:tc>
          <w:tcPr>
            <w:tcW w:w="16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line="217" w:lineRule="exact"/>
              <w:rPr>
                <w:sz w:val="20"/>
                <w:szCs w:val="20"/>
                <w:color w:val="auto"/>
              </w:rPr>
            </w:pPr>
            <w:r>
              <w:rPr>
                <w:rFonts w:ascii="Calibri" w:cs="Calibri" w:eastAsia="Calibri" w:hAnsi="Calibri"/>
                <w:sz w:val="18"/>
                <w:szCs w:val="18"/>
                <w:color w:val="auto"/>
              </w:rPr>
              <w:t>—</w:t>
            </w:r>
          </w:p>
        </w:tc>
        <w:tc>
          <w:tcPr>
            <w:tcW w:w="5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line="217" w:lineRule="exact"/>
              <w:rPr>
                <w:sz w:val="20"/>
                <w:szCs w:val="20"/>
                <w:color w:val="auto"/>
              </w:rPr>
            </w:pPr>
            <w:r>
              <w:rPr>
                <w:rFonts w:ascii="Calibri" w:cs="Calibri" w:eastAsia="Calibri" w:hAnsi="Calibri"/>
                <w:sz w:val="18"/>
                <w:szCs w:val="18"/>
                <w:color w:val="auto"/>
              </w:rPr>
              <w:t>62</w:t>
            </w:r>
          </w:p>
        </w:tc>
        <w:tc>
          <w:tcPr>
            <w:tcW w:w="0" w:type="dxa"/>
            <w:vAlign w:val="bottom"/>
          </w:tcPr>
          <w:p>
            <w:pPr>
              <w:spacing w:after="0"/>
              <w:rPr>
                <w:sz w:val="1"/>
                <w:szCs w:val="1"/>
                <w:color w:val="auto"/>
              </w:rPr>
            </w:pPr>
          </w:p>
        </w:tc>
      </w:tr>
      <w:tr>
        <w:trPr>
          <w:trHeight w:val="217"/>
        </w:trPr>
        <w:tc>
          <w:tcPr>
            <w:tcW w:w="6940" w:type="dxa"/>
            <w:vAlign w:val="bottom"/>
          </w:tcPr>
          <w:p>
            <w:pPr>
              <w:ind w:left="20"/>
              <w:spacing w:after="0" w:line="210" w:lineRule="exact"/>
              <w:rPr>
                <w:sz w:val="20"/>
                <w:szCs w:val="20"/>
                <w:color w:val="auto"/>
              </w:rPr>
            </w:pPr>
            <w:r>
              <w:rPr>
                <w:rFonts w:ascii="Calibri" w:cs="Calibri" w:eastAsia="Calibri" w:hAnsi="Calibri"/>
                <w:sz w:val="18"/>
                <w:szCs w:val="18"/>
                <w:color w:val="auto"/>
              </w:rPr>
              <w:t>Fixed-income securites:</w:t>
            </w: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6940" w:type="dxa"/>
            <w:vAlign w:val="bottom"/>
            <w:shd w:val="clear" w:color="auto" w:fill="CCEEFF"/>
          </w:tcPr>
          <w:p>
            <w:pPr>
              <w:ind w:left="140"/>
              <w:spacing w:after="0" w:line="217" w:lineRule="exact"/>
              <w:rPr>
                <w:sz w:val="20"/>
                <w:szCs w:val="20"/>
                <w:color w:val="auto"/>
              </w:rPr>
            </w:pPr>
            <w:r>
              <w:rPr>
                <w:rFonts w:ascii="Calibri" w:cs="Calibri" w:eastAsia="Calibri" w:hAnsi="Calibri"/>
                <w:sz w:val="18"/>
                <w:szCs w:val="18"/>
                <w:color w:val="auto"/>
              </w:rPr>
              <w:t>U.S. treasuries</w:t>
            </w:r>
          </w:p>
        </w:tc>
        <w:tc>
          <w:tcPr>
            <w:tcW w:w="800" w:type="dxa"/>
            <w:vAlign w:val="bottom"/>
            <w:shd w:val="clear" w:color="auto" w:fill="CCEEFF"/>
          </w:tcPr>
          <w:p>
            <w:pPr>
              <w:spacing w:after="0"/>
              <w:rPr>
                <w:sz w:val="20"/>
                <w:szCs w:val="20"/>
                <w:color w:val="auto"/>
              </w:rPr>
            </w:pPr>
          </w:p>
        </w:tc>
        <w:tc>
          <w:tcPr>
            <w:tcW w:w="300" w:type="dxa"/>
            <w:vAlign w:val="bottom"/>
            <w:shd w:val="clear" w:color="auto" w:fill="CCEEFF"/>
          </w:tcPr>
          <w:p>
            <w:pPr>
              <w:jc w:val="right"/>
              <w:spacing w:after="0" w:line="217" w:lineRule="exact"/>
              <w:rPr>
                <w:sz w:val="20"/>
                <w:szCs w:val="20"/>
                <w:color w:val="auto"/>
              </w:rPr>
            </w:pPr>
            <w:r>
              <w:rPr>
                <w:rFonts w:ascii="Calibri" w:cs="Calibri" w:eastAsia="Calibri" w:hAnsi="Calibri"/>
                <w:sz w:val="18"/>
                <w:szCs w:val="18"/>
                <w:color w:val="auto"/>
              </w:rPr>
              <w:t>—</w:t>
            </w:r>
          </w:p>
        </w:tc>
        <w:tc>
          <w:tcPr>
            <w:tcW w:w="5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line="217" w:lineRule="exact"/>
              <w:rPr>
                <w:sz w:val="20"/>
                <w:szCs w:val="20"/>
                <w:color w:val="auto"/>
              </w:rPr>
            </w:pPr>
            <w:r>
              <w:rPr>
                <w:rFonts w:ascii="Calibri" w:cs="Calibri" w:eastAsia="Calibri" w:hAnsi="Calibri"/>
                <w:sz w:val="18"/>
                <w:szCs w:val="18"/>
                <w:color w:val="auto"/>
              </w:rPr>
              <w:t>144</w:t>
            </w:r>
          </w:p>
        </w:tc>
        <w:tc>
          <w:tcPr>
            <w:tcW w:w="760" w:type="dxa"/>
            <w:vAlign w:val="bottom"/>
            <w:gridSpan w:val="2"/>
            <w:shd w:val="clear" w:color="auto" w:fill="CCEEFF"/>
          </w:tcPr>
          <w:p>
            <w:pPr>
              <w:spacing w:after="0"/>
              <w:rPr>
                <w:sz w:val="20"/>
                <w:szCs w:val="20"/>
                <w:color w:val="auto"/>
              </w:rPr>
            </w:pPr>
            <w:r>
              <w:rPr>
                <w:rFonts w:ascii="Calibri" w:cs="Calibri" w:eastAsia="Calibri" w:hAnsi="Calibri"/>
                <w:sz w:val="11"/>
                <w:szCs w:val="11"/>
                <w:color w:val="auto"/>
              </w:rPr>
              <w:t>(c)</w:t>
            </w:r>
          </w:p>
        </w:tc>
        <w:tc>
          <w:tcPr>
            <w:tcW w:w="840" w:type="dxa"/>
            <w:vAlign w:val="bottom"/>
            <w:shd w:val="clear" w:color="auto" w:fill="CCEEFF"/>
          </w:tcPr>
          <w:p>
            <w:pPr>
              <w:jc w:val="right"/>
              <w:spacing w:after="0" w:line="217" w:lineRule="exact"/>
              <w:rPr>
                <w:sz w:val="20"/>
                <w:szCs w:val="20"/>
                <w:color w:val="auto"/>
              </w:rPr>
            </w:pPr>
            <w:r>
              <w:rPr>
                <w:rFonts w:ascii="Calibri" w:cs="Calibri" w:eastAsia="Calibri" w:hAnsi="Calibri"/>
                <w:sz w:val="18"/>
                <w:szCs w:val="18"/>
                <w:color w:val="auto"/>
              </w:rPr>
              <w:t>144</w:t>
            </w:r>
          </w:p>
        </w:tc>
        <w:tc>
          <w:tcPr>
            <w:tcW w:w="0" w:type="dxa"/>
            <w:vAlign w:val="bottom"/>
          </w:tcPr>
          <w:p>
            <w:pPr>
              <w:spacing w:after="0"/>
              <w:rPr>
                <w:sz w:val="1"/>
                <w:szCs w:val="1"/>
                <w:color w:val="auto"/>
              </w:rPr>
            </w:pPr>
          </w:p>
        </w:tc>
      </w:tr>
      <w:tr>
        <w:trPr>
          <w:trHeight w:val="217"/>
        </w:trPr>
        <w:tc>
          <w:tcPr>
            <w:tcW w:w="6940" w:type="dxa"/>
            <w:vAlign w:val="bottom"/>
          </w:tcPr>
          <w:p>
            <w:pPr>
              <w:ind w:left="140"/>
              <w:spacing w:after="0" w:line="210" w:lineRule="exact"/>
              <w:rPr>
                <w:sz w:val="20"/>
                <w:szCs w:val="20"/>
                <w:color w:val="auto"/>
              </w:rPr>
            </w:pPr>
            <w:r>
              <w:rPr>
                <w:rFonts w:ascii="Calibri" w:cs="Calibri" w:eastAsia="Calibri" w:hAnsi="Calibri"/>
                <w:sz w:val="18"/>
                <w:szCs w:val="18"/>
                <w:color w:val="auto"/>
              </w:rPr>
              <w:t>Corporate bonds</w:t>
            </w:r>
          </w:p>
        </w:tc>
        <w:tc>
          <w:tcPr>
            <w:tcW w:w="800" w:type="dxa"/>
            <w:vAlign w:val="bottom"/>
          </w:tcPr>
          <w:p>
            <w:pPr>
              <w:spacing w:after="0"/>
              <w:rPr>
                <w:sz w:val="18"/>
                <w:szCs w:val="18"/>
                <w:color w:val="auto"/>
              </w:rPr>
            </w:pPr>
          </w:p>
        </w:tc>
        <w:tc>
          <w:tcPr>
            <w:tcW w:w="300" w:type="dxa"/>
            <w:vAlign w:val="bottom"/>
          </w:tcPr>
          <w:p>
            <w:pPr>
              <w:jc w:val="right"/>
              <w:spacing w:after="0" w:line="210" w:lineRule="exact"/>
              <w:rPr>
                <w:sz w:val="20"/>
                <w:szCs w:val="20"/>
                <w:color w:val="auto"/>
              </w:rPr>
            </w:pPr>
            <w:r>
              <w:rPr>
                <w:rFonts w:ascii="Calibri" w:cs="Calibri" w:eastAsia="Calibri" w:hAnsi="Calibri"/>
                <w:sz w:val="18"/>
                <w:szCs w:val="18"/>
                <w:color w:val="auto"/>
              </w:rPr>
              <w:t>—</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line="210" w:lineRule="exact"/>
              <w:rPr>
                <w:sz w:val="20"/>
                <w:szCs w:val="20"/>
                <w:color w:val="auto"/>
              </w:rPr>
            </w:pPr>
            <w:r>
              <w:rPr>
                <w:rFonts w:ascii="Calibri" w:cs="Calibri" w:eastAsia="Calibri" w:hAnsi="Calibri"/>
                <w:sz w:val="18"/>
                <w:szCs w:val="18"/>
                <w:color w:val="auto"/>
              </w:rPr>
              <w:t>837</w:t>
            </w:r>
          </w:p>
        </w:tc>
        <w:tc>
          <w:tcPr>
            <w:tcW w:w="760" w:type="dxa"/>
            <w:vAlign w:val="bottom"/>
            <w:gridSpan w:val="2"/>
          </w:tcPr>
          <w:p>
            <w:pPr>
              <w:spacing w:after="0"/>
              <w:rPr>
                <w:sz w:val="20"/>
                <w:szCs w:val="20"/>
                <w:color w:val="auto"/>
              </w:rPr>
            </w:pPr>
            <w:r>
              <w:rPr>
                <w:rFonts w:ascii="Calibri" w:cs="Calibri" w:eastAsia="Calibri" w:hAnsi="Calibri"/>
                <w:sz w:val="11"/>
                <w:szCs w:val="11"/>
                <w:color w:val="auto"/>
              </w:rPr>
              <w:t>(c)</w:t>
            </w:r>
          </w:p>
        </w:tc>
        <w:tc>
          <w:tcPr>
            <w:tcW w:w="840" w:type="dxa"/>
            <w:vAlign w:val="bottom"/>
          </w:tcPr>
          <w:p>
            <w:pPr>
              <w:jc w:val="right"/>
              <w:spacing w:after="0" w:line="210" w:lineRule="exact"/>
              <w:rPr>
                <w:sz w:val="20"/>
                <w:szCs w:val="20"/>
                <w:color w:val="auto"/>
              </w:rPr>
            </w:pPr>
            <w:r>
              <w:rPr>
                <w:rFonts w:ascii="Calibri" w:cs="Calibri" w:eastAsia="Calibri" w:hAnsi="Calibri"/>
                <w:sz w:val="18"/>
                <w:szCs w:val="18"/>
                <w:color w:val="auto"/>
              </w:rPr>
              <w:t>837</w:t>
            </w:r>
          </w:p>
        </w:tc>
        <w:tc>
          <w:tcPr>
            <w:tcW w:w="0" w:type="dxa"/>
            <w:vAlign w:val="bottom"/>
          </w:tcPr>
          <w:p>
            <w:pPr>
              <w:spacing w:after="0"/>
              <w:rPr>
                <w:sz w:val="1"/>
                <w:szCs w:val="1"/>
                <w:color w:val="auto"/>
              </w:rPr>
            </w:pPr>
          </w:p>
        </w:tc>
      </w:tr>
      <w:tr>
        <w:trPr>
          <w:trHeight w:val="232"/>
        </w:trPr>
        <w:tc>
          <w:tcPr>
            <w:tcW w:w="6940" w:type="dxa"/>
            <w:vAlign w:val="bottom"/>
            <w:shd w:val="clear" w:color="auto" w:fill="CCEEFF"/>
          </w:tcPr>
          <w:p>
            <w:pPr>
              <w:ind w:left="140"/>
              <w:spacing w:after="0" w:line="217" w:lineRule="exact"/>
              <w:rPr>
                <w:sz w:val="20"/>
                <w:szCs w:val="20"/>
                <w:color w:val="auto"/>
              </w:rPr>
            </w:pPr>
            <w:r>
              <w:rPr>
                <w:rFonts w:ascii="Calibri" w:cs="Calibri" w:eastAsia="Calibri" w:hAnsi="Calibri"/>
                <w:sz w:val="18"/>
                <w:szCs w:val="18"/>
                <w:color w:val="auto"/>
              </w:rPr>
              <w:t>Municipal bonds</w:t>
            </w:r>
          </w:p>
        </w:tc>
        <w:tc>
          <w:tcPr>
            <w:tcW w:w="800" w:type="dxa"/>
            <w:vAlign w:val="bottom"/>
            <w:shd w:val="clear" w:color="auto" w:fill="CCEEFF"/>
          </w:tcPr>
          <w:p>
            <w:pPr>
              <w:spacing w:after="0"/>
              <w:rPr>
                <w:sz w:val="20"/>
                <w:szCs w:val="20"/>
                <w:color w:val="auto"/>
              </w:rPr>
            </w:pPr>
          </w:p>
        </w:tc>
        <w:tc>
          <w:tcPr>
            <w:tcW w:w="300" w:type="dxa"/>
            <w:vAlign w:val="bottom"/>
            <w:shd w:val="clear" w:color="auto" w:fill="CCEEFF"/>
          </w:tcPr>
          <w:p>
            <w:pPr>
              <w:jc w:val="right"/>
              <w:spacing w:after="0" w:line="217" w:lineRule="exact"/>
              <w:rPr>
                <w:sz w:val="20"/>
                <w:szCs w:val="20"/>
                <w:color w:val="auto"/>
              </w:rPr>
            </w:pPr>
            <w:r>
              <w:rPr>
                <w:rFonts w:ascii="Calibri" w:cs="Calibri" w:eastAsia="Calibri" w:hAnsi="Calibri"/>
                <w:sz w:val="18"/>
                <w:szCs w:val="18"/>
                <w:color w:val="auto"/>
              </w:rPr>
              <w:t>—</w:t>
            </w:r>
          </w:p>
        </w:tc>
        <w:tc>
          <w:tcPr>
            <w:tcW w:w="5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line="217" w:lineRule="exact"/>
              <w:rPr>
                <w:sz w:val="20"/>
                <w:szCs w:val="20"/>
                <w:color w:val="auto"/>
              </w:rPr>
            </w:pPr>
            <w:r>
              <w:rPr>
                <w:rFonts w:ascii="Calibri" w:cs="Calibri" w:eastAsia="Calibri" w:hAnsi="Calibri"/>
                <w:sz w:val="18"/>
                <w:szCs w:val="18"/>
                <w:color w:val="auto"/>
              </w:rPr>
              <w:t>23</w:t>
            </w:r>
          </w:p>
        </w:tc>
        <w:tc>
          <w:tcPr>
            <w:tcW w:w="760" w:type="dxa"/>
            <w:vAlign w:val="bottom"/>
            <w:gridSpan w:val="2"/>
            <w:shd w:val="clear" w:color="auto" w:fill="CCEEFF"/>
          </w:tcPr>
          <w:p>
            <w:pPr>
              <w:spacing w:after="0"/>
              <w:rPr>
                <w:sz w:val="20"/>
                <w:szCs w:val="20"/>
                <w:color w:val="auto"/>
              </w:rPr>
            </w:pPr>
            <w:r>
              <w:rPr>
                <w:rFonts w:ascii="Calibri" w:cs="Calibri" w:eastAsia="Calibri" w:hAnsi="Calibri"/>
                <w:sz w:val="11"/>
                <w:szCs w:val="11"/>
                <w:color w:val="auto"/>
              </w:rPr>
              <w:t>(c)</w:t>
            </w:r>
          </w:p>
        </w:tc>
        <w:tc>
          <w:tcPr>
            <w:tcW w:w="840" w:type="dxa"/>
            <w:vAlign w:val="bottom"/>
            <w:shd w:val="clear" w:color="auto" w:fill="CCEEFF"/>
          </w:tcPr>
          <w:p>
            <w:pPr>
              <w:jc w:val="right"/>
              <w:spacing w:after="0" w:line="217" w:lineRule="exact"/>
              <w:rPr>
                <w:sz w:val="20"/>
                <w:szCs w:val="20"/>
                <w:color w:val="auto"/>
              </w:rPr>
            </w:pPr>
            <w:r>
              <w:rPr>
                <w:rFonts w:ascii="Calibri" w:cs="Calibri" w:eastAsia="Calibri" w:hAnsi="Calibri"/>
                <w:sz w:val="18"/>
                <w:szCs w:val="18"/>
                <w:color w:val="auto"/>
              </w:rPr>
              <w:t>23</w:t>
            </w:r>
          </w:p>
        </w:tc>
        <w:tc>
          <w:tcPr>
            <w:tcW w:w="0" w:type="dxa"/>
            <w:vAlign w:val="bottom"/>
          </w:tcPr>
          <w:p>
            <w:pPr>
              <w:spacing w:after="0"/>
              <w:rPr>
                <w:sz w:val="1"/>
                <w:szCs w:val="1"/>
                <w:color w:val="auto"/>
              </w:rPr>
            </w:pPr>
          </w:p>
        </w:tc>
      </w:tr>
      <w:tr>
        <w:trPr>
          <w:trHeight w:val="217"/>
        </w:trPr>
        <w:tc>
          <w:tcPr>
            <w:tcW w:w="6940" w:type="dxa"/>
            <w:vAlign w:val="bottom"/>
          </w:tcPr>
          <w:p>
            <w:pPr>
              <w:ind w:left="140"/>
              <w:spacing w:after="0" w:line="210" w:lineRule="exact"/>
              <w:rPr>
                <w:sz w:val="20"/>
                <w:szCs w:val="20"/>
                <w:color w:val="auto"/>
              </w:rPr>
            </w:pPr>
            <w:r>
              <w:rPr>
                <w:rFonts w:ascii="Calibri" w:cs="Calibri" w:eastAsia="Calibri" w:hAnsi="Calibri"/>
                <w:sz w:val="18"/>
                <w:szCs w:val="18"/>
                <w:color w:val="auto"/>
              </w:rPr>
              <w:t>Government bonds</w:t>
            </w:r>
          </w:p>
        </w:tc>
        <w:tc>
          <w:tcPr>
            <w:tcW w:w="800" w:type="dxa"/>
            <w:vAlign w:val="bottom"/>
          </w:tcPr>
          <w:p>
            <w:pPr>
              <w:spacing w:after="0"/>
              <w:rPr>
                <w:sz w:val="18"/>
                <w:szCs w:val="18"/>
                <w:color w:val="auto"/>
              </w:rPr>
            </w:pPr>
          </w:p>
        </w:tc>
        <w:tc>
          <w:tcPr>
            <w:tcW w:w="300" w:type="dxa"/>
            <w:vAlign w:val="bottom"/>
          </w:tcPr>
          <w:p>
            <w:pPr>
              <w:jc w:val="right"/>
              <w:spacing w:after="0" w:line="210" w:lineRule="exact"/>
              <w:rPr>
                <w:sz w:val="20"/>
                <w:szCs w:val="20"/>
                <w:color w:val="auto"/>
              </w:rPr>
            </w:pPr>
            <w:r>
              <w:rPr>
                <w:rFonts w:ascii="Calibri" w:cs="Calibri" w:eastAsia="Calibri" w:hAnsi="Calibri"/>
                <w:sz w:val="18"/>
                <w:szCs w:val="18"/>
                <w:color w:val="auto"/>
              </w:rPr>
              <w:t>—</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line="210" w:lineRule="exact"/>
              <w:rPr>
                <w:sz w:val="20"/>
                <w:szCs w:val="20"/>
                <w:color w:val="auto"/>
              </w:rPr>
            </w:pPr>
            <w:r>
              <w:rPr>
                <w:rFonts w:ascii="Calibri" w:cs="Calibri" w:eastAsia="Calibri" w:hAnsi="Calibri"/>
                <w:sz w:val="18"/>
                <w:szCs w:val="18"/>
                <w:color w:val="auto"/>
              </w:rPr>
              <w:t>21</w:t>
            </w:r>
          </w:p>
        </w:tc>
        <w:tc>
          <w:tcPr>
            <w:tcW w:w="760" w:type="dxa"/>
            <w:vAlign w:val="bottom"/>
            <w:gridSpan w:val="2"/>
          </w:tcPr>
          <w:p>
            <w:pPr>
              <w:spacing w:after="0"/>
              <w:rPr>
                <w:sz w:val="20"/>
                <w:szCs w:val="20"/>
                <w:color w:val="auto"/>
              </w:rPr>
            </w:pPr>
            <w:r>
              <w:rPr>
                <w:rFonts w:ascii="Calibri" w:cs="Calibri" w:eastAsia="Calibri" w:hAnsi="Calibri"/>
                <w:sz w:val="11"/>
                <w:szCs w:val="11"/>
                <w:color w:val="auto"/>
              </w:rPr>
              <w:t>(c)</w:t>
            </w:r>
          </w:p>
        </w:tc>
        <w:tc>
          <w:tcPr>
            <w:tcW w:w="840" w:type="dxa"/>
            <w:vAlign w:val="bottom"/>
          </w:tcPr>
          <w:p>
            <w:pPr>
              <w:jc w:val="right"/>
              <w:spacing w:after="0" w:line="210" w:lineRule="exact"/>
              <w:rPr>
                <w:sz w:val="20"/>
                <w:szCs w:val="20"/>
                <w:color w:val="auto"/>
              </w:rPr>
            </w:pPr>
            <w:r>
              <w:rPr>
                <w:rFonts w:ascii="Calibri" w:cs="Calibri" w:eastAsia="Calibri" w:hAnsi="Calibri"/>
                <w:sz w:val="18"/>
                <w:szCs w:val="18"/>
                <w:color w:val="auto"/>
              </w:rPr>
              <w:t>21</w:t>
            </w:r>
          </w:p>
        </w:tc>
        <w:tc>
          <w:tcPr>
            <w:tcW w:w="0" w:type="dxa"/>
            <w:vAlign w:val="bottom"/>
          </w:tcPr>
          <w:p>
            <w:pPr>
              <w:spacing w:after="0"/>
              <w:rPr>
                <w:sz w:val="1"/>
                <w:szCs w:val="1"/>
                <w:color w:val="auto"/>
              </w:rPr>
            </w:pPr>
          </w:p>
        </w:tc>
      </w:tr>
      <w:tr>
        <w:trPr>
          <w:trHeight w:val="232"/>
        </w:trPr>
        <w:tc>
          <w:tcPr>
            <w:tcW w:w="6940" w:type="dxa"/>
            <w:vAlign w:val="bottom"/>
            <w:shd w:val="clear" w:color="auto" w:fill="CCEEFF"/>
          </w:tcPr>
          <w:p>
            <w:pPr>
              <w:ind w:left="140"/>
              <w:spacing w:after="0" w:line="217" w:lineRule="exact"/>
              <w:rPr>
                <w:sz w:val="20"/>
                <w:szCs w:val="20"/>
                <w:color w:val="auto"/>
              </w:rPr>
            </w:pPr>
            <w:r>
              <w:rPr>
                <w:rFonts w:ascii="Calibri" w:cs="Calibri" w:eastAsia="Calibri" w:hAnsi="Calibri"/>
                <w:sz w:val="18"/>
                <w:szCs w:val="18"/>
                <w:color w:val="auto"/>
              </w:rPr>
              <w:t>Asset-backed securites</w:t>
            </w:r>
          </w:p>
        </w:tc>
        <w:tc>
          <w:tcPr>
            <w:tcW w:w="800" w:type="dxa"/>
            <w:vAlign w:val="bottom"/>
            <w:shd w:val="clear" w:color="auto" w:fill="CCEEFF"/>
          </w:tcPr>
          <w:p>
            <w:pPr>
              <w:spacing w:after="0"/>
              <w:rPr>
                <w:sz w:val="20"/>
                <w:szCs w:val="20"/>
                <w:color w:val="auto"/>
              </w:rPr>
            </w:pPr>
          </w:p>
        </w:tc>
        <w:tc>
          <w:tcPr>
            <w:tcW w:w="300" w:type="dxa"/>
            <w:vAlign w:val="bottom"/>
            <w:shd w:val="clear" w:color="auto" w:fill="CCEEFF"/>
          </w:tcPr>
          <w:p>
            <w:pPr>
              <w:jc w:val="right"/>
              <w:spacing w:after="0" w:line="217" w:lineRule="exact"/>
              <w:rPr>
                <w:sz w:val="20"/>
                <w:szCs w:val="20"/>
                <w:color w:val="auto"/>
              </w:rPr>
            </w:pPr>
            <w:r>
              <w:rPr>
                <w:rFonts w:ascii="Calibri" w:cs="Calibri" w:eastAsia="Calibri" w:hAnsi="Calibri"/>
                <w:sz w:val="18"/>
                <w:szCs w:val="18"/>
                <w:color w:val="auto"/>
              </w:rPr>
              <w:t>—</w:t>
            </w:r>
          </w:p>
        </w:tc>
        <w:tc>
          <w:tcPr>
            <w:tcW w:w="5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line="217" w:lineRule="exact"/>
              <w:rPr>
                <w:sz w:val="20"/>
                <w:szCs w:val="20"/>
                <w:color w:val="auto"/>
              </w:rPr>
            </w:pPr>
            <w:r>
              <w:rPr>
                <w:rFonts w:ascii="Calibri" w:cs="Calibri" w:eastAsia="Calibri" w:hAnsi="Calibri"/>
                <w:sz w:val="18"/>
                <w:szCs w:val="18"/>
                <w:color w:val="auto"/>
              </w:rPr>
              <w:t>2</w:t>
            </w:r>
          </w:p>
        </w:tc>
        <w:tc>
          <w:tcPr>
            <w:tcW w:w="760" w:type="dxa"/>
            <w:vAlign w:val="bottom"/>
            <w:gridSpan w:val="2"/>
            <w:shd w:val="clear" w:color="auto" w:fill="CCEEFF"/>
          </w:tcPr>
          <w:p>
            <w:pPr>
              <w:spacing w:after="0"/>
              <w:rPr>
                <w:sz w:val="20"/>
                <w:szCs w:val="20"/>
                <w:color w:val="auto"/>
              </w:rPr>
            </w:pPr>
            <w:r>
              <w:rPr>
                <w:rFonts w:ascii="Calibri" w:cs="Calibri" w:eastAsia="Calibri" w:hAnsi="Calibri"/>
                <w:sz w:val="11"/>
                <w:szCs w:val="11"/>
                <w:color w:val="auto"/>
              </w:rPr>
              <w:t>(c)</w:t>
            </w:r>
          </w:p>
        </w:tc>
        <w:tc>
          <w:tcPr>
            <w:tcW w:w="840" w:type="dxa"/>
            <w:vAlign w:val="bottom"/>
            <w:shd w:val="clear" w:color="auto" w:fill="CCEEFF"/>
          </w:tcPr>
          <w:p>
            <w:pPr>
              <w:jc w:val="right"/>
              <w:spacing w:after="0" w:line="217" w:lineRule="exact"/>
              <w:rPr>
                <w:sz w:val="20"/>
                <w:szCs w:val="20"/>
                <w:color w:val="auto"/>
              </w:rPr>
            </w:pPr>
            <w:r>
              <w:rPr>
                <w:rFonts w:ascii="Calibri" w:cs="Calibri" w:eastAsia="Calibri" w:hAnsi="Calibri"/>
                <w:sz w:val="18"/>
                <w:szCs w:val="18"/>
                <w:color w:val="auto"/>
              </w:rPr>
              <w:t>2</w:t>
            </w:r>
          </w:p>
        </w:tc>
        <w:tc>
          <w:tcPr>
            <w:tcW w:w="0" w:type="dxa"/>
            <w:vAlign w:val="bottom"/>
          </w:tcPr>
          <w:p>
            <w:pPr>
              <w:spacing w:after="0"/>
              <w:rPr>
                <w:sz w:val="1"/>
                <w:szCs w:val="1"/>
                <w:color w:val="auto"/>
              </w:rPr>
            </w:pPr>
          </w:p>
        </w:tc>
      </w:tr>
      <w:tr>
        <w:trPr>
          <w:trHeight w:val="218"/>
        </w:trPr>
        <w:tc>
          <w:tcPr>
            <w:tcW w:w="6940" w:type="dxa"/>
            <w:vAlign w:val="bottom"/>
          </w:tcPr>
          <w:p>
            <w:pPr>
              <w:ind w:left="60"/>
              <w:spacing w:after="0" w:line="217" w:lineRule="exact"/>
              <w:rPr>
                <w:sz w:val="20"/>
                <w:szCs w:val="20"/>
                <w:color w:val="auto"/>
              </w:rPr>
            </w:pPr>
            <w:r>
              <w:rPr>
                <w:rFonts w:ascii="Calibri" w:cs="Calibri" w:eastAsia="Calibri" w:hAnsi="Calibri"/>
                <w:sz w:val="18"/>
                <w:szCs w:val="18"/>
                <w:color w:val="auto"/>
              </w:rPr>
              <w:t>Total plan assets</w:t>
            </w:r>
          </w:p>
        </w:tc>
        <w:tc>
          <w:tcPr>
            <w:tcW w:w="800" w:type="dxa"/>
            <w:vAlign w:val="bottom"/>
            <w:tcBorders>
              <w:top w:val="single" w:sz="8" w:color="auto"/>
              <w:bottom w:val="single" w:sz="8" w:color="auto"/>
            </w:tcBorders>
          </w:tcPr>
          <w:p>
            <w:pPr>
              <w:jc w:val="right"/>
              <w:ind w:right="621"/>
              <w:spacing w:after="0" w:line="210" w:lineRule="exact"/>
              <w:rPr>
                <w:sz w:val="20"/>
                <w:szCs w:val="20"/>
                <w:color w:val="auto"/>
              </w:rPr>
            </w:pPr>
            <w:r>
              <w:rPr>
                <w:rFonts w:ascii="Calibri" w:cs="Calibri" w:eastAsia="Calibri" w:hAnsi="Calibri"/>
                <w:sz w:val="18"/>
                <w:szCs w:val="18"/>
                <w:color w:val="auto"/>
                <w:w w:val="87"/>
              </w:rPr>
              <w:t>$</w:t>
            </w:r>
          </w:p>
        </w:tc>
        <w:tc>
          <w:tcPr>
            <w:tcW w:w="300" w:type="dxa"/>
            <w:vAlign w:val="bottom"/>
            <w:tcBorders>
              <w:top w:val="single" w:sz="8" w:color="auto"/>
              <w:bottom w:val="single" w:sz="8" w:color="auto"/>
            </w:tcBorders>
          </w:tcPr>
          <w:p>
            <w:pPr>
              <w:jc w:val="right"/>
              <w:spacing w:after="0" w:line="210" w:lineRule="exact"/>
              <w:rPr>
                <w:sz w:val="20"/>
                <w:szCs w:val="20"/>
                <w:color w:val="auto"/>
              </w:rPr>
            </w:pPr>
            <w:r>
              <w:rPr>
                <w:rFonts w:ascii="Calibri" w:cs="Calibri" w:eastAsia="Calibri" w:hAnsi="Calibri"/>
                <w:sz w:val="18"/>
                <w:szCs w:val="18"/>
                <w:color w:val="auto"/>
              </w:rPr>
              <w:t>78</w:t>
            </w:r>
          </w:p>
        </w:tc>
        <w:tc>
          <w:tcPr>
            <w:tcW w:w="5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line="210" w:lineRule="exact"/>
              <w:rPr>
                <w:sz w:val="20"/>
                <w:szCs w:val="20"/>
                <w:color w:val="auto"/>
              </w:rPr>
            </w:pPr>
            <w:r>
              <w:rPr>
                <w:rFonts w:ascii="Calibri" w:cs="Calibri" w:eastAsia="Calibri" w:hAnsi="Calibri"/>
                <w:sz w:val="18"/>
                <w:szCs w:val="18"/>
                <w:color w:val="auto"/>
                <w:w w:val="87"/>
              </w:rPr>
              <w:t>$</w:t>
            </w:r>
          </w:p>
        </w:tc>
        <w:tc>
          <w:tcPr>
            <w:tcW w:w="940" w:type="dxa"/>
            <w:vAlign w:val="bottom"/>
            <w:tcBorders>
              <w:top w:val="single" w:sz="8" w:color="auto"/>
              <w:bottom w:val="single" w:sz="8" w:color="auto"/>
            </w:tcBorders>
          </w:tcPr>
          <w:p>
            <w:pPr>
              <w:jc w:val="right"/>
              <w:spacing w:after="0" w:line="210" w:lineRule="exact"/>
              <w:rPr>
                <w:sz w:val="20"/>
                <w:szCs w:val="20"/>
                <w:color w:val="auto"/>
              </w:rPr>
            </w:pPr>
            <w:r>
              <w:rPr>
                <w:rFonts w:ascii="Calibri" w:cs="Calibri" w:eastAsia="Calibri" w:hAnsi="Calibri"/>
                <w:sz w:val="18"/>
                <w:szCs w:val="18"/>
                <w:color w:val="auto"/>
              </w:rPr>
              <w:t>1,027</w:t>
            </w:r>
          </w:p>
        </w:tc>
        <w:tc>
          <w:tcPr>
            <w:tcW w:w="500" w:type="dxa"/>
            <w:vAlign w:val="bottom"/>
          </w:tcPr>
          <w:p>
            <w:pPr>
              <w:spacing w:after="0"/>
              <w:rPr>
                <w:sz w:val="18"/>
                <w:szCs w:val="18"/>
                <w:color w:val="auto"/>
              </w:rPr>
            </w:pPr>
          </w:p>
        </w:tc>
        <w:tc>
          <w:tcPr>
            <w:tcW w:w="260" w:type="dxa"/>
            <w:vAlign w:val="bottom"/>
            <w:tcBorders>
              <w:top w:val="single" w:sz="8" w:color="auto"/>
              <w:bottom w:val="single" w:sz="8" w:color="auto"/>
            </w:tcBorders>
          </w:tcPr>
          <w:p>
            <w:pPr>
              <w:ind w:left="20"/>
              <w:spacing w:after="0" w:line="210" w:lineRule="exact"/>
              <w:rPr>
                <w:sz w:val="20"/>
                <w:szCs w:val="20"/>
                <w:color w:val="auto"/>
              </w:rPr>
            </w:pPr>
            <w:r>
              <w:rPr>
                <w:rFonts w:ascii="Calibri" w:cs="Calibri" w:eastAsia="Calibri" w:hAnsi="Calibri"/>
                <w:sz w:val="18"/>
                <w:szCs w:val="18"/>
                <w:color w:val="auto"/>
              </w:rPr>
              <w:t>$</w:t>
            </w:r>
          </w:p>
        </w:tc>
        <w:tc>
          <w:tcPr>
            <w:tcW w:w="840" w:type="dxa"/>
            <w:vAlign w:val="bottom"/>
            <w:tcBorders>
              <w:top w:val="single" w:sz="8" w:color="auto"/>
              <w:bottom w:val="single" w:sz="8" w:color="auto"/>
            </w:tcBorders>
          </w:tcPr>
          <w:p>
            <w:pPr>
              <w:jc w:val="right"/>
              <w:spacing w:after="0" w:line="210" w:lineRule="exact"/>
              <w:rPr>
                <w:sz w:val="20"/>
                <w:szCs w:val="20"/>
                <w:color w:val="auto"/>
              </w:rPr>
            </w:pPr>
            <w:r>
              <w:rPr>
                <w:rFonts w:ascii="Calibri" w:cs="Calibri" w:eastAsia="Calibri" w:hAnsi="Calibri"/>
                <w:sz w:val="18"/>
                <w:szCs w:val="18"/>
                <w:color w:val="auto"/>
              </w:rPr>
              <w:t>1,105</w:t>
            </w:r>
          </w:p>
        </w:tc>
        <w:tc>
          <w:tcPr>
            <w:tcW w:w="0" w:type="dxa"/>
            <w:vAlign w:val="bottom"/>
          </w:tcPr>
          <w:p>
            <w:pPr>
              <w:spacing w:after="0"/>
              <w:rPr>
                <w:sz w:val="1"/>
                <w:szCs w:val="1"/>
                <w:color w:val="auto"/>
              </w:rPr>
            </w:pPr>
          </w:p>
        </w:tc>
      </w:tr>
      <w:tr>
        <w:trPr>
          <w:trHeight w:val="20"/>
        </w:trPr>
        <w:tc>
          <w:tcPr>
            <w:tcW w:w="69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69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00" w:type="dxa"/>
            <w:vAlign w:val="bottom"/>
            <w:gridSpan w:val="2"/>
          </w:tcPr>
          <w:p>
            <w:pPr>
              <w:jc w:val="center"/>
              <w:spacing w:after="0"/>
              <w:rPr>
                <w:sz w:val="20"/>
                <w:szCs w:val="20"/>
                <w:color w:val="auto"/>
              </w:rPr>
            </w:pPr>
            <w:r>
              <w:rPr>
                <w:rFonts w:ascii="Calibri" w:cs="Calibri" w:eastAsia="Calibri" w:hAnsi="Calibri"/>
                <w:sz w:val="14"/>
                <w:szCs w:val="14"/>
                <w:b w:val="1"/>
                <w:bCs w:val="1"/>
                <w:color w:val="auto"/>
              </w:rPr>
              <w:t>October 30, 2022</w:t>
            </w: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
        </w:trPr>
        <w:tc>
          <w:tcPr>
            <w:tcW w:w="6940" w:type="dxa"/>
            <w:vAlign w:val="bottom"/>
          </w:tcPr>
          <w:p>
            <w:pPr>
              <w:spacing w:after="0"/>
              <w:rPr>
                <w:sz w:val="3"/>
                <w:szCs w:val="3"/>
                <w:color w:val="auto"/>
              </w:rPr>
            </w:pPr>
          </w:p>
        </w:tc>
        <w:tc>
          <w:tcPr>
            <w:tcW w:w="3460" w:type="dxa"/>
            <w:vAlign w:val="bottom"/>
            <w:tcBorders>
              <w:bottom w:val="single" w:sz="8" w:color="auto"/>
            </w:tcBorders>
            <w:gridSpan w:val="7"/>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1"/>
        </w:trPr>
        <w:tc>
          <w:tcPr>
            <w:tcW w:w="6940" w:type="dxa"/>
            <w:vAlign w:val="bottom"/>
          </w:tcPr>
          <w:p>
            <w:pPr>
              <w:spacing w:after="0"/>
              <w:rPr>
                <w:sz w:val="13"/>
                <w:szCs w:val="13"/>
                <w:color w:val="auto"/>
              </w:rPr>
            </w:pPr>
          </w:p>
        </w:tc>
        <w:tc>
          <w:tcPr>
            <w:tcW w:w="3460" w:type="dxa"/>
            <w:vAlign w:val="bottom"/>
            <w:gridSpan w:val="7"/>
          </w:tcPr>
          <w:p>
            <w:pPr>
              <w:ind w:left="140"/>
              <w:spacing w:after="0" w:line="161" w:lineRule="exact"/>
              <w:rPr>
                <w:sz w:val="20"/>
                <w:szCs w:val="20"/>
                <w:color w:val="auto"/>
              </w:rPr>
            </w:pPr>
            <w:r>
              <w:rPr>
                <w:rFonts w:ascii="Calibri" w:cs="Calibri" w:eastAsia="Calibri" w:hAnsi="Calibri"/>
                <w:sz w:val="14"/>
                <w:szCs w:val="14"/>
                <w:b w:val="1"/>
                <w:bCs w:val="1"/>
                <w:color w:val="auto"/>
              </w:rPr>
              <w:t>Fair Value Measurements at Reportng Date Using</w:t>
            </w: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
        </w:trPr>
        <w:tc>
          <w:tcPr>
            <w:tcW w:w="694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vMerge w:val="restart"/>
          </w:tcPr>
          <w:p>
            <w:pPr>
              <w:jc w:val="right"/>
              <w:ind w:right="314"/>
              <w:spacing w:after="0"/>
              <w:rPr>
                <w:sz w:val="20"/>
                <w:szCs w:val="20"/>
                <w:color w:val="auto"/>
              </w:rPr>
            </w:pPr>
            <w:r>
              <w:rPr>
                <w:rFonts w:ascii="Calibri" w:cs="Calibri" w:eastAsia="Calibri" w:hAnsi="Calibri"/>
                <w:sz w:val="14"/>
                <w:szCs w:val="14"/>
                <w:b w:val="1"/>
                <w:bCs w:val="1"/>
                <w:color w:val="auto"/>
              </w:rPr>
              <w:t>Total</w:t>
            </w:r>
          </w:p>
        </w:tc>
        <w:tc>
          <w:tcPr>
            <w:tcW w:w="0" w:type="dxa"/>
            <w:vAlign w:val="bottom"/>
          </w:tcPr>
          <w:p>
            <w:pPr>
              <w:spacing w:after="0"/>
              <w:rPr>
                <w:sz w:val="1"/>
                <w:szCs w:val="1"/>
                <w:color w:val="auto"/>
              </w:rPr>
            </w:pPr>
          </w:p>
        </w:tc>
      </w:tr>
      <w:tr>
        <w:trPr>
          <w:trHeight w:val="161"/>
        </w:trPr>
        <w:tc>
          <w:tcPr>
            <w:tcW w:w="6940" w:type="dxa"/>
            <w:vAlign w:val="bottom"/>
          </w:tcPr>
          <w:p>
            <w:pPr>
              <w:spacing w:after="0"/>
              <w:rPr>
                <w:sz w:val="13"/>
                <w:szCs w:val="13"/>
                <w:color w:val="auto"/>
              </w:rPr>
            </w:pPr>
          </w:p>
        </w:tc>
        <w:tc>
          <w:tcPr>
            <w:tcW w:w="800" w:type="dxa"/>
            <w:vAlign w:val="bottom"/>
          </w:tcPr>
          <w:p>
            <w:pPr>
              <w:jc w:val="right"/>
              <w:spacing w:after="0" w:line="161" w:lineRule="exact"/>
              <w:rPr>
                <w:sz w:val="20"/>
                <w:szCs w:val="20"/>
                <w:color w:val="auto"/>
              </w:rPr>
            </w:pPr>
            <w:r>
              <w:rPr>
                <w:rFonts w:ascii="Calibri" w:cs="Calibri" w:eastAsia="Calibri" w:hAnsi="Calibri"/>
                <w:sz w:val="14"/>
                <w:szCs w:val="14"/>
                <w:b w:val="1"/>
                <w:bCs w:val="1"/>
                <w:color w:val="auto"/>
              </w:rPr>
              <w:t>Level 1</w:t>
            </w:r>
          </w:p>
        </w:tc>
        <w:tc>
          <w:tcPr>
            <w:tcW w:w="3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tcPr>
          <w:p>
            <w:pPr>
              <w:jc w:val="center"/>
              <w:ind w:right="96"/>
              <w:spacing w:after="0" w:line="161" w:lineRule="exact"/>
              <w:rPr>
                <w:sz w:val="20"/>
                <w:szCs w:val="20"/>
                <w:color w:val="auto"/>
              </w:rPr>
            </w:pPr>
            <w:r>
              <w:rPr>
                <w:rFonts w:ascii="Calibri" w:cs="Calibri" w:eastAsia="Calibri" w:hAnsi="Calibri"/>
                <w:sz w:val="14"/>
                <w:szCs w:val="14"/>
                <w:b w:val="1"/>
                <w:bCs w:val="1"/>
                <w:color w:val="auto"/>
                <w:w w:val="99"/>
              </w:rPr>
              <w:t>Level 2</w:t>
            </w:r>
          </w:p>
        </w:tc>
        <w:tc>
          <w:tcPr>
            <w:tcW w:w="5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30"/>
        </w:trPr>
        <w:tc>
          <w:tcPr>
            <w:tcW w:w="694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5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69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center"/>
              <w:ind w:right="76"/>
              <w:spacing w:after="0"/>
              <w:rPr>
                <w:sz w:val="20"/>
                <w:szCs w:val="20"/>
                <w:color w:val="auto"/>
              </w:rPr>
            </w:pPr>
            <w:r>
              <w:rPr>
                <w:rFonts w:ascii="Calibri" w:cs="Calibri" w:eastAsia="Calibri" w:hAnsi="Calibri"/>
                <w:sz w:val="14"/>
                <w:szCs w:val="14"/>
                <w:b w:val="1"/>
                <w:bCs w:val="1"/>
                <w:color w:val="auto"/>
              </w:rPr>
              <w:t>(In millions)</w:t>
            </w:r>
          </w:p>
        </w:tc>
        <w:tc>
          <w:tcPr>
            <w:tcW w:w="5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940" w:type="dxa"/>
            <w:vAlign w:val="bottom"/>
          </w:tcPr>
          <w:p>
            <w:pPr>
              <w:spacing w:after="0"/>
              <w:rPr>
                <w:sz w:val="3"/>
                <w:szCs w:val="3"/>
                <w:color w:val="auto"/>
              </w:rPr>
            </w:pPr>
          </w:p>
        </w:tc>
        <w:tc>
          <w:tcPr>
            <w:tcW w:w="800" w:type="dxa"/>
            <w:vAlign w:val="bottom"/>
          </w:tcPr>
          <w:p>
            <w:pPr>
              <w:spacing w:after="0"/>
              <w:rPr>
                <w:sz w:val="3"/>
                <w:szCs w:val="3"/>
                <w:color w:val="auto"/>
              </w:rPr>
            </w:pPr>
          </w:p>
        </w:tc>
        <w:tc>
          <w:tcPr>
            <w:tcW w:w="3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760" w:type="dxa"/>
            <w:vAlign w:val="bottom"/>
            <w:gridSpan w:val="2"/>
          </w:tcPr>
          <w:p>
            <w:pPr>
              <w:spacing w:after="0"/>
              <w:rPr>
                <w:sz w:val="3"/>
                <w:szCs w:val="3"/>
                <w:color w:val="auto"/>
              </w:rPr>
            </w:pPr>
          </w:p>
        </w:tc>
        <w:tc>
          <w:tcPr>
            <w:tcW w:w="8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4"/>
        </w:trPr>
        <w:tc>
          <w:tcPr>
            <w:tcW w:w="6940" w:type="dxa"/>
            <w:vAlign w:val="bottom"/>
            <w:shd w:val="clear" w:color="auto" w:fill="CCEEFF"/>
          </w:tcPr>
          <w:p>
            <w:pPr>
              <w:ind w:left="20"/>
              <w:spacing w:after="0" w:line="210" w:lineRule="exact"/>
              <w:rPr>
                <w:sz w:val="20"/>
                <w:szCs w:val="20"/>
                <w:color w:val="auto"/>
              </w:rPr>
            </w:pPr>
            <w:r>
              <w:rPr>
                <w:rFonts w:ascii="Calibri" w:cs="Calibri" w:eastAsia="Calibri" w:hAnsi="Calibri"/>
                <w:sz w:val="18"/>
                <w:szCs w:val="18"/>
                <w:color w:val="auto"/>
              </w:rPr>
              <w:t>Cash equivalents</w:t>
            </w:r>
          </w:p>
        </w:tc>
        <w:tc>
          <w:tcPr>
            <w:tcW w:w="800" w:type="dxa"/>
            <w:vAlign w:val="bottom"/>
            <w:shd w:val="clear" w:color="auto" w:fill="CCEEFF"/>
          </w:tcPr>
          <w:p>
            <w:pPr>
              <w:jc w:val="right"/>
              <w:ind w:right="621"/>
              <w:spacing w:after="0" w:line="210" w:lineRule="exact"/>
              <w:rPr>
                <w:sz w:val="20"/>
                <w:szCs w:val="20"/>
                <w:color w:val="auto"/>
              </w:rPr>
            </w:pPr>
            <w:r>
              <w:rPr>
                <w:rFonts w:ascii="Calibri" w:cs="Calibri" w:eastAsia="Calibri" w:hAnsi="Calibri"/>
                <w:sz w:val="18"/>
                <w:szCs w:val="18"/>
                <w:color w:val="auto"/>
                <w:w w:val="87"/>
              </w:rPr>
              <w:t>$</w:t>
            </w:r>
          </w:p>
        </w:tc>
        <w:tc>
          <w:tcPr>
            <w:tcW w:w="300" w:type="dxa"/>
            <w:vAlign w:val="bottom"/>
            <w:shd w:val="clear" w:color="auto" w:fill="CCEEFF"/>
          </w:tcPr>
          <w:p>
            <w:pPr>
              <w:jc w:val="right"/>
              <w:spacing w:after="0" w:line="210" w:lineRule="exact"/>
              <w:rPr>
                <w:sz w:val="20"/>
                <w:szCs w:val="20"/>
                <w:color w:val="auto"/>
              </w:rPr>
            </w:pPr>
            <w:r>
              <w:rPr>
                <w:rFonts w:ascii="Calibri" w:cs="Calibri" w:eastAsia="Calibri" w:hAnsi="Calibri"/>
                <w:sz w:val="18"/>
                <w:szCs w:val="18"/>
                <w:color w:val="auto"/>
              </w:rPr>
              <w:t>19</w:t>
            </w:r>
          </w:p>
        </w:tc>
        <w:tc>
          <w:tcPr>
            <w:tcW w:w="500" w:type="dxa"/>
            <w:vAlign w:val="bottom"/>
            <w:shd w:val="clear" w:color="auto" w:fill="CCEEFF"/>
          </w:tcPr>
          <w:p>
            <w:pPr>
              <w:ind w:left="20"/>
              <w:spacing w:after="0"/>
              <w:rPr>
                <w:sz w:val="20"/>
                <w:szCs w:val="20"/>
                <w:color w:val="auto"/>
              </w:rPr>
            </w:pPr>
            <w:r>
              <w:rPr>
                <w:rFonts w:ascii="Calibri" w:cs="Calibri" w:eastAsia="Calibri" w:hAnsi="Calibri"/>
                <w:sz w:val="11"/>
                <w:szCs w:val="11"/>
                <w:color w:val="auto"/>
              </w:rPr>
              <w:t>(a)</w:t>
            </w:r>
          </w:p>
        </w:tc>
        <w:tc>
          <w:tcPr>
            <w:tcW w:w="160" w:type="dxa"/>
            <w:vAlign w:val="bottom"/>
            <w:shd w:val="clear" w:color="auto" w:fill="CCEEFF"/>
          </w:tcPr>
          <w:p>
            <w:pPr>
              <w:jc w:val="right"/>
              <w:spacing w:after="0" w:line="210" w:lineRule="exact"/>
              <w:rPr>
                <w:sz w:val="20"/>
                <w:szCs w:val="20"/>
                <w:color w:val="auto"/>
              </w:rPr>
            </w:pPr>
            <w:r>
              <w:rPr>
                <w:rFonts w:ascii="Calibri" w:cs="Calibri" w:eastAsia="Calibri" w:hAnsi="Calibri"/>
                <w:sz w:val="18"/>
                <w:szCs w:val="18"/>
                <w:color w:val="auto"/>
                <w:w w:val="87"/>
              </w:rPr>
              <w:t>$</w:t>
            </w:r>
          </w:p>
        </w:tc>
        <w:tc>
          <w:tcPr>
            <w:tcW w:w="940" w:type="dxa"/>
            <w:vAlign w:val="bottom"/>
            <w:shd w:val="clear" w:color="auto" w:fill="CCEEFF"/>
          </w:tcPr>
          <w:p>
            <w:pPr>
              <w:jc w:val="right"/>
              <w:spacing w:after="0" w:line="210" w:lineRule="exact"/>
              <w:rPr>
                <w:sz w:val="20"/>
                <w:szCs w:val="20"/>
                <w:color w:val="auto"/>
              </w:rPr>
            </w:pPr>
            <w:r>
              <w:rPr>
                <w:rFonts w:ascii="Calibri" w:cs="Calibri" w:eastAsia="Calibri" w:hAnsi="Calibri"/>
                <w:sz w:val="18"/>
                <w:szCs w:val="18"/>
                <w:color w:val="auto"/>
              </w:rPr>
              <w:t>—</w:t>
            </w:r>
          </w:p>
        </w:tc>
        <w:tc>
          <w:tcPr>
            <w:tcW w:w="760" w:type="dxa"/>
            <w:vAlign w:val="bottom"/>
            <w:gridSpan w:val="2"/>
            <w:shd w:val="clear" w:color="auto" w:fill="CCEEFF"/>
          </w:tcPr>
          <w:p>
            <w:pPr>
              <w:ind w:left="520"/>
              <w:spacing w:after="0" w:line="210" w:lineRule="exact"/>
              <w:rPr>
                <w:sz w:val="20"/>
                <w:szCs w:val="20"/>
                <w:color w:val="auto"/>
              </w:rPr>
            </w:pPr>
            <w:r>
              <w:rPr>
                <w:rFonts w:ascii="Calibri" w:cs="Calibri" w:eastAsia="Calibri" w:hAnsi="Calibri"/>
                <w:sz w:val="18"/>
                <w:szCs w:val="18"/>
                <w:color w:val="auto"/>
              </w:rPr>
              <w:t>$</w:t>
            </w:r>
          </w:p>
        </w:tc>
        <w:tc>
          <w:tcPr>
            <w:tcW w:w="840" w:type="dxa"/>
            <w:vAlign w:val="bottom"/>
            <w:shd w:val="clear" w:color="auto" w:fill="CCEEFF"/>
          </w:tcPr>
          <w:p>
            <w:pPr>
              <w:jc w:val="right"/>
              <w:spacing w:after="0" w:line="210" w:lineRule="exact"/>
              <w:rPr>
                <w:sz w:val="20"/>
                <w:szCs w:val="20"/>
                <w:color w:val="auto"/>
              </w:rPr>
            </w:pPr>
            <w:r>
              <w:rPr>
                <w:rFonts w:ascii="Calibri" w:cs="Calibri" w:eastAsia="Calibri" w:hAnsi="Calibri"/>
                <w:sz w:val="18"/>
                <w:szCs w:val="18"/>
                <w:color w:val="auto"/>
              </w:rPr>
              <w:t>19</w:t>
            </w:r>
          </w:p>
        </w:tc>
        <w:tc>
          <w:tcPr>
            <w:tcW w:w="0" w:type="dxa"/>
            <w:vAlign w:val="bottom"/>
          </w:tcPr>
          <w:p>
            <w:pPr>
              <w:spacing w:after="0"/>
              <w:rPr>
                <w:sz w:val="1"/>
                <w:szCs w:val="1"/>
                <w:color w:val="auto"/>
              </w:rPr>
            </w:pPr>
          </w:p>
        </w:tc>
      </w:tr>
      <w:tr>
        <w:trPr>
          <w:trHeight w:val="217"/>
        </w:trPr>
        <w:tc>
          <w:tcPr>
            <w:tcW w:w="6940" w:type="dxa"/>
            <w:vAlign w:val="bottom"/>
          </w:tcPr>
          <w:p>
            <w:pPr>
              <w:ind w:left="20"/>
              <w:spacing w:after="0" w:line="210" w:lineRule="exact"/>
              <w:rPr>
                <w:sz w:val="20"/>
                <w:szCs w:val="20"/>
                <w:color w:val="auto"/>
              </w:rPr>
            </w:pPr>
            <w:r>
              <w:rPr>
                <w:rFonts w:ascii="Calibri" w:cs="Calibri" w:eastAsia="Calibri" w:hAnsi="Calibri"/>
                <w:sz w:val="18"/>
                <w:szCs w:val="18"/>
                <w:color w:val="auto"/>
              </w:rPr>
              <w:t>Equity securites:</w:t>
            </w: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6940" w:type="dxa"/>
            <w:vAlign w:val="bottom"/>
            <w:shd w:val="clear" w:color="auto" w:fill="CCEEFF"/>
          </w:tcPr>
          <w:p>
            <w:pPr>
              <w:ind w:left="140"/>
              <w:spacing w:after="0" w:line="217" w:lineRule="exact"/>
              <w:rPr>
                <w:sz w:val="20"/>
                <w:szCs w:val="20"/>
                <w:color w:val="auto"/>
              </w:rPr>
            </w:pPr>
            <w:r>
              <w:rPr>
                <w:rFonts w:ascii="Calibri" w:cs="Calibri" w:eastAsia="Calibri" w:hAnsi="Calibri"/>
                <w:sz w:val="18"/>
                <w:szCs w:val="18"/>
                <w:color w:val="auto"/>
              </w:rPr>
              <w:t>Non-U.S. equity securites</w:t>
            </w:r>
          </w:p>
        </w:tc>
        <w:tc>
          <w:tcPr>
            <w:tcW w:w="800" w:type="dxa"/>
            <w:vAlign w:val="bottom"/>
            <w:shd w:val="clear" w:color="auto" w:fill="CCEEFF"/>
          </w:tcPr>
          <w:p>
            <w:pPr>
              <w:spacing w:after="0"/>
              <w:rPr>
                <w:sz w:val="20"/>
                <w:szCs w:val="20"/>
                <w:color w:val="auto"/>
              </w:rPr>
            </w:pPr>
          </w:p>
        </w:tc>
        <w:tc>
          <w:tcPr>
            <w:tcW w:w="300" w:type="dxa"/>
            <w:vAlign w:val="bottom"/>
            <w:shd w:val="clear" w:color="auto" w:fill="CCEEFF"/>
          </w:tcPr>
          <w:p>
            <w:pPr>
              <w:jc w:val="right"/>
              <w:spacing w:after="0" w:line="217" w:lineRule="exact"/>
              <w:rPr>
                <w:sz w:val="20"/>
                <w:szCs w:val="20"/>
                <w:color w:val="auto"/>
              </w:rPr>
            </w:pPr>
            <w:r>
              <w:rPr>
                <w:rFonts w:ascii="Calibri" w:cs="Calibri" w:eastAsia="Calibri" w:hAnsi="Calibri"/>
                <w:sz w:val="18"/>
                <w:szCs w:val="18"/>
                <w:color w:val="auto"/>
              </w:rPr>
              <w:t>46</w:t>
            </w:r>
          </w:p>
        </w:tc>
        <w:tc>
          <w:tcPr>
            <w:tcW w:w="500" w:type="dxa"/>
            <w:vAlign w:val="bottom"/>
            <w:shd w:val="clear" w:color="auto" w:fill="CCEEFF"/>
          </w:tcPr>
          <w:p>
            <w:pPr>
              <w:ind w:left="20"/>
              <w:spacing w:after="0"/>
              <w:rPr>
                <w:sz w:val="20"/>
                <w:szCs w:val="20"/>
                <w:color w:val="auto"/>
              </w:rPr>
            </w:pPr>
            <w:r>
              <w:rPr>
                <w:rFonts w:ascii="Calibri" w:cs="Calibri" w:eastAsia="Calibri" w:hAnsi="Calibri"/>
                <w:sz w:val="11"/>
                <w:szCs w:val="11"/>
                <w:color w:val="auto"/>
              </w:rPr>
              <w:t>(b)</w:t>
            </w:r>
          </w:p>
        </w:tc>
        <w:tc>
          <w:tcPr>
            <w:tcW w:w="16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line="217" w:lineRule="exact"/>
              <w:rPr>
                <w:sz w:val="20"/>
                <w:szCs w:val="20"/>
                <w:color w:val="auto"/>
              </w:rPr>
            </w:pPr>
            <w:r>
              <w:rPr>
                <w:rFonts w:ascii="Calibri" w:cs="Calibri" w:eastAsia="Calibri" w:hAnsi="Calibri"/>
                <w:sz w:val="18"/>
                <w:szCs w:val="18"/>
                <w:color w:val="auto"/>
              </w:rPr>
              <w:t>—</w:t>
            </w:r>
          </w:p>
        </w:tc>
        <w:tc>
          <w:tcPr>
            <w:tcW w:w="5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line="217" w:lineRule="exact"/>
              <w:rPr>
                <w:sz w:val="20"/>
                <w:szCs w:val="20"/>
                <w:color w:val="auto"/>
              </w:rPr>
            </w:pPr>
            <w:r>
              <w:rPr>
                <w:rFonts w:ascii="Calibri" w:cs="Calibri" w:eastAsia="Calibri" w:hAnsi="Calibri"/>
                <w:sz w:val="18"/>
                <w:szCs w:val="18"/>
                <w:color w:val="auto"/>
              </w:rPr>
              <w:t>46</w:t>
            </w:r>
          </w:p>
        </w:tc>
        <w:tc>
          <w:tcPr>
            <w:tcW w:w="0" w:type="dxa"/>
            <w:vAlign w:val="bottom"/>
          </w:tcPr>
          <w:p>
            <w:pPr>
              <w:spacing w:after="0"/>
              <w:rPr>
                <w:sz w:val="1"/>
                <w:szCs w:val="1"/>
                <w:color w:val="auto"/>
              </w:rPr>
            </w:pPr>
          </w:p>
        </w:tc>
      </w:tr>
      <w:tr>
        <w:trPr>
          <w:trHeight w:val="217"/>
        </w:trPr>
        <w:tc>
          <w:tcPr>
            <w:tcW w:w="6940" w:type="dxa"/>
            <w:vAlign w:val="bottom"/>
          </w:tcPr>
          <w:p>
            <w:pPr>
              <w:ind w:left="20"/>
              <w:spacing w:after="0" w:line="210" w:lineRule="exact"/>
              <w:rPr>
                <w:sz w:val="20"/>
                <w:szCs w:val="20"/>
                <w:color w:val="auto"/>
              </w:rPr>
            </w:pPr>
            <w:r>
              <w:rPr>
                <w:rFonts w:ascii="Calibri" w:cs="Calibri" w:eastAsia="Calibri" w:hAnsi="Calibri"/>
                <w:sz w:val="18"/>
                <w:szCs w:val="18"/>
                <w:color w:val="auto"/>
              </w:rPr>
              <w:t>Fixed-income securites:</w:t>
            </w: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6940" w:type="dxa"/>
            <w:vAlign w:val="bottom"/>
            <w:shd w:val="clear" w:color="auto" w:fill="CCEEFF"/>
          </w:tcPr>
          <w:p>
            <w:pPr>
              <w:ind w:left="140"/>
              <w:spacing w:after="0" w:line="217" w:lineRule="exact"/>
              <w:rPr>
                <w:sz w:val="20"/>
                <w:szCs w:val="20"/>
                <w:color w:val="auto"/>
              </w:rPr>
            </w:pPr>
            <w:r>
              <w:rPr>
                <w:rFonts w:ascii="Calibri" w:cs="Calibri" w:eastAsia="Calibri" w:hAnsi="Calibri"/>
                <w:sz w:val="18"/>
                <w:szCs w:val="18"/>
                <w:color w:val="auto"/>
              </w:rPr>
              <w:t>U.S. treasuries</w:t>
            </w:r>
          </w:p>
        </w:tc>
        <w:tc>
          <w:tcPr>
            <w:tcW w:w="800" w:type="dxa"/>
            <w:vAlign w:val="bottom"/>
            <w:shd w:val="clear" w:color="auto" w:fill="CCEEFF"/>
          </w:tcPr>
          <w:p>
            <w:pPr>
              <w:spacing w:after="0"/>
              <w:rPr>
                <w:sz w:val="20"/>
                <w:szCs w:val="20"/>
                <w:color w:val="auto"/>
              </w:rPr>
            </w:pPr>
          </w:p>
        </w:tc>
        <w:tc>
          <w:tcPr>
            <w:tcW w:w="300" w:type="dxa"/>
            <w:vAlign w:val="bottom"/>
            <w:shd w:val="clear" w:color="auto" w:fill="CCEEFF"/>
          </w:tcPr>
          <w:p>
            <w:pPr>
              <w:jc w:val="right"/>
              <w:spacing w:after="0" w:line="217" w:lineRule="exact"/>
              <w:rPr>
                <w:sz w:val="20"/>
                <w:szCs w:val="20"/>
                <w:color w:val="auto"/>
              </w:rPr>
            </w:pPr>
            <w:r>
              <w:rPr>
                <w:rFonts w:ascii="Calibri" w:cs="Calibri" w:eastAsia="Calibri" w:hAnsi="Calibri"/>
                <w:sz w:val="18"/>
                <w:szCs w:val="18"/>
                <w:color w:val="auto"/>
              </w:rPr>
              <w:t>—</w:t>
            </w:r>
          </w:p>
        </w:tc>
        <w:tc>
          <w:tcPr>
            <w:tcW w:w="5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line="217" w:lineRule="exact"/>
              <w:rPr>
                <w:sz w:val="20"/>
                <w:szCs w:val="20"/>
                <w:color w:val="auto"/>
              </w:rPr>
            </w:pPr>
            <w:r>
              <w:rPr>
                <w:rFonts w:ascii="Calibri" w:cs="Calibri" w:eastAsia="Calibri" w:hAnsi="Calibri"/>
                <w:sz w:val="18"/>
                <w:szCs w:val="18"/>
                <w:color w:val="auto"/>
              </w:rPr>
              <w:t>147</w:t>
            </w:r>
          </w:p>
        </w:tc>
        <w:tc>
          <w:tcPr>
            <w:tcW w:w="760" w:type="dxa"/>
            <w:vAlign w:val="bottom"/>
            <w:gridSpan w:val="2"/>
            <w:shd w:val="clear" w:color="auto" w:fill="CCEEFF"/>
          </w:tcPr>
          <w:p>
            <w:pPr>
              <w:spacing w:after="0"/>
              <w:rPr>
                <w:sz w:val="20"/>
                <w:szCs w:val="20"/>
                <w:color w:val="auto"/>
              </w:rPr>
            </w:pPr>
            <w:r>
              <w:rPr>
                <w:rFonts w:ascii="Calibri" w:cs="Calibri" w:eastAsia="Calibri" w:hAnsi="Calibri"/>
                <w:sz w:val="11"/>
                <w:szCs w:val="11"/>
                <w:color w:val="auto"/>
              </w:rPr>
              <w:t>(c)</w:t>
            </w:r>
          </w:p>
        </w:tc>
        <w:tc>
          <w:tcPr>
            <w:tcW w:w="840" w:type="dxa"/>
            <w:vAlign w:val="bottom"/>
            <w:shd w:val="clear" w:color="auto" w:fill="CCEEFF"/>
          </w:tcPr>
          <w:p>
            <w:pPr>
              <w:jc w:val="right"/>
              <w:spacing w:after="0" w:line="217" w:lineRule="exact"/>
              <w:rPr>
                <w:sz w:val="20"/>
                <w:szCs w:val="20"/>
                <w:color w:val="auto"/>
              </w:rPr>
            </w:pPr>
            <w:r>
              <w:rPr>
                <w:rFonts w:ascii="Calibri" w:cs="Calibri" w:eastAsia="Calibri" w:hAnsi="Calibri"/>
                <w:sz w:val="18"/>
                <w:szCs w:val="18"/>
                <w:color w:val="auto"/>
              </w:rPr>
              <w:t>147</w:t>
            </w:r>
          </w:p>
        </w:tc>
        <w:tc>
          <w:tcPr>
            <w:tcW w:w="0" w:type="dxa"/>
            <w:vAlign w:val="bottom"/>
          </w:tcPr>
          <w:p>
            <w:pPr>
              <w:spacing w:after="0"/>
              <w:rPr>
                <w:sz w:val="1"/>
                <w:szCs w:val="1"/>
                <w:color w:val="auto"/>
              </w:rPr>
            </w:pPr>
          </w:p>
        </w:tc>
      </w:tr>
      <w:tr>
        <w:trPr>
          <w:trHeight w:val="217"/>
        </w:trPr>
        <w:tc>
          <w:tcPr>
            <w:tcW w:w="6940" w:type="dxa"/>
            <w:vAlign w:val="bottom"/>
          </w:tcPr>
          <w:p>
            <w:pPr>
              <w:ind w:left="140"/>
              <w:spacing w:after="0" w:line="210" w:lineRule="exact"/>
              <w:rPr>
                <w:sz w:val="20"/>
                <w:szCs w:val="20"/>
                <w:color w:val="auto"/>
              </w:rPr>
            </w:pPr>
            <w:r>
              <w:rPr>
                <w:rFonts w:ascii="Calibri" w:cs="Calibri" w:eastAsia="Calibri" w:hAnsi="Calibri"/>
                <w:sz w:val="18"/>
                <w:szCs w:val="18"/>
                <w:color w:val="auto"/>
              </w:rPr>
              <w:t>Corporate bonds</w:t>
            </w:r>
          </w:p>
        </w:tc>
        <w:tc>
          <w:tcPr>
            <w:tcW w:w="800" w:type="dxa"/>
            <w:vAlign w:val="bottom"/>
          </w:tcPr>
          <w:p>
            <w:pPr>
              <w:spacing w:after="0"/>
              <w:rPr>
                <w:sz w:val="18"/>
                <w:szCs w:val="18"/>
                <w:color w:val="auto"/>
              </w:rPr>
            </w:pPr>
          </w:p>
        </w:tc>
        <w:tc>
          <w:tcPr>
            <w:tcW w:w="300" w:type="dxa"/>
            <w:vAlign w:val="bottom"/>
          </w:tcPr>
          <w:p>
            <w:pPr>
              <w:jc w:val="right"/>
              <w:spacing w:after="0" w:line="210" w:lineRule="exact"/>
              <w:rPr>
                <w:sz w:val="20"/>
                <w:szCs w:val="20"/>
                <w:color w:val="auto"/>
              </w:rPr>
            </w:pPr>
            <w:r>
              <w:rPr>
                <w:rFonts w:ascii="Calibri" w:cs="Calibri" w:eastAsia="Calibri" w:hAnsi="Calibri"/>
                <w:sz w:val="18"/>
                <w:szCs w:val="18"/>
                <w:color w:val="auto"/>
              </w:rPr>
              <w:t>—</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line="210" w:lineRule="exact"/>
              <w:rPr>
                <w:sz w:val="20"/>
                <w:szCs w:val="20"/>
                <w:color w:val="auto"/>
              </w:rPr>
            </w:pPr>
            <w:r>
              <w:rPr>
                <w:rFonts w:ascii="Calibri" w:cs="Calibri" w:eastAsia="Calibri" w:hAnsi="Calibri"/>
                <w:sz w:val="18"/>
                <w:szCs w:val="18"/>
                <w:color w:val="auto"/>
              </w:rPr>
              <w:t>901</w:t>
            </w:r>
          </w:p>
        </w:tc>
        <w:tc>
          <w:tcPr>
            <w:tcW w:w="760" w:type="dxa"/>
            <w:vAlign w:val="bottom"/>
            <w:gridSpan w:val="2"/>
          </w:tcPr>
          <w:p>
            <w:pPr>
              <w:spacing w:after="0"/>
              <w:rPr>
                <w:sz w:val="20"/>
                <w:szCs w:val="20"/>
                <w:color w:val="auto"/>
              </w:rPr>
            </w:pPr>
            <w:r>
              <w:rPr>
                <w:rFonts w:ascii="Calibri" w:cs="Calibri" w:eastAsia="Calibri" w:hAnsi="Calibri"/>
                <w:sz w:val="11"/>
                <w:szCs w:val="11"/>
                <w:color w:val="auto"/>
              </w:rPr>
              <w:t>(c)</w:t>
            </w:r>
          </w:p>
        </w:tc>
        <w:tc>
          <w:tcPr>
            <w:tcW w:w="840" w:type="dxa"/>
            <w:vAlign w:val="bottom"/>
          </w:tcPr>
          <w:p>
            <w:pPr>
              <w:jc w:val="right"/>
              <w:spacing w:after="0" w:line="210" w:lineRule="exact"/>
              <w:rPr>
                <w:sz w:val="20"/>
                <w:szCs w:val="20"/>
                <w:color w:val="auto"/>
              </w:rPr>
            </w:pPr>
            <w:r>
              <w:rPr>
                <w:rFonts w:ascii="Calibri" w:cs="Calibri" w:eastAsia="Calibri" w:hAnsi="Calibri"/>
                <w:sz w:val="18"/>
                <w:szCs w:val="18"/>
                <w:color w:val="auto"/>
              </w:rPr>
              <w:t>901</w:t>
            </w:r>
          </w:p>
        </w:tc>
        <w:tc>
          <w:tcPr>
            <w:tcW w:w="0" w:type="dxa"/>
            <w:vAlign w:val="bottom"/>
          </w:tcPr>
          <w:p>
            <w:pPr>
              <w:spacing w:after="0"/>
              <w:rPr>
                <w:sz w:val="1"/>
                <w:szCs w:val="1"/>
                <w:color w:val="auto"/>
              </w:rPr>
            </w:pPr>
          </w:p>
        </w:tc>
      </w:tr>
      <w:tr>
        <w:trPr>
          <w:trHeight w:val="232"/>
        </w:trPr>
        <w:tc>
          <w:tcPr>
            <w:tcW w:w="6940" w:type="dxa"/>
            <w:vAlign w:val="bottom"/>
            <w:shd w:val="clear" w:color="auto" w:fill="CCEEFF"/>
          </w:tcPr>
          <w:p>
            <w:pPr>
              <w:ind w:left="140"/>
              <w:spacing w:after="0" w:line="217" w:lineRule="exact"/>
              <w:rPr>
                <w:sz w:val="20"/>
                <w:szCs w:val="20"/>
                <w:color w:val="auto"/>
              </w:rPr>
            </w:pPr>
            <w:r>
              <w:rPr>
                <w:rFonts w:ascii="Calibri" w:cs="Calibri" w:eastAsia="Calibri" w:hAnsi="Calibri"/>
                <w:sz w:val="18"/>
                <w:szCs w:val="18"/>
                <w:color w:val="auto"/>
              </w:rPr>
              <w:t>Municipal bonds</w:t>
            </w:r>
          </w:p>
        </w:tc>
        <w:tc>
          <w:tcPr>
            <w:tcW w:w="800" w:type="dxa"/>
            <w:vAlign w:val="bottom"/>
            <w:shd w:val="clear" w:color="auto" w:fill="CCEEFF"/>
          </w:tcPr>
          <w:p>
            <w:pPr>
              <w:spacing w:after="0"/>
              <w:rPr>
                <w:sz w:val="20"/>
                <w:szCs w:val="20"/>
                <w:color w:val="auto"/>
              </w:rPr>
            </w:pPr>
          </w:p>
        </w:tc>
        <w:tc>
          <w:tcPr>
            <w:tcW w:w="300" w:type="dxa"/>
            <w:vAlign w:val="bottom"/>
            <w:shd w:val="clear" w:color="auto" w:fill="CCEEFF"/>
          </w:tcPr>
          <w:p>
            <w:pPr>
              <w:jc w:val="right"/>
              <w:spacing w:after="0" w:line="217" w:lineRule="exact"/>
              <w:rPr>
                <w:sz w:val="20"/>
                <w:szCs w:val="20"/>
                <w:color w:val="auto"/>
              </w:rPr>
            </w:pPr>
            <w:r>
              <w:rPr>
                <w:rFonts w:ascii="Calibri" w:cs="Calibri" w:eastAsia="Calibri" w:hAnsi="Calibri"/>
                <w:sz w:val="18"/>
                <w:szCs w:val="18"/>
                <w:color w:val="auto"/>
              </w:rPr>
              <w:t>—</w:t>
            </w:r>
          </w:p>
        </w:tc>
        <w:tc>
          <w:tcPr>
            <w:tcW w:w="5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line="217" w:lineRule="exact"/>
              <w:rPr>
                <w:sz w:val="20"/>
                <w:szCs w:val="20"/>
                <w:color w:val="auto"/>
              </w:rPr>
            </w:pPr>
            <w:r>
              <w:rPr>
                <w:rFonts w:ascii="Calibri" w:cs="Calibri" w:eastAsia="Calibri" w:hAnsi="Calibri"/>
                <w:sz w:val="18"/>
                <w:szCs w:val="18"/>
                <w:color w:val="auto"/>
              </w:rPr>
              <w:t>20</w:t>
            </w:r>
          </w:p>
        </w:tc>
        <w:tc>
          <w:tcPr>
            <w:tcW w:w="760" w:type="dxa"/>
            <w:vAlign w:val="bottom"/>
            <w:gridSpan w:val="2"/>
            <w:shd w:val="clear" w:color="auto" w:fill="CCEEFF"/>
          </w:tcPr>
          <w:p>
            <w:pPr>
              <w:spacing w:after="0"/>
              <w:rPr>
                <w:sz w:val="20"/>
                <w:szCs w:val="20"/>
                <w:color w:val="auto"/>
              </w:rPr>
            </w:pPr>
            <w:r>
              <w:rPr>
                <w:rFonts w:ascii="Calibri" w:cs="Calibri" w:eastAsia="Calibri" w:hAnsi="Calibri"/>
                <w:sz w:val="11"/>
                <w:szCs w:val="11"/>
                <w:color w:val="auto"/>
              </w:rPr>
              <w:t>(c)</w:t>
            </w:r>
          </w:p>
        </w:tc>
        <w:tc>
          <w:tcPr>
            <w:tcW w:w="840" w:type="dxa"/>
            <w:vAlign w:val="bottom"/>
            <w:shd w:val="clear" w:color="auto" w:fill="CCEEFF"/>
          </w:tcPr>
          <w:p>
            <w:pPr>
              <w:jc w:val="right"/>
              <w:spacing w:after="0" w:line="217" w:lineRule="exact"/>
              <w:rPr>
                <w:sz w:val="20"/>
                <w:szCs w:val="20"/>
                <w:color w:val="auto"/>
              </w:rPr>
            </w:pPr>
            <w:r>
              <w:rPr>
                <w:rFonts w:ascii="Calibri" w:cs="Calibri" w:eastAsia="Calibri" w:hAnsi="Calibri"/>
                <w:sz w:val="18"/>
                <w:szCs w:val="18"/>
                <w:color w:val="auto"/>
              </w:rPr>
              <w:t>20</w:t>
            </w:r>
          </w:p>
        </w:tc>
        <w:tc>
          <w:tcPr>
            <w:tcW w:w="0" w:type="dxa"/>
            <w:vAlign w:val="bottom"/>
          </w:tcPr>
          <w:p>
            <w:pPr>
              <w:spacing w:after="0"/>
              <w:rPr>
                <w:sz w:val="1"/>
                <w:szCs w:val="1"/>
                <w:color w:val="auto"/>
              </w:rPr>
            </w:pPr>
          </w:p>
        </w:tc>
      </w:tr>
      <w:tr>
        <w:trPr>
          <w:trHeight w:val="217"/>
        </w:trPr>
        <w:tc>
          <w:tcPr>
            <w:tcW w:w="6940" w:type="dxa"/>
            <w:vAlign w:val="bottom"/>
          </w:tcPr>
          <w:p>
            <w:pPr>
              <w:ind w:left="140"/>
              <w:spacing w:after="0" w:line="210" w:lineRule="exact"/>
              <w:rPr>
                <w:sz w:val="20"/>
                <w:szCs w:val="20"/>
                <w:color w:val="auto"/>
              </w:rPr>
            </w:pPr>
            <w:r>
              <w:rPr>
                <w:rFonts w:ascii="Calibri" w:cs="Calibri" w:eastAsia="Calibri" w:hAnsi="Calibri"/>
                <w:sz w:val="18"/>
                <w:szCs w:val="18"/>
                <w:color w:val="auto"/>
              </w:rPr>
              <w:t>Government bonds</w:t>
            </w:r>
          </w:p>
        </w:tc>
        <w:tc>
          <w:tcPr>
            <w:tcW w:w="800" w:type="dxa"/>
            <w:vAlign w:val="bottom"/>
          </w:tcPr>
          <w:p>
            <w:pPr>
              <w:spacing w:after="0"/>
              <w:rPr>
                <w:sz w:val="18"/>
                <w:szCs w:val="18"/>
                <w:color w:val="auto"/>
              </w:rPr>
            </w:pPr>
          </w:p>
        </w:tc>
        <w:tc>
          <w:tcPr>
            <w:tcW w:w="300" w:type="dxa"/>
            <w:vAlign w:val="bottom"/>
          </w:tcPr>
          <w:p>
            <w:pPr>
              <w:jc w:val="right"/>
              <w:spacing w:after="0" w:line="210" w:lineRule="exact"/>
              <w:rPr>
                <w:sz w:val="20"/>
                <w:szCs w:val="20"/>
                <w:color w:val="auto"/>
              </w:rPr>
            </w:pPr>
            <w:r>
              <w:rPr>
                <w:rFonts w:ascii="Calibri" w:cs="Calibri" w:eastAsia="Calibri" w:hAnsi="Calibri"/>
                <w:sz w:val="18"/>
                <w:szCs w:val="18"/>
                <w:color w:val="auto"/>
              </w:rPr>
              <w:t>—</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line="210" w:lineRule="exact"/>
              <w:rPr>
                <w:sz w:val="20"/>
                <w:szCs w:val="20"/>
                <w:color w:val="auto"/>
              </w:rPr>
            </w:pPr>
            <w:r>
              <w:rPr>
                <w:rFonts w:ascii="Calibri" w:cs="Calibri" w:eastAsia="Calibri" w:hAnsi="Calibri"/>
                <w:sz w:val="18"/>
                <w:szCs w:val="18"/>
                <w:color w:val="auto"/>
              </w:rPr>
              <w:t>25</w:t>
            </w:r>
          </w:p>
        </w:tc>
        <w:tc>
          <w:tcPr>
            <w:tcW w:w="760" w:type="dxa"/>
            <w:vAlign w:val="bottom"/>
            <w:gridSpan w:val="2"/>
          </w:tcPr>
          <w:p>
            <w:pPr>
              <w:spacing w:after="0"/>
              <w:rPr>
                <w:sz w:val="20"/>
                <w:szCs w:val="20"/>
                <w:color w:val="auto"/>
              </w:rPr>
            </w:pPr>
            <w:r>
              <w:rPr>
                <w:rFonts w:ascii="Calibri" w:cs="Calibri" w:eastAsia="Calibri" w:hAnsi="Calibri"/>
                <w:sz w:val="11"/>
                <w:szCs w:val="11"/>
                <w:color w:val="auto"/>
              </w:rPr>
              <w:t>(c)</w:t>
            </w:r>
          </w:p>
        </w:tc>
        <w:tc>
          <w:tcPr>
            <w:tcW w:w="840" w:type="dxa"/>
            <w:vAlign w:val="bottom"/>
          </w:tcPr>
          <w:p>
            <w:pPr>
              <w:jc w:val="right"/>
              <w:spacing w:after="0" w:line="210" w:lineRule="exact"/>
              <w:rPr>
                <w:sz w:val="20"/>
                <w:szCs w:val="20"/>
                <w:color w:val="auto"/>
              </w:rPr>
            </w:pPr>
            <w:r>
              <w:rPr>
                <w:rFonts w:ascii="Calibri" w:cs="Calibri" w:eastAsia="Calibri" w:hAnsi="Calibri"/>
                <w:sz w:val="18"/>
                <w:szCs w:val="18"/>
                <w:color w:val="auto"/>
              </w:rPr>
              <w:t>25</w:t>
            </w:r>
          </w:p>
        </w:tc>
        <w:tc>
          <w:tcPr>
            <w:tcW w:w="0" w:type="dxa"/>
            <w:vAlign w:val="bottom"/>
          </w:tcPr>
          <w:p>
            <w:pPr>
              <w:spacing w:after="0"/>
              <w:rPr>
                <w:sz w:val="1"/>
                <w:szCs w:val="1"/>
                <w:color w:val="auto"/>
              </w:rPr>
            </w:pPr>
          </w:p>
        </w:tc>
      </w:tr>
      <w:tr>
        <w:trPr>
          <w:trHeight w:val="232"/>
        </w:trPr>
        <w:tc>
          <w:tcPr>
            <w:tcW w:w="6940" w:type="dxa"/>
            <w:vAlign w:val="bottom"/>
            <w:shd w:val="clear" w:color="auto" w:fill="CCEEFF"/>
          </w:tcPr>
          <w:p>
            <w:pPr>
              <w:ind w:left="140"/>
              <w:spacing w:after="0" w:line="217" w:lineRule="exact"/>
              <w:rPr>
                <w:sz w:val="20"/>
                <w:szCs w:val="20"/>
                <w:color w:val="auto"/>
              </w:rPr>
            </w:pPr>
            <w:r>
              <w:rPr>
                <w:rFonts w:ascii="Calibri" w:cs="Calibri" w:eastAsia="Calibri" w:hAnsi="Calibri"/>
                <w:sz w:val="18"/>
                <w:szCs w:val="18"/>
                <w:color w:val="auto"/>
              </w:rPr>
              <w:t>Asset-backed securites</w:t>
            </w:r>
          </w:p>
        </w:tc>
        <w:tc>
          <w:tcPr>
            <w:tcW w:w="800" w:type="dxa"/>
            <w:vAlign w:val="bottom"/>
            <w:shd w:val="clear" w:color="auto" w:fill="CCEEFF"/>
          </w:tcPr>
          <w:p>
            <w:pPr>
              <w:spacing w:after="0"/>
              <w:rPr>
                <w:sz w:val="20"/>
                <w:szCs w:val="20"/>
                <w:color w:val="auto"/>
              </w:rPr>
            </w:pPr>
          </w:p>
        </w:tc>
        <w:tc>
          <w:tcPr>
            <w:tcW w:w="300" w:type="dxa"/>
            <w:vAlign w:val="bottom"/>
            <w:shd w:val="clear" w:color="auto" w:fill="CCEEFF"/>
          </w:tcPr>
          <w:p>
            <w:pPr>
              <w:jc w:val="right"/>
              <w:spacing w:after="0" w:line="217" w:lineRule="exact"/>
              <w:rPr>
                <w:sz w:val="20"/>
                <w:szCs w:val="20"/>
                <w:color w:val="auto"/>
              </w:rPr>
            </w:pPr>
            <w:r>
              <w:rPr>
                <w:rFonts w:ascii="Calibri" w:cs="Calibri" w:eastAsia="Calibri" w:hAnsi="Calibri"/>
                <w:sz w:val="18"/>
                <w:szCs w:val="18"/>
                <w:color w:val="auto"/>
              </w:rPr>
              <w:t>—</w:t>
            </w:r>
          </w:p>
        </w:tc>
        <w:tc>
          <w:tcPr>
            <w:tcW w:w="5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line="217" w:lineRule="exact"/>
              <w:rPr>
                <w:sz w:val="20"/>
                <w:szCs w:val="20"/>
                <w:color w:val="auto"/>
              </w:rPr>
            </w:pPr>
            <w:r>
              <w:rPr>
                <w:rFonts w:ascii="Calibri" w:cs="Calibri" w:eastAsia="Calibri" w:hAnsi="Calibri"/>
                <w:sz w:val="18"/>
                <w:szCs w:val="18"/>
                <w:color w:val="auto"/>
              </w:rPr>
              <w:t>2</w:t>
            </w:r>
          </w:p>
        </w:tc>
        <w:tc>
          <w:tcPr>
            <w:tcW w:w="760" w:type="dxa"/>
            <w:vAlign w:val="bottom"/>
            <w:gridSpan w:val="2"/>
            <w:shd w:val="clear" w:color="auto" w:fill="CCEEFF"/>
          </w:tcPr>
          <w:p>
            <w:pPr>
              <w:spacing w:after="0"/>
              <w:rPr>
                <w:sz w:val="20"/>
                <w:szCs w:val="20"/>
                <w:color w:val="auto"/>
              </w:rPr>
            </w:pPr>
            <w:r>
              <w:rPr>
                <w:rFonts w:ascii="Calibri" w:cs="Calibri" w:eastAsia="Calibri" w:hAnsi="Calibri"/>
                <w:sz w:val="11"/>
                <w:szCs w:val="11"/>
                <w:color w:val="auto"/>
              </w:rPr>
              <w:t>(c)</w:t>
            </w:r>
          </w:p>
        </w:tc>
        <w:tc>
          <w:tcPr>
            <w:tcW w:w="840" w:type="dxa"/>
            <w:vAlign w:val="bottom"/>
            <w:shd w:val="clear" w:color="auto" w:fill="CCEEFF"/>
          </w:tcPr>
          <w:p>
            <w:pPr>
              <w:jc w:val="right"/>
              <w:spacing w:after="0" w:line="217" w:lineRule="exact"/>
              <w:rPr>
                <w:sz w:val="20"/>
                <w:szCs w:val="20"/>
                <w:color w:val="auto"/>
              </w:rPr>
            </w:pPr>
            <w:r>
              <w:rPr>
                <w:rFonts w:ascii="Calibri" w:cs="Calibri" w:eastAsia="Calibri" w:hAnsi="Calibri"/>
                <w:sz w:val="18"/>
                <w:szCs w:val="18"/>
                <w:color w:val="auto"/>
              </w:rPr>
              <w:t>2</w:t>
            </w:r>
          </w:p>
        </w:tc>
        <w:tc>
          <w:tcPr>
            <w:tcW w:w="0" w:type="dxa"/>
            <w:vAlign w:val="bottom"/>
          </w:tcPr>
          <w:p>
            <w:pPr>
              <w:spacing w:after="0"/>
              <w:rPr>
                <w:sz w:val="1"/>
                <w:szCs w:val="1"/>
                <w:color w:val="auto"/>
              </w:rPr>
            </w:pPr>
          </w:p>
        </w:tc>
      </w:tr>
      <w:tr>
        <w:trPr>
          <w:trHeight w:val="218"/>
        </w:trPr>
        <w:tc>
          <w:tcPr>
            <w:tcW w:w="6940" w:type="dxa"/>
            <w:vAlign w:val="bottom"/>
          </w:tcPr>
          <w:p>
            <w:pPr>
              <w:ind w:left="60"/>
              <w:spacing w:after="0" w:line="217" w:lineRule="exact"/>
              <w:rPr>
                <w:sz w:val="20"/>
                <w:szCs w:val="20"/>
                <w:color w:val="auto"/>
              </w:rPr>
            </w:pPr>
            <w:r>
              <w:rPr>
                <w:rFonts w:ascii="Calibri" w:cs="Calibri" w:eastAsia="Calibri" w:hAnsi="Calibri"/>
                <w:sz w:val="18"/>
                <w:szCs w:val="18"/>
                <w:color w:val="auto"/>
              </w:rPr>
              <w:t>Total plan assets</w:t>
            </w:r>
          </w:p>
        </w:tc>
        <w:tc>
          <w:tcPr>
            <w:tcW w:w="800" w:type="dxa"/>
            <w:vAlign w:val="bottom"/>
            <w:tcBorders>
              <w:top w:val="single" w:sz="8" w:color="auto"/>
              <w:bottom w:val="single" w:sz="8" w:color="auto"/>
            </w:tcBorders>
          </w:tcPr>
          <w:p>
            <w:pPr>
              <w:jc w:val="right"/>
              <w:ind w:right="621"/>
              <w:spacing w:after="0" w:line="210" w:lineRule="exact"/>
              <w:rPr>
                <w:sz w:val="20"/>
                <w:szCs w:val="20"/>
                <w:color w:val="auto"/>
              </w:rPr>
            </w:pPr>
            <w:r>
              <w:rPr>
                <w:rFonts w:ascii="Calibri" w:cs="Calibri" w:eastAsia="Calibri" w:hAnsi="Calibri"/>
                <w:sz w:val="18"/>
                <w:szCs w:val="18"/>
                <w:color w:val="auto"/>
                <w:w w:val="87"/>
              </w:rPr>
              <w:t>$</w:t>
            </w:r>
          </w:p>
        </w:tc>
        <w:tc>
          <w:tcPr>
            <w:tcW w:w="300" w:type="dxa"/>
            <w:vAlign w:val="bottom"/>
            <w:tcBorders>
              <w:top w:val="single" w:sz="8" w:color="auto"/>
              <w:bottom w:val="single" w:sz="8" w:color="auto"/>
            </w:tcBorders>
          </w:tcPr>
          <w:p>
            <w:pPr>
              <w:jc w:val="right"/>
              <w:spacing w:after="0" w:line="210" w:lineRule="exact"/>
              <w:rPr>
                <w:sz w:val="20"/>
                <w:szCs w:val="20"/>
                <w:color w:val="auto"/>
              </w:rPr>
            </w:pPr>
            <w:r>
              <w:rPr>
                <w:rFonts w:ascii="Calibri" w:cs="Calibri" w:eastAsia="Calibri" w:hAnsi="Calibri"/>
                <w:sz w:val="18"/>
                <w:szCs w:val="18"/>
                <w:color w:val="auto"/>
              </w:rPr>
              <w:t>65</w:t>
            </w:r>
          </w:p>
        </w:tc>
        <w:tc>
          <w:tcPr>
            <w:tcW w:w="5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line="210" w:lineRule="exact"/>
              <w:rPr>
                <w:sz w:val="20"/>
                <w:szCs w:val="20"/>
                <w:color w:val="auto"/>
              </w:rPr>
            </w:pPr>
            <w:r>
              <w:rPr>
                <w:rFonts w:ascii="Calibri" w:cs="Calibri" w:eastAsia="Calibri" w:hAnsi="Calibri"/>
                <w:sz w:val="18"/>
                <w:szCs w:val="18"/>
                <w:color w:val="auto"/>
                <w:w w:val="87"/>
              </w:rPr>
              <w:t>$</w:t>
            </w:r>
          </w:p>
        </w:tc>
        <w:tc>
          <w:tcPr>
            <w:tcW w:w="940" w:type="dxa"/>
            <w:vAlign w:val="bottom"/>
            <w:tcBorders>
              <w:top w:val="single" w:sz="8" w:color="auto"/>
              <w:bottom w:val="single" w:sz="8" w:color="auto"/>
            </w:tcBorders>
          </w:tcPr>
          <w:p>
            <w:pPr>
              <w:jc w:val="right"/>
              <w:spacing w:after="0" w:line="210" w:lineRule="exact"/>
              <w:rPr>
                <w:sz w:val="20"/>
                <w:szCs w:val="20"/>
                <w:color w:val="auto"/>
              </w:rPr>
            </w:pPr>
            <w:r>
              <w:rPr>
                <w:rFonts w:ascii="Calibri" w:cs="Calibri" w:eastAsia="Calibri" w:hAnsi="Calibri"/>
                <w:sz w:val="18"/>
                <w:szCs w:val="18"/>
                <w:color w:val="auto"/>
              </w:rPr>
              <w:t>1,095</w:t>
            </w:r>
          </w:p>
        </w:tc>
        <w:tc>
          <w:tcPr>
            <w:tcW w:w="500" w:type="dxa"/>
            <w:vAlign w:val="bottom"/>
          </w:tcPr>
          <w:p>
            <w:pPr>
              <w:spacing w:after="0"/>
              <w:rPr>
                <w:sz w:val="18"/>
                <w:szCs w:val="18"/>
                <w:color w:val="auto"/>
              </w:rPr>
            </w:pPr>
          </w:p>
        </w:tc>
        <w:tc>
          <w:tcPr>
            <w:tcW w:w="260" w:type="dxa"/>
            <w:vAlign w:val="bottom"/>
            <w:tcBorders>
              <w:top w:val="single" w:sz="8" w:color="auto"/>
              <w:bottom w:val="single" w:sz="8" w:color="auto"/>
            </w:tcBorders>
          </w:tcPr>
          <w:p>
            <w:pPr>
              <w:ind w:left="20"/>
              <w:spacing w:after="0" w:line="210" w:lineRule="exact"/>
              <w:rPr>
                <w:sz w:val="20"/>
                <w:szCs w:val="20"/>
                <w:color w:val="auto"/>
              </w:rPr>
            </w:pPr>
            <w:r>
              <w:rPr>
                <w:rFonts w:ascii="Calibri" w:cs="Calibri" w:eastAsia="Calibri" w:hAnsi="Calibri"/>
                <w:sz w:val="18"/>
                <w:szCs w:val="18"/>
                <w:color w:val="auto"/>
              </w:rPr>
              <w:t>$</w:t>
            </w:r>
          </w:p>
        </w:tc>
        <w:tc>
          <w:tcPr>
            <w:tcW w:w="840" w:type="dxa"/>
            <w:vAlign w:val="bottom"/>
            <w:tcBorders>
              <w:top w:val="single" w:sz="8" w:color="auto"/>
              <w:bottom w:val="single" w:sz="8" w:color="auto"/>
            </w:tcBorders>
          </w:tcPr>
          <w:p>
            <w:pPr>
              <w:jc w:val="right"/>
              <w:spacing w:after="0" w:line="210" w:lineRule="exact"/>
              <w:rPr>
                <w:sz w:val="20"/>
                <w:szCs w:val="20"/>
                <w:color w:val="auto"/>
              </w:rPr>
            </w:pPr>
            <w:r>
              <w:rPr>
                <w:rFonts w:ascii="Calibri" w:cs="Calibri" w:eastAsia="Calibri" w:hAnsi="Calibri"/>
                <w:sz w:val="18"/>
                <w:szCs w:val="18"/>
                <w:color w:val="auto"/>
              </w:rPr>
              <w:t>1,160</w:t>
            </w:r>
          </w:p>
        </w:tc>
        <w:tc>
          <w:tcPr>
            <w:tcW w:w="0" w:type="dxa"/>
            <w:vAlign w:val="bottom"/>
          </w:tcPr>
          <w:p>
            <w:pPr>
              <w:spacing w:after="0"/>
              <w:rPr>
                <w:sz w:val="1"/>
                <w:szCs w:val="1"/>
                <w:color w:val="auto"/>
              </w:rPr>
            </w:pPr>
          </w:p>
        </w:tc>
      </w:tr>
      <w:tr>
        <w:trPr>
          <w:trHeight w:val="20"/>
        </w:trPr>
        <w:tc>
          <w:tcPr>
            <w:tcW w:w="6940" w:type="dxa"/>
            <w:vAlign w:val="bottom"/>
            <w:vMerge w:val="restart"/>
          </w:tcPr>
          <w:p>
            <w:pPr>
              <w:spacing w:after="0"/>
              <w:rPr>
                <w:sz w:val="20"/>
                <w:szCs w:val="20"/>
                <w:color w:val="auto"/>
              </w:rPr>
            </w:pPr>
            <w:r>
              <w:rPr>
                <w:rFonts w:ascii="Calibri" w:cs="Calibri" w:eastAsia="Calibri" w:hAnsi="Calibri"/>
                <w:sz w:val="18"/>
                <w:szCs w:val="18"/>
                <w:color w:val="auto"/>
              </w:rPr>
              <w:t>______________________________</w:t>
            </w:r>
          </w:p>
        </w:tc>
        <w:tc>
          <w:tcPr>
            <w:tcW w:w="8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1"/>
        </w:trPr>
        <w:tc>
          <w:tcPr>
            <w:tcW w:w="6940" w:type="dxa"/>
            <w:vAlign w:val="bottom"/>
            <w:vMerge w:val="continue"/>
          </w:tcPr>
          <w:p>
            <w:pPr>
              <w:spacing w:after="0"/>
              <w:rPr>
                <w:sz w:val="22"/>
                <w:szCs w:val="22"/>
                <w:color w:val="auto"/>
              </w:rPr>
            </w:pPr>
          </w:p>
        </w:tc>
        <w:tc>
          <w:tcPr>
            <w:tcW w:w="8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320" w:right="480" w:hanging="314"/>
        <w:spacing w:after="0" w:line="230" w:lineRule="auto"/>
        <w:tabs>
          <w:tab w:leader="none" w:pos="308" w:val="left"/>
        </w:tabs>
        <w:numPr>
          <w:ilvl w:val="0"/>
          <w:numId w:val="29"/>
        </w:numPr>
        <w:rPr>
          <w:rFonts w:ascii="Calibri" w:cs="Calibri" w:eastAsia="Calibri" w:hAnsi="Calibri"/>
          <w:sz w:val="18"/>
          <w:szCs w:val="18"/>
          <w:color w:val="auto"/>
        </w:rPr>
      </w:pPr>
      <w:r>
        <w:rPr>
          <w:rFonts w:ascii="Calibri" w:cs="Calibri" w:eastAsia="Calibri" w:hAnsi="Calibri"/>
          <w:sz w:val="18"/>
          <w:szCs w:val="18"/>
          <w:color w:val="auto"/>
        </w:rPr>
        <w:t>Cash equivalents primarily included short-term investment funds which consisted of short-term money market instruments that were valued based on quoted prices in actve markets.</w:t>
      </w:r>
    </w:p>
    <w:p>
      <w:pPr>
        <w:spacing w:after="0" w:line="97" w:lineRule="exact"/>
        <w:rPr>
          <w:rFonts w:ascii="Calibri" w:cs="Calibri" w:eastAsia="Calibri" w:hAnsi="Calibri"/>
          <w:sz w:val="18"/>
          <w:szCs w:val="18"/>
          <w:color w:val="auto"/>
        </w:rPr>
      </w:pPr>
    </w:p>
    <w:p>
      <w:pPr>
        <w:ind w:left="300" w:hanging="294"/>
        <w:spacing w:after="0"/>
        <w:tabs>
          <w:tab w:leader="none" w:pos="300" w:val="left"/>
        </w:tabs>
        <w:numPr>
          <w:ilvl w:val="0"/>
          <w:numId w:val="29"/>
        </w:numPr>
        <w:rPr>
          <w:rFonts w:ascii="Calibri" w:cs="Calibri" w:eastAsia="Calibri" w:hAnsi="Calibri"/>
          <w:sz w:val="18"/>
          <w:szCs w:val="18"/>
          <w:color w:val="auto"/>
        </w:rPr>
      </w:pPr>
      <w:r>
        <w:rPr>
          <w:rFonts w:ascii="Calibri" w:cs="Calibri" w:eastAsia="Calibri" w:hAnsi="Calibri"/>
          <w:sz w:val="18"/>
          <w:szCs w:val="18"/>
          <w:color w:val="auto"/>
        </w:rPr>
        <w:t>These equity securites were valued based on quoted prices in actve markets.</w:t>
      </w:r>
    </w:p>
    <w:p>
      <w:pPr>
        <w:spacing w:after="0" w:line="106" w:lineRule="exact"/>
        <w:rPr>
          <w:rFonts w:ascii="Calibri" w:cs="Calibri" w:eastAsia="Calibri" w:hAnsi="Calibri"/>
          <w:sz w:val="18"/>
          <w:szCs w:val="18"/>
          <w:color w:val="auto"/>
        </w:rPr>
      </w:pPr>
    </w:p>
    <w:p>
      <w:pPr>
        <w:ind w:left="320" w:right="100" w:hanging="314"/>
        <w:spacing w:after="0" w:line="230" w:lineRule="auto"/>
        <w:tabs>
          <w:tab w:leader="none" w:pos="312" w:val="left"/>
        </w:tabs>
        <w:numPr>
          <w:ilvl w:val="0"/>
          <w:numId w:val="29"/>
        </w:numPr>
        <w:rPr>
          <w:rFonts w:ascii="Calibri" w:cs="Calibri" w:eastAsia="Calibri" w:hAnsi="Calibri"/>
          <w:sz w:val="18"/>
          <w:szCs w:val="18"/>
          <w:color w:val="auto"/>
        </w:rPr>
      </w:pPr>
      <w:r>
        <w:rPr>
          <w:rFonts w:ascii="Calibri" w:cs="Calibri" w:eastAsia="Calibri" w:hAnsi="Calibri"/>
          <w:sz w:val="18"/>
          <w:szCs w:val="18"/>
          <w:color w:val="auto"/>
        </w:rPr>
        <w:t>These amounts consisted of investments that were traded less frequently than Level 1 securites and were valued using inputs that included quoted prices for similar assets in actve markets and inputs other than quoted prices that were observable for the assets, such as interest rates, yield curves, prepayment speeds, collateral performance, broker/dealer quotes and indices that were observable at commonly quoted intervals.</w:t>
      </w:r>
    </w:p>
    <w:p>
      <w:pPr>
        <w:spacing w:after="0" w:line="98" w:lineRule="exact"/>
        <w:rPr>
          <w:sz w:val="20"/>
          <w:szCs w:val="20"/>
          <w:color w:val="auto"/>
        </w:rPr>
      </w:pPr>
    </w:p>
    <w:p>
      <w:pPr>
        <w:ind w:left="400"/>
        <w:spacing w:after="0"/>
        <w:rPr>
          <w:sz w:val="20"/>
          <w:szCs w:val="20"/>
          <w:color w:val="auto"/>
        </w:rPr>
      </w:pPr>
      <w:r>
        <w:rPr>
          <w:rFonts w:ascii="Calibri" w:cs="Calibri" w:eastAsia="Calibri" w:hAnsi="Calibri"/>
          <w:sz w:val="18"/>
          <w:szCs w:val="18"/>
          <w:b w:val="1"/>
          <w:bCs w:val="1"/>
          <w:i w:val="1"/>
          <w:iCs w:val="1"/>
          <w:color w:val="auto"/>
        </w:rPr>
        <w:t>Assumptons</w:t>
      </w:r>
    </w:p>
    <w:p>
      <w:pPr>
        <w:spacing w:after="0" w:line="107" w:lineRule="exact"/>
        <w:rPr>
          <w:sz w:val="20"/>
          <w:szCs w:val="20"/>
          <w:color w:val="auto"/>
        </w:rPr>
      </w:pPr>
    </w:p>
    <w:p>
      <w:pPr>
        <w:ind w:right="20" w:firstLine="396"/>
        <w:spacing w:after="0" w:line="230" w:lineRule="auto"/>
        <w:rPr>
          <w:sz w:val="20"/>
          <w:szCs w:val="20"/>
          <w:color w:val="auto"/>
        </w:rPr>
      </w:pPr>
      <w:r>
        <w:rPr>
          <w:rFonts w:ascii="Calibri" w:cs="Calibri" w:eastAsia="Calibri" w:hAnsi="Calibri"/>
          <w:sz w:val="18"/>
          <w:szCs w:val="18"/>
          <w:color w:val="auto"/>
        </w:rPr>
        <w:t>The assumptons used to determine the beneft obligatons and net periodic beneft cost for our defned beneft pension plans are presented in the table below. The expected long-term return on assets shown in the table below represents an estmate of long-term returns on investment portolios primarily consistng of combinatons of debt, equity and other investments, depending on the plan. The long-term rates of return are then weighted based on the asset classes in which the pension funds are invested. Discount rates refect the current rate at which defned beneft pension obligatons could be setled based on the measurement dates of the plans, which is October 31, the month end closest to our fscal year end. The range of assumptons refects the diferent economic environments within various countries.</w:t>
      </w: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9" w:right="339" w:bottom="1440" w:gutter="0" w:footer="0" w:header="0"/>
        </w:sectPr>
      </w:pPr>
    </w:p>
    <w:bookmarkStart w:id="73" w:name="page74"/>
    <w:bookmarkEnd w:id="73"/>
    <w:p>
      <w:pPr>
        <w:spacing w:after="0"/>
        <w:rPr>
          <w:sz w:val="20"/>
          <w:szCs w:val="20"/>
          <w:color w:val="auto"/>
        </w:rPr>
      </w:pPr>
      <w:r>
        <w:rPr>
          <w:rFonts w:ascii="Calibri" w:cs="Calibri" w:eastAsia="Calibri" w:hAnsi="Calibri"/>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420" w:type="dxa"/>
            <w:vAlign w:val="bottom"/>
          </w:tcPr>
          <w:p>
            <w:pPr>
              <w:spacing w:after="0"/>
              <w:rPr>
                <w:sz w:val="14"/>
                <w:szCs w:val="14"/>
                <w:color w:val="auto"/>
              </w:rPr>
            </w:pPr>
          </w:p>
        </w:tc>
        <w:tc>
          <w:tcPr>
            <w:tcW w:w="3300" w:type="dxa"/>
            <w:vAlign w:val="bottom"/>
            <w:gridSpan w:val="5"/>
          </w:tcPr>
          <w:p>
            <w:pPr>
              <w:jc w:val="center"/>
              <w:ind w:right="80"/>
              <w:spacing w:after="0"/>
              <w:rPr>
                <w:sz w:val="20"/>
                <w:szCs w:val="20"/>
                <w:color w:val="auto"/>
              </w:rPr>
            </w:pPr>
            <w:r>
              <w:rPr>
                <w:rFonts w:ascii="Calibri" w:cs="Calibri" w:eastAsia="Calibri" w:hAnsi="Calibri"/>
                <w:sz w:val="14"/>
                <w:szCs w:val="14"/>
                <w:b w:val="1"/>
                <w:bCs w:val="1"/>
                <w:color w:val="auto"/>
              </w:rPr>
              <w:t>Assumptons for Beneft Obligatons</w:t>
            </w:r>
          </w:p>
        </w:tc>
        <w:tc>
          <w:tcPr>
            <w:tcW w:w="4520" w:type="dxa"/>
            <w:vAlign w:val="bottom"/>
            <w:gridSpan w:val="5"/>
          </w:tcPr>
          <w:p>
            <w:pPr>
              <w:jc w:val="center"/>
              <w:spacing w:after="0"/>
              <w:rPr>
                <w:sz w:val="20"/>
                <w:szCs w:val="20"/>
                <w:color w:val="auto"/>
              </w:rPr>
            </w:pPr>
            <w:r>
              <w:rPr>
                <w:rFonts w:ascii="Calibri" w:cs="Calibri" w:eastAsia="Calibri" w:hAnsi="Calibri"/>
                <w:sz w:val="14"/>
                <w:szCs w:val="14"/>
                <w:b w:val="1"/>
                <w:bCs w:val="1"/>
                <w:color w:val="auto"/>
              </w:rPr>
              <w:t>Assumptons for Net Periodic Beneft Cost</w:t>
            </w:r>
          </w:p>
        </w:tc>
        <w:tc>
          <w:tcPr>
            <w:tcW w:w="0" w:type="dxa"/>
            <w:vAlign w:val="bottom"/>
          </w:tcPr>
          <w:p>
            <w:pPr>
              <w:spacing w:after="0"/>
              <w:rPr>
                <w:sz w:val="1"/>
                <w:szCs w:val="1"/>
                <w:color w:val="auto"/>
              </w:rPr>
            </w:pPr>
          </w:p>
        </w:tc>
      </w:tr>
      <w:tr>
        <w:trPr>
          <w:trHeight w:val="168"/>
        </w:trPr>
        <w:tc>
          <w:tcPr>
            <w:tcW w:w="34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920" w:type="dxa"/>
            <w:vAlign w:val="bottom"/>
            <w:gridSpan w:val="4"/>
          </w:tcPr>
          <w:p>
            <w:pPr>
              <w:jc w:val="center"/>
              <w:ind w:right="1480"/>
              <w:spacing w:after="0" w:line="168" w:lineRule="exact"/>
              <w:rPr>
                <w:sz w:val="20"/>
                <w:szCs w:val="20"/>
                <w:color w:val="auto"/>
              </w:rPr>
            </w:pPr>
            <w:r>
              <w:rPr>
                <w:rFonts w:ascii="Calibri" w:cs="Calibri" w:eastAsia="Calibri" w:hAnsi="Calibri"/>
                <w:sz w:val="14"/>
                <w:szCs w:val="14"/>
                <w:b w:val="1"/>
                <w:bCs w:val="1"/>
                <w:color w:val="auto"/>
              </w:rPr>
              <w:t>as of</w:t>
            </w: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gridSpan w:val="2"/>
          </w:tcPr>
          <w:p>
            <w:pPr>
              <w:jc w:val="center"/>
              <w:ind w:right="140"/>
              <w:spacing w:after="0" w:line="168" w:lineRule="exact"/>
              <w:rPr>
                <w:sz w:val="20"/>
                <w:szCs w:val="20"/>
                <w:color w:val="auto"/>
              </w:rPr>
            </w:pPr>
            <w:r>
              <w:rPr>
                <w:rFonts w:ascii="Calibri" w:cs="Calibri" w:eastAsia="Calibri" w:hAnsi="Calibri"/>
                <w:sz w:val="14"/>
                <w:szCs w:val="14"/>
                <w:b w:val="1"/>
                <w:bCs w:val="1"/>
                <w:color w:val="auto"/>
                <w:w w:val="98"/>
              </w:rPr>
              <w:t>Fiscal Year</w:t>
            </w:r>
          </w:p>
        </w:tc>
        <w:tc>
          <w:tcPr>
            <w:tcW w:w="1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2"/>
        </w:trPr>
        <w:tc>
          <w:tcPr>
            <w:tcW w:w="342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vMerge w:val="restart"/>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4"/>
        </w:trPr>
        <w:tc>
          <w:tcPr>
            <w:tcW w:w="3420" w:type="dxa"/>
            <w:vAlign w:val="bottom"/>
          </w:tcPr>
          <w:p>
            <w:pPr>
              <w:spacing w:after="0"/>
              <w:rPr>
                <w:sz w:val="10"/>
                <w:szCs w:val="10"/>
                <w:color w:val="auto"/>
              </w:rPr>
            </w:pPr>
          </w:p>
        </w:tc>
        <w:tc>
          <w:tcPr>
            <w:tcW w:w="1380" w:type="dxa"/>
            <w:vAlign w:val="bottom"/>
          </w:tcPr>
          <w:p>
            <w:pPr>
              <w:jc w:val="center"/>
              <w:ind w:left="102"/>
              <w:spacing w:after="0" w:line="124" w:lineRule="exact"/>
              <w:rPr>
                <w:sz w:val="20"/>
                <w:szCs w:val="20"/>
                <w:color w:val="auto"/>
              </w:rPr>
            </w:pPr>
            <w:r>
              <w:rPr>
                <w:rFonts w:ascii="Calibri" w:cs="Calibri" w:eastAsia="Calibri" w:hAnsi="Calibri"/>
                <w:sz w:val="13"/>
                <w:szCs w:val="13"/>
                <w:b w:val="1"/>
                <w:bCs w:val="1"/>
                <w:color w:val="auto"/>
              </w:rPr>
              <w:t>October 29,</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40" w:type="dxa"/>
            <w:vAlign w:val="bottom"/>
          </w:tcPr>
          <w:p>
            <w:pPr>
              <w:jc w:val="center"/>
              <w:spacing w:after="0" w:line="124" w:lineRule="exact"/>
              <w:rPr>
                <w:sz w:val="20"/>
                <w:szCs w:val="20"/>
                <w:color w:val="auto"/>
              </w:rPr>
            </w:pPr>
            <w:r>
              <w:rPr>
                <w:rFonts w:ascii="Calibri" w:cs="Calibri" w:eastAsia="Calibri" w:hAnsi="Calibri"/>
                <w:sz w:val="13"/>
                <w:szCs w:val="13"/>
                <w:b w:val="1"/>
                <w:bCs w:val="1"/>
                <w:color w:val="auto"/>
              </w:rPr>
              <w:t>October 30,</w:t>
            </w:r>
          </w:p>
        </w:tc>
        <w:tc>
          <w:tcPr>
            <w:tcW w:w="100" w:type="dxa"/>
            <w:vAlign w:val="bottom"/>
            <w:vMerge w:val="continue"/>
          </w:tcPr>
          <w:p>
            <w:pPr>
              <w:spacing w:after="0"/>
              <w:rPr>
                <w:sz w:val="10"/>
                <w:szCs w:val="10"/>
                <w:color w:val="auto"/>
              </w:rPr>
            </w:pPr>
          </w:p>
        </w:tc>
        <w:tc>
          <w:tcPr>
            <w:tcW w:w="1460" w:type="dxa"/>
            <w:vAlign w:val="bottom"/>
            <w:vMerge w:val="restart"/>
          </w:tcPr>
          <w:p>
            <w:pPr>
              <w:jc w:val="center"/>
              <w:spacing w:after="0"/>
              <w:rPr>
                <w:sz w:val="20"/>
                <w:szCs w:val="20"/>
                <w:color w:val="auto"/>
              </w:rPr>
            </w:pPr>
            <w:r>
              <w:rPr>
                <w:rFonts w:ascii="Calibri" w:cs="Calibri" w:eastAsia="Calibri" w:hAnsi="Calibri"/>
                <w:sz w:val="14"/>
                <w:szCs w:val="14"/>
                <w:b w:val="1"/>
                <w:bCs w:val="1"/>
                <w:color w:val="auto"/>
                <w:w w:val="98"/>
              </w:rPr>
              <w:t>2023</w:t>
            </w:r>
          </w:p>
        </w:tc>
        <w:tc>
          <w:tcPr>
            <w:tcW w:w="100" w:type="dxa"/>
            <w:vAlign w:val="bottom"/>
          </w:tcPr>
          <w:p>
            <w:pPr>
              <w:spacing w:after="0"/>
              <w:rPr>
                <w:sz w:val="10"/>
                <w:szCs w:val="10"/>
                <w:color w:val="auto"/>
              </w:rPr>
            </w:pPr>
          </w:p>
        </w:tc>
        <w:tc>
          <w:tcPr>
            <w:tcW w:w="1440" w:type="dxa"/>
            <w:vAlign w:val="bottom"/>
            <w:vMerge w:val="restart"/>
          </w:tcPr>
          <w:p>
            <w:pPr>
              <w:jc w:val="center"/>
              <w:spacing w:after="0"/>
              <w:rPr>
                <w:sz w:val="20"/>
                <w:szCs w:val="20"/>
                <w:color w:val="auto"/>
              </w:rPr>
            </w:pPr>
            <w:r>
              <w:rPr>
                <w:rFonts w:ascii="Calibri" w:cs="Calibri" w:eastAsia="Calibri" w:hAnsi="Calibri"/>
                <w:sz w:val="14"/>
                <w:szCs w:val="14"/>
                <w:b w:val="1"/>
                <w:bCs w:val="1"/>
                <w:color w:val="auto"/>
                <w:w w:val="98"/>
              </w:rPr>
              <w:t>2022</w:t>
            </w:r>
          </w:p>
        </w:tc>
        <w:tc>
          <w:tcPr>
            <w:tcW w:w="100" w:type="dxa"/>
            <w:vAlign w:val="bottom"/>
          </w:tcPr>
          <w:p>
            <w:pPr>
              <w:spacing w:after="0"/>
              <w:rPr>
                <w:sz w:val="10"/>
                <w:szCs w:val="10"/>
                <w:color w:val="auto"/>
              </w:rPr>
            </w:pPr>
          </w:p>
        </w:tc>
        <w:tc>
          <w:tcPr>
            <w:tcW w:w="1420" w:type="dxa"/>
            <w:vAlign w:val="bottom"/>
            <w:vMerge w:val="restart"/>
          </w:tcPr>
          <w:p>
            <w:pPr>
              <w:jc w:val="center"/>
              <w:spacing w:after="0"/>
              <w:rPr>
                <w:sz w:val="20"/>
                <w:szCs w:val="20"/>
                <w:color w:val="auto"/>
              </w:rPr>
            </w:pPr>
            <w:r>
              <w:rPr>
                <w:rFonts w:ascii="Calibri" w:cs="Calibri" w:eastAsia="Calibri" w:hAnsi="Calibri"/>
                <w:sz w:val="14"/>
                <w:szCs w:val="14"/>
                <w:b w:val="1"/>
                <w:bCs w:val="1"/>
                <w:color w:val="auto"/>
              </w:rPr>
              <w:t>2021</w:t>
            </w:r>
          </w:p>
        </w:tc>
        <w:tc>
          <w:tcPr>
            <w:tcW w:w="0" w:type="dxa"/>
            <w:vAlign w:val="bottom"/>
          </w:tcPr>
          <w:p>
            <w:pPr>
              <w:spacing w:after="0"/>
              <w:rPr>
                <w:sz w:val="1"/>
                <w:szCs w:val="1"/>
                <w:color w:val="auto"/>
              </w:rPr>
            </w:pPr>
          </w:p>
        </w:tc>
      </w:tr>
      <w:tr>
        <w:trPr>
          <w:trHeight w:val="168"/>
        </w:trPr>
        <w:tc>
          <w:tcPr>
            <w:tcW w:w="3420" w:type="dxa"/>
            <w:vAlign w:val="bottom"/>
          </w:tcPr>
          <w:p>
            <w:pPr>
              <w:spacing w:after="0"/>
              <w:rPr>
                <w:sz w:val="14"/>
                <w:szCs w:val="14"/>
                <w:color w:val="auto"/>
              </w:rPr>
            </w:pPr>
          </w:p>
        </w:tc>
        <w:tc>
          <w:tcPr>
            <w:tcW w:w="1380" w:type="dxa"/>
            <w:vAlign w:val="bottom"/>
          </w:tcPr>
          <w:p>
            <w:pPr>
              <w:jc w:val="center"/>
              <w:ind w:left="102"/>
              <w:spacing w:after="0" w:line="168" w:lineRule="exact"/>
              <w:rPr>
                <w:sz w:val="20"/>
                <w:szCs w:val="20"/>
                <w:color w:val="auto"/>
              </w:rPr>
            </w:pPr>
            <w:r>
              <w:rPr>
                <w:rFonts w:ascii="Calibri" w:cs="Calibri" w:eastAsia="Calibri" w:hAnsi="Calibri"/>
                <w:sz w:val="14"/>
                <w:szCs w:val="14"/>
                <w:b w:val="1"/>
                <w:bCs w:val="1"/>
                <w:color w:val="auto"/>
                <w:w w:val="98"/>
              </w:rPr>
              <w:t>2023</w:t>
            </w:r>
          </w:p>
        </w:tc>
        <w:tc>
          <w:tcPr>
            <w:tcW w:w="1820" w:type="dxa"/>
            <w:vAlign w:val="bottom"/>
            <w:gridSpan w:val="3"/>
          </w:tcPr>
          <w:p>
            <w:pPr>
              <w:jc w:val="center"/>
              <w:ind w:left="204"/>
              <w:spacing w:after="0" w:line="168" w:lineRule="exact"/>
              <w:rPr>
                <w:sz w:val="20"/>
                <w:szCs w:val="20"/>
                <w:color w:val="auto"/>
              </w:rPr>
            </w:pPr>
            <w:r>
              <w:rPr>
                <w:rFonts w:ascii="Calibri" w:cs="Calibri" w:eastAsia="Calibri" w:hAnsi="Calibri"/>
                <w:sz w:val="14"/>
                <w:szCs w:val="14"/>
                <w:b w:val="1"/>
                <w:bCs w:val="1"/>
                <w:color w:val="auto"/>
              </w:rPr>
              <w:t>2022</w:t>
            </w:r>
          </w:p>
        </w:tc>
        <w:tc>
          <w:tcPr>
            <w:tcW w:w="100" w:type="dxa"/>
            <w:vAlign w:val="bottom"/>
          </w:tcPr>
          <w:p>
            <w:pPr>
              <w:spacing w:after="0"/>
              <w:rPr>
                <w:sz w:val="14"/>
                <w:szCs w:val="14"/>
                <w:color w:val="auto"/>
              </w:rPr>
            </w:pPr>
          </w:p>
        </w:tc>
        <w:tc>
          <w:tcPr>
            <w:tcW w:w="14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2"/>
        </w:trPr>
        <w:tc>
          <w:tcPr>
            <w:tcW w:w="342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3420" w:type="dxa"/>
            <w:vAlign w:val="bottom"/>
            <w:shd w:val="clear" w:color="auto" w:fill="CCEEFF"/>
          </w:tcPr>
          <w:p>
            <w:pPr>
              <w:ind w:left="140"/>
              <w:spacing w:after="0" w:line="196" w:lineRule="exact"/>
              <w:rPr>
                <w:sz w:val="20"/>
                <w:szCs w:val="20"/>
                <w:color w:val="auto"/>
              </w:rPr>
            </w:pPr>
            <w:r>
              <w:rPr>
                <w:rFonts w:ascii="Calibri" w:cs="Calibri" w:eastAsia="Calibri" w:hAnsi="Calibri"/>
                <w:sz w:val="18"/>
                <w:szCs w:val="18"/>
                <w:color w:val="auto"/>
              </w:rPr>
              <w:t>Discount rate</w:t>
            </w:r>
          </w:p>
        </w:tc>
        <w:tc>
          <w:tcPr>
            <w:tcW w:w="1380" w:type="dxa"/>
            <w:vAlign w:val="bottom"/>
            <w:shd w:val="clear" w:color="auto" w:fill="CCEEFF"/>
          </w:tcPr>
          <w:p>
            <w:pPr>
              <w:jc w:val="center"/>
              <w:ind w:left="102"/>
              <w:spacing w:after="0" w:line="210" w:lineRule="exact"/>
              <w:rPr>
                <w:sz w:val="20"/>
                <w:szCs w:val="20"/>
                <w:color w:val="auto"/>
              </w:rPr>
            </w:pPr>
            <w:r>
              <w:rPr>
                <w:rFonts w:ascii="Calibri" w:cs="Calibri" w:eastAsia="Calibri" w:hAnsi="Calibri"/>
                <w:sz w:val="18"/>
                <w:szCs w:val="18"/>
                <w:color w:val="auto"/>
                <w:w w:val="96"/>
              </w:rPr>
              <w:t>1.75%-7.00%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jc w:val="center"/>
              <w:spacing w:after="0" w:line="210" w:lineRule="exact"/>
              <w:rPr>
                <w:sz w:val="20"/>
                <w:szCs w:val="20"/>
                <w:color w:val="auto"/>
              </w:rPr>
            </w:pPr>
            <w:r>
              <w:rPr>
                <w:rFonts w:ascii="Calibri" w:cs="Calibri" w:eastAsia="Calibri" w:hAnsi="Calibri"/>
                <w:sz w:val="18"/>
                <w:szCs w:val="18"/>
                <w:color w:val="auto"/>
                <w:w w:val="94"/>
              </w:rPr>
              <w:t>1.25%-7.25%</w:t>
            </w: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jc w:val="center"/>
              <w:spacing w:after="0" w:line="210" w:lineRule="exact"/>
              <w:rPr>
                <w:sz w:val="20"/>
                <w:szCs w:val="20"/>
                <w:color w:val="auto"/>
              </w:rPr>
            </w:pPr>
            <w:r>
              <w:rPr>
                <w:rFonts w:ascii="Calibri" w:cs="Calibri" w:eastAsia="Calibri" w:hAnsi="Calibri"/>
                <w:sz w:val="18"/>
                <w:szCs w:val="18"/>
                <w:color w:val="auto"/>
                <w:w w:val="94"/>
              </w:rPr>
              <w:t>1.25%-7.25%</w:t>
            </w: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jc w:val="center"/>
              <w:spacing w:after="0" w:line="210" w:lineRule="exact"/>
              <w:rPr>
                <w:sz w:val="20"/>
                <w:szCs w:val="20"/>
                <w:color w:val="auto"/>
              </w:rPr>
            </w:pPr>
            <w:r>
              <w:rPr>
                <w:rFonts w:ascii="Calibri" w:cs="Calibri" w:eastAsia="Calibri" w:hAnsi="Calibri"/>
                <w:sz w:val="18"/>
                <w:szCs w:val="18"/>
                <w:color w:val="auto"/>
                <w:w w:val="96"/>
              </w:rPr>
              <w:t>0.75%-6.50%</w:t>
            </w: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jc w:val="center"/>
              <w:spacing w:after="0" w:line="210" w:lineRule="exact"/>
              <w:rPr>
                <w:sz w:val="20"/>
                <w:szCs w:val="20"/>
                <w:color w:val="auto"/>
              </w:rPr>
            </w:pPr>
            <w:r>
              <w:rPr>
                <w:rFonts w:ascii="Calibri" w:cs="Calibri" w:eastAsia="Calibri" w:hAnsi="Calibri"/>
                <w:sz w:val="18"/>
                <w:szCs w:val="18"/>
                <w:color w:val="auto"/>
                <w:w w:val="94"/>
              </w:rPr>
              <w:t>0.61%-6.54%</w:t>
            </w:r>
          </w:p>
        </w:tc>
        <w:tc>
          <w:tcPr>
            <w:tcW w:w="0" w:type="dxa"/>
            <w:vAlign w:val="bottom"/>
          </w:tcPr>
          <w:p>
            <w:pPr>
              <w:spacing w:after="0"/>
              <w:rPr>
                <w:sz w:val="1"/>
                <w:szCs w:val="1"/>
                <w:color w:val="auto"/>
              </w:rPr>
            </w:pPr>
          </w:p>
        </w:tc>
      </w:tr>
      <w:tr>
        <w:trPr>
          <w:trHeight w:val="217"/>
        </w:trPr>
        <w:tc>
          <w:tcPr>
            <w:tcW w:w="3420" w:type="dxa"/>
            <w:vAlign w:val="bottom"/>
          </w:tcPr>
          <w:p>
            <w:pPr>
              <w:ind w:left="140"/>
              <w:spacing w:after="0" w:line="210" w:lineRule="exact"/>
              <w:rPr>
                <w:sz w:val="20"/>
                <w:szCs w:val="20"/>
                <w:color w:val="auto"/>
              </w:rPr>
            </w:pPr>
            <w:r>
              <w:rPr>
                <w:rFonts w:ascii="Calibri" w:cs="Calibri" w:eastAsia="Calibri" w:hAnsi="Calibri"/>
                <w:sz w:val="18"/>
                <w:szCs w:val="18"/>
                <w:color w:val="auto"/>
              </w:rPr>
              <w:t>Average increase in compensaton levels</w:t>
            </w:r>
          </w:p>
        </w:tc>
        <w:tc>
          <w:tcPr>
            <w:tcW w:w="1380" w:type="dxa"/>
            <w:vAlign w:val="bottom"/>
          </w:tcPr>
          <w:p>
            <w:pPr>
              <w:jc w:val="center"/>
              <w:ind w:left="102"/>
              <w:spacing w:after="0" w:line="210" w:lineRule="exact"/>
              <w:rPr>
                <w:sz w:val="20"/>
                <w:szCs w:val="20"/>
                <w:color w:val="auto"/>
              </w:rPr>
            </w:pPr>
            <w:r>
              <w:rPr>
                <w:rFonts w:ascii="Calibri" w:cs="Calibri" w:eastAsia="Calibri" w:hAnsi="Calibri"/>
                <w:sz w:val="18"/>
                <w:szCs w:val="18"/>
                <w:color w:val="auto"/>
                <w:w w:val="95"/>
              </w:rPr>
              <w:t>2.00%-10.00%</w:t>
            </w:r>
          </w:p>
        </w:tc>
        <w:tc>
          <w:tcPr>
            <w:tcW w:w="1820" w:type="dxa"/>
            <w:vAlign w:val="bottom"/>
            <w:gridSpan w:val="3"/>
          </w:tcPr>
          <w:p>
            <w:pPr>
              <w:jc w:val="center"/>
              <w:ind w:left="204"/>
              <w:spacing w:after="0" w:line="210" w:lineRule="exact"/>
              <w:rPr>
                <w:sz w:val="20"/>
                <w:szCs w:val="20"/>
                <w:color w:val="auto"/>
              </w:rPr>
            </w:pPr>
            <w:r>
              <w:rPr>
                <w:rFonts w:ascii="Calibri" w:cs="Calibri" w:eastAsia="Calibri" w:hAnsi="Calibri"/>
                <w:sz w:val="18"/>
                <w:szCs w:val="18"/>
                <w:color w:val="auto"/>
                <w:w w:val="94"/>
              </w:rPr>
              <w:t>2.00%-10.00%</w:t>
            </w:r>
          </w:p>
        </w:tc>
        <w:tc>
          <w:tcPr>
            <w:tcW w:w="100" w:type="dxa"/>
            <w:vAlign w:val="bottom"/>
          </w:tcPr>
          <w:p>
            <w:pPr>
              <w:spacing w:after="0"/>
              <w:rPr>
                <w:sz w:val="18"/>
                <w:szCs w:val="18"/>
                <w:color w:val="auto"/>
              </w:rPr>
            </w:pPr>
          </w:p>
        </w:tc>
        <w:tc>
          <w:tcPr>
            <w:tcW w:w="1460" w:type="dxa"/>
            <w:vAlign w:val="bottom"/>
          </w:tcPr>
          <w:p>
            <w:pPr>
              <w:jc w:val="center"/>
              <w:spacing w:after="0" w:line="210" w:lineRule="exact"/>
              <w:rPr>
                <w:sz w:val="20"/>
                <w:szCs w:val="20"/>
                <w:color w:val="auto"/>
              </w:rPr>
            </w:pPr>
            <w:r>
              <w:rPr>
                <w:rFonts w:ascii="Calibri" w:cs="Calibri" w:eastAsia="Calibri" w:hAnsi="Calibri"/>
                <w:sz w:val="18"/>
                <w:szCs w:val="18"/>
                <w:color w:val="auto"/>
                <w:w w:val="95"/>
              </w:rPr>
              <w:t>2.00%-10.00%</w:t>
            </w:r>
          </w:p>
        </w:tc>
        <w:tc>
          <w:tcPr>
            <w:tcW w:w="100" w:type="dxa"/>
            <w:vAlign w:val="bottom"/>
          </w:tcPr>
          <w:p>
            <w:pPr>
              <w:spacing w:after="0"/>
              <w:rPr>
                <w:sz w:val="18"/>
                <w:szCs w:val="18"/>
                <w:color w:val="auto"/>
              </w:rPr>
            </w:pPr>
          </w:p>
        </w:tc>
        <w:tc>
          <w:tcPr>
            <w:tcW w:w="1440" w:type="dxa"/>
            <w:vAlign w:val="bottom"/>
          </w:tcPr>
          <w:p>
            <w:pPr>
              <w:jc w:val="center"/>
              <w:spacing w:after="0" w:line="210" w:lineRule="exact"/>
              <w:rPr>
                <w:sz w:val="20"/>
                <w:szCs w:val="20"/>
                <w:color w:val="auto"/>
              </w:rPr>
            </w:pPr>
            <w:r>
              <w:rPr>
                <w:rFonts w:ascii="Calibri" w:cs="Calibri" w:eastAsia="Calibri" w:hAnsi="Calibri"/>
                <w:sz w:val="18"/>
                <w:szCs w:val="18"/>
                <w:color w:val="auto"/>
                <w:w w:val="95"/>
              </w:rPr>
              <w:t>2.00%-10.00%</w:t>
            </w:r>
          </w:p>
        </w:tc>
        <w:tc>
          <w:tcPr>
            <w:tcW w:w="100" w:type="dxa"/>
            <w:vAlign w:val="bottom"/>
          </w:tcPr>
          <w:p>
            <w:pPr>
              <w:spacing w:after="0"/>
              <w:rPr>
                <w:sz w:val="18"/>
                <w:szCs w:val="18"/>
                <w:color w:val="auto"/>
              </w:rPr>
            </w:pPr>
          </w:p>
        </w:tc>
        <w:tc>
          <w:tcPr>
            <w:tcW w:w="1420" w:type="dxa"/>
            <w:vAlign w:val="bottom"/>
          </w:tcPr>
          <w:p>
            <w:pPr>
              <w:jc w:val="center"/>
              <w:spacing w:after="0" w:line="210" w:lineRule="exact"/>
              <w:rPr>
                <w:sz w:val="20"/>
                <w:szCs w:val="20"/>
                <w:color w:val="auto"/>
              </w:rPr>
            </w:pPr>
            <w:r>
              <w:rPr>
                <w:rFonts w:ascii="Calibri" w:cs="Calibri" w:eastAsia="Calibri" w:hAnsi="Calibri"/>
                <w:sz w:val="18"/>
                <w:szCs w:val="18"/>
                <w:color w:val="auto"/>
                <w:w w:val="94"/>
              </w:rPr>
              <w:t>2.00%-10.00%</w:t>
            </w:r>
          </w:p>
        </w:tc>
        <w:tc>
          <w:tcPr>
            <w:tcW w:w="0" w:type="dxa"/>
            <w:vAlign w:val="bottom"/>
          </w:tcPr>
          <w:p>
            <w:pPr>
              <w:spacing w:after="0"/>
              <w:rPr>
                <w:sz w:val="1"/>
                <w:szCs w:val="1"/>
                <w:color w:val="auto"/>
              </w:rPr>
            </w:pPr>
          </w:p>
        </w:tc>
      </w:tr>
      <w:tr>
        <w:trPr>
          <w:trHeight w:val="232"/>
        </w:trPr>
        <w:tc>
          <w:tcPr>
            <w:tcW w:w="3420" w:type="dxa"/>
            <w:vAlign w:val="bottom"/>
            <w:shd w:val="clear" w:color="auto" w:fill="CCEEFF"/>
          </w:tcPr>
          <w:p>
            <w:pPr>
              <w:ind w:left="140"/>
              <w:spacing w:after="0" w:line="217" w:lineRule="exact"/>
              <w:rPr>
                <w:sz w:val="20"/>
                <w:szCs w:val="20"/>
                <w:color w:val="auto"/>
              </w:rPr>
            </w:pPr>
            <w:r>
              <w:rPr>
                <w:rFonts w:ascii="Calibri" w:cs="Calibri" w:eastAsia="Calibri" w:hAnsi="Calibri"/>
                <w:sz w:val="18"/>
                <w:szCs w:val="18"/>
                <w:color w:val="auto"/>
              </w:rPr>
              <w:t>Expected long-term return on assets</w:t>
            </w:r>
          </w:p>
        </w:tc>
        <w:tc>
          <w:tcPr>
            <w:tcW w:w="1380" w:type="dxa"/>
            <w:vAlign w:val="bottom"/>
            <w:shd w:val="clear" w:color="auto" w:fill="CCEEFF"/>
          </w:tcPr>
          <w:p>
            <w:pPr>
              <w:jc w:val="center"/>
              <w:ind w:left="102"/>
              <w:spacing w:after="0" w:line="217" w:lineRule="exact"/>
              <w:rPr>
                <w:sz w:val="20"/>
                <w:szCs w:val="20"/>
                <w:color w:val="auto"/>
              </w:rPr>
            </w:pPr>
            <w:r>
              <w:rPr>
                <w:rFonts w:ascii="Calibri" w:cs="Calibri" w:eastAsia="Calibri" w:hAnsi="Calibri"/>
                <w:sz w:val="18"/>
                <w:szCs w:val="18"/>
                <w:color w:val="auto"/>
                <w:w w:val="96"/>
              </w:rPr>
              <w:t>N/A</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40" w:type="dxa"/>
            <w:vAlign w:val="bottom"/>
            <w:gridSpan w:val="2"/>
            <w:shd w:val="clear" w:color="auto" w:fill="CCEEFF"/>
          </w:tcPr>
          <w:p>
            <w:pPr>
              <w:jc w:val="center"/>
              <w:ind w:right="100"/>
              <w:spacing w:after="0" w:line="217" w:lineRule="exact"/>
              <w:rPr>
                <w:sz w:val="20"/>
                <w:szCs w:val="20"/>
                <w:color w:val="auto"/>
              </w:rPr>
            </w:pPr>
            <w:r>
              <w:rPr>
                <w:rFonts w:ascii="Calibri" w:cs="Calibri" w:eastAsia="Calibri" w:hAnsi="Calibri"/>
                <w:sz w:val="18"/>
                <w:szCs w:val="18"/>
                <w:color w:val="auto"/>
                <w:w w:val="89"/>
              </w:rPr>
              <w:t>N/A</w:t>
            </w:r>
          </w:p>
        </w:tc>
        <w:tc>
          <w:tcPr>
            <w:tcW w:w="1460" w:type="dxa"/>
            <w:vAlign w:val="bottom"/>
            <w:shd w:val="clear" w:color="auto" w:fill="CCEEFF"/>
          </w:tcPr>
          <w:p>
            <w:pPr>
              <w:jc w:val="center"/>
              <w:spacing w:after="0" w:line="217" w:lineRule="exact"/>
              <w:rPr>
                <w:sz w:val="20"/>
                <w:szCs w:val="20"/>
                <w:color w:val="auto"/>
              </w:rPr>
            </w:pPr>
            <w:r>
              <w:rPr>
                <w:rFonts w:ascii="Calibri" w:cs="Calibri" w:eastAsia="Calibri" w:hAnsi="Calibri"/>
                <w:sz w:val="18"/>
                <w:szCs w:val="18"/>
                <w:color w:val="auto"/>
                <w:w w:val="94"/>
              </w:rPr>
              <w:t>2.50%-7.00%</w:t>
            </w:r>
          </w:p>
        </w:tc>
        <w:tc>
          <w:tcPr>
            <w:tcW w:w="100" w:type="dxa"/>
            <w:vAlign w:val="bottom"/>
            <w:shd w:val="clear" w:color="auto" w:fill="CCEEFF"/>
          </w:tcPr>
          <w:p>
            <w:pPr>
              <w:spacing w:after="0"/>
              <w:rPr>
                <w:sz w:val="20"/>
                <w:szCs w:val="20"/>
                <w:color w:val="auto"/>
              </w:rPr>
            </w:pPr>
          </w:p>
        </w:tc>
        <w:tc>
          <w:tcPr>
            <w:tcW w:w="1440" w:type="dxa"/>
            <w:vAlign w:val="bottom"/>
            <w:shd w:val="clear" w:color="auto" w:fill="CCEEFF"/>
          </w:tcPr>
          <w:p>
            <w:pPr>
              <w:jc w:val="center"/>
              <w:spacing w:after="0" w:line="217" w:lineRule="exact"/>
              <w:rPr>
                <w:sz w:val="20"/>
                <w:szCs w:val="20"/>
                <w:color w:val="auto"/>
              </w:rPr>
            </w:pPr>
            <w:r>
              <w:rPr>
                <w:rFonts w:ascii="Calibri" w:cs="Calibri" w:eastAsia="Calibri" w:hAnsi="Calibri"/>
                <w:sz w:val="18"/>
                <w:szCs w:val="18"/>
                <w:color w:val="auto"/>
                <w:w w:val="96"/>
              </w:rPr>
              <w:t>1.50%-7.25%</w:t>
            </w:r>
          </w:p>
        </w:tc>
        <w:tc>
          <w:tcPr>
            <w:tcW w:w="100" w:type="dxa"/>
            <w:vAlign w:val="bottom"/>
            <w:shd w:val="clear" w:color="auto" w:fill="CCEEFF"/>
          </w:tcPr>
          <w:p>
            <w:pPr>
              <w:spacing w:after="0"/>
              <w:rPr>
                <w:sz w:val="20"/>
                <w:szCs w:val="20"/>
                <w:color w:val="auto"/>
              </w:rPr>
            </w:pPr>
          </w:p>
        </w:tc>
        <w:tc>
          <w:tcPr>
            <w:tcW w:w="1420" w:type="dxa"/>
            <w:vAlign w:val="bottom"/>
            <w:shd w:val="clear" w:color="auto" w:fill="CCEEFF"/>
          </w:tcPr>
          <w:p>
            <w:pPr>
              <w:jc w:val="center"/>
              <w:spacing w:after="0" w:line="217" w:lineRule="exact"/>
              <w:rPr>
                <w:sz w:val="20"/>
                <w:szCs w:val="20"/>
                <w:color w:val="auto"/>
              </w:rPr>
            </w:pPr>
            <w:r>
              <w:rPr>
                <w:rFonts w:ascii="Calibri" w:cs="Calibri" w:eastAsia="Calibri" w:hAnsi="Calibri"/>
                <w:sz w:val="18"/>
                <w:szCs w:val="18"/>
                <w:color w:val="auto"/>
                <w:w w:val="94"/>
              </w:rPr>
              <w:t>1.00%-8.00%</w:t>
            </w:r>
          </w:p>
        </w:tc>
        <w:tc>
          <w:tcPr>
            <w:tcW w:w="0" w:type="dxa"/>
            <w:vAlign w:val="bottom"/>
          </w:tcPr>
          <w:p>
            <w:pPr>
              <w:spacing w:after="0"/>
              <w:rPr>
                <w:sz w:val="1"/>
                <w:szCs w:val="1"/>
                <w:color w:val="auto"/>
              </w:rPr>
            </w:pPr>
          </w:p>
        </w:tc>
      </w:tr>
    </w:tbl>
    <w:p>
      <w:pPr>
        <w:spacing w:after="0" w:line="168"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Defned Contributon Plans</w:t>
      </w:r>
    </w:p>
    <w:p>
      <w:pPr>
        <w:spacing w:after="0" w:line="107" w:lineRule="exact"/>
        <w:rPr>
          <w:sz w:val="20"/>
          <w:szCs w:val="20"/>
          <w:color w:val="auto"/>
        </w:rPr>
      </w:pPr>
    </w:p>
    <w:p>
      <w:pPr>
        <w:jc w:val="both"/>
        <w:ind w:right="40" w:firstLine="396"/>
        <w:spacing w:after="0" w:line="230" w:lineRule="auto"/>
        <w:rPr>
          <w:sz w:val="20"/>
          <w:szCs w:val="20"/>
          <w:color w:val="auto"/>
        </w:rPr>
      </w:pPr>
      <w:r>
        <w:rPr>
          <w:rFonts w:ascii="Calibri" w:cs="Calibri" w:eastAsia="Calibri" w:hAnsi="Calibri"/>
          <w:sz w:val="18"/>
          <w:szCs w:val="18"/>
          <w:color w:val="auto"/>
        </w:rPr>
        <w:t>Our eligible U.S. employees partcipate in a company-sponsored 401(k) plan. Under the plan, we match employee contributons dollar for dollar up to 6% of their eligible earnings. All matching contributons vest immediately. During fscal years 2023, 2022 and 2021, we made contributons of $100 million, $96 million and $94 million, respectvely, to the 401(k) plan.</w:t>
      </w:r>
    </w:p>
    <w:p>
      <w:pPr>
        <w:spacing w:after="0" w:line="98" w:lineRule="exact"/>
        <w:rPr>
          <w:sz w:val="20"/>
          <w:szCs w:val="20"/>
          <w:color w:val="auto"/>
        </w:rPr>
      </w:pPr>
    </w:p>
    <w:p>
      <w:pPr>
        <w:ind w:left="400"/>
        <w:spacing w:after="0"/>
        <w:rPr>
          <w:sz w:val="20"/>
          <w:szCs w:val="20"/>
          <w:color w:val="auto"/>
        </w:rPr>
      </w:pPr>
      <w:r>
        <w:rPr>
          <w:rFonts w:ascii="Calibri" w:cs="Calibri" w:eastAsia="Calibri" w:hAnsi="Calibri"/>
          <w:sz w:val="18"/>
          <w:szCs w:val="18"/>
          <w:color w:val="auto"/>
        </w:rPr>
        <w:t>In additon, other eligible employees outside of the U.S. receive retrement benefts under various defned contributon retrement plans.</w:t>
      </w: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9" w:right="339" w:bottom="1440" w:gutter="0" w:footer="0" w:header="0"/>
        </w:sectPr>
      </w:pPr>
    </w:p>
    <w:bookmarkStart w:id="74" w:name="page75"/>
    <w:bookmarkEnd w:id="74"/>
    <w:p>
      <w:pPr>
        <w:spacing w:after="0"/>
        <w:rPr>
          <w:sz w:val="20"/>
          <w:szCs w:val="20"/>
          <w:color w:val="auto"/>
        </w:rPr>
      </w:pPr>
      <w:r>
        <w:rPr>
          <w:rFonts w:ascii="Calibri" w:cs="Calibri" w:eastAsia="Calibri" w:hAnsi="Calibri"/>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9. Borrowings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280" w:type="dxa"/>
            <w:vAlign w:val="bottom"/>
            <w:gridSpan w:val="3"/>
            <w:vMerge w:val="restart"/>
          </w:tcPr>
          <w:p>
            <w:pPr>
              <w:ind w:left="280"/>
              <w:spacing w:after="0"/>
              <w:rPr>
                <w:sz w:val="20"/>
                <w:szCs w:val="20"/>
                <w:color w:val="auto"/>
              </w:rPr>
            </w:pPr>
            <w:r>
              <w:rPr>
                <w:rFonts w:ascii="Calibri" w:cs="Calibri" w:eastAsia="Calibri" w:hAnsi="Calibri"/>
                <w:sz w:val="14"/>
                <w:szCs w:val="14"/>
                <w:b w:val="1"/>
                <w:bCs w:val="1"/>
                <w:color w:val="auto"/>
              </w:rPr>
              <w:t>Efectve Interest Rate</w:t>
            </w:r>
          </w:p>
        </w:tc>
        <w:tc>
          <w:tcPr>
            <w:tcW w:w="1520" w:type="dxa"/>
            <w:vAlign w:val="bottom"/>
            <w:gridSpan w:val="2"/>
          </w:tcPr>
          <w:p>
            <w:pPr>
              <w:ind w:left="200"/>
              <w:spacing w:after="0"/>
              <w:rPr>
                <w:sz w:val="20"/>
                <w:szCs w:val="20"/>
                <w:color w:val="auto"/>
              </w:rPr>
            </w:pPr>
            <w:r>
              <w:rPr>
                <w:rFonts w:ascii="Calibri" w:cs="Calibri" w:eastAsia="Calibri" w:hAnsi="Calibri"/>
                <w:sz w:val="14"/>
                <w:szCs w:val="14"/>
                <w:b w:val="1"/>
                <w:bCs w:val="1"/>
                <w:color w:val="auto"/>
              </w:rPr>
              <w:t>October 29,</w:t>
            </w:r>
          </w:p>
        </w:tc>
        <w:tc>
          <w:tcPr>
            <w:tcW w:w="300" w:type="dxa"/>
            <w:vAlign w:val="bottom"/>
          </w:tcPr>
          <w:p>
            <w:pPr>
              <w:spacing w:after="0"/>
              <w:rPr>
                <w:sz w:val="14"/>
                <w:szCs w:val="14"/>
                <w:color w:val="auto"/>
              </w:rPr>
            </w:pPr>
          </w:p>
        </w:tc>
        <w:tc>
          <w:tcPr>
            <w:tcW w:w="1420" w:type="dxa"/>
            <w:vAlign w:val="bottom"/>
          </w:tcPr>
          <w:p>
            <w:pPr>
              <w:jc w:val="right"/>
              <w:ind w:right="433"/>
              <w:spacing w:after="0"/>
              <w:rPr>
                <w:sz w:val="20"/>
                <w:szCs w:val="20"/>
                <w:color w:val="auto"/>
              </w:rPr>
            </w:pPr>
            <w:r>
              <w:rPr>
                <w:rFonts w:ascii="Calibri" w:cs="Calibri" w:eastAsia="Calibri" w:hAnsi="Calibri"/>
                <w:sz w:val="14"/>
                <w:szCs w:val="14"/>
                <w:b w:val="1"/>
                <w:bCs w:val="1"/>
                <w:color w:val="auto"/>
              </w:rPr>
              <w:t>October 30,</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280" w:type="dxa"/>
            <w:vAlign w:val="bottom"/>
            <w:gridSpan w:val="3"/>
            <w:vMerge w:val="continue"/>
          </w:tcPr>
          <w:p>
            <w:pPr>
              <w:spacing w:after="0"/>
              <w:rPr>
                <w:sz w:val="14"/>
                <w:szCs w:val="14"/>
                <w:color w:val="auto"/>
              </w:rPr>
            </w:pPr>
          </w:p>
        </w:tc>
        <w:tc>
          <w:tcPr>
            <w:tcW w:w="1400" w:type="dxa"/>
            <w:vAlign w:val="bottom"/>
          </w:tcPr>
          <w:p>
            <w:pPr>
              <w:jc w:val="right"/>
              <w:ind w:right="633"/>
              <w:spacing w:after="0" w:line="168" w:lineRule="exact"/>
              <w:rPr>
                <w:sz w:val="20"/>
                <w:szCs w:val="20"/>
                <w:color w:val="auto"/>
              </w:rPr>
            </w:pPr>
            <w:r>
              <w:rPr>
                <w:rFonts w:ascii="Calibri" w:cs="Calibri" w:eastAsia="Calibri" w:hAnsi="Calibri"/>
                <w:sz w:val="14"/>
                <w:szCs w:val="14"/>
                <w:b w:val="1"/>
                <w:bCs w:val="1"/>
                <w:color w:val="auto"/>
              </w:rPr>
              <w:t>2023</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20" w:type="dxa"/>
            <w:vAlign w:val="bottom"/>
          </w:tcPr>
          <w:p>
            <w:pPr>
              <w:jc w:val="right"/>
              <w:ind w:right="633"/>
              <w:spacing w:after="0" w:line="168" w:lineRule="exact"/>
              <w:rPr>
                <w:sz w:val="20"/>
                <w:szCs w:val="20"/>
                <w:color w:val="auto"/>
              </w:rPr>
            </w:pPr>
            <w:r>
              <w:rPr>
                <w:rFonts w:ascii="Calibri" w:cs="Calibri" w:eastAsia="Calibri" w:hAnsi="Calibri"/>
                <w:sz w:val="14"/>
                <w:szCs w:val="14"/>
                <w:b w:val="1"/>
                <w:bCs w:val="1"/>
                <w:color w:val="auto"/>
              </w:rPr>
              <w:t>2022</w:t>
            </w: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2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Borders>
              <w:bottom w:val="single" w:sz="8" w:color="auto"/>
            </w:tcBorders>
            <w:gridSpan w:val="2"/>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3800" w:type="dxa"/>
            <w:vAlign w:val="bottom"/>
            <w:gridSpan w:val="5"/>
          </w:tcPr>
          <w:p>
            <w:pPr>
              <w:ind w:left="1820"/>
              <w:spacing w:after="0"/>
              <w:rPr>
                <w:sz w:val="20"/>
                <w:szCs w:val="20"/>
                <w:color w:val="auto"/>
              </w:rPr>
            </w:pPr>
            <w:r>
              <w:rPr>
                <w:rFonts w:ascii="Calibri" w:cs="Calibri" w:eastAsia="Calibri" w:hAnsi="Calibri"/>
                <w:sz w:val="14"/>
                <w:szCs w:val="14"/>
                <w:b w:val="1"/>
                <w:bCs w:val="1"/>
                <w:color w:val="auto"/>
              </w:rPr>
              <w:t>(In millions, except percentages)</w:t>
            </w:r>
          </w:p>
        </w:tc>
        <w:tc>
          <w:tcPr>
            <w:tcW w:w="3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206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320" w:type="dxa"/>
            <w:vAlign w:val="bottom"/>
          </w:tcPr>
          <w:p>
            <w:pPr>
              <w:spacing w:after="0"/>
              <w:rPr>
                <w:sz w:val="3"/>
                <w:szCs w:val="3"/>
                <w:color w:val="auto"/>
              </w:rPr>
            </w:pPr>
          </w:p>
        </w:tc>
        <w:tc>
          <w:tcPr>
            <w:tcW w:w="1500" w:type="dxa"/>
            <w:vAlign w:val="bottom"/>
          </w:tcPr>
          <w:p>
            <w:pPr>
              <w:spacing w:after="0"/>
              <w:rPr>
                <w:sz w:val="3"/>
                <w:szCs w:val="3"/>
                <w:color w:val="auto"/>
              </w:rPr>
            </w:pPr>
          </w:p>
        </w:tc>
        <w:tc>
          <w:tcPr>
            <w:tcW w:w="1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400" w:type="dxa"/>
            <w:vAlign w:val="bottom"/>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4"/>
        </w:trPr>
        <w:tc>
          <w:tcPr>
            <w:tcW w:w="20" w:type="dxa"/>
            <w:vAlign w:val="bottom"/>
            <w:tcBorders>
              <w:bottom w:val="single" w:sz="8" w:color="CCEEFF"/>
            </w:tcBorders>
            <w:shd w:val="clear" w:color="auto" w:fill="CCEEFF"/>
          </w:tcPr>
          <w:p>
            <w:pPr>
              <w:spacing w:after="0"/>
              <w:rPr>
                <w:sz w:val="17"/>
                <w:szCs w:val="17"/>
                <w:color w:val="auto"/>
              </w:rPr>
            </w:pPr>
          </w:p>
        </w:tc>
        <w:tc>
          <w:tcPr>
            <w:tcW w:w="2440" w:type="dxa"/>
            <w:vAlign w:val="bottom"/>
            <w:tcBorders>
              <w:bottom w:val="single" w:sz="8" w:color="auto"/>
            </w:tcBorders>
            <w:gridSpan w:val="4"/>
            <w:shd w:val="clear" w:color="auto" w:fill="CCEEFF"/>
          </w:tcPr>
          <w:p>
            <w:pPr>
              <w:spacing w:after="0" w:line="172" w:lineRule="exact"/>
              <w:rPr>
                <w:sz w:val="20"/>
                <w:szCs w:val="20"/>
                <w:color w:val="auto"/>
              </w:rPr>
            </w:pPr>
            <w:r>
              <w:rPr>
                <w:rFonts w:ascii="Calibri" w:cs="Calibri" w:eastAsia="Calibri" w:hAnsi="Calibri"/>
                <w:sz w:val="18"/>
                <w:szCs w:val="18"/>
                <w:color w:val="auto"/>
                <w:w w:val="95"/>
              </w:rPr>
              <w:t>April 2022 Senior Notes - fxed rate</w:t>
            </w:r>
          </w:p>
        </w:tc>
        <w:tc>
          <w:tcPr>
            <w:tcW w:w="1760" w:type="dxa"/>
            <w:vAlign w:val="bottom"/>
            <w:tcBorders>
              <w:bottom w:val="single" w:sz="8" w:color="CCEEFF"/>
            </w:tcBorders>
            <w:gridSpan w:val="4"/>
            <w:shd w:val="clear" w:color="auto" w:fill="CCEEFF"/>
          </w:tcPr>
          <w:p>
            <w:pPr>
              <w:spacing w:after="0"/>
              <w:rPr>
                <w:sz w:val="17"/>
                <w:szCs w:val="17"/>
                <w:color w:val="auto"/>
              </w:rPr>
            </w:pPr>
          </w:p>
        </w:tc>
        <w:tc>
          <w:tcPr>
            <w:tcW w:w="1500" w:type="dxa"/>
            <w:vAlign w:val="bottom"/>
            <w:tcBorders>
              <w:bottom w:val="single" w:sz="8" w:color="CCEEFF"/>
            </w:tcBorders>
            <w:shd w:val="clear" w:color="auto" w:fill="CCEEFF"/>
          </w:tcPr>
          <w:p>
            <w:pPr>
              <w:spacing w:after="0"/>
              <w:rPr>
                <w:sz w:val="17"/>
                <w:szCs w:val="17"/>
                <w:color w:val="auto"/>
              </w:rPr>
            </w:pPr>
          </w:p>
        </w:tc>
        <w:tc>
          <w:tcPr>
            <w:tcW w:w="18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4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4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200" w:type="dxa"/>
            <w:vAlign w:val="bottom"/>
            <w:gridSpan w:val="8"/>
          </w:tcPr>
          <w:p>
            <w:pPr>
              <w:ind w:left="100"/>
              <w:spacing w:after="0" w:line="210" w:lineRule="exact"/>
              <w:rPr>
                <w:sz w:val="20"/>
                <w:szCs w:val="20"/>
                <w:color w:val="auto"/>
              </w:rPr>
            </w:pPr>
            <w:r>
              <w:rPr>
                <w:rFonts w:ascii="Calibri" w:cs="Calibri" w:eastAsia="Calibri" w:hAnsi="Calibri"/>
                <w:sz w:val="18"/>
                <w:szCs w:val="18"/>
                <w:color w:val="auto"/>
              </w:rPr>
              <w:t>4.000% notes due April 2029</w:t>
            </w:r>
          </w:p>
        </w:tc>
        <w:tc>
          <w:tcPr>
            <w:tcW w:w="3780" w:type="dxa"/>
            <w:vAlign w:val="bottom"/>
            <w:gridSpan w:val="4"/>
          </w:tcPr>
          <w:p>
            <w:pPr>
              <w:ind w:left="2860"/>
              <w:spacing w:after="0" w:line="210" w:lineRule="exact"/>
              <w:rPr>
                <w:sz w:val="20"/>
                <w:szCs w:val="20"/>
                <w:color w:val="auto"/>
              </w:rPr>
            </w:pPr>
            <w:r>
              <w:rPr>
                <w:rFonts w:ascii="Calibri" w:cs="Calibri" w:eastAsia="Calibri" w:hAnsi="Calibri"/>
                <w:sz w:val="18"/>
                <w:szCs w:val="18"/>
                <w:color w:val="auto"/>
              </w:rPr>
              <w:t>4.17 %  $</w:t>
            </w:r>
          </w:p>
        </w:tc>
        <w:tc>
          <w:tcPr>
            <w:tcW w:w="1400" w:type="dxa"/>
            <w:vAlign w:val="bottom"/>
          </w:tcPr>
          <w:p>
            <w:pPr>
              <w:jc w:val="right"/>
              <w:spacing w:after="0" w:line="210" w:lineRule="exact"/>
              <w:rPr>
                <w:sz w:val="20"/>
                <w:szCs w:val="20"/>
                <w:color w:val="auto"/>
              </w:rPr>
            </w:pPr>
            <w:r>
              <w:rPr>
                <w:rFonts w:ascii="Calibri" w:cs="Calibri" w:eastAsia="Calibri" w:hAnsi="Calibri"/>
                <w:sz w:val="18"/>
                <w:szCs w:val="18"/>
                <w:color w:val="auto"/>
              </w:rPr>
              <w:t>750</w:t>
            </w:r>
          </w:p>
        </w:tc>
        <w:tc>
          <w:tcPr>
            <w:tcW w:w="120" w:type="dxa"/>
            <w:vAlign w:val="bottom"/>
          </w:tcPr>
          <w:p>
            <w:pPr>
              <w:spacing w:after="0"/>
              <w:rPr>
                <w:sz w:val="18"/>
                <w:szCs w:val="18"/>
                <w:color w:val="auto"/>
              </w:rPr>
            </w:pPr>
          </w:p>
        </w:tc>
        <w:tc>
          <w:tcPr>
            <w:tcW w:w="300" w:type="dxa"/>
            <w:vAlign w:val="bottom"/>
          </w:tcPr>
          <w:p>
            <w:pPr>
              <w:jc w:val="right"/>
              <w:ind w:right="112"/>
              <w:spacing w:after="0" w:line="210" w:lineRule="exact"/>
              <w:rPr>
                <w:sz w:val="20"/>
                <w:szCs w:val="20"/>
                <w:color w:val="auto"/>
              </w:rPr>
            </w:pPr>
            <w:r>
              <w:rPr>
                <w:rFonts w:ascii="Calibri" w:cs="Calibri" w:eastAsia="Calibri" w:hAnsi="Calibri"/>
                <w:sz w:val="18"/>
                <w:szCs w:val="18"/>
                <w:color w:val="auto"/>
                <w:w w:val="87"/>
              </w:rPr>
              <w:t>$</w:t>
            </w:r>
          </w:p>
        </w:tc>
        <w:tc>
          <w:tcPr>
            <w:tcW w:w="1420" w:type="dxa"/>
            <w:vAlign w:val="bottom"/>
          </w:tcPr>
          <w:p>
            <w:pPr>
              <w:jc w:val="right"/>
              <w:spacing w:after="0" w:line="210" w:lineRule="exact"/>
              <w:rPr>
                <w:sz w:val="20"/>
                <w:szCs w:val="20"/>
                <w:color w:val="auto"/>
              </w:rPr>
            </w:pPr>
            <w:r>
              <w:rPr>
                <w:rFonts w:ascii="Calibri" w:cs="Calibri" w:eastAsia="Calibri" w:hAnsi="Calibri"/>
                <w:sz w:val="18"/>
                <w:szCs w:val="18"/>
                <w:color w:val="auto"/>
              </w:rPr>
              <w:t>750</w:t>
            </w:r>
          </w:p>
        </w:tc>
        <w:tc>
          <w:tcPr>
            <w:tcW w:w="0" w:type="dxa"/>
            <w:vAlign w:val="bottom"/>
          </w:tcPr>
          <w:p>
            <w:pPr>
              <w:spacing w:after="0"/>
              <w:rPr>
                <w:sz w:val="1"/>
                <w:szCs w:val="1"/>
                <w:color w:val="auto"/>
              </w:rPr>
            </w:pPr>
          </w:p>
        </w:tc>
      </w:tr>
      <w:tr>
        <w:trPr>
          <w:trHeight w:val="232"/>
        </w:trPr>
        <w:tc>
          <w:tcPr>
            <w:tcW w:w="20" w:type="dxa"/>
            <w:vAlign w:val="bottom"/>
            <w:shd w:val="clear" w:color="auto" w:fill="CCEEFF"/>
          </w:tcPr>
          <w:p>
            <w:pPr>
              <w:spacing w:after="0"/>
              <w:rPr>
                <w:sz w:val="20"/>
                <w:szCs w:val="20"/>
                <w:color w:val="auto"/>
              </w:rPr>
            </w:pPr>
          </w:p>
        </w:tc>
        <w:tc>
          <w:tcPr>
            <w:tcW w:w="4200" w:type="dxa"/>
            <w:vAlign w:val="bottom"/>
            <w:gridSpan w:val="8"/>
            <w:shd w:val="clear" w:color="auto" w:fill="CCEEFF"/>
          </w:tcPr>
          <w:p>
            <w:pPr>
              <w:ind w:left="100"/>
              <w:spacing w:after="0" w:line="217" w:lineRule="exact"/>
              <w:rPr>
                <w:sz w:val="20"/>
                <w:szCs w:val="20"/>
                <w:color w:val="auto"/>
              </w:rPr>
            </w:pPr>
            <w:r>
              <w:rPr>
                <w:rFonts w:ascii="Calibri" w:cs="Calibri" w:eastAsia="Calibri" w:hAnsi="Calibri"/>
                <w:sz w:val="18"/>
                <w:szCs w:val="18"/>
                <w:color w:val="auto"/>
              </w:rPr>
              <w:t>4.150% notes due April 2032</w:t>
            </w:r>
          </w:p>
        </w:tc>
        <w:tc>
          <w:tcPr>
            <w:tcW w:w="3360" w:type="dxa"/>
            <w:vAlign w:val="bottom"/>
            <w:gridSpan w:val="2"/>
            <w:shd w:val="clear" w:color="auto" w:fill="CCEEFF"/>
          </w:tcPr>
          <w:p>
            <w:pPr>
              <w:ind w:left="2860"/>
              <w:spacing w:after="0" w:line="217" w:lineRule="exact"/>
              <w:rPr>
                <w:sz w:val="20"/>
                <w:szCs w:val="20"/>
                <w:color w:val="auto"/>
              </w:rPr>
            </w:pPr>
            <w:r>
              <w:rPr>
                <w:rFonts w:ascii="Calibri" w:cs="Calibri" w:eastAsia="Calibri" w:hAnsi="Calibri"/>
                <w:sz w:val="18"/>
                <w:szCs w:val="18"/>
                <w:color w:val="auto"/>
                <w:w w:val="98"/>
              </w:rPr>
              <w:t>4.30 %</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400" w:type="dxa"/>
            <w:vAlign w:val="bottom"/>
            <w:shd w:val="clear" w:color="auto" w:fill="CCEEFF"/>
          </w:tcPr>
          <w:p>
            <w:pPr>
              <w:jc w:val="right"/>
              <w:spacing w:after="0" w:line="217" w:lineRule="exact"/>
              <w:rPr>
                <w:sz w:val="20"/>
                <w:szCs w:val="20"/>
                <w:color w:val="auto"/>
              </w:rPr>
            </w:pPr>
            <w:r>
              <w:rPr>
                <w:rFonts w:ascii="Calibri" w:cs="Calibri" w:eastAsia="Calibri" w:hAnsi="Calibri"/>
                <w:sz w:val="18"/>
                <w:szCs w:val="18"/>
                <w:color w:val="auto"/>
              </w:rPr>
              <w:t>1,200</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line="217" w:lineRule="exact"/>
              <w:rPr>
                <w:sz w:val="20"/>
                <w:szCs w:val="20"/>
                <w:color w:val="auto"/>
              </w:rPr>
            </w:pPr>
            <w:r>
              <w:rPr>
                <w:rFonts w:ascii="Calibri" w:cs="Calibri" w:eastAsia="Calibri" w:hAnsi="Calibri"/>
                <w:sz w:val="18"/>
                <w:szCs w:val="18"/>
                <w:color w:val="auto"/>
              </w:rPr>
              <w:t>1,200</w:t>
            </w:r>
          </w:p>
        </w:tc>
        <w:tc>
          <w:tcPr>
            <w:tcW w:w="0" w:type="dxa"/>
            <w:vAlign w:val="bottom"/>
          </w:tcPr>
          <w:p>
            <w:pPr>
              <w:spacing w:after="0"/>
              <w:rPr>
                <w:sz w:val="1"/>
                <w:szCs w:val="1"/>
                <w:color w:val="auto"/>
              </w:rPr>
            </w:pPr>
          </w:p>
        </w:tc>
      </w:tr>
      <w:tr>
        <w:trPr>
          <w:trHeight w:val="218"/>
        </w:trPr>
        <w:tc>
          <w:tcPr>
            <w:tcW w:w="20" w:type="dxa"/>
            <w:vAlign w:val="bottom"/>
            <w:tcBorders>
              <w:bottom w:val="single" w:sz="8" w:color="CCEEFF"/>
            </w:tcBorders>
          </w:tcPr>
          <w:p>
            <w:pPr>
              <w:spacing w:after="0"/>
              <w:rPr>
                <w:sz w:val="18"/>
                <w:szCs w:val="18"/>
                <w:color w:val="auto"/>
              </w:rPr>
            </w:pPr>
          </w:p>
        </w:tc>
        <w:tc>
          <w:tcPr>
            <w:tcW w:w="4200" w:type="dxa"/>
            <w:vAlign w:val="bottom"/>
            <w:tcBorders>
              <w:bottom w:val="single" w:sz="8" w:color="CCEEFF"/>
            </w:tcBorders>
            <w:gridSpan w:val="8"/>
          </w:tcPr>
          <w:p>
            <w:pPr>
              <w:ind w:left="100"/>
              <w:spacing w:after="0" w:line="210" w:lineRule="exact"/>
              <w:rPr>
                <w:sz w:val="20"/>
                <w:szCs w:val="20"/>
                <w:color w:val="auto"/>
              </w:rPr>
            </w:pPr>
            <w:r>
              <w:rPr>
                <w:rFonts w:ascii="Calibri" w:cs="Calibri" w:eastAsia="Calibri" w:hAnsi="Calibri"/>
                <w:sz w:val="18"/>
                <w:szCs w:val="18"/>
                <w:color w:val="auto"/>
              </w:rPr>
              <w:t>4.926% notes due May 2037</w:t>
            </w:r>
          </w:p>
        </w:tc>
        <w:tc>
          <w:tcPr>
            <w:tcW w:w="3360" w:type="dxa"/>
            <w:vAlign w:val="bottom"/>
            <w:tcBorders>
              <w:bottom w:val="single" w:sz="8" w:color="CCEEFF"/>
            </w:tcBorders>
            <w:gridSpan w:val="2"/>
          </w:tcPr>
          <w:p>
            <w:pPr>
              <w:ind w:left="2860"/>
              <w:spacing w:after="0" w:line="210" w:lineRule="exact"/>
              <w:rPr>
                <w:sz w:val="20"/>
                <w:szCs w:val="20"/>
                <w:color w:val="auto"/>
              </w:rPr>
            </w:pPr>
            <w:r>
              <w:rPr>
                <w:rFonts w:ascii="Calibri" w:cs="Calibri" w:eastAsia="Calibri" w:hAnsi="Calibri"/>
                <w:sz w:val="18"/>
                <w:szCs w:val="18"/>
                <w:color w:val="auto"/>
                <w:w w:val="98"/>
              </w:rPr>
              <w:t>5.33 %</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line="210" w:lineRule="exact"/>
              <w:rPr>
                <w:sz w:val="20"/>
                <w:szCs w:val="20"/>
                <w:color w:val="auto"/>
              </w:rPr>
            </w:pPr>
            <w:r>
              <w:rPr>
                <w:rFonts w:ascii="Calibri" w:cs="Calibri" w:eastAsia="Calibri" w:hAnsi="Calibri"/>
                <w:sz w:val="18"/>
                <w:szCs w:val="18"/>
                <w:color w:val="auto"/>
              </w:rPr>
              <w:t>2,500</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line="210" w:lineRule="exact"/>
              <w:rPr>
                <w:sz w:val="20"/>
                <w:szCs w:val="20"/>
                <w:color w:val="auto"/>
              </w:rPr>
            </w:pPr>
            <w:r>
              <w:rPr>
                <w:rFonts w:ascii="Calibri" w:cs="Calibri" w:eastAsia="Calibri" w:hAnsi="Calibri"/>
                <w:sz w:val="18"/>
                <w:szCs w:val="18"/>
                <w:color w:val="auto"/>
              </w:rPr>
              <w:t>2,500</w:t>
            </w:r>
          </w:p>
        </w:tc>
        <w:tc>
          <w:tcPr>
            <w:tcW w:w="0" w:type="dxa"/>
            <w:vAlign w:val="bottom"/>
          </w:tcPr>
          <w:p>
            <w:pPr>
              <w:spacing w:after="0"/>
              <w:rPr>
                <w:sz w:val="1"/>
                <w:szCs w:val="1"/>
                <w:color w:val="auto"/>
              </w:rPr>
            </w:pPr>
          </w:p>
        </w:tc>
      </w:tr>
      <w:tr>
        <w:trPr>
          <w:trHeight w:val="224"/>
        </w:trPr>
        <w:tc>
          <w:tcPr>
            <w:tcW w:w="20" w:type="dxa"/>
            <w:vAlign w:val="bottom"/>
            <w:shd w:val="clear" w:color="auto" w:fill="CCEEFF"/>
          </w:tcPr>
          <w:p>
            <w:pPr>
              <w:spacing w:after="0"/>
              <w:rPr>
                <w:sz w:val="19"/>
                <w:szCs w:val="19"/>
                <w:color w:val="auto"/>
              </w:rPr>
            </w:pPr>
          </w:p>
        </w:tc>
        <w:tc>
          <w:tcPr>
            <w:tcW w:w="20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line="210" w:lineRule="exact"/>
              <w:rPr>
                <w:sz w:val="20"/>
                <w:szCs w:val="20"/>
                <w:color w:val="auto"/>
              </w:rPr>
            </w:pPr>
            <w:r>
              <w:rPr>
                <w:rFonts w:ascii="Calibri" w:cs="Calibri" w:eastAsia="Calibri" w:hAnsi="Calibri"/>
                <w:sz w:val="18"/>
                <w:szCs w:val="18"/>
                <w:color w:val="auto"/>
              </w:rPr>
              <w:t>4,450</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line="210" w:lineRule="exact"/>
              <w:rPr>
                <w:sz w:val="20"/>
                <w:szCs w:val="20"/>
                <w:color w:val="auto"/>
              </w:rPr>
            </w:pPr>
            <w:r>
              <w:rPr>
                <w:rFonts w:ascii="Calibri" w:cs="Calibri" w:eastAsia="Calibri" w:hAnsi="Calibri"/>
                <w:sz w:val="18"/>
                <w:szCs w:val="18"/>
                <w:color w:val="auto"/>
              </w:rPr>
              <w:t>4,450</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4200" w:type="dxa"/>
            <w:vAlign w:val="bottom"/>
            <w:gridSpan w:val="8"/>
          </w:tcPr>
          <w:p>
            <w:pPr>
              <w:spacing w:after="0" w:line="152" w:lineRule="exact"/>
              <w:rPr>
                <w:sz w:val="20"/>
                <w:szCs w:val="20"/>
                <w:color w:val="auto"/>
              </w:rPr>
            </w:pPr>
            <w:r>
              <w:rPr>
                <w:rFonts w:ascii="Calibri" w:cs="Calibri" w:eastAsia="Calibri" w:hAnsi="Calibri"/>
                <w:sz w:val="15"/>
                <w:szCs w:val="15"/>
                <w:color w:val="auto"/>
              </w:rPr>
              <w:t>September 2021 Senior Notes - fxed rate</w:t>
            </w:r>
          </w:p>
        </w:tc>
        <w:tc>
          <w:tcPr>
            <w:tcW w:w="150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2060" w:type="dxa"/>
            <w:vAlign w:val="bottom"/>
            <w:tcBorders>
              <w:top w:val="single" w:sz="8" w:color="auto"/>
            </w:tcBorders>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240" w:type="dxa"/>
            <w:vAlign w:val="bottom"/>
            <w:tcBorders>
              <w:top w:val="single" w:sz="8" w:color="auto"/>
            </w:tcBorders>
          </w:tcPr>
          <w:p>
            <w:pPr>
              <w:spacing w:after="0"/>
              <w:rPr>
                <w:sz w:val="2"/>
                <w:szCs w:val="2"/>
                <w:color w:val="auto"/>
              </w:rPr>
            </w:pPr>
          </w:p>
        </w:tc>
        <w:tc>
          <w:tcPr>
            <w:tcW w:w="1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4"/>
        </w:trPr>
        <w:tc>
          <w:tcPr>
            <w:tcW w:w="20" w:type="dxa"/>
            <w:vAlign w:val="bottom"/>
            <w:shd w:val="clear" w:color="auto" w:fill="CCEEFF"/>
          </w:tcPr>
          <w:p>
            <w:pPr>
              <w:spacing w:after="0"/>
              <w:rPr>
                <w:sz w:val="19"/>
                <w:szCs w:val="19"/>
                <w:color w:val="auto"/>
              </w:rPr>
            </w:pPr>
          </w:p>
        </w:tc>
        <w:tc>
          <w:tcPr>
            <w:tcW w:w="4200" w:type="dxa"/>
            <w:vAlign w:val="bottom"/>
            <w:gridSpan w:val="8"/>
            <w:shd w:val="clear" w:color="auto" w:fill="CCEEFF"/>
          </w:tcPr>
          <w:p>
            <w:pPr>
              <w:ind w:left="120"/>
              <w:spacing w:after="0" w:line="210" w:lineRule="exact"/>
              <w:rPr>
                <w:sz w:val="20"/>
                <w:szCs w:val="20"/>
                <w:color w:val="auto"/>
              </w:rPr>
            </w:pPr>
            <w:r>
              <w:rPr>
                <w:rFonts w:ascii="Calibri" w:cs="Calibri" w:eastAsia="Calibri" w:hAnsi="Calibri"/>
                <w:sz w:val="18"/>
                <w:szCs w:val="18"/>
                <w:color w:val="auto"/>
              </w:rPr>
              <w:t>3.137% notes due November 2035</w:t>
            </w:r>
          </w:p>
        </w:tc>
        <w:tc>
          <w:tcPr>
            <w:tcW w:w="3360" w:type="dxa"/>
            <w:vAlign w:val="bottom"/>
            <w:gridSpan w:val="2"/>
            <w:shd w:val="clear" w:color="auto" w:fill="CCEEFF"/>
          </w:tcPr>
          <w:p>
            <w:pPr>
              <w:ind w:left="2860"/>
              <w:spacing w:after="0" w:line="210" w:lineRule="exact"/>
              <w:rPr>
                <w:sz w:val="20"/>
                <w:szCs w:val="20"/>
                <w:color w:val="auto"/>
              </w:rPr>
            </w:pPr>
            <w:r>
              <w:rPr>
                <w:rFonts w:ascii="Calibri" w:cs="Calibri" w:eastAsia="Calibri" w:hAnsi="Calibri"/>
                <w:sz w:val="18"/>
                <w:szCs w:val="18"/>
                <w:color w:val="auto"/>
                <w:w w:val="98"/>
              </w:rPr>
              <w:t>4.23 %</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line="210" w:lineRule="exact"/>
              <w:rPr>
                <w:sz w:val="20"/>
                <w:szCs w:val="20"/>
                <w:color w:val="auto"/>
              </w:rPr>
            </w:pPr>
            <w:r>
              <w:rPr>
                <w:rFonts w:ascii="Calibri" w:cs="Calibri" w:eastAsia="Calibri" w:hAnsi="Calibri"/>
                <w:sz w:val="18"/>
                <w:szCs w:val="18"/>
                <w:color w:val="auto"/>
              </w:rPr>
              <w:t>3,250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line="210" w:lineRule="exact"/>
              <w:rPr>
                <w:sz w:val="20"/>
                <w:szCs w:val="20"/>
                <w:color w:val="auto"/>
              </w:rPr>
            </w:pPr>
            <w:r>
              <w:rPr>
                <w:rFonts w:ascii="Calibri" w:cs="Calibri" w:eastAsia="Calibri" w:hAnsi="Calibri"/>
                <w:sz w:val="18"/>
                <w:szCs w:val="18"/>
                <w:color w:val="auto"/>
              </w:rPr>
              <w:t>3,250</w:t>
            </w:r>
          </w:p>
        </w:tc>
        <w:tc>
          <w:tcPr>
            <w:tcW w:w="0" w:type="dxa"/>
            <w:vAlign w:val="bottom"/>
          </w:tcPr>
          <w:p>
            <w:pPr>
              <w:spacing w:after="0"/>
              <w:rPr>
                <w:sz w:val="1"/>
                <w:szCs w:val="1"/>
                <w:color w:val="auto"/>
              </w:rPr>
            </w:pPr>
          </w:p>
        </w:tc>
      </w:tr>
      <w:tr>
        <w:trPr>
          <w:trHeight w:val="218"/>
        </w:trPr>
        <w:tc>
          <w:tcPr>
            <w:tcW w:w="20" w:type="dxa"/>
            <w:vAlign w:val="bottom"/>
            <w:tcBorders>
              <w:bottom w:val="single" w:sz="8" w:color="CCEEFF"/>
            </w:tcBorders>
          </w:tcPr>
          <w:p>
            <w:pPr>
              <w:spacing w:after="0"/>
              <w:rPr>
                <w:sz w:val="18"/>
                <w:szCs w:val="18"/>
                <w:color w:val="auto"/>
              </w:rPr>
            </w:pPr>
          </w:p>
        </w:tc>
        <w:tc>
          <w:tcPr>
            <w:tcW w:w="4200" w:type="dxa"/>
            <w:vAlign w:val="bottom"/>
            <w:tcBorders>
              <w:bottom w:val="single" w:sz="8" w:color="CCEEFF"/>
            </w:tcBorders>
            <w:gridSpan w:val="8"/>
          </w:tcPr>
          <w:p>
            <w:pPr>
              <w:ind w:left="120"/>
              <w:spacing w:after="0" w:line="210" w:lineRule="exact"/>
              <w:rPr>
                <w:sz w:val="20"/>
                <w:szCs w:val="20"/>
                <w:color w:val="auto"/>
              </w:rPr>
            </w:pPr>
            <w:r>
              <w:rPr>
                <w:rFonts w:ascii="Calibri" w:cs="Calibri" w:eastAsia="Calibri" w:hAnsi="Calibri"/>
                <w:sz w:val="18"/>
                <w:szCs w:val="18"/>
                <w:color w:val="auto"/>
              </w:rPr>
              <w:t>3.187% notes due November 2036</w:t>
            </w:r>
          </w:p>
        </w:tc>
        <w:tc>
          <w:tcPr>
            <w:tcW w:w="3360" w:type="dxa"/>
            <w:vAlign w:val="bottom"/>
            <w:tcBorders>
              <w:bottom w:val="single" w:sz="8" w:color="CCEEFF"/>
            </w:tcBorders>
            <w:gridSpan w:val="2"/>
          </w:tcPr>
          <w:p>
            <w:pPr>
              <w:ind w:left="2860"/>
              <w:spacing w:after="0" w:line="210" w:lineRule="exact"/>
              <w:rPr>
                <w:sz w:val="20"/>
                <w:szCs w:val="20"/>
                <w:color w:val="auto"/>
              </w:rPr>
            </w:pPr>
            <w:r>
              <w:rPr>
                <w:rFonts w:ascii="Calibri" w:cs="Calibri" w:eastAsia="Calibri" w:hAnsi="Calibri"/>
                <w:sz w:val="18"/>
                <w:szCs w:val="18"/>
                <w:color w:val="auto"/>
                <w:w w:val="98"/>
              </w:rPr>
              <w:t>4.79 %</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line="210" w:lineRule="exact"/>
              <w:rPr>
                <w:sz w:val="20"/>
                <w:szCs w:val="20"/>
                <w:color w:val="auto"/>
              </w:rPr>
            </w:pPr>
            <w:r>
              <w:rPr>
                <w:rFonts w:ascii="Calibri" w:cs="Calibri" w:eastAsia="Calibri" w:hAnsi="Calibri"/>
                <w:sz w:val="18"/>
                <w:szCs w:val="18"/>
                <w:color w:val="auto"/>
              </w:rPr>
              <w:t>2,750</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line="210" w:lineRule="exact"/>
              <w:rPr>
                <w:sz w:val="20"/>
                <w:szCs w:val="20"/>
                <w:color w:val="auto"/>
              </w:rPr>
            </w:pPr>
            <w:r>
              <w:rPr>
                <w:rFonts w:ascii="Calibri" w:cs="Calibri" w:eastAsia="Calibri" w:hAnsi="Calibri"/>
                <w:sz w:val="18"/>
                <w:szCs w:val="18"/>
                <w:color w:val="auto"/>
              </w:rPr>
              <w:t>2,750</w:t>
            </w:r>
          </w:p>
        </w:tc>
        <w:tc>
          <w:tcPr>
            <w:tcW w:w="0" w:type="dxa"/>
            <w:vAlign w:val="bottom"/>
          </w:tcPr>
          <w:p>
            <w:pPr>
              <w:spacing w:after="0"/>
              <w:rPr>
                <w:sz w:val="1"/>
                <w:szCs w:val="1"/>
                <w:color w:val="auto"/>
              </w:rPr>
            </w:pPr>
          </w:p>
        </w:tc>
      </w:tr>
      <w:tr>
        <w:trPr>
          <w:trHeight w:val="224"/>
        </w:trPr>
        <w:tc>
          <w:tcPr>
            <w:tcW w:w="20" w:type="dxa"/>
            <w:vAlign w:val="bottom"/>
            <w:shd w:val="clear" w:color="auto" w:fill="CCEEFF"/>
          </w:tcPr>
          <w:p>
            <w:pPr>
              <w:spacing w:after="0"/>
              <w:rPr>
                <w:sz w:val="19"/>
                <w:szCs w:val="19"/>
                <w:color w:val="auto"/>
              </w:rPr>
            </w:pPr>
          </w:p>
        </w:tc>
        <w:tc>
          <w:tcPr>
            <w:tcW w:w="20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line="210" w:lineRule="exact"/>
              <w:rPr>
                <w:sz w:val="20"/>
                <w:szCs w:val="20"/>
                <w:color w:val="auto"/>
              </w:rPr>
            </w:pPr>
            <w:r>
              <w:rPr>
                <w:rFonts w:ascii="Calibri" w:cs="Calibri" w:eastAsia="Calibri" w:hAnsi="Calibri"/>
                <w:sz w:val="18"/>
                <w:szCs w:val="18"/>
                <w:color w:val="auto"/>
              </w:rPr>
              <w:t>6,000</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line="210" w:lineRule="exact"/>
              <w:rPr>
                <w:sz w:val="20"/>
                <w:szCs w:val="20"/>
                <w:color w:val="auto"/>
              </w:rPr>
            </w:pPr>
            <w:r>
              <w:rPr>
                <w:rFonts w:ascii="Calibri" w:cs="Calibri" w:eastAsia="Calibri" w:hAnsi="Calibri"/>
                <w:sz w:val="18"/>
                <w:szCs w:val="18"/>
                <w:color w:val="auto"/>
              </w:rPr>
              <w:t>6,000</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4200" w:type="dxa"/>
            <w:vAlign w:val="bottom"/>
            <w:gridSpan w:val="8"/>
          </w:tcPr>
          <w:p>
            <w:pPr>
              <w:spacing w:after="0" w:line="152" w:lineRule="exact"/>
              <w:rPr>
                <w:sz w:val="20"/>
                <w:szCs w:val="20"/>
                <w:color w:val="auto"/>
              </w:rPr>
            </w:pPr>
            <w:r>
              <w:rPr>
                <w:rFonts w:ascii="Calibri" w:cs="Calibri" w:eastAsia="Calibri" w:hAnsi="Calibri"/>
                <w:sz w:val="15"/>
                <w:szCs w:val="15"/>
                <w:color w:val="auto"/>
              </w:rPr>
              <w:t>March 2021 Senior Notes - fxed rate</w:t>
            </w:r>
          </w:p>
        </w:tc>
        <w:tc>
          <w:tcPr>
            <w:tcW w:w="150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2060" w:type="dxa"/>
            <w:vAlign w:val="bottom"/>
            <w:tcBorders>
              <w:top w:val="single" w:sz="8" w:color="auto"/>
            </w:tcBorders>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4"/>
        </w:trPr>
        <w:tc>
          <w:tcPr>
            <w:tcW w:w="20" w:type="dxa"/>
            <w:vAlign w:val="bottom"/>
            <w:shd w:val="clear" w:color="auto" w:fill="CCEEFF"/>
          </w:tcPr>
          <w:p>
            <w:pPr>
              <w:spacing w:after="0"/>
              <w:rPr>
                <w:sz w:val="19"/>
                <w:szCs w:val="19"/>
                <w:color w:val="auto"/>
              </w:rPr>
            </w:pPr>
          </w:p>
        </w:tc>
        <w:tc>
          <w:tcPr>
            <w:tcW w:w="4200" w:type="dxa"/>
            <w:vAlign w:val="bottom"/>
            <w:gridSpan w:val="8"/>
            <w:shd w:val="clear" w:color="auto" w:fill="CCEEFF"/>
          </w:tcPr>
          <w:p>
            <w:pPr>
              <w:ind w:left="120"/>
              <w:spacing w:after="0" w:line="210" w:lineRule="exact"/>
              <w:rPr>
                <w:sz w:val="20"/>
                <w:szCs w:val="20"/>
                <w:color w:val="auto"/>
              </w:rPr>
            </w:pPr>
            <w:r>
              <w:rPr>
                <w:rFonts w:ascii="Calibri" w:cs="Calibri" w:eastAsia="Calibri" w:hAnsi="Calibri"/>
                <w:sz w:val="18"/>
                <w:szCs w:val="18"/>
                <w:color w:val="auto"/>
              </w:rPr>
              <w:t>3.419% notes due April 2033</w:t>
            </w:r>
          </w:p>
        </w:tc>
        <w:tc>
          <w:tcPr>
            <w:tcW w:w="3360" w:type="dxa"/>
            <w:vAlign w:val="bottom"/>
            <w:gridSpan w:val="2"/>
            <w:shd w:val="clear" w:color="auto" w:fill="CCEEFF"/>
          </w:tcPr>
          <w:p>
            <w:pPr>
              <w:ind w:left="2860"/>
              <w:spacing w:after="0" w:line="210" w:lineRule="exact"/>
              <w:rPr>
                <w:sz w:val="20"/>
                <w:szCs w:val="20"/>
                <w:color w:val="auto"/>
              </w:rPr>
            </w:pPr>
            <w:r>
              <w:rPr>
                <w:rFonts w:ascii="Calibri" w:cs="Calibri" w:eastAsia="Calibri" w:hAnsi="Calibri"/>
                <w:sz w:val="18"/>
                <w:szCs w:val="18"/>
                <w:color w:val="auto"/>
                <w:w w:val="98"/>
              </w:rPr>
              <w:t>4.66 %</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line="210" w:lineRule="exact"/>
              <w:rPr>
                <w:sz w:val="20"/>
                <w:szCs w:val="20"/>
                <w:color w:val="auto"/>
              </w:rPr>
            </w:pPr>
            <w:r>
              <w:rPr>
                <w:rFonts w:ascii="Calibri" w:cs="Calibri" w:eastAsia="Calibri" w:hAnsi="Calibri"/>
                <w:sz w:val="18"/>
                <w:szCs w:val="18"/>
                <w:color w:val="auto"/>
              </w:rPr>
              <w:t>2,250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line="210" w:lineRule="exact"/>
              <w:rPr>
                <w:sz w:val="20"/>
                <w:szCs w:val="20"/>
                <w:color w:val="auto"/>
              </w:rPr>
            </w:pPr>
            <w:r>
              <w:rPr>
                <w:rFonts w:ascii="Calibri" w:cs="Calibri" w:eastAsia="Calibri" w:hAnsi="Calibri"/>
                <w:sz w:val="18"/>
                <w:szCs w:val="18"/>
                <w:color w:val="auto"/>
              </w:rPr>
              <w:t>2,250</w:t>
            </w:r>
          </w:p>
        </w:tc>
        <w:tc>
          <w:tcPr>
            <w:tcW w:w="0" w:type="dxa"/>
            <w:vAlign w:val="bottom"/>
          </w:tcPr>
          <w:p>
            <w:pPr>
              <w:spacing w:after="0"/>
              <w:rPr>
                <w:sz w:val="1"/>
                <w:szCs w:val="1"/>
                <w:color w:val="auto"/>
              </w:rPr>
            </w:pPr>
          </w:p>
        </w:tc>
      </w:tr>
      <w:tr>
        <w:trPr>
          <w:trHeight w:val="218"/>
        </w:trPr>
        <w:tc>
          <w:tcPr>
            <w:tcW w:w="20" w:type="dxa"/>
            <w:vAlign w:val="bottom"/>
            <w:tcBorders>
              <w:bottom w:val="single" w:sz="8" w:color="CCEEFF"/>
            </w:tcBorders>
          </w:tcPr>
          <w:p>
            <w:pPr>
              <w:spacing w:after="0"/>
              <w:rPr>
                <w:sz w:val="18"/>
                <w:szCs w:val="18"/>
                <w:color w:val="auto"/>
              </w:rPr>
            </w:pPr>
          </w:p>
        </w:tc>
        <w:tc>
          <w:tcPr>
            <w:tcW w:w="4200" w:type="dxa"/>
            <w:vAlign w:val="bottom"/>
            <w:tcBorders>
              <w:bottom w:val="single" w:sz="8" w:color="CCEEFF"/>
            </w:tcBorders>
            <w:gridSpan w:val="8"/>
          </w:tcPr>
          <w:p>
            <w:pPr>
              <w:ind w:left="120"/>
              <w:spacing w:after="0" w:line="210" w:lineRule="exact"/>
              <w:rPr>
                <w:sz w:val="20"/>
                <w:szCs w:val="20"/>
                <w:color w:val="auto"/>
              </w:rPr>
            </w:pPr>
            <w:r>
              <w:rPr>
                <w:rFonts w:ascii="Calibri" w:cs="Calibri" w:eastAsia="Calibri" w:hAnsi="Calibri"/>
                <w:sz w:val="18"/>
                <w:szCs w:val="18"/>
                <w:color w:val="auto"/>
              </w:rPr>
              <w:t>3.469% notes due April 2034</w:t>
            </w:r>
          </w:p>
        </w:tc>
        <w:tc>
          <w:tcPr>
            <w:tcW w:w="3360" w:type="dxa"/>
            <w:vAlign w:val="bottom"/>
            <w:tcBorders>
              <w:bottom w:val="single" w:sz="8" w:color="CCEEFF"/>
            </w:tcBorders>
            <w:gridSpan w:val="2"/>
          </w:tcPr>
          <w:p>
            <w:pPr>
              <w:ind w:left="2860"/>
              <w:spacing w:after="0" w:line="210" w:lineRule="exact"/>
              <w:rPr>
                <w:sz w:val="20"/>
                <w:szCs w:val="20"/>
                <w:color w:val="auto"/>
              </w:rPr>
            </w:pPr>
            <w:r>
              <w:rPr>
                <w:rFonts w:ascii="Calibri" w:cs="Calibri" w:eastAsia="Calibri" w:hAnsi="Calibri"/>
                <w:sz w:val="18"/>
                <w:szCs w:val="18"/>
                <w:color w:val="auto"/>
                <w:w w:val="98"/>
              </w:rPr>
              <w:t>4.63 %</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line="210" w:lineRule="exact"/>
              <w:rPr>
                <w:sz w:val="20"/>
                <w:szCs w:val="20"/>
                <w:color w:val="auto"/>
              </w:rPr>
            </w:pPr>
            <w:r>
              <w:rPr>
                <w:rFonts w:ascii="Calibri" w:cs="Calibri" w:eastAsia="Calibri" w:hAnsi="Calibri"/>
                <w:sz w:val="18"/>
                <w:szCs w:val="18"/>
                <w:color w:val="auto"/>
              </w:rPr>
              <w:t>3,250</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line="210" w:lineRule="exact"/>
              <w:rPr>
                <w:sz w:val="20"/>
                <w:szCs w:val="20"/>
                <w:color w:val="auto"/>
              </w:rPr>
            </w:pPr>
            <w:r>
              <w:rPr>
                <w:rFonts w:ascii="Calibri" w:cs="Calibri" w:eastAsia="Calibri" w:hAnsi="Calibri"/>
                <w:sz w:val="18"/>
                <w:szCs w:val="18"/>
                <w:color w:val="auto"/>
              </w:rPr>
              <w:t>3,250</w:t>
            </w:r>
          </w:p>
        </w:tc>
        <w:tc>
          <w:tcPr>
            <w:tcW w:w="0" w:type="dxa"/>
            <w:vAlign w:val="bottom"/>
          </w:tcPr>
          <w:p>
            <w:pPr>
              <w:spacing w:after="0"/>
              <w:rPr>
                <w:sz w:val="1"/>
                <w:szCs w:val="1"/>
                <w:color w:val="auto"/>
              </w:rPr>
            </w:pPr>
          </w:p>
        </w:tc>
      </w:tr>
      <w:tr>
        <w:trPr>
          <w:trHeight w:val="224"/>
        </w:trPr>
        <w:tc>
          <w:tcPr>
            <w:tcW w:w="20" w:type="dxa"/>
            <w:vAlign w:val="bottom"/>
            <w:shd w:val="clear" w:color="auto" w:fill="CCEEFF"/>
          </w:tcPr>
          <w:p>
            <w:pPr>
              <w:spacing w:after="0"/>
              <w:rPr>
                <w:sz w:val="19"/>
                <w:szCs w:val="19"/>
                <w:color w:val="auto"/>
              </w:rPr>
            </w:pPr>
          </w:p>
        </w:tc>
        <w:tc>
          <w:tcPr>
            <w:tcW w:w="20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line="210" w:lineRule="exact"/>
              <w:rPr>
                <w:sz w:val="20"/>
                <w:szCs w:val="20"/>
                <w:color w:val="auto"/>
              </w:rPr>
            </w:pPr>
            <w:r>
              <w:rPr>
                <w:rFonts w:ascii="Calibri" w:cs="Calibri" w:eastAsia="Calibri" w:hAnsi="Calibri"/>
                <w:sz w:val="18"/>
                <w:szCs w:val="18"/>
                <w:color w:val="auto"/>
              </w:rPr>
              <w:t>5,500</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line="210" w:lineRule="exact"/>
              <w:rPr>
                <w:sz w:val="20"/>
                <w:szCs w:val="20"/>
                <w:color w:val="auto"/>
              </w:rPr>
            </w:pPr>
            <w:r>
              <w:rPr>
                <w:rFonts w:ascii="Calibri" w:cs="Calibri" w:eastAsia="Calibri" w:hAnsi="Calibri"/>
                <w:sz w:val="18"/>
                <w:szCs w:val="18"/>
                <w:color w:val="auto"/>
              </w:rPr>
              <w:t>5,500</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4200" w:type="dxa"/>
            <w:vAlign w:val="bottom"/>
            <w:gridSpan w:val="8"/>
          </w:tcPr>
          <w:p>
            <w:pPr>
              <w:spacing w:after="0" w:line="152" w:lineRule="exact"/>
              <w:rPr>
                <w:sz w:val="20"/>
                <w:szCs w:val="20"/>
                <w:color w:val="auto"/>
              </w:rPr>
            </w:pPr>
            <w:r>
              <w:rPr>
                <w:rFonts w:ascii="Calibri" w:cs="Calibri" w:eastAsia="Calibri" w:hAnsi="Calibri"/>
                <w:sz w:val="15"/>
                <w:szCs w:val="15"/>
                <w:color w:val="auto"/>
              </w:rPr>
              <w:t>January 2021 Senior Notes - fxed rate</w:t>
            </w:r>
          </w:p>
        </w:tc>
        <w:tc>
          <w:tcPr>
            <w:tcW w:w="150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2060" w:type="dxa"/>
            <w:vAlign w:val="bottom"/>
            <w:tcBorders>
              <w:top w:val="single" w:sz="8" w:color="auto"/>
            </w:tcBorders>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4"/>
        </w:trPr>
        <w:tc>
          <w:tcPr>
            <w:tcW w:w="20" w:type="dxa"/>
            <w:vAlign w:val="bottom"/>
            <w:shd w:val="clear" w:color="auto" w:fill="CCEEFF"/>
          </w:tcPr>
          <w:p>
            <w:pPr>
              <w:spacing w:after="0"/>
              <w:rPr>
                <w:sz w:val="19"/>
                <w:szCs w:val="19"/>
                <w:color w:val="auto"/>
              </w:rPr>
            </w:pPr>
          </w:p>
        </w:tc>
        <w:tc>
          <w:tcPr>
            <w:tcW w:w="4200" w:type="dxa"/>
            <w:vAlign w:val="bottom"/>
            <w:gridSpan w:val="8"/>
            <w:shd w:val="clear" w:color="auto" w:fill="CCEEFF"/>
          </w:tcPr>
          <w:p>
            <w:pPr>
              <w:ind w:left="120"/>
              <w:spacing w:after="0" w:line="210" w:lineRule="exact"/>
              <w:rPr>
                <w:sz w:val="20"/>
                <w:szCs w:val="20"/>
                <w:color w:val="auto"/>
              </w:rPr>
            </w:pPr>
            <w:r>
              <w:rPr>
                <w:rFonts w:ascii="Calibri" w:cs="Calibri" w:eastAsia="Calibri" w:hAnsi="Calibri"/>
                <w:sz w:val="18"/>
                <w:szCs w:val="18"/>
                <w:color w:val="auto"/>
              </w:rPr>
              <w:t>1.950% notes due February 2028</w:t>
            </w:r>
          </w:p>
        </w:tc>
        <w:tc>
          <w:tcPr>
            <w:tcW w:w="3360" w:type="dxa"/>
            <w:vAlign w:val="bottom"/>
            <w:gridSpan w:val="2"/>
            <w:shd w:val="clear" w:color="auto" w:fill="CCEEFF"/>
          </w:tcPr>
          <w:p>
            <w:pPr>
              <w:ind w:left="2860"/>
              <w:spacing w:after="0" w:line="210" w:lineRule="exact"/>
              <w:rPr>
                <w:sz w:val="20"/>
                <w:szCs w:val="20"/>
                <w:color w:val="auto"/>
              </w:rPr>
            </w:pPr>
            <w:r>
              <w:rPr>
                <w:rFonts w:ascii="Calibri" w:cs="Calibri" w:eastAsia="Calibri" w:hAnsi="Calibri"/>
                <w:sz w:val="18"/>
                <w:szCs w:val="18"/>
                <w:color w:val="auto"/>
                <w:w w:val="98"/>
              </w:rPr>
              <w:t>2.10 %</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line="210" w:lineRule="exact"/>
              <w:rPr>
                <w:sz w:val="20"/>
                <w:szCs w:val="20"/>
                <w:color w:val="auto"/>
              </w:rPr>
            </w:pPr>
            <w:r>
              <w:rPr>
                <w:rFonts w:ascii="Calibri" w:cs="Calibri" w:eastAsia="Calibri" w:hAnsi="Calibri"/>
                <w:sz w:val="18"/>
                <w:szCs w:val="18"/>
                <w:color w:val="auto"/>
              </w:rPr>
              <w:t>750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line="210" w:lineRule="exact"/>
              <w:rPr>
                <w:sz w:val="20"/>
                <w:szCs w:val="20"/>
                <w:color w:val="auto"/>
              </w:rPr>
            </w:pPr>
            <w:r>
              <w:rPr>
                <w:rFonts w:ascii="Calibri" w:cs="Calibri" w:eastAsia="Calibri" w:hAnsi="Calibri"/>
                <w:sz w:val="18"/>
                <w:szCs w:val="18"/>
                <w:color w:val="auto"/>
              </w:rPr>
              <w:t>750</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200" w:type="dxa"/>
            <w:vAlign w:val="bottom"/>
            <w:gridSpan w:val="8"/>
          </w:tcPr>
          <w:p>
            <w:pPr>
              <w:ind w:left="120"/>
              <w:spacing w:after="0" w:line="210" w:lineRule="exact"/>
              <w:rPr>
                <w:sz w:val="20"/>
                <w:szCs w:val="20"/>
                <w:color w:val="auto"/>
              </w:rPr>
            </w:pPr>
            <w:r>
              <w:rPr>
                <w:rFonts w:ascii="Calibri" w:cs="Calibri" w:eastAsia="Calibri" w:hAnsi="Calibri"/>
                <w:sz w:val="18"/>
                <w:szCs w:val="18"/>
                <w:color w:val="auto"/>
              </w:rPr>
              <w:t>2.450% notes due February 2031</w:t>
            </w:r>
          </w:p>
        </w:tc>
        <w:tc>
          <w:tcPr>
            <w:tcW w:w="3360" w:type="dxa"/>
            <w:vAlign w:val="bottom"/>
            <w:gridSpan w:val="2"/>
          </w:tcPr>
          <w:p>
            <w:pPr>
              <w:ind w:left="2860"/>
              <w:spacing w:after="0" w:line="210" w:lineRule="exact"/>
              <w:rPr>
                <w:sz w:val="20"/>
                <w:szCs w:val="20"/>
                <w:color w:val="auto"/>
              </w:rPr>
            </w:pPr>
            <w:r>
              <w:rPr>
                <w:rFonts w:ascii="Calibri" w:cs="Calibri" w:eastAsia="Calibri" w:hAnsi="Calibri"/>
                <w:sz w:val="18"/>
                <w:szCs w:val="18"/>
                <w:color w:val="auto"/>
                <w:w w:val="98"/>
              </w:rPr>
              <w:t>2.56 %</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0" w:type="dxa"/>
            <w:vAlign w:val="bottom"/>
          </w:tcPr>
          <w:p>
            <w:pPr>
              <w:jc w:val="right"/>
              <w:spacing w:after="0" w:line="210" w:lineRule="exact"/>
              <w:rPr>
                <w:sz w:val="20"/>
                <w:szCs w:val="20"/>
                <w:color w:val="auto"/>
              </w:rPr>
            </w:pPr>
            <w:r>
              <w:rPr>
                <w:rFonts w:ascii="Calibri" w:cs="Calibri" w:eastAsia="Calibri" w:hAnsi="Calibri"/>
                <w:sz w:val="18"/>
                <w:szCs w:val="18"/>
                <w:color w:val="auto"/>
              </w:rPr>
              <w:t>2,750</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tcPr>
          <w:p>
            <w:pPr>
              <w:jc w:val="right"/>
              <w:spacing w:after="0" w:line="210" w:lineRule="exact"/>
              <w:rPr>
                <w:sz w:val="20"/>
                <w:szCs w:val="20"/>
                <w:color w:val="auto"/>
              </w:rPr>
            </w:pPr>
            <w:r>
              <w:rPr>
                <w:rFonts w:ascii="Calibri" w:cs="Calibri" w:eastAsia="Calibri" w:hAnsi="Calibri"/>
                <w:sz w:val="18"/>
                <w:szCs w:val="18"/>
                <w:color w:val="auto"/>
              </w:rPr>
              <w:t>2,750</w:t>
            </w:r>
          </w:p>
        </w:tc>
        <w:tc>
          <w:tcPr>
            <w:tcW w:w="0" w:type="dxa"/>
            <w:vAlign w:val="bottom"/>
          </w:tcPr>
          <w:p>
            <w:pPr>
              <w:spacing w:after="0"/>
              <w:rPr>
                <w:sz w:val="1"/>
                <w:szCs w:val="1"/>
                <w:color w:val="auto"/>
              </w:rPr>
            </w:pPr>
          </w:p>
        </w:tc>
      </w:tr>
      <w:tr>
        <w:trPr>
          <w:trHeight w:val="232"/>
        </w:trPr>
        <w:tc>
          <w:tcPr>
            <w:tcW w:w="20" w:type="dxa"/>
            <w:vAlign w:val="bottom"/>
            <w:shd w:val="clear" w:color="auto" w:fill="CCEEFF"/>
          </w:tcPr>
          <w:p>
            <w:pPr>
              <w:spacing w:after="0"/>
              <w:rPr>
                <w:sz w:val="20"/>
                <w:szCs w:val="20"/>
                <w:color w:val="auto"/>
              </w:rPr>
            </w:pPr>
          </w:p>
        </w:tc>
        <w:tc>
          <w:tcPr>
            <w:tcW w:w="4200" w:type="dxa"/>
            <w:vAlign w:val="bottom"/>
            <w:gridSpan w:val="8"/>
            <w:shd w:val="clear" w:color="auto" w:fill="CCEEFF"/>
          </w:tcPr>
          <w:p>
            <w:pPr>
              <w:ind w:left="120"/>
              <w:spacing w:after="0" w:line="217" w:lineRule="exact"/>
              <w:rPr>
                <w:sz w:val="20"/>
                <w:szCs w:val="20"/>
                <w:color w:val="auto"/>
              </w:rPr>
            </w:pPr>
            <w:r>
              <w:rPr>
                <w:rFonts w:ascii="Calibri" w:cs="Calibri" w:eastAsia="Calibri" w:hAnsi="Calibri"/>
                <w:sz w:val="18"/>
                <w:szCs w:val="18"/>
                <w:color w:val="auto"/>
              </w:rPr>
              <w:t>2.600% notes due February 2033</w:t>
            </w:r>
          </w:p>
        </w:tc>
        <w:tc>
          <w:tcPr>
            <w:tcW w:w="3360" w:type="dxa"/>
            <w:vAlign w:val="bottom"/>
            <w:gridSpan w:val="2"/>
            <w:shd w:val="clear" w:color="auto" w:fill="CCEEFF"/>
          </w:tcPr>
          <w:p>
            <w:pPr>
              <w:ind w:left="2860"/>
              <w:spacing w:after="0" w:line="217" w:lineRule="exact"/>
              <w:rPr>
                <w:sz w:val="20"/>
                <w:szCs w:val="20"/>
                <w:color w:val="auto"/>
              </w:rPr>
            </w:pPr>
            <w:r>
              <w:rPr>
                <w:rFonts w:ascii="Calibri" w:cs="Calibri" w:eastAsia="Calibri" w:hAnsi="Calibri"/>
                <w:sz w:val="18"/>
                <w:szCs w:val="18"/>
                <w:color w:val="auto"/>
                <w:w w:val="98"/>
              </w:rPr>
              <w:t>2.70 %</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400" w:type="dxa"/>
            <w:vAlign w:val="bottom"/>
            <w:shd w:val="clear" w:color="auto" w:fill="CCEEFF"/>
          </w:tcPr>
          <w:p>
            <w:pPr>
              <w:jc w:val="right"/>
              <w:spacing w:after="0" w:line="217" w:lineRule="exact"/>
              <w:rPr>
                <w:sz w:val="20"/>
                <w:szCs w:val="20"/>
                <w:color w:val="auto"/>
              </w:rPr>
            </w:pPr>
            <w:r>
              <w:rPr>
                <w:rFonts w:ascii="Calibri" w:cs="Calibri" w:eastAsia="Calibri" w:hAnsi="Calibri"/>
                <w:sz w:val="18"/>
                <w:szCs w:val="18"/>
                <w:color w:val="auto"/>
              </w:rPr>
              <w:t>1,750</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line="217" w:lineRule="exact"/>
              <w:rPr>
                <w:sz w:val="20"/>
                <w:szCs w:val="20"/>
                <w:color w:val="auto"/>
              </w:rPr>
            </w:pPr>
            <w:r>
              <w:rPr>
                <w:rFonts w:ascii="Calibri" w:cs="Calibri" w:eastAsia="Calibri" w:hAnsi="Calibri"/>
                <w:sz w:val="18"/>
                <w:szCs w:val="18"/>
                <w:color w:val="auto"/>
              </w:rPr>
              <w:t>1,750</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200" w:type="dxa"/>
            <w:vAlign w:val="bottom"/>
            <w:gridSpan w:val="8"/>
          </w:tcPr>
          <w:p>
            <w:pPr>
              <w:ind w:left="120"/>
              <w:spacing w:after="0" w:line="210" w:lineRule="exact"/>
              <w:rPr>
                <w:sz w:val="20"/>
                <w:szCs w:val="20"/>
                <w:color w:val="auto"/>
              </w:rPr>
            </w:pPr>
            <w:r>
              <w:rPr>
                <w:rFonts w:ascii="Calibri" w:cs="Calibri" w:eastAsia="Calibri" w:hAnsi="Calibri"/>
                <w:sz w:val="18"/>
                <w:szCs w:val="18"/>
                <w:color w:val="auto"/>
              </w:rPr>
              <w:t>3.500% notes due February 2041</w:t>
            </w:r>
          </w:p>
        </w:tc>
        <w:tc>
          <w:tcPr>
            <w:tcW w:w="3360" w:type="dxa"/>
            <w:vAlign w:val="bottom"/>
            <w:gridSpan w:val="2"/>
          </w:tcPr>
          <w:p>
            <w:pPr>
              <w:ind w:left="2860"/>
              <w:spacing w:after="0" w:line="210" w:lineRule="exact"/>
              <w:rPr>
                <w:sz w:val="20"/>
                <w:szCs w:val="20"/>
                <w:color w:val="auto"/>
              </w:rPr>
            </w:pPr>
            <w:r>
              <w:rPr>
                <w:rFonts w:ascii="Calibri" w:cs="Calibri" w:eastAsia="Calibri" w:hAnsi="Calibri"/>
                <w:sz w:val="18"/>
                <w:szCs w:val="18"/>
                <w:color w:val="auto"/>
                <w:w w:val="98"/>
              </w:rPr>
              <w:t>3.60 %</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0" w:type="dxa"/>
            <w:vAlign w:val="bottom"/>
          </w:tcPr>
          <w:p>
            <w:pPr>
              <w:jc w:val="right"/>
              <w:spacing w:after="0" w:line="210" w:lineRule="exact"/>
              <w:rPr>
                <w:sz w:val="20"/>
                <w:szCs w:val="20"/>
                <w:color w:val="auto"/>
              </w:rPr>
            </w:pPr>
            <w:r>
              <w:rPr>
                <w:rFonts w:ascii="Calibri" w:cs="Calibri" w:eastAsia="Calibri" w:hAnsi="Calibri"/>
                <w:sz w:val="18"/>
                <w:szCs w:val="18"/>
                <w:color w:val="auto"/>
              </w:rPr>
              <w:t>3,000</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tcPr>
          <w:p>
            <w:pPr>
              <w:jc w:val="right"/>
              <w:spacing w:after="0" w:line="210" w:lineRule="exact"/>
              <w:rPr>
                <w:sz w:val="20"/>
                <w:szCs w:val="20"/>
                <w:color w:val="auto"/>
              </w:rPr>
            </w:pPr>
            <w:r>
              <w:rPr>
                <w:rFonts w:ascii="Calibri" w:cs="Calibri" w:eastAsia="Calibri" w:hAnsi="Calibri"/>
                <w:sz w:val="18"/>
                <w:szCs w:val="18"/>
                <w:color w:val="auto"/>
              </w:rPr>
              <w:t>3,000</w:t>
            </w:r>
          </w:p>
        </w:tc>
        <w:tc>
          <w:tcPr>
            <w:tcW w:w="0" w:type="dxa"/>
            <w:vAlign w:val="bottom"/>
          </w:tcPr>
          <w:p>
            <w:pPr>
              <w:spacing w:after="0"/>
              <w:rPr>
                <w:sz w:val="1"/>
                <w:szCs w:val="1"/>
                <w:color w:val="auto"/>
              </w:rPr>
            </w:pPr>
          </w:p>
        </w:tc>
      </w:tr>
      <w:tr>
        <w:trPr>
          <w:trHeight w:val="225"/>
        </w:trPr>
        <w:tc>
          <w:tcPr>
            <w:tcW w:w="20" w:type="dxa"/>
            <w:vAlign w:val="bottom"/>
            <w:shd w:val="clear" w:color="auto" w:fill="CCEEFF"/>
          </w:tcPr>
          <w:p>
            <w:pPr>
              <w:spacing w:after="0"/>
              <w:rPr>
                <w:sz w:val="19"/>
                <w:szCs w:val="19"/>
                <w:color w:val="auto"/>
              </w:rPr>
            </w:pPr>
          </w:p>
        </w:tc>
        <w:tc>
          <w:tcPr>
            <w:tcW w:w="4200" w:type="dxa"/>
            <w:vAlign w:val="bottom"/>
            <w:gridSpan w:val="8"/>
            <w:shd w:val="clear" w:color="auto" w:fill="CCEEFF"/>
          </w:tcPr>
          <w:p>
            <w:pPr>
              <w:ind w:left="120"/>
              <w:spacing w:after="0" w:line="217" w:lineRule="exact"/>
              <w:rPr>
                <w:sz w:val="20"/>
                <w:szCs w:val="20"/>
                <w:color w:val="auto"/>
              </w:rPr>
            </w:pPr>
            <w:r>
              <w:rPr>
                <w:rFonts w:ascii="Calibri" w:cs="Calibri" w:eastAsia="Calibri" w:hAnsi="Calibri"/>
                <w:sz w:val="18"/>
                <w:szCs w:val="18"/>
                <w:color w:val="auto"/>
              </w:rPr>
              <w:t>3.750% notes due February 2051</w:t>
            </w:r>
          </w:p>
        </w:tc>
        <w:tc>
          <w:tcPr>
            <w:tcW w:w="3360" w:type="dxa"/>
            <w:vAlign w:val="bottom"/>
            <w:gridSpan w:val="2"/>
            <w:shd w:val="clear" w:color="auto" w:fill="CCEEFF"/>
          </w:tcPr>
          <w:p>
            <w:pPr>
              <w:ind w:left="2860"/>
              <w:spacing w:after="0" w:line="217" w:lineRule="exact"/>
              <w:rPr>
                <w:sz w:val="20"/>
                <w:szCs w:val="20"/>
                <w:color w:val="auto"/>
              </w:rPr>
            </w:pPr>
            <w:r>
              <w:rPr>
                <w:rFonts w:ascii="Calibri" w:cs="Calibri" w:eastAsia="Calibri" w:hAnsi="Calibri"/>
                <w:sz w:val="18"/>
                <w:szCs w:val="18"/>
                <w:color w:val="auto"/>
                <w:w w:val="98"/>
              </w:rPr>
              <w:t>3.84 %</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line="217" w:lineRule="exact"/>
              <w:rPr>
                <w:sz w:val="20"/>
                <w:szCs w:val="20"/>
                <w:color w:val="auto"/>
              </w:rPr>
            </w:pPr>
            <w:r>
              <w:rPr>
                <w:rFonts w:ascii="Calibri" w:cs="Calibri" w:eastAsia="Calibri" w:hAnsi="Calibri"/>
                <w:sz w:val="18"/>
                <w:szCs w:val="18"/>
                <w:color w:val="auto"/>
              </w:rPr>
              <w:t>1,750</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line="217" w:lineRule="exact"/>
              <w:rPr>
                <w:sz w:val="20"/>
                <w:szCs w:val="20"/>
                <w:color w:val="auto"/>
              </w:rPr>
            </w:pPr>
            <w:r>
              <w:rPr>
                <w:rFonts w:ascii="Calibri" w:cs="Calibri" w:eastAsia="Calibri" w:hAnsi="Calibri"/>
                <w:sz w:val="18"/>
                <w:szCs w:val="18"/>
                <w:color w:val="auto"/>
              </w:rPr>
              <w:t>1,750</w:t>
            </w:r>
          </w:p>
        </w:tc>
        <w:tc>
          <w:tcPr>
            <w:tcW w:w="0" w:type="dxa"/>
            <w:vAlign w:val="bottom"/>
          </w:tcPr>
          <w:p>
            <w:pPr>
              <w:spacing w:after="0"/>
              <w:rPr>
                <w:sz w:val="1"/>
                <w:szCs w:val="1"/>
                <w:color w:val="auto"/>
              </w:rPr>
            </w:pPr>
          </w:p>
        </w:tc>
      </w:tr>
      <w:tr>
        <w:trPr>
          <w:trHeight w:val="218"/>
        </w:trPr>
        <w:tc>
          <w:tcPr>
            <w:tcW w:w="20" w:type="dxa"/>
            <w:vAlign w:val="bottom"/>
            <w:tcBorders>
              <w:bottom w:val="single" w:sz="8" w:color="CCEEFF"/>
            </w:tcBorders>
          </w:tcPr>
          <w:p>
            <w:pPr>
              <w:spacing w:after="0"/>
              <w:rPr>
                <w:sz w:val="18"/>
                <w:szCs w:val="18"/>
                <w:color w:val="auto"/>
              </w:rPr>
            </w:pPr>
          </w:p>
        </w:tc>
        <w:tc>
          <w:tcPr>
            <w:tcW w:w="2060" w:type="dxa"/>
            <w:vAlign w:val="bottom"/>
            <w:tcBorders>
              <w:bottom w:val="single" w:sz="8" w:color="CCEEFF"/>
            </w:tcBorders>
          </w:tcPr>
          <w:p>
            <w:pPr>
              <w:spacing w:after="0"/>
              <w:rPr>
                <w:sz w:val="18"/>
                <w:szCs w:val="18"/>
                <w:color w:val="auto"/>
              </w:rPr>
            </w:pPr>
          </w:p>
        </w:tc>
        <w:tc>
          <w:tcPr>
            <w:tcW w:w="3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1320" w:type="dxa"/>
            <w:vAlign w:val="bottom"/>
            <w:tcBorders>
              <w:bottom w:val="single" w:sz="8" w:color="CCEEFF"/>
            </w:tcBorders>
          </w:tcPr>
          <w:p>
            <w:pPr>
              <w:spacing w:after="0"/>
              <w:rPr>
                <w:sz w:val="18"/>
                <w:szCs w:val="18"/>
                <w:color w:val="auto"/>
              </w:rPr>
            </w:pPr>
          </w:p>
        </w:tc>
        <w:tc>
          <w:tcPr>
            <w:tcW w:w="1500" w:type="dxa"/>
            <w:vAlign w:val="bottom"/>
            <w:tcBorders>
              <w:bottom w:val="single" w:sz="8" w:color="CCEEFF"/>
            </w:tcBorders>
          </w:tcPr>
          <w:p>
            <w:pPr>
              <w:spacing w:after="0"/>
              <w:rPr>
                <w:sz w:val="18"/>
                <w:szCs w:val="18"/>
                <w:color w:val="auto"/>
              </w:rPr>
            </w:pPr>
          </w:p>
        </w:tc>
        <w:tc>
          <w:tcPr>
            <w:tcW w:w="18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line="210" w:lineRule="exact"/>
              <w:rPr>
                <w:sz w:val="20"/>
                <w:szCs w:val="20"/>
                <w:color w:val="auto"/>
              </w:rPr>
            </w:pPr>
            <w:r>
              <w:rPr>
                <w:rFonts w:ascii="Calibri" w:cs="Calibri" w:eastAsia="Calibri" w:hAnsi="Calibri"/>
                <w:sz w:val="18"/>
                <w:szCs w:val="18"/>
                <w:color w:val="auto"/>
              </w:rPr>
              <w:t>10,000</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line="210" w:lineRule="exact"/>
              <w:rPr>
                <w:sz w:val="20"/>
                <w:szCs w:val="20"/>
                <w:color w:val="auto"/>
              </w:rPr>
            </w:pPr>
            <w:r>
              <w:rPr>
                <w:rFonts w:ascii="Calibri" w:cs="Calibri" w:eastAsia="Calibri" w:hAnsi="Calibri"/>
                <w:sz w:val="18"/>
                <w:szCs w:val="18"/>
                <w:color w:val="auto"/>
              </w:rPr>
              <w:t>10,000</w:t>
            </w:r>
          </w:p>
        </w:tc>
        <w:tc>
          <w:tcPr>
            <w:tcW w:w="0" w:type="dxa"/>
            <w:vAlign w:val="bottom"/>
          </w:tcPr>
          <w:p>
            <w:pPr>
              <w:spacing w:after="0"/>
              <w:rPr>
                <w:sz w:val="1"/>
                <w:szCs w:val="1"/>
                <w:color w:val="auto"/>
              </w:rPr>
            </w:pPr>
          </w:p>
        </w:tc>
      </w:tr>
      <w:tr>
        <w:trPr>
          <w:trHeight w:val="158"/>
        </w:trPr>
        <w:tc>
          <w:tcPr>
            <w:tcW w:w="20" w:type="dxa"/>
            <w:vAlign w:val="bottom"/>
            <w:shd w:val="clear" w:color="auto" w:fill="CCEEFF"/>
          </w:tcPr>
          <w:p>
            <w:pPr>
              <w:spacing w:after="0"/>
              <w:rPr>
                <w:sz w:val="13"/>
                <w:szCs w:val="13"/>
                <w:color w:val="auto"/>
              </w:rPr>
            </w:pPr>
          </w:p>
        </w:tc>
        <w:tc>
          <w:tcPr>
            <w:tcW w:w="4200" w:type="dxa"/>
            <w:vAlign w:val="bottom"/>
            <w:gridSpan w:val="8"/>
            <w:shd w:val="clear" w:color="auto" w:fill="CCEEFF"/>
          </w:tcPr>
          <w:p>
            <w:pPr>
              <w:spacing w:after="0" w:line="159" w:lineRule="exact"/>
              <w:rPr>
                <w:sz w:val="20"/>
                <w:szCs w:val="20"/>
                <w:color w:val="auto"/>
              </w:rPr>
            </w:pPr>
            <w:r>
              <w:rPr>
                <w:rFonts w:ascii="Calibri" w:cs="Calibri" w:eastAsia="Calibri" w:hAnsi="Calibri"/>
                <w:sz w:val="17"/>
                <w:szCs w:val="17"/>
                <w:color w:val="auto"/>
              </w:rPr>
              <w:t>June 2020 Senior Notes - fxed rate</w:t>
            </w:r>
          </w:p>
        </w:tc>
        <w:tc>
          <w:tcPr>
            <w:tcW w:w="1500" w:type="dxa"/>
            <w:vAlign w:val="bottom"/>
            <w:shd w:val="clear" w:color="auto" w:fill="CCEEFF"/>
          </w:tcPr>
          <w:p>
            <w:pPr>
              <w:spacing w:after="0"/>
              <w:rPr>
                <w:sz w:val="13"/>
                <w:szCs w:val="13"/>
                <w:color w:val="auto"/>
              </w:rPr>
            </w:pPr>
          </w:p>
        </w:tc>
        <w:tc>
          <w:tcPr>
            <w:tcW w:w="1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33"/>
        </w:trPr>
        <w:tc>
          <w:tcPr>
            <w:tcW w:w="20" w:type="dxa"/>
            <w:vAlign w:val="bottom"/>
            <w:tcBorders>
              <w:top w:val="single" w:sz="8" w:color="CCEEFF"/>
            </w:tcBorders>
            <w:shd w:val="clear" w:color="auto" w:fill="CCEEFF"/>
          </w:tcPr>
          <w:p>
            <w:pPr>
              <w:spacing w:after="0"/>
              <w:rPr>
                <w:sz w:val="2"/>
                <w:szCs w:val="2"/>
                <w:color w:val="auto"/>
              </w:rPr>
            </w:pPr>
          </w:p>
        </w:tc>
        <w:tc>
          <w:tcPr>
            <w:tcW w:w="2060" w:type="dxa"/>
            <w:vAlign w:val="bottom"/>
            <w:tcBorders>
              <w:top w:val="single" w:sz="8" w:color="auto"/>
            </w:tcBorders>
            <w:shd w:val="clear" w:color="auto" w:fill="CCEEFF"/>
          </w:tcPr>
          <w:p>
            <w:pPr>
              <w:spacing w:after="0"/>
              <w:rPr>
                <w:sz w:val="2"/>
                <w:szCs w:val="2"/>
                <w:color w:val="auto"/>
              </w:rPr>
            </w:pPr>
          </w:p>
        </w:tc>
        <w:tc>
          <w:tcPr>
            <w:tcW w:w="340" w:type="dxa"/>
            <w:vAlign w:val="bottom"/>
            <w:tcBorders>
              <w:top w:val="single" w:sz="8" w:color="auto"/>
            </w:tcBorders>
            <w:shd w:val="clear" w:color="auto" w:fill="CCEEFF"/>
          </w:tcPr>
          <w:p>
            <w:pPr>
              <w:spacing w:after="0"/>
              <w:rPr>
                <w:sz w:val="2"/>
                <w:szCs w:val="2"/>
                <w:color w:val="auto"/>
              </w:rPr>
            </w:pPr>
          </w:p>
        </w:tc>
        <w:tc>
          <w:tcPr>
            <w:tcW w:w="20" w:type="dxa"/>
            <w:vAlign w:val="bottom"/>
            <w:tcBorders>
              <w:top w:val="single" w:sz="8" w:color="auto"/>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1320" w:type="dxa"/>
            <w:vAlign w:val="bottom"/>
            <w:tcBorders>
              <w:top w:val="single" w:sz="8" w:color="CCEEFF"/>
            </w:tcBorders>
            <w:shd w:val="clear" w:color="auto" w:fill="CCEEFF"/>
          </w:tcPr>
          <w:p>
            <w:pPr>
              <w:spacing w:after="0"/>
              <w:rPr>
                <w:sz w:val="2"/>
                <w:szCs w:val="2"/>
                <w:color w:val="auto"/>
              </w:rPr>
            </w:pPr>
          </w:p>
        </w:tc>
        <w:tc>
          <w:tcPr>
            <w:tcW w:w="1500" w:type="dxa"/>
            <w:vAlign w:val="bottom"/>
            <w:tcBorders>
              <w:top w:val="single" w:sz="8" w:color="CCEEFF"/>
            </w:tcBorders>
            <w:shd w:val="clear" w:color="auto" w:fill="CCEEFF"/>
          </w:tcPr>
          <w:p>
            <w:pPr>
              <w:spacing w:after="0"/>
              <w:rPr>
                <w:sz w:val="2"/>
                <w:szCs w:val="2"/>
                <w:color w:val="auto"/>
              </w:rPr>
            </w:pPr>
          </w:p>
        </w:tc>
        <w:tc>
          <w:tcPr>
            <w:tcW w:w="18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14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142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4200" w:type="dxa"/>
            <w:vAlign w:val="bottom"/>
            <w:gridSpan w:val="8"/>
          </w:tcPr>
          <w:p>
            <w:pPr>
              <w:ind w:left="120"/>
              <w:spacing w:after="0" w:line="210" w:lineRule="exact"/>
              <w:rPr>
                <w:sz w:val="20"/>
                <w:szCs w:val="20"/>
                <w:color w:val="auto"/>
              </w:rPr>
            </w:pPr>
            <w:r>
              <w:rPr>
                <w:rFonts w:ascii="Calibri" w:cs="Calibri" w:eastAsia="Calibri" w:hAnsi="Calibri"/>
                <w:sz w:val="18"/>
                <w:szCs w:val="18"/>
                <w:color w:val="auto"/>
              </w:rPr>
              <w:t>3.459% notes due September 2026</w:t>
            </w:r>
          </w:p>
        </w:tc>
        <w:tc>
          <w:tcPr>
            <w:tcW w:w="3360" w:type="dxa"/>
            <w:vAlign w:val="bottom"/>
            <w:gridSpan w:val="2"/>
          </w:tcPr>
          <w:p>
            <w:pPr>
              <w:ind w:left="2860"/>
              <w:spacing w:after="0" w:line="210" w:lineRule="exact"/>
              <w:rPr>
                <w:sz w:val="20"/>
                <w:szCs w:val="20"/>
                <w:color w:val="auto"/>
              </w:rPr>
            </w:pPr>
            <w:r>
              <w:rPr>
                <w:rFonts w:ascii="Calibri" w:cs="Calibri" w:eastAsia="Calibri" w:hAnsi="Calibri"/>
                <w:sz w:val="18"/>
                <w:szCs w:val="18"/>
                <w:color w:val="auto"/>
                <w:w w:val="98"/>
              </w:rPr>
              <w:t>4.19 %</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0" w:type="dxa"/>
            <w:vAlign w:val="bottom"/>
          </w:tcPr>
          <w:p>
            <w:pPr>
              <w:jc w:val="right"/>
              <w:spacing w:after="0" w:line="210" w:lineRule="exact"/>
              <w:rPr>
                <w:sz w:val="20"/>
                <w:szCs w:val="20"/>
                <w:color w:val="auto"/>
              </w:rPr>
            </w:pPr>
            <w:r>
              <w:rPr>
                <w:rFonts w:ascii="Calibri" w:cs="Calibri" w:eastAsia="Calibri" w:hAnsi="Calibri"/>
                <w:sz w:val="18"/>
                <w:szCs w:val="18"/>
                <w:color w:val="auto"/>
              </w:rPr>
              <w:t>752</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tcPr>
          <w:p>
            <w:pPr>
              <w:jc w:val="right"/>
              <w:spacing w:after="0" w:line="210" w:lineRule="exact"/>
              <w:rPr>
                <w:sz w:val="20"/>
                <w:szCs w:val="20"/>
                <w:color w:val="auto"/>
              </w:rPr>
            </w:pPr>
            <w:r>
              <w:rPr>
                <w:rFonts w:ascii="Calibri" w:cs="Calibri" w:eastAsia="Calibri" w:hAnsi="Calibri"/>
                <w:sz w:val="18"/>
                <w:szCs w:val="18"/>
                <w:color w:val="auto"/>
              </w:rPr>
              <w:t>752</w:t>
            </w:r>
          </w:p>
        </w:tc>
        <w:tc>
          <w:tcPr>
            <w:tcW w:w="0" w:type="dxa"/>
            <w:vAlign w:val="bottom"/>
          </w:tcPr>
          <w:p>
            <w:pPr>
              <w:spacing w:after="0"/>
              <w:rPr>
                <w:sz w:val="1"/>
                <w:szCs w:val="1"/>
                <w:color w:val="auto"/>
              </w:rPr>
            </w:pPr>
          </w:p>
        </w:tc>
      </w:tr>
      <w:tr>
        <w:trPr>
          <w:trHeight w:val="225"/>
        </w:trPr>
        <w:tc>
          <w:tcPr>
            <w:tcW w:w="20" w:type="dxa"/>
            <w:vAlign w:val="bottom"/>
            <w:shd w:val="clear" w:color="auto" w:fill="CCEEFF"/>
          </w:tcPr>
          <w:p>
            <w:pPr>
              <w:spacing w:after="0"/>
              <w:rPr>
                <w:sz w:val="19"/>
                <w:szCs w:val="19"/>
                <w:color w:val="auto"/>
              </w:rPr>
            </w:pPr>
          </w:p>
        </w:tc>
        <w:tc>
          <w:tcPr>
            <w:tcW w:w="4200" w:type="dxa"/>
            <w:vAlign w:val="bottom"/>
            <w:gridSpan w:val="8"/>
            <w:shd w:val="clear" w:color="auto" w:fill="CCEEFF"/>
          </w:tcPr>
          <w:p>
            <w:pPr>
              <w:ind w:left="120"/>
              <w:spacing w:after="0" w:line="217" w:lineRule="exact"/>
              <w:rPr>
                <w:sz w:val="20"/>
                <w:szCs w:val="20"/>
                <w:color w:val="auto"/>
              </w:rPr>
            </w:pPr>
            <w:r>
              <w:rPr>
                <w:rFonts w:ascii="Calibri" w:cs="Calibri" w:eastAsia="Calibri" w:hAnsi="Calibri"/>
                <w:sz w:val="18"/>
                <w:szCs w:val="18"/>
                <w:color w:val="auto"/>
              </w:rPr>
              <w:t>4.110% notes due September 2028</w:t>
            </w:r>
          </w:p>
        </w:tc>
        <w:tc>
          <w:tcPr>
            <w:tcW w:w="3360" w:type="dxa"/>
            <w:vAlign w:val="bottom"/>
            <w:gridSpan w:val="2"/>
            <w:shd w:val="clear" w:color="auto" w:fill="CCEEFF"/>
          </w:tcPr>
          <w:p>
            <w:pPr>
              <w:ind w:left="2860"/>
              <w:spacing w:after="0" w:line="217" w:lineRule="exact"/>
              <w:rPr>
                <w:sz w:val="20"/>
                <w:szCs w:val="20"/>
                <w:color w:val="auto"/>
              </w:rPr>
            </w:pPr>
            <w:r>
              <w:rPr>
                <w:rFonts w:ascii="Calibri" w:cs="Calibri" w:eastAsia="Calibri" w:hAnsi="Calibri"/>
                <w:sz w:val="18"/>
                <w:szCs w:val="18"/>
                <w:color w:val="auto"/>
                <w:w w:val="98"/>
              </w:rPr>
              <w:t>5.02 %</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line="217" w:lineRule="exact"/>
              <w:rPr>
                <w:sz w:val="20"/>
                <w:szCs w:val="20"/>
                <w:color w:val="auto"/>
              </w:rPr>
            </w:pPr>
            <w:r>
              <w:rPr>
                <w:rFonts w:ascii="Calibri" w:cs="Calibri" w:eastAsia="Calibri" w:hAnsi="Calibri"/>
                <w:sz w:val="18"/>
                <w:szCs w:val="18"/>
                <w:color w:val="auto"/>
              </w:rPr>
              <w:t>1,118</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line="217" w:lineRule="exact"/>
              <w:rPr>
                <w:sz w:val="20"/>
                <w:szCs w:val="20"/>
                <w:color w:val="auto"/>
              </w:rPr>
            </w:pPr>
            <w:r>
              <w:rPr>
                <w:rFonts w:ascii="Calibri" w:cs="Calibri" w:eastAsia="Calibri" w:hAnsi="Calibri"/>
                <w:sz w:val="18"/>
                <w:szCs w:val="18"/>
                <w:color w:val="auto"/>
              </w:rPr>
              <w:t>1,118</w:t>
            </w:r>
          </w:p>
        </w:tc>
        <w:tc>
          <w:tcPr>
            <w:tcW w:w="0" w:type="dxa"/>
            <w:vAlign w:val="bottom"/>
          </w:tcPr>
          <w:p>
            <w:pPr>
              <w:spacing w:after="0"/>
              <w:rPr>
                <w:sz w:val="1"/>
                <w:szCs w:val="1"/>
                <w:color w:val="auto"/>
              </w:rPr>
            </w:pPr>
          </w:p>
        </w:tc>
      </w:tr>
      <w:tr>
        <w:trPr>
          <w:trHeight w:val="218"/>
        </w:trPr>
        <w:tc>
          <w:tcPr>
            <w:tcW w:w="20" w:type="dxa"/>
            <w:vAlign w:val="bottom"/>
            <w:tcBorders>
              <w:bottom w:val="single" w:sz="8" w:color="CCEEFF"/>
            </w:tcBorders>
          </w:tcPr>
          <w:p>
            <w:pPr>
              <w:spacing w:after="0"/>
              <w:rPr>
                <w:sz w:val="18"/>
                <w:szCs w:val="18"/>
                <w:color w:val="auto"/>
              </w:rPr>
            </w:pPr>
          </w:p>
        </w:tc>
        <w:tc>
          <w:tcPr>
            <w:tcW w:w="2060" w:type="dxa"/>
            <w:vAlign w:val="bottom"/>
            <w:tcBorders>
              <w:bottom w:val="single" w:sz="8" w:color="CCEEFF"/>
            </w:tcBorders>
          </w:tcPr>
          <w:p>
            <w:pPr>
              <w:spacing w:after="0"/>
              <w:rPr>
                <w:sz w:val="18"/>
                <w:szCs w:val="18"/>
                <w:color w:val="auto"/>
              </w:rPr>
            </w:pPr>
          </w:p>
        </w:tc>
        <w:tc>
          <w:tcPr>
            <w:tcW w:w="3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1320" w:type="dxa"/>
            <w:vAlign w:val="bottom"/>
            <w:tcBorders>
              <w:bottom w:val="single" w:sz="8" w:color="CCEEFF"/>
            </w:tcBorders>
          </w:tcPr>
          <w:p>
            <w:pPr>
              <w:spacing w:after="0"/>
              <w:rPr>
                <w:sz w:val="18"/>
                <w:szCs w:val="18"/>
                <w:color w:val="auto"/>
              </w:rPr>
            </w:pPr>
          </w:p>
        </w:tc>
        <w:tc>
          <w:tcPr>
            <w:tcW w:w="1500" w:type="dxa"/>
            <w:vAlign w:val="bottom"/>
            <w:tcBorders>
              <w:bottom w:val="single" w:sz="8" w:color="CCEEFF"/>
            </w:tcBorders>
          </w:tcPr>
          <w:p>
            <w:pPr>
              <w:spacing w:after="0"/>
              <w:rPr>
                <w:sz w:val="18"/>
                <w:szCs w:val="18"/>
                <w:color w:val="auto"/>
              </w:rPr>
            </w:pPr>
          </w:p>
        </w:tc>
        <w:tc>
          <w:tcPr>
            <w:tcW w:w="18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line="210" w:lineRule="exact"/>
              <w:rPr>
                <w:sz w:val="20"/>
                <w:szCs w:val="20"/>
                <w:color w:val="auto"/>
              </w:rPr>
            </w:pPr>
            <w:r>
              <w:rPr>
                <w:rFonts w:ascii="Calibri" w:cs="Calibri" w:eastAsia="Calibri" w:hAnsi="Calibri"/>
                <w:sz w:val="18"/>
                <w:szCs w:val="18"/>
                <w:color w:val="auto"/>
              </w:rPr>
              <w:t>1,870</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line="210" w:lineRule="exact"/>
              <w:rPr>
                <w:sz w:val="20"/>
                <w:szCs w:val="20"/>
                <w:color w:val="auto"/>
              </w:rPr>
            </w:pPr>
            <w:r>
              <w:rPr>
                <w:rFonts w:ascii="Calibri" w:cs="Calibri" w:eastAsia="Calibri" w:hAnsi="Calibri"/>
                <w:sz w:val="18"/>
                <w:szCs w:val="18"/>
                <w:color w:val="auto"/>
              </w:rPr>
              <w:t>1,870</w:t>
            </w:r>
          </w:p>
        </w:tc>
        <w:tc>
          <w:tcPr>
            <w:tcW w:w="0" w:type="dxa"/>
            <w:vAlign w:val="bottom"/>
          </w:tcPr>
          <w:p>
            <w:pPr>
              <w:spacing w:after="0"/>
              <w:rPr>
                <w:sz w:val="1"/>
                <w:szCs w:val="1"/>
                <w:color w:val="auto"/>
              </w:rPr>
            </w:pPr>
          </w:p>
        </w:tc>
      </w:tr>
      <w:tr>
        <w:trPr>
          <w:trHeight w:val="158"/>
        </w:trPr>
        <w:tc>
          <w:tcPr>
            <w:tcW w:w="20" w:type="dxa"/>
            <w:vAlign w:val="bottom"/>
            <w:shd w:val="clear" w:color="auto" w:fill="CCEEFF"/>
          </w:tcPr>
          <w:p>
            <w:pPr>
              <w:spacing w:after="0"/>
              <w:rPr>
                <w:sz w:val="13"/>
                <w:szCs w:val="13"/>
                <w:color w:val="auto"/>
              </w:rPr>
            </w:pPr>
          </w:p>
        </w:tc>
        <w:tc>
          <w:tcPr>
            <w:tcW w:w="4200" w:type="dxa"/>
            <w:vAlign w:val="bottom"/>
            <w:gridSpan w:val="8"/>
            <w:shd w:val="clear" w:color="auto" w:fill="CCEEFF"/>
          </w:tcPr>
          <w:p>
            <w:pPr>
              <w:spacing w:after="0" w:line="159" w:lineRule="exact"/>
              <w:rPr>
                <w:sz w:val="20"/>
                <w:szCs w:val="20"/>
                <w:color w:val="auto"/>
              </w:rPr>
            </w:pPr>
            <w:r>
              <w:rPr>
                <w:rFonts w:ascii="Calibri" w:cs="Calibri" w:eastAsia="Calibri" w:hAnsi="Calibri"/>
                <w:sz w:val="17"/>
                <w:szCs w:val="17"/>
                <w:color w:val="auto"/>
              </w:rPr>
              <w:t>May 2020 Senior Notes - fxed rate</w:t>
            </w:r>
          </w:p>
        </w:tc>
        <w:tc>
          <w:tcPr>
            <w:tcW w:w="1500" w:type="dxa"/>
            <w:vAlign w:val="bottom"/>
            <w:shd w:val="clear" w:color="auto" w:fill="CCEEFF"/>
          </w:tcPr>
          <w:p>
            <w:pPr>
              <w:spacing w:after="0"/>
              <w:rPr>
                <w:sz w:val="13"/>
                <w:szCs w:val="13"/>
                <w:color w:val="auto"/>
              </w:rPr>
            </w:pPr>
          </w:p>
        </w:tc>
        <w:tc>
          <w:tcPr>
            <w:tcW w:w="1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33"/>
        </w:trPr>
        <w:tc>
          <w:tcPr>
            <w:tcW w:w="20" w:type="dxa"/>
            <w:vAlign w:val="bottom"/>
            <w:tcBorders>
              <w:top w:val="single" w:sz="8" w:color="CCEEFF"/>
            </w:tcBorders>
            <w:shd w:val="clear" w:color="auto" w:fill="CCEEFF"/>
          </w:tcPr>
          <w:p>
            <w:pPr>
              <w:spacing w:after="0"/>
              <w:rPr>
                <w:sz w:val="2"/>
                <w:szCs w:val="2"/>
                <w:color w:val="auto"/>
              </w:rPr>
            </w:pPr>
          </w:p>
        </w:tc>
        <w:tc>
          <w:tcPr>
            <w:tcW w:w="2060" w:type="dxa"/>
            <w:vAlign w:val="bottom"/>
            <w:tcBorders>
              <w:top w:val="single" w:sz="8" w:color="auto"/>
            </w:tcBorders>
            <w:shd w:val="clear" w:color="auto" w:fill="CCEEFF"/>
          </w:tcPr>
          <w:p>
            <w:pPr>
              <w:spacing w:after="0"/>
              <w:rPr>
                <w:sz w:val="2"/>
                <w:szCs w:val="2"/>
                <w:color w:val="auto"/>
              </w:rPr>
            </w:pPr>
          </w:p>
        </w:tc>
        <w:tc>
          <w:tcPr>
            <w:tcW w:w="340" w:type="dxa"/>
            <w:vAlign w:val="bottom"/>
            <w:tcBorders>
              <w:top w:val="single" w:sz="8" w:color="auto"/>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1320" w:type="dxa"/>
            <w:vAlign w:val="bottom"/>
            <w:tcBorders>
              <w:top w:val="single" w:sz="8" w:color="CCEEFF"/>
            </w:tcBorders>
            <w:shd w:val="clear" w:color="auto" w:fill="CCEEFF"/>
          </w:tcPr>
          <w:p>
            <w:pPr>
              <w:spacing w:after="0"/>
              <w:rPr>
                <w:sz w:val="2"/>
                <w:szCs w:val="2"/>
                <w:color w:val="auto"/>
              </w:rPr>
            </w:pPr>
          </w:p>
        </w:tc>
        <w:tc>
          <w:tcPr>
            <w:tcW w:w="1500" w:type="dxa"/>
            <w:vAlign w:val="bottom"/>
            <w:tcBorders>
              <w:top w:val="single" w:sz="8" w:color="CCEEFF"/>
            </w:tcBorders>
            <w:shd w:val="clear" w:color="auto" w:fill="CCEEFF"/>
          </w:tcPr>
          <w:p>
            <w:pPr>
              <w:spacing w:after="0"/>
              <w:rPr>
                <w:sz w:val="2"/>
                <w:szCs w:val="2"/>
                <w:color w:val="auto"/>
              </w:rPr>
            </w:pPr>
          </w:p>
        </w:tc>
        <w:tc>
          <w:tcPr>
            <w:tcW w:w="18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14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142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4200" w:type="dxa"/>
            <w:vAlign w:val="bottom"/>
            <w:gridSpan w:val="8"/>
          </w:tcPr>
          <w:p>
            <w:pPr>
              <w:ind w:left="120"/>
              <w:spacing w:after="0" w:line="210" w:lineRule="exact"/>
              <w:rPr>
                <w:sz w:val="20"/>
                <w:szCs w:val="20"/>
                <w:color w:val="auto"/>
              </w:rPr>
            </w:pPr>
            <w:r>
              <w:rPr>
                <w:rFonts w:ascii="Calibri" w:cs="Calibri" w:eastAsia="Calibri" w:hAnsi="Calibri"/>
                <w:sz w:val="18"/>
                <w:szCs w:val="18"/>
                <w:color w:val="auto"/>
              </w:rPr>
              <w:t>2.250% notes due November 2023</w:t>
            </w:r>
          </w:p>
        </w:tc>
        <w:tc>
          <w:tcPr>
            <w:tcW w:w="3360" w:type="dxa"/>
            <w:vAlign w:val="bottom"/>
            <w:gridSpan w:val="2"/>
          </w:tcPr>
          <w:p>
            <w:pPr>
              <w:ind w:left="2860"/>
              <w:spacing w:after="0" w:line="210" w:lineRule="exact"/>
              <w:rPr>
                <w:sz w:val="20"/>
                <w:szCs w:val="20"/>
                <w:color w:val="auto"/>
              </w:rPr>
            </w:pPr>
            <w:r>
              <w:rPr>
                <w:rFonts w:ascii="Calibri" w:cs="Calibri" w:eastAsia="Calibri" w:hAnsi="Calibri"/>
                <w:sz w:val="18"/>
                <w:szCs w:val="18"/>
                <w:color w:val="auto"/>
                <w:w w:val="98"/>
              </w:rPr>
              <w:t>2.40 %</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0" w:type="dxa"/>
            <w:vAlign w:val="bottom"/>
          </w:tcPr>
          <w:p>
            <w:pPr>
              <w:jc w:val="right"/>
              <w:spacing w:after="0" w:line="210" w:lineRule="exact"/>
              <w:rPr>
                <w:sz w:val="20"/>
                <w:szCs w:val="20"/>
                <w:color w:val="auto"/>
              </w:rPr>
            </w:pPr>
            <w:r>
              <w:rPr>
                <w:rFonts w:ascii="Calibri" w:cs="Calibri" w:eastAsia="Calibri" w:hAnsi="Calibri"/>
                <w:sz w:val="18"/>
                <w:szCs w:val="18"/>
                <w:color w:val="auto"/>
              </w:rPr>
              <w:t>105</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tcPr>
          <w:p>
            <w:pPr>
              <w:jc w:val="right"/>
              <w:spacing w:after="0" w:line="210" w:lineRule="exact"/>
              <w:rPr>
                <w:sz w:val="20"/>
                <w:szCs w:val="20"/>
                <w:color w:val="auto"/>
              </w:rPr>
            </w:pPr>
            <w:r>
              <w:rPr>
                <w:rFonts w:ascii="Calibri" w:cs="Calibri" w:eastAsia="Calibri" w:hAnsi="Calibri"/>
                <w:sz w:val="18"/>
                <w:szCs w:val="18"/>
                <w:color w:val="auto"/>
              </w:rPr>
              <w:t>105</w:t>
            </w:r>
          </w:p>
        </w:tc>
        <w:tc>
          <w:tcPr>
            <w:tcW w:w="0" w:type="dxa"/>
            <w:vAlign w:val="bottom"/>
          </w:tcPr>
          <w:p>
            <w:pPr>
              <w:spacing w:after="0"/>
              <w:rPr>
                <w:sz w:val="1"/>
                <w:szCs w:val="1"/>
                <w:color w:val="auto"/>
              </w:rPr>
            </w:pPr>
          </w:p>
        </w:tc>
      </w:tr>
      <w:tr>
        <w:trPr>
          <w:trHeight w:val="232"/>
        </w:trPr>
        <w:tc>
          <w:tcPr>
            <w:tcW w:w="20" w:type="dxa"/>
            <w:vAlign w:val="bottom"/>
            <w:shd w:val="clear" w:color="auto" w:fill="CCEEFF"/>
          </w:tcPr>
          <w:p>
            <w:pPr>
              <w:spacing w:after="0"/>
              <w:rPr>
                <w:sz w:val="20"/>
                <w:szCs w:val="20"/>
                <w:color w:val="auto"/>
              </w:rPr>
            </w:pPr>
          </w:p>
        </w:tc>
        <w:tc>
          <w:tcPr>
            <w:tcW w:w="4200" w:type="dxa"/>
            <w:vAlign w:val="bottom"/>
            <w:gridSpan w:val="8"/>
            <w:shd w:val="clear" w:color="auto" w:fill="CCEEFF"/>
          </w:tcPr>
          <w:p>
            <w:pPr>
              <w:ind w:left="120"/>
              <w:spacing w:after="0" w:line="217" w:lineRule="exact"/>
              <w:rPr>
                <w:sz w:val="20"/>
                <w:szCs w:val="20"/>
                <w:color w:val="auto"/>
              </w:rPr>
            </w:pPr>
            <w:r>
              <w:rPr>
                <w:rFonts w:ascii="Calibri" w:cs="Calibri" w:eastAsia="Calibri" w:hAnsi="Calibri"/>
                <w:sz w:val="18"/>
                <w:szCs w:val="18"/>
                <w:color w:val="auto"/>
              </w:rPr>
              <w:t>3.150% notes due November 2025</w:t>
            </w:r>
          </w:p>
        </w:tc>
        <w:tc>
          <w:tcPr>
            <w:tcW w:w="3360" w:type="dxa"/>
            <w:vAlign w:val="bottom"/>
            <w:gridSpan w:val="2"/>
            <w:shd w:val="clear" w:color="auto" w:fill="CCEEFF"/>
          </w:tcPr>
          <w:p>
            <w:pPr>
              <w:ind w:left="2860"/>
              <w:spacing w:after="0" w:line="217" w:lineRule="exact"/>
              <w:rPr>
                <w:sz w:val="20"/>
                <w:szCs w:val="20"/>
                <w:color w:val="auto"/>
              </w:rPr>
            </w:pPr>
            <w:r>
              <w:rPr>
                <w:rFonts w:ascii="Calibri" w:cs="Calibri" w:eastAsia="Calibri" w:hAnsi="Calibri"/>
                <w:sz w:val="18"/>
                <w:szCs w:val="18"/>
                <w:color w:val="auto"/>
                <w:w w:val="98"/>
              </w:rPr>
              <w:t>3.29 %</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400" w:type="dxa"/>
            <w:vAlign w:val="bottom"/>
            <w:shd w:val="clear" w:color="auto" w:fill="CCEEFF"/>
          </w:tcPr>
          <w:p>
            <w:pPr>
              <w:jc w:val="right"/>
              <w:spacing w:after="0" w:line="217" w:lineRule="exact"/>
              <w:rPr>
                <w:sz w:val="20"/>
                <w:szCs w:val="20"/>
                <w:color w:val="auto"/>
              </w:rPr>
            </w:pPr>
            <w:r>
              <w:rPr>
                <w:rFonts w:ascii="Calibri" w:cs="Calibri" w:eastAsia="Calibri" w:hAnsi="Calibri"/>
                <w:sz w:val="18"/>
                <w:szCs w:val="18"/>
                <w:color w:val="auto"/>
              </w:rPr>
              <w:t>900</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line="217" w:lineRule="exact"/>
              <w:rPr>
                <w:sz w:val="20"/>
                <w:szCs w:val="20"/>
                <w:color w:val="auto"/>
              </w:rPr>
            </w:pPr>
            <w:r>
              <w:rPr>
                <w:rFonts w:ascii="Calibri" w:cs="Calibri" w:eastAsia="Calibri" w:hAnsi="Calibri"/>
                <w:sz w:val="18"/>
                <w:szCs w:val="18"/>
                <w:color w:val="auto"/>
              </w:rPr>
              <w:t>900</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200" w:type="dxa"/>
            <w:vAlign w:val="bottom"/>
            <w:gridSpan w:val="8"/>
          </w:tcPr>
          <w:p>
            <w:pPr>
              <w:ind w:left="120"/>
              <w:spacing w:after="0" w:line="210" w:lineRule="exact"/>
              <w:rPr>
                <w:sz w:val="20"/>
                <w:szCs w:val="20"/>
                <w:color w:val="auto"/>
              </w:rPr>
            </w:pPr>
            <w:r>
              <w:rPr>
                <w:rFonts w:ascii="Calibri" w:cs="Calibri" w:eastAsia="Calibri" w:hAnsi="Calibri"/>
                <w:sz w:val="18"/>
                <w:szCs w:val="18"/>
                <w:color w:val="auto"/>
              </w:rPr>
              <w:t>4.150% notes due November 2030</w:t>
            </w:r>
          </w:p>
        </w:tc>
        <w:tc>
          <w:tcPr>
            <w:tcW w:w="3360" w:type="dxa"/>
            <w:vAlign w:val="bottom"/>
            <w:gridSpan w:val="2"/>
          </w:tcPr>
          <w:p>
            <w:pPr>
              <w:ind w:left="2860"/>
              <w:spacing w:after="0" w:line="210" w:lineRule="exact"/>
              <w:rPr>
                <w:sz w:val="20"/>
                <w:szCs w:val="20"/>
                <w:color w:val="auto"/>
              </w:rPr>
            </w:pPr>
            <w:r>
              <w:rPr>
                <w:rFonts w:ascii="Calibri" w:cs="Calibri" w:eastAsia="Calibri" w:hAnsi="Calibri"/>
                <w:sz w:val="18"/>
                <w:szCs w:val="18"/>
                <w:color w:val="auto"/>
                <w:w w:val="98"/>
              </w:rPr>
              <w:t>4.27 %</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0" w:type="dxa"/>
            <w:vAlign w:val="bottom"/>
          </w:tcPr>
          <w:p>
            <w:pPr>
              <w:jc w:val="right"/>
              <w:spacing w:after="0" w:line="210" w:lineRule="exact"/>
              <w:rPr>
                <w:sz w:val="20"/>
                <w:szCs w:val="20"/>
                <w:color w:val="auto"/>
              </w:rPr>
            </w:pPr>
            <w:r>
              <w:rPr>
                <w:rFonts w:ascii="Calibri" w:cs="Calibri" w:eastAsia="Calibri" w:hAnsi="Calibri"/>
                <w:sz w:val="18"/>
                <w:szCs w:val="18"/>
                <w:color w:val="auto"/>
              </w:rPr>
              <w:t>1,856</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tcPr>
          <w:p>
            <w:pPr>
              <w:jc w:val="right"/>
              <w:spacing w:after="0" w:line="210" w:lineRule="exact"/>
              <w:rPr>
                <w:sz w:val="20"/>
                <w:szCs w:val="20"/>
                <w:color w:val="auto"/>
              </w:rPr>
            </w:pPr>
            <w:r>
              <w:rPr>
                <w:rFonts w:ascii="Calibri" w:cs="Calibri" w:eastAsia="Calibri" w:hAnsi="Calibri"/>
                <w:sz w:val="18"/>
                <w:szCs w:val="18"/>
                <w:color w:val="auto"/>
              </w:rPr>
              <w:t>1,856</w:t>
            </w:r>
          </w:p>
        </w:tc>
        <w:tc>
          <w:tcPr>
            <w:tcW w:w="0" w:type="dxa"/>
            <w:vAlign w:val="bottom"/>
          </w:tcPr>
          <w:p>
            <w:pPr>
              <w:spacing w:after="0"/>
              <w:rPr>
                <w:sz w:val="1"/>
                <w:szCs w:val="1"/>
                <w:color w:val="auto"/>
              </w:rPr>
            </w:pPr>
          </w:p>
        </w:tc>
      </w:tr>
      <w:tr>
        <w:trPr>
          <w:trHeight w:val="225"/>
        </w:trPr>
        <w:tc>
          <w:tcPr>
            <w:tcW w:w="20" w:type="dxa"/>
            <w:vAlign w:val="bottom"/>
            <w:shd w:val="clear" w:color="auto" w:fill="CCEEFF"/>
          </w:tcPr>
          <w:p>
            <w:pPr>
              <w:spacing w:after="0"/>
              <w:rPr>
                <w:sz w:val="19"/>
                <w:szCs w:val="19"/>
                <w:color w:val="auto"/>
              </w:rPr>
            </w:pPr>
          </w:p>
        </w:tc>
        <w:tc>
          <w:tcPr>
            <w:tcW w:w="4200" w:type="dxa"/>
            <w:vAlign w:val="bottom"/>
            <w:gridSpan w:val="8"/>
            <w:shd w:val="clear" w:color="auto" w:fill="CCEEFF"/>
          </w:tcPr>
          <w:p>
            <w:pPr>
              <w:ind w:left="120"/>
              <w:spacing w:after="0" w:line="217" w:lineRule="exact"/>
              <w:rPr>
                <w:sz w:val="20"/>
                <w:szCs w:val="20"/>
                <w:color w:val="auto"/>
              </w:rPr>
            </w:pPr>
            <w:r>
              <w:rPr>
                <w:rFonts w:ascii="Calibri" w:cs="Calibri" w:eastAsia="Calibri" w:hAnsi="Calibri"/>
                <w:sz w:val="18"/>
                <w:szCs w:val="18"/>
                <w:color w:val="auto"/>
              </w:rPr>
              <w:t>4.300% notes due November 2032</w:t>
            </w:r>
          </w:p>
        </w:tc>
        <w:tc>
          <w:tcPr>
            <w:tcW w:w="3360" w:type="dxa"/>
            <w:vAlign w:val="bottom"/>
            <w:gridSpan w:val="2"/>
            <w:shd w:val="clear" w:color="auto" w:fill="CCEEFF"/>
          </w:tcPr>
          <w:p>
            <w:pPr>
              <w:ind w:left="2860"/>
              <w:spacing w:after="0" w:line="217" w:lineRule="exact"/>
              <w:rPr>
                <w:sz w:val="20"/>
                <w:szCs w:val="20"/>
                <w:color w:val="auto"/>
              </w:rPr>
            </w:pPr>
            <w:r>
              <w:rPr>
                <w:rFonts w:ascii="Calibri" w:cs="Calibri" w:eastAsia="Calibri" w:hAnsi="Calibri"/>
                <w:sz w:val="18"/>
                <w:szCs w:val="18"/>
                <w:color w:val="auto"/>
                <w:w w:val="98"/>
              </w:rPr>
              <w:t>4.39 %</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line="217" w:lineRule="exact"/>
              <w:rPr>
                <w:sz w:val="20"/>
                <w:szCs w:val="20"/>
                <w:color w:val="auto"/>
              </w:rPr>
            </w:pPr>
            <w:r>
              <w:rPr>
                <w:rFonts w:ascii="Calibri" w:cs="Calibri" w:eastAsia="Calibri" w:hAnsi="Calibri"/>
                <w:sz w:val="18"/>
                <w:szCs w:val="18"/>
                <w:color w:val="auto"/>
              </w:rPr>
              <w:t>2,000</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line="217" w:lineRule="exact"/>
              <w:rPr>
                <w:sz w:val="20"/>
                <w:szCs w:val="20"/>
                <w:color w:val="auto"/>
              </w:rPr>
            </w:pPr>
            <w:r>
              <w:rPr>
                <w:rFonts w:ascii="Calibri" w:cs="Calibri" w:eastAsia="Calibri" w:hAnsi="Calibri"/>
                <w:sz w:val="18"/>
                <w:szCs w:val="18"/>
                <w:color w:val="auto"/>
              </w:rPr>
              <w:t>2,000</w:t>
            </w:r>
          </w:p>
        </w:tc>
        <w:tc>
          <w:tcPr>
            <w:tcW w:w="0" w:type="dxa"/>
            <w:vAlign w:val="bottom"/>
          </w:tcPr>
          <w:p>
            <w:pPr>
              <w:spacing w:after="0"/>
              <w:rPr>
                <w:sz w:val="1"/>
                <w:szCs w:val="1"/>
                <w:color w:val="auto"/>
              </w:rPr>
            </w:pPr>
          </w:p>
        </w:tc>
      </w:tr>
      <w:tr>
        <w:trPr>
          <w:trHeight w:val="218"/>
        </w:trPr>
        <w:tc>
          <w:tcPr>
            <w:tcW w:w="20" w:type="dxa"/>
            <w:vAlign w:val="bottom"/>
            <w:tcBorders>
              <w:bottom w:val="single" w:sz="8" w:color="CCEEFF"/>
            </w:tcBorders>
          </w:tcPr>
          <w:p>
            <w:pPr>
              <w:spacing w:after="0"/>
              <w:rPr>
                <w:sz w:val="18"/>
                <w:szCs w:val="18"/>
                <w:color w:val="auto"/>
              </w:rPr>
            </w:pPr>
          </w:p>
        </w:tc>
        <w:tc>
          <w:tcPr>
            <w:tcW w:w="2060" w:type="dxa"/>
            <w:vAlign w:val="bottom"/>
            <w:tcBorders>
              <w:bottom w:val="single" w:sz="8" w:color="CCEEFF"/>
            </w:tcBorders>
          </w:tcPr>
          <w:p>
            <w:pPr>
              <w:spacing w:after="0"/>
              <w:rPr>
                <w:sz w:val="18"/>
                <w:szCs w:val="18"/>
                <w:color w:val="auto"/>
              </w:rPr>
            </w:pPr>
          </w:p>
        </w:tc>
        <w:tc>
          <w:tcPr>
            <w:tcW w:w="3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1320" w:type="dxa"/>
            <w:vAlign w:val="bottom"/>
            <w:tcBorders>
              <w:bottom w:val="single" w:sz="8" w:color="CCEEFF"/>
            </w:tcBorders>
          </w:tcPr>
          <w:p>
            <w:pPr>
              <w:spacing w:after="0"/>
              <w:rPr>
                <w:sz w:val="18"/>
                <w:szCs w:val="18"/>
                <w:color w:val="auto"/>
              </w:rPr>
            </w:pPr>
          </w:p>
        </w:tc>
        <w:tc>
          <w:tcPr>
            <w:tcW w:w="1500" w:type="dxa"/>
            <w:vAlign w:val="bottom"/>
            <w:tcBorders>
              <w:bottom w:val="single" w:sz="8" w:color="CCEEFF"/>
            </w:tcBorders>
          </w:tcPr>
          <w:p>
            <w:pPr>
              <w:spacing w:after="0"/>
              <w:rPr>
                <w:sz w:val="18"/>
                <w:szCs w:val="18"/>
                <w:color w:val="auto"/>
              </w:rPr>
            </w:pPr>
          </w:p>
        </w:tc>
        <w:tc>
          <w:tcPr>
            <w:tcW w:w="18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line="210" w:lineRule="exact"/>
              <w:rPr>
                <w:sz w:val="20"/>
                <w:szCs w:val="20"/>
                <w:color w:val="auto"/>
              </w:rPr>
            </w:pPr>
            <w:r>
              <w:rPr>
                <w:rFonts w:ascii="Calibri" w:cs="Calibri" w:eastAsia="Calibri" w:hAnsi="Calibri"/>
                <w:sz w:val="18"/>
                <w:szCs w:val="18"/>
                <w:color w:val="auto"/>
              </w:rPr>
              <w:t>4,861</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line="210" w:lineRule="exact"/>
              <w:rPr>
                <w:sz w:val="20"/>
                <w:szCs w:val="20"/>
                <w:color w:val="auto"/>
              </w:rPr>
            </w:pPr>
            <w:r>
              <w:rPr>
                <w:rFonts w:ascii="Calibri" w:cs="Calibri" w:eastAsia="Calibri" w:hAnsi="Calibri"/>
                <w:sz w:val="18"/>
                <w:szCs w:val="18"/>
                <w:color w:val="auto"/>
              </w:rPr>
              <w:t>4,861</w:t>
            </w:r>
          </w:p>
        </w:tc>
        <w:tc>
          <w:tcPr>
            <w:tcW w:w="0" w:type="dxa"/>
            <w:vAlign w:val="bottom"/>
          </w:tcPr>
          <w:p>
            <w:pPr>
              <w:spacing w:after="0"/>
              <w:rPr>
                <w:sz w:val="1"/>
                <w:szCs w:val="1"/>
                <w:color w:val="auto"/>
              </w:rPr>
            </w:pPr>
          </w:p>
        </w:tc>
      </w:tr>
      <w:tr>
        <w:trPr>
          <w:trHeight w:val="191"/>
        </w:trPr>
        <w:tc>
          <w:tcPr>
            <w:tcW w:w="20" w:type="dxa"/>
            <w:vAlign w:val="bottom"/>
            <w:tcBorders>
              <w:bottom w:val="single" w:sz="8" w:color="CCEEFF"/>
            </w:tcBorders>
            <w:shd w:val="clear" w:color="auto" w:fill="CCEEFF"/>
          </w:tcPr>
          <w:p>
            <w:pPr>
              <w:spacing w:after="0"/>
              <w:rPr>
                <w:sz w:val="16"/>
                <w:szCs w:val="16"/>
                <w:color w:val="auto"/>
              </w:rPr>
            </w:pPr>
          </w:p>
        </w:tc>
        <w:tc>
          <w:tcPr>
            <w:tcW w:w="2440" w:type="dxa"/>
            <w:vAlign w:val="bottom"/>
            <w:tcBorders>
              <w:bottom w:val="single" w:sz="8" w:color="auto"/>
            </w:tcBorders>
            <w:gridSpan w:val="4"/>
            <w:shd w:val="clear" w:color="auto" w:fill="CCEEFF"/>
          </w:tcPr>
          <w:p>
            <w:pPr>
              <w:spacing w:after="0" w:line="159" w:lineRule="exact"/>
              <w:rPr>
                <w:sz w:val="20"/>
                <w:szCs w:val="20"/>
                <w:color w:val="auto"/>
              </w:rPr>
            </w:pPr>
            <w:r>
              <w:rPr>
                <w:rFonts w:ascii="Calibri" w:cs="Calibri" w:eastAsia="Calibri" w:hAnsi="Calibri"/>
                <w:sz w:val="17"/>
                <w:szCs w:val="17"/>
                <w:color w:val="auto"/>
              </w:rPr>
              <w:t>April 2020 Senior Notes - fxed rate</w:t>
            </w:r>
          </w:p>
        </w:tc>
        <w:tc>
          <w:tcPr>
            <w:tcW w:w="1760" w:type="dxa"/>
            <w:vAlign w:val="bottom"/>
            <w:tcBorders>
              <w:bottom w:val="single" w:sz="8" w:color="CCEEFF"/>
            </w:tcBorders>
            <w:gridSpan w:val="4"/>
            <w:shd w:val="clear" w:color="auto" w:fill="CCEEFF"/>
          </w:tcPr>
          <w:p>
            <w:pPr>
              <w:spacing w:after="0"/>
              <w:rPr>
                <w:sz w:val="16"/>
                <w:szCs w:val="16"/>
                <w:color w:val="auto"/>
              </w:rPr>
            </w:pPr>
          </w:p>
        </w:tc>
        <w:tc>
          <w:tcPr>
            <w:tcW w:w="1500" w:type="dxa"/>
            <w:vAlign w:val="bottom"/>
            <w:tcBorders>
              <w:bottom w:val="single" w:sz="8" w:color="CCEEFF"/>
            </w:tcBorders>
            <w:shd w:val="clear" w:color="auto" w:fill="CCEEFF"/>
          </w:tcPr>
          <w:p>
            <w:pPr>
              <w:spacing w:after="0"/>
              <w:rPr>
                <w:sz w:val="16"/>
                <w:szCs w:val="16"/>
                <w:color w:val="auto"/>
              </w:rPr>
            </w:pPr>
          </w:p>
        </w:tc>
        <w:tc>
          <w:tcPr>
            <w:tcW w:w="18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4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142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200" w:type="dxa"/>
            <w:vAlign w:val="bottom"/>
            <w:gridSpan w:val="8"/>
          </w:tcPr>
          <w:p>
            <w:pPr>
              <w:ind w:left="120"/>
              <w:spacing w:after="0" w:line="210" w:lineRule="exact"/>
              <w:rPr>
                <w:sz w:val="20"/>
                <w:szCs w:val="20"/>
                <w:color w:val="auto"/>
              </w:rPr>
            </w:pPr>
            <w:r>
              <w:rPr>
                <w:rFonts w:ascii="Calibri" w:cs="Calibri" w:eastAsia="Calibri" w:hAnsi="Calibri"/>
                <w:sz w:val="18"/>
                <w:szCs w:val="18"/>
                <w:color w:val="auto"/>
              </w:rPr>
              <w:t>5.000% notes due April 2030</w:t>
            </w:r>
          </w:p>
        </w:tc>
        <w:tc>
          <w:tcPr>
            <w:tcW w:w="3360" w:type="dxa"/>
            <w:vAlign w:val="bottom"/>
            <w:gridSpan w:val="2"/>
          </w:tcPr>
          <w:p>
            <w:pPr>
              <w:ind w:left="2860"/>
              <w:spacing w:after="0" w:line="210" w:lineRule="exact"/>
              <w:rPr>
                <w:sz w:val="20"/>
                <w:szCs w:val="20"/>
                <w:color w:val="auto"/>
              </w:rPr>
            </w:pPr>
            <w:r>
              <w:rPr>
                <w:rFonts w:ascii="Calibri" w:cs="Calibri" w:eastAsia="Calibri" w:hAnsi="Calibri"/>
                <w:sz w:val="18"/>
                <w:szCs w:val="18"/>
                <w:color w:val="auto"/>
                <w:w w:val="98"/>
              </w:rPr>
              <w:t>5.18 %</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0" w:type="dxa"/>
            <w:vAlign w:val="bottom"/>
          </w:tcPr>
          <w:p>
            <w:pPr>
              <w:jc w:val="right"/>
              <w:spacing w:after="0" w:line="210" w:lineRule="exact"/>
              <w:rPr>
                <w:sz w:val="20"/>
                <w:szCs w:val="20"/>
                <w:color w:val="auto"/>
              </w:rPr>
            </w:pPr>
            <w:r>
              <w:rPr>
                <w:rFonts w:ascii="Calibri" w:cs="Calibri" w:eastAsia="Calibri" w:hAnsi="Calibri"/>
                <w:sz w:val="18"/>
                <w:szCs w:val="18"/>
                <w:color w:val="auto"/>
              </w:rPr>
              <w:t>606</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tcPr>
          <w:p>
            <w:pPr>
              <w:jc w:val="right"/>
              <w:spacing w:after="0" w:line="210" w:lineRule="exact"/>
              <w:rPr>
                <w:sz w:val="20"/>
                <w:szCs w:val="20"/>
                <w:color w:val="auto"/>
              </w:rPr>
            </w:pPr>
            <w:r>
              <w:rPr>
                <w:rFonts w:ascii="Calibri" w:cs="Calibri" w:eastAsia="Calibri" w:hAnsi="Calibri"/>
                <w:sz w:val="18"/>
                <w:szCs w:val="18"/>
                <w:color w:val="auto"/>
              </w:rPr>
              <w:t>606</w:t>
            </w:r>
          </w:p>
        </w:tc>
        <w:tc>
          <w:tcPr>
            <w:tcW w:w="0" w:type="dxa"/>
            <w:vAlign w:val="bottom"/>
          </w:tcPr>
          <w:p>
            <w:pPr>
              <w:spacing w:after="0"/>
              <w:rPr>
                <w:sz w:val="1"/>
                <w:szCs w:val="1"/>
                <w:color w:val="auto"/>
              </w:rPr>
            </w:pPr>
          </w:p>
        </w:tc>
      </w:tr>
      <w:tr>
        <w:trPr>
          <w:trHeight w:val="271"/>
        </w:trPr>
        <w:tc>
          <w:tcPr>
            <w:tcW w:w="20" w:type="dxa"/>
            <w:vAlign w:val="bottom"/>
            <w:shd w:val="clear" w:color="auto" w:fill="CCEEFF"/>
          </w:tcPr>
          <w:p>
            <w:pPr>
              <w:spacing w:after="0"/>
              <w:rPr>
                <w:sz w:val="23"/>
                <w:szCs w:val="23"/>
                <w:color w:val="auto"/>
              </w:rPr>
            </w:pPr>
          </w:p>
        </w:tc>
        <w:tc>
          <w:tcPr>
            <w:tcW w:w="206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500" w:type="dxa"/>
            <w:vAlign w:val="bottom"/>
            <w:shd w:val="clear" w:color="auto" w:fill="CCEEFF"/>
          </w:tcPr>
          <w:p>
            <w:pPr>
              <w:spacing w:after="0"/>
              <w:rPr>
                <w:sz w:val="23"/>
                <w:szCs w:val="23"/>
                <w:color w:val="auto"/>
              </w:rPr>
            </w:pPr>
          </w:p>
        </w:tc>
        <w:tc>
          <w:tcPr>
            <w:tcW w:w="18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200" w:type="dxa"/>
            <w:vAlign w:val="bottom"/>
            <w:gridSpan w:val="8"/>
          </w:tcPr>
          <w:p>
            <w:pPr>
              <w:spacing w:after="0" w:line="172" w:lineRule="exact"/>
              <w:rPr>
                <w:sz w:val="20"/>
                <w:szCs w:val="20"/>
                <w:color w:val="auto"/>
              </w:rPr>
            </w:pPr>
            <w:r>
              <w:rPr>
                <w:rFonts w:ascii="Calibri" w:cs="Calibri" w:eastAsia="Calibri" w:hAnsi="Calibri"/>
                <w:sz w:val="18"/>
                <w:szCs w:val="18"/>
                <w:color w:val="auto"/>
              </w:rPr>
              <w:t>April 2019 Senior Notes - fxed rate</w:t>
            </w:r>
          </w:p>
        </w:tc>
        <w:tc>
          <w:tcPr>
            <w:tcW w:w="150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2060" w:type="dxa"/>
            <w:vAlign w:val="bottom"/>
            <w:tcBorders>
              <w:top w:val="single" w:sz="8" w:color="auto"/>
            </w:tcBorders>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4"/>
        </w:trPr>
        <w:tc>
          <w:tcPr>
            <w:tcW w:w="20" w:type="dxa"/>
            <w:vAlign w:val="bottom"/>
            <w:shd w:val="clear" w:color="auto" w:fill="CCEEFF"/>
          </w:tcPr>
          <w:p>
            <w:pPr>
              <w:spacing w:after="0"/>
              <w:rPr>
                <w:sz w:val="19"/>
                <w:szCs w:val="19"/>
                <w:color w:val="auto"/>
              </w:rPr>
            </w:pPr>
          </w:p>
        </w:tc>
        <w:tc>
          <w:tcPr>
            <w:tcW w:w="4200" w:type="dxa"/>
            <w:vAlign w:val="bottom"/>
            <w:gridSpan w:val="8"/>
            <w:shd w:val="clear" w:color="auto" w:fill="CCEEFF"/>
          </w:tcPr>
          <w:p>
            <w:pPr>
              <w:ind w:left="120"/>
              <w:spacing w:after="0" w:line="210" w:lineRule="exact"/>
              <w:rPr>
                <w:sz w:val="20"/>
                <w:szCs w:val="20"/>
                <w:color w:val="auto"/>
              </w:rPr>
            </w:pPr>
            <w:r>
              <w:rPr>
                <w:rFonts w:ascii="Calibri" w:cs="Calibri" w:eastAsia="Calibri" w:hAnsi="Calibri"/>
                <w:sz w:val="18"/>
                <w:szCs w:val="18"/>
                <w:color w:val="auto"/>
              </w:rPr>
              <w:t>3.625% notes due October 2024</w:t>
            </w:r>
          </w:p>
        </w:tc>
        <w:tc>
          <w:tcPr>
            <w:tcW w:w="3360" w:type="dxa"/>
            <w:vAlign w:val="bottom"/>
            <w:gridSpan w:val="2"/>
            <w:shd w:val="clear" w:color="auto" w:fill="CCEEFF"/>
          </w:tcPr>
          <w:p>
            <w:pPr>
              <w:ind w:left="2860"/>
              <w:spacing w:after="0" w:line="210" w:lineRule="exact"/>
              <w:rPr>
                <w:sz w:val="20"/>
                <w:szCs w:val="20"/>
                <w:color w:val="auto"/>
              </w:rPr>
            </w:pPr>
            <w:r>
              <w:rPr>
                <w:rFonts w:ascii="Calibri" w:cs="Calibri" w:eastAsia="Calibri" w:hAnsi="Calibri"/>
                <w:sz w:val="18"/>
                <w:szCs w:val="18"/>
                <w:color w:val="auto"/>
                <w:w w:val="98"/>
              </w:rPr>
              <w:t>3.98 %</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line="210" w:lineRule="exact"/>
              <w:rPr>
                <w:sz w:val="20"/>
                <w:szCs w:val="20"/>
                <w:color w:val="auto"/>
              </w:rPr>
            </w:pPr>
            <w:r>
              <w:rPr>
                <w:rFonts w:ascii="Calibri" w:cs="Calibri" w:eastAsia="Calibri" w:hAnsi="Calibri"/>
                <w:sz w:val="18"/>
                <w:szCs w:val="18"/>
                <w:color w:val="auto"/>
              </w:rPr>
              <w:t>622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line="210" w:lineRule="exact"/>
              <w:rPr>
                <w:sz w:val="20"/>
                <w:szCs w:val="20"/>
                <w:color w:val="auto"/>
              </w:rPr>
            </w:pPr>
            <w:r>
              <w:rPr>
                <w:rFonts w:ascii="Calibri" w:cs="Calibri" w:eastAsia="Calibri" w:hAnsi="Calibri"/>
                <w:sz w:val="18"/>
                <w:szCs w:val="18"/>
                <w:color w:val="auto"/>
              </w:rPr>
              <w:t>622</w:t>
            </w:r>
          </w:p>
        </w:tc>
        <w:tc>
          <w:tcPr>
            <w:tcW w:w="0" w:type="dxa"/>
            <w:vAlign w:val="bottom"/>
          </w:tcPr>
          <w:p>
            <w:pPr>
              <w:spacing w:after="0"/>
              <w:rPr>
                <w:sz w:val="1"/>
                <w:szCs w:val="1"/>
                <w:color w:val="auto"/>
              </w:rPr>
            </w:pPr>
          </w:p>
        </w:tc>
      </w:tr>
      <w:tr>
        <w:trPr>
          <w:trHeight w:val="218"/>
        </w:trPr>
        <w:tc>
          <w:tcPr>
            <w:tcW w:w="20" w:type="dxa"/>
            <w:vAlign w:val="bottom"/>
            <w:tcBorders>
              <w:bottom w:val="single" w:sz="8" w:color="CCEEFF"/>
            </w:tcBorders>
          </w:tcPr>
          <w:p>
            <w:pPr>
              <w:spacing w:after="0"/>
              <w:rPr>
                <w:sz w:val="18"/>
                <w:szCs w:val="18"/>
                <w:color w:val="auto"/>
              </w:rPr>
            </w:pPr>
          </w:p>
        </w:tc>
        <w:tc>
          <w:tcPr>
            <w:tcW w:w="4200" w:type="dxa"/>
            <w:vAlign w:val="bottom"/>
            <w:tcBorders>
              <w:bottom w:val="single" w:sz="8" w:color="CCEEFF"/>
            </w:tcBorders>
            <w:gridSpan w:val="8"/>
          </w:tcPr>
          <w:p>
            <w:pPr>
              <w:ind w:left="120"/>
              <w:spacing w:after="0" w:line="210" w:lineRule="exact"/>
              <w:rPr>
                <w:sz w:val="20"/>
                <w:szCs w:val="20"/>
                <w:color w:val="auto"/>
              </w:rPr>
            </w:pPr>
            <w:r>
              <w:rPr>
                <w:rFonts w:ascii="Calibri" w:cs="Calibri" w:eastAsia="Calibri" w:hAnsi="Calibri"/>
                <w:sz w:val="18"/>
                <w:szCs w:val="18"/>
                <w:color w:val="auto"/>
              </w:rPr>
              <w:t>4.750% notes due April 2029</w:t>
            </w:r>
          </w:p>
        </w:tc>
        <w:tc>
          <w:tcPr>
            <w:tcW w:w="3360" w:type="dxa"/>
            <w:vAlign w:val="bottom"/>
            <w:tcBorders>
              <w:bottom w:val="single" w:sz="8" w:color="CCEEFF"/>
            </w:tcBorders>
            <w:gridSpan w:val="2"/>
          </w:tcPr>
          <w:p>
            <w:pPr>
              <w:ind w:left="2860"/>
              <w:spacing w:after="0" w:line="210" w:lineRule="exact"/>
              <w:rPr>
                <w:sz w:val="20"/>
                <w:szCs w:val="20"/>
                <w:color w:val="auto"/>
              </w:rPr>
            </w:pPr>
            <w:r>
              <w:rPr>
                <w:rFonts w:ascii="Calibri" w:cs="Calibri" w:eastAsia="Calibri" w:hAnsi="Calibri"/>
                <w:sz w:val="18"/>
                <w:szCs w:val="18"/>
                <w:color w:val="auto"/>
                <w:w w:val="98"/>
              </w:rPr>
              <w:t>4.95 %</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line="210" w:lineRule="exact"/>
              <w:rPr>
                <w:sz w:val="20"/>
                <w:szCs w:val="20"/>
                <w:color w:val="auto"/>
              </w:rPr>
            </w:pPr>
            <w:r>
              <w:rPr>
                <w:rFonts w:ascii="Calibri" w:cs="Calibri" w:eastAsia="Calibri" w:hAnsi="Calibri"/>
                <w:sz w:val="18"/>
                <w:szCs w:val="18"/>
                <w:color w:val="auto"/>
              </w:rPr>
              <w:t>1,655</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line="210" w:lineRule="exact"/>
              <w:rPr>
                <w:sz w:val="20"/>
                <w:szCs w:val="20"/>
                <w:color w:val="auto"/>
              </w:rPr>
            </w:pPr>
            <w:r>
              <w:rPr>
                <w:rFonts w:ascii="Calibri" w:cs="Calibri" w:eastAsia="Calibri" w:hAnsi="Calibri"/>
                <w:sz w:val="18"/>
                <w:szCs w:val="18"/>
                <w:color w:val="auto"/>
              </w:rPr>
              <w:t>1,655</w:t>
            </w:r>
          </w:p>
        </w:tc>
        <w:tc>
          <w:tcPr>
            <w:tcW w:w="0" w:type="dxa"/>
            <w:vAlign w:val="bottom"/>
          </w:tcPr>
          <w:p>
            <w:pPr>
              <w:spacing w:after="0"/>
              <w:rPr>
                <w:sz w:val="1"/>
                <w:szCs w:val="1"/>
                <w:color w:val="auto"/>
              </w:rPr>
            </w:pPr>
          </w:p>
        </w:tc>
      </w:tr>
      <w:tr>
        <w:trPr>
          <w:trHeight w:val="224"/>
        </w:trPr>
        <w:tc>
          <w:tcPr>
            <w:tcW w:w="20" w:type="dxa"/>
            <w:vAlign w:val="bottom"/>
            <w:shd w:val="clear" w:color="auto" w:fill="CCEEFF"/>
          </w:tcPr>
          <w:p>
            <w:pPr>
              <w:spacing w:after="0"/>
              <w:rPr>
                <w:sz w:val="19"/>
                <w:szCs w:val="19"/>
                <w:color w:val="auto"/>
              </w:rPr>
            </w:pPr>
          </w:p>
        </w:tc>
        <w:tc>
          <w:tcPr>
            <w:tcW w:w="20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line="210" w:lineRule="exact"/>
              <w:rPr>
                <w:sz w:val="20"/>
                <w:szCs w:val="20"/>
                <w:color w:val="auto"/>
              </w:rPr>
            </w:pPr>
            <w:r>
              <w:rPr>
                <w:rFonts w:ascii="Calibri" w:cs="Calibri" w:eastAsia="Calibri" w:hAnsi="Calibri"/>
                <w:sz w:val="18"/>
                <w:szCs w:val="18"/>
                <w:color w:val="auto"/>
              </w:rPr>
              <w:t>2,277</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line="210" w:lineRule="exact"/>
              <w:rPr>
                <w:sz w:val="20"/>
                <w:szCs w:val="20"/>
                <w:color w:val="auto"/>
              </w:rPr>
            </w:pPr>
            <w:r>
              <w:rPr>
                <w:rFonts w:ascii="Calibri" w:cs="Calibri" w:eastAsia="Calibri" w:hAnsi="Calibri"/>
                <w:sz w:val="18"/>
                <w:szCs w:val="18"/>
                <w:color w:val="auto"/>
              </w:rPr>
              <w:t>2,277</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4200" w:type="dxa"/>
            <w:vAlign w:val="bottom"/>
            <w:gridSpan w:val="8"/>
          </w:tcPr>
          <w:p>
            <w:pPr>
              <w:spacing w:after="0" w:line="152" w:lineRule="exact"/>
              <w:rPr>
                <w:sz w:val="20"/>
                <w:szCs w:val="20"/>
                <w:color w:val="auto"/>
              </w:rPr>
            </w:pPr>
            <w:r>
              <w:rPr>
                <w:rFonts w:ascii="Calibri" w:cs="Calibri" w:eastAsia="Calibri" w:hAnsi="Calibri"/>
                <w:sz w:val="15"/>
                <w:szCs w:val="15"/>
                <w:color w:val="auto"/>
              </w:rPr>
              <w:t>2017 Senior Notes - fxed rate</w:t>
            </w:r>
          </w:p>
        </w:tc>
        <w:tc>
          <w:tcPr>
            <w:tcW w:w="150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2060" w:type="dxa"/>
            <w:vAlign w:val="bottom"/>
            <w:tcBorders>
              <w:top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4"/>
        </w:trPr>
        <w:tc>
          <w:tcPr>
            <w:tcW w:w="20" w:type="dxa"/>
            <w:vAlign w:val="bottom"/>
            <w:shd w:val="clear" w:color="auto" w:fill="CCEEFF"/>
          </w:tcPr>
          <w:p>
            <w:pPr>
              <w:spacing w:after="0"/>
              <w:rPr>
                <w:sz w:val="19"/>
                <w:szCs w:val="19"/>
                <w:color w:val="auto"/>
              </w:rPr>
            </w:pPr>
          </w:p>
        </w:tc>
        <w:tc>
          <w:tcPr>
            <w:tcW w:w="4200" w:type="dxa"/>
            <w:vAlign w:val="bottom"/>
            <w:gridSpan w:val="8"/>
            <w:shd w:val="clear" w:color="auto" w:fill="CCEEFF"/>
          </w:tcPr>
          <w:p>
            <w:pPr>
              <w:ind w:left="120"/>
              <w:spacing w:after="0" w:line="210" w:lineRule="exact"/>
              <w:rPr>
                <w:sz w:val="20"/>
                <w:szCs w:val="20"/>
                <w:color w:val="auto"/>
              </w:rPr>
            </w:pPr>
            <w:r>
              <w:rPr>
                <w:rFonts w:ascii="Calibri" w:cs="Calibri" w:eastAsia="Calibri" w:hAnsi="Calibri"/>
                <w:sz w:val="18"/>
                <w:szCs w:val="18"/>
                <w:color w:val="auto"/>
              </w:rPr>
              <w:t>2.650% notes due January 2023</w:t>
            </w:r>
          </w:p>
        </w:tc>
        <w:tc>
          <w:tcPr>
            <w:tcW w:w="3360" w:type="dxa"/>
            <w:vAlign w:val="bottom"/>
            <w:gridSpan w:val="2"/>
            <w:shd w:val="clear" w:color="auto" w:fill="CCEEFF"/>
          </w:tcPr>
          <w:p>
            <w:pPr>
              <w:ind w:left="2860"/>
              <w:spacing w:after="0" w:line="210" w:lineRule="exact"/>
              <w:rPr>
                <w:sz w:val="20"/>
                <w:szCs w:val="20"/>
                <w:color w:val="auto"/>
              </w:rPr>
            </w:pPr>
            <w:r>
              <w:rPr>
                <w:rFonts w:ascii="Calibri" w:cs="Calibri" w:eastAsia="Calibri" w:hAnsi="Calibri"/>
                <w:sz w:val="18"/>
                <w:szCs w:val="18"/>
                <w:color w:val="auto"/>
                <w:w w:val="98"/>
              </w:rPr>
              <w:t>2.78 %</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80"/>
              <w:spacing w:after="0" w:line="210" w:lineRule="exact"/>
              <w:rPr>
                <w:sz w:val="20"/>
                <w:szCs w:val="20"/>
                <w:color w:val="auto"/>
              </w:rPr>
            </w:pPr>
            <w:r>
              <w:rPr>
                <w:rFonts w:ascii="Calibri" w:cs="Calibri" w:eastAsia="Calibri" w:hAnsi="Calibri"/>
                <w:sz w:val="18"/>
                <w:szCs w:val="18"/>
                <w:color w:val="auto"/>
              </w:rPr>
              <w:t>—</w:t>
            </w:r>
          </w:p>
        </w:tc>
        <w:tc>
          <w:tcPr>
            <w:tcW w:w="3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line="210" w:lineRule="exact"/>
              <w:rPr>
                <w:sz w:val="20"/>
                <w:szCs w:val="20"/>
                <w:color w:val="auto"/>
              </w:rPr>
            </w:pPr>
            <w:r>
              <w:rPr>
                <w:rFonts w:ascii="Calibri" w:cs="Calibri" w:eastAsia="Calibri" w:hAnsi="Calibri"/>
                <w:sz w:val="18"/>
                <w:szCs w:val="18"/>
                <w:color w:val="auto"/>
              </w:rPr>
              <w:t>260</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200" w:type="dxa"/>
            <w:vAlign w:val="bottom"/>
            <w:gridSpan w:val="8"/>
          </w:tcPr>
          <w:p>
            <w:pPr>
              <w:ind w:left="120"/>
              <w:spacing w:after="0" w:line="210" w:lineRule="exact"/>
              <w:rPr>
                <w:sz w:val="20"/>
                <w:szCs w:val="20"/>
                <w:color w:val="auto"/>
              </w:rPr>
            </w:pPr>
            <w:r>
              <w:rPr>
                <w:rFonts w:ascii="Calibri" w:cs="Calibri" w:eastAsia="Calibri" w:hAnsi="Calibri"/>
                <w:sz w:val="18"/>
                <w:szCs w:val="18"/>
                <w:color w:val="auto"/>
              </w:rPr>
              <w:t>3.625% notes due January 2024</w:t>
            </w:r>
          </w:p>
        </w:tc>
        <w:tc>
          <w:tcPr>
            <w:tcW w:w="3360" w:type="dxa"/>
            <w:vAlign w:val="bottom"/>
            <w:gridSpan w:val="2"/>
          </w:tcPr>
          <w:p>
            <w:pPr>
              <w:ind w:left="2860"/>
              <w:spacing w:after="0" w:line="210" w:lineRule="exact"/>
              <w:rPr>
                <w:sz w:val="20"/>
                <w:szCs w:val="20"/>
                <w:color w:val="auto"/>
              </w:rPr>
            </w:pPr>
            <w:r>
              <w:rPr>
                <w:rFonts w:ascii="Calibri" w:cs="Calibri" w:eastAsia="Calibri" w:hAnsi="Calibri"/>
                <w:sz w:val="18"/>
                <w:szCs w:val="18"/>
                <w:color w:val="auto"/>
                <w:w w:val="98"/>
              </w:rPr>
              <w:t>3.74 %</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0" w:type="dxa"/>
            <w:vAlign w:val="bottom"/>
          </w:tcPr>
          <w:p>
            <w:pPr>
              <w:jc w:val="right"/>
              <w:spacing w:after="0" w:line="210" w:lineRule="exact"/>
              <w:rPr>
                <w:sz w:val="20"/>
                <w:szCs w:val="20"/>
                <w:color w:val="auto"/>
              </w:rPr>
            </w:pPr>
            <w:r>
              <w:rPr>
                <w:rFonts w:ascii="Calibri" w:cs="Calibri" w:eastAsia="Calibri" w:hAnsi="Calibri"/>
                <w:sz w:val="18"/>
                <w:szCs w:val="18"/>
                <w:color w:val="auto"/>
              </w:rPr>
              <w:t>829</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tcPr>
          <w:p>
            <w:pPr>
              <w:jc w:val="right"/>
              <w:spacing w:after="0" w:line="210" w:lineRule="exact"/>
              <w:rPr>
                <w:sz w:val="20"/>
                <w:szCs w:val="20"/>
                <w:color w:val="auto"/>
              </w:rPr>
            </w:pPr>
            <w:r>
              <w:rPr>
                <w:rFonts w:ascii="Calibri" w:cs="Calibri" w:eastAsia="Calibri" w:hAnsi="Calibri"/>
                <w:sz w:val="18"/>
                <w:szCs w:val="18"/>
                <w:color w:val="auto"/>
              </w:rPr>
              <w:t>829</w:t>
            </w:r>
          </w:p>
        </w:tc>
        <w:tc>
          <w:tcPr>
            <w:tcW w:w="0" w:type="dxa"/>
            <w:vAlign w:val="bottom"/>
          </w:tcPr>
          <w:p>
            <w:pPr>
              <w:spacing w:after="0"/>
              <w:rPr>
                <w:sz w:val="1"/>
                <w:szCs w:val="1"/>
                <w:color w:val="auto"/>
              </w:rPr>
            </w:pPr>
          </w:p>
        </w:tc>
      </w:tr>
      <w:tr>
        <w:trPr>
          <w:trHeight w:val="232"/>
        </w:trPr>
        <w:tc>
          <w:tcPr>
            <w:tcW w:w="20" w:type="dxa"/>
            <w:vAlign w:val="bottom"/>
            <w:shd w:val="clear" w:color="auto" w:fill="CCEEFF"/>
          </w:tcPr>
          <w:p>
            <w:pPr>
              <w:spacing w:after="0"/>
              <w:rPr>
                <w:sz w:val="20"/>
                <w:szCs w:val="20"/>
                <w:color w:val="auto"/>
              </w:rPr>
            </w:pPr>
          </w:p>
        </w:tc>
        <w:tc>
          <w:tcPr>
            <w:tcW w:w="4200" w:type="dxa"/>
            <w:vAlign w:val="bottom"/>
            <w:gridSpan w:val="8"/>
            <w:shd w:val="clear" w:color="auto" w:fill="CCEEFF"/>
          </w:tcPr>
          <w:p>
            <w:pPr>
              <w:ind w:left="120"/>
              <w:spacing w:after="0" w:line="217" w:lineRule="exact"/>
              <w:rPr>
                <w:sz w:val="20"/>
                <w:szCs w:val="20"/>
                <w:color w:val="auto"/>
              </w:rPr>
            </w:pPr>
            <w:r>
              <w:rPr>
                <w:rFonts w:ascii="Calibri" w:cs="Calibri" w:eastAsia="Calibri" w:hAnsi="Calibri"/>
                <w:sz w:val="18"/>
                <w:szCs w:val="18"/>
                <w:color w:val="auto"/>
              </w:rPr>
              <w:t>3.125% notes due January 2025</w:t>
            </w:r>
          </w:p>
        </w:tc>
        <w:tc>
          <w:tcPr>
            <w:tcW w:w="3360" w:type="dxa"/>
            <w:vAlign w:val="bottom"/>
            <w:gridSpan w:val="2"/>
            <w:shd w:val="clear" w:color="auto" w:fill="CCEEFF"/>
          </w:tcPr>
          <w:p>
            <w:pPr>
              <w:ind w:left="2860"/>
              <w:spacing w:after="0" w:line="217" w:lineRule="exact"/>
              <w:rPr>
                <w:sz w:val="20"/>
                <w:szCs w:val="20"/>
                <w:color w:val="auto"/>
              </w:rPr>
            </w:pPr>
            <w:r>
              <w:rPr>
                <w:rFonts w:ascii="Calibri" w:cs="Calibri" w:eastAsia="Calibri" w:hAnsi="Calibri"/>
                <w:sz w:val="18"/>
                <w:szCs w:val="18"/>
                <w:color w:val="auto"/>
                <w:w w:val="98"/>
              </w:rPr>
              <w:t>3.23 %</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400" w:type="dxa"/>
            <w:vAlign w:val="bottom"/>
            <w:shd w:val="clear" w:color="auto" w:fill="CCEEFF"/>
          </w:tcPr>
          <w:p>
            <w:pPr>
              <w:jc w:val="right"/>
              <w:spacing w:after="0" w:line="217" w:lineRule="exact"/>
              <w:rPr>
                <w:sz w:val="20"/>
                <w:szCs w:val="20"/>
                <w:color w:val="auto"/>
              </w:rPr>
            </w:pPr>
            <w:r>
              <w:rPr>
                <w:rFonts w:ascii="Calibri" w:cs="Calibri" w:eastAsia="Calibri" w:hAnsi="Calibri"/>
                <w:sz w:val="18"/>
                <w:szCs w:val="18"/>
                <w:color w:val="auto"/>
              </w:rPr>
              <w:t>495</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line="217" w:lineRule="exact"/>
              <w:rPr>
                <w:sz w:val="20"/>
                <w:szCs w:val="20"/>
                <w:color w:val="auto"/>
              </w:rPr>
            </w:pPr>
            <w:r>
              <w:rPr>
                <w:rFonts w:ascii="Calibri" w:cs="Calibri" w:eastAsia="Calibri" w:hAnsi="Calibri"/>
                <w:sz w:val="18"/>
                <w:szCs w:val="18"/>
                <w:color w:val="auto"/>
              </w:rPr>
              <w:t>495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00" w:type="dxa"/>
            <w:vAlign w:val="bottom"/>
            <w:gridSpan w:val="8"/>
          </w:tcPr>
          <w:p>
            <w:pPr>
              <w:ind w:left="120"/>
              <w:spacing w:after="0" w:line="210" w:lineRule="exact"/>
              <w:rPr>
                <w:sz w:val="20"/>
                <w:szCs w:val="20"/>
                <w:color w:val="auto"/>
              </w:rPr>
            </w:pPr>
            <w:r>
              <w:rPr>
                <w:rFonts w:ascii="Calibri" w:cs="Calibri" w:eastAsia="Calibri" w:hAnsi="Calibri"/>
                <w:sz w:val="18"/>
                <w:szCs w:val="18"/>
                <w:color w:val="auto"/>
              </w:rPr>
              <w:t>3.875% notes due January 2027</w:t>
            </w:r>
          </w:p>
        </w:tc>
        <w:tc>
          <w:tcPr>
            <w:tcW w:w="3360" w:type="dxa"/>
            <w:vAlign w:val="bottom"/>
            <w:gridSpan w:val="2"/>
          </w:tcPr>
          <w:p>
            <w:pPr>
              <w:ind w:left="2860"/>
              <w:spacing w:after="0" w:line="210" w:lineRule="exact"/>
              <w:rPr>
                <w:sz w:val="20"/>
                <w:szCs w:val="20"/>
                <w:color w:val="auto"/>
              </w:rPr>
            </w:pPr>
            <w:r>
              <w:rPr>
                <w:rFonts w:ascii="Calibri" w:cs="Calibri" w:eastAsia="Calibri" w:hAnsi="Calibri"/>
                <w:sz w:val="18"/>
                <w:szCs w:val="18"/>
                <w:color w:val="auto"/>
                <w:w w:val="98"/>
              </w:rPr>
              <w:t>4.02 %</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0" w:type="dxa"/>
            <w:vAlign w:val="bottom"/>
          </w:tcPr>
          <w:p>
            <w:pPr>
              <w:jc w:val="right"/>
              <w:spacing w:after="0" w:line="210" w:lineRule="exact"/>
              <w:rPr>
                <w:sz w:val="20"/>
                <w:szCs w:val="20"/>
                <w:color w:val="auto"/>
              </w:rPr>
            </w:pPr>
            <w:r>
              <w:rPr>
                <w:rFonts w:ascii="Calibri" w:cs="Calibri" w:eastAsia="Calibri" w:hAnsi="Calibri"/>
                <w:sz w:val="18"/>
                <w:szCs w:val="18"/>
                <w:color w:val="auto"/>
              </w:rPr>
              <w:t>2,922</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tcPr>
          <w:p>
            <w:pPr>
              <w:jc w:val="right"/>
              <w:spacing w:after="0" w:line="210" w:lineRule="exact"/>
              <w:rPr>
                <w:sz w:val="20"/>
                <w:szCs w:val="20"/>
                <w:color w:val="auto"/>
              </w:rPr>
            </w:pPr>
            <w:r>
              <w:rPr>
                <w:rFonts w:ascii="Calibri" w:cs="Calibri" w:eastAsia="Calibri" w:hAnsi="Calibri"/>
                <w:sz w:val="18"/>
                <w:szCs w:val="18"/>
                <w:color w:val="auto"/>
              </w:rPr>
              <w:t>2,922</w:t>
            </w:r>
          </w:p>
        </w:tc>
        <w:tc>
          <w:tcPr>
            <w:tcW w:w="0" w:type="dxa"/>
            <w:vAlign w:val="bottom"/>
          </w:tcPr>
          <w:p>
            <w:pPr>
              <w:spacing w:after="0"/>
              <w:rPr>
                <w:sz w:val="1"/>
                <w:szCs w:val="1"/>
                <w:color w:val="auto"/>
              </w:rPr>
            </w:pPr>
          </w:p>
        </w:tc>
      </w:tr>
      <w:tr>
        <w:trPr>
          <w:trHeight w:val="838"/>
        </w:trPr>
        <w:tc>
          <w:tcPr>
            <w:tcW w:w="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500" w:type="dxa"/>
            <w:vAlign w:val="bottom"/>
          </w:tcPr>
          <w:p>
            <w:pPr>
              <w:jc w:val="right"/>
              <w:spacing w:after="0"/>
              <w:rPr>
                <w:sz w:val="20"/>
                <w:szCs w:val="20"/>
                <w:color w:val="auto"/>
              </w:rPr>
            </w:pPr>
            <w:r>
              <w:rPr>
                <w:rFonts w:ascii="Calibri" w:cs="Calibri" w:eastAsia="Calibri" w:hAnsi="Calibri"/>
                <w:sz w:val="18"/>
                <w:szCs w:val="18"/>
                <w:color w:val="auto"/>
              </w:rPr>
              <w:t>73</w:t>
            </w:r>
          </w:p>
        </w:tc>
        <w:tc>
          <w:tcPr>
            <w:tcW w:w="1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9A9A9A"/>
            </w:tcBorders>
          </w:tcPr>
          <w:p>
            <w:pPr>
              <w:spacing w:after="0"/>
              <w:rPr>
                <w:sz w:val="11"/>
                <w:szCs w:val="11"/>
                <w:color w:val="auto"/>
              </w:rPr>
            </w:pPr>
          </w:p>
        </w:tc>
        <w:tc>
          <w:tcPr>
            <w:tcW w:w="2060" w:type="dxa"/>
            <w:vAlign w:val="bottom"/>
            <w:tcBorders>
              <w:bottom w:val="single" w:sz="8" w:color="9A9A9A"/>
            </w:tcBorders>
          </w:tcPr>
          <w:p>
            <w:pPr>
              <w:spacing w:after="0"/>
              <w:rPr>
                <w:sz w:val="11"/>
                <w:szCs w:val="11"/>
                <w:color w:val="auto"/>
              </w:rPr>
            </w:pPr>
          </w:p>
        </w:tc>
        <w:tc>
          <w:tcPr>
            <w:tcW w:w="340" w:type="dxa"/>
            <w:vAlign w:val="bottom"/>
            <w:tcBorders>
              <w:bottom w:val="single" w:sz="8" w:color="9A9A9A"/>
            </w:tcBorders>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c>
          <w:tcPr>
            <w:tcW w:w="120" w:type="dxa"/>
            <w:vAlign w:val="bottom"/>
            <w:tcBorders>
              <w:bottom w:val="single" w:sz="8" w:color="9A9A9A"/>
            </w:tcBorders>
          </w:tcPr>
          <w:p>
            <w:pPr>
              <w:spacing w:after="0"/>
              <w:rPr>
                <w:sz w:val="11"/>
                <w:szCs w:val="11"/>
                <w:color w:val="auto"/>
              </w:rPr>
            </w:pPr>
          </w:p>
        </w:tc>
        <w:tc>
          <w:tcPr>
            <w:tcW w:w="80" w:type="dxa"/>
            <w:vAlign w:val="bottom"/>
            <w:tcBorders>
              <w:bottom w:val="single" w:sz="8" w:color="9A9A9A"/>
            </w:tcBorders>
          </w:tcPr>
          <w:p>
            <w:pPr>
              <w:spacing w:after="0"/>
              <w:rPr>
                <w:sz w:val="11"/>
                <w:szCs w:val="11"/>
                <w:color w:val="auto"/>
              </w:rPr>
            </w:pPr>
          </w:p>
        </w:tc>
        <w:tc>
          <w:tcPr>
            <w:tcW w:w="240" w:type="dxa"/>
            <w:vAlign w:val="bottom"/>
            <w:tcBorders>
              <w:bottom w:val="single" w:sz="8" w:color="9A9A9A"/>
            </w:tcBorders>
          </w:tcPr>
          <w:p>
            <w:pPr>
              <w:spacing w:after="0"/>
              <w:rPr>
                <w:sz w:val="11"/>
                <w:szCs w:val="11"/>
                <w:color w:val="auto"/>
              </w:rPr>
            </w:pPr>
          </w:p>
        </w:tc>
        <w:tc>
          <w:tcPr>
            <w:tcW w:w="1320" w:type="dxa"/>
            <w:vAlign w:val="bottom"/>
            <w:tcBorders>
              <w:bottom w:val="single" w:sz="8" w:color="9A9A9A"/>
            </w:tcBorders>
          </w:tcPr>
          <w:p>
            <w:pPr>
              <w:spacing w:after="0"/>
              <w:rPr>
                <w:sz w:val="11"/>
                <w:szCs w:val="11"/>
                <w:color w:val="auto"/>
              </w:rPr>
            </w:pPr>
          </w:p>
        </w:tc>
        <w:tc>
          <w:tcPr>
            <w:tcW w:w="1500" w:type="dxa"/>
            <w:vAlign w:val="bottom"/>
            <w:tcBorders>
              <w:bottom w:val="single" w:sz="8" w:color="9A9A9A"/>
            </w:tcBorders>
          </w:tcPr>
          <w:p>
            <w:pPr>
              <w:spacing w:after="0"/>
              <w:rPr>
                <w:sz w:val="11"/>
                <w:szCs w:val="11"/>
                <w:color w:val="auto"/>
              </w:rPr>
            </w:pPr>
          </w:p>
        </w:tc>
        <w:tc>
          <w:tcPr>
            <w:tcW w:w="1860" w:type="dxa"/>
            <w:vAlign w:val="bottom"/>
            <w:tcBorders>
              <w:bottom w:val="single" w:sz="8" w:color="9A9A9A"/>
            </w:tcBorders>
          </w:tcPr>
          <w:p>
            <w:pPr>
              <w:spacing w:after="0"/>
              <w:rPr>
                <w:sz w:val="11"/>
                <w:szCs w:val="11"/>
                <w:color w:val="auto"/>
              </w:rPr>
            </w:pPr>
          </w:p>
        </w:tc>
        <w:tc>
          <w:tcPr>
            <w:tcW w:w="100" w:type="dxa"/>
            <w:vAlign w:val="bottom"/>
            <w:tcBorders>
              <w:bottom w:val="single" w:sz="8" w:color="9A9A9A"/>
            </w:tcBorders>
          </w:tcPr>
          <w:p>
            <w:pPr>
              <w:spacing w:after="0"/>
              <w:rPr>
                <w:sz w:val="11"/>
                <w:szCs w:val="11"/>
                <w:color w:val="auto"/>
              </w:rPr>
            </w:pPr>
          </w:p>
        </w:tc>
        <w:tc>
          <w:tcPr>
            <w:tcW w:w="320" w:type="dxa"/>
            <w:vAlign w:val="bottom"/>
            <w:tcBorders>
              <w:bottom w:val="single" w:sz="8" w:color="9A9A9A"/>
            </w:tcBorders>
          </w:tcPr>
          <w:p>
            <w:pPr>
              <w:spacing w:after="0"/>
              <w:rPr>
                <w:sz w:val="11"/>
                <w:szCs w:val="11"/>
                <w:color w:val="auto"/>
              </w:rPr>
            </w:pPr>
          </w:p>
        </w:tc>
        <w:tc>
          <w:tcPr>
            <w:tcW w:w="1400" w:type="dxa"/>
            <w:vAlign w:val="bottom"/>
            <w:tcBorders>
              <w:bottom w:val="single" w:sz="8" w:color="9A9A9A"/>
            </w:tcBorders>
          </w:tcPr>
          <w:p>
            <w:pPr>
              <w:spacing w:after="0"/>
              <w:rPr>
                <w:sz w:val="11"/>
                <w:szCs w:val="11"/>
                <w:color w:val="auto"/>
              </w:rPr>
            </w:pPr>
          </w:p>
        </w:tc>
        <w:tc>
          <w:tcPr>
            <w:tcW w:w="120" w:type="dxa"/>
            <w:vAlign w:val="bottom"/>
            <w:tcBorders>
              <w:bottom w:val="single" w:sz="8" w:color="9A9A9A"/>
            </w:tcBorders>
          </w:tcPr>
          <w:p>
            <w:pPr>
              <w:spacing w:after="0"/>
              <w:rPr>
                <w:sz w:val="11"/>
                <w:szCs w:val="11"/>
                <w:color w:val="auto"/>
              </w:rPr>
            </w:pPr>
          </w:p>
        </w:tc>
        <w:tc>
          <w:tcPr>
            <w:tcW w:w="300" w:type="dxa"/>
            <w:vAlign w:val="bottom"/>
            <w:tcBorders>
              <w:bottom w:val="single" w:sz="8" w:color="9A9A9A"/>
            </w:tcBorders>
          </w:tcPr>
          <w:p>
            <w:pPr>
              <w:spacing w:after="0"/>
              <w:rPr>
                <w:sz w:val="11"/>
                <w:szCs w:val="11"/>
                <w:color w:val="auto"/>
              </w:rPr>
            </w:pPr>
          </w:p>
        </w:tc>
        <w:tc>
          <w:tcPr>
            <w:tcW w:w="1420" w:type="dxa"/>
            <w:vAlign w:val="bottom"/>
            <w:tcBorders>
              <w:bottom w:val="single" w:sz="8" w:color="9A9A9A"/>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-28575</wp:posOffset>
            </wp:positionV>
            <wp:extent cx="33655" cy="419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-28575</wp:posOffset>
            </wp:positionV>
            <wp:extent cx="33655" cy="419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09" w:right="339" w:bottom="1440" w:gutter="0" w:footer="0" w:header="0"/>
        </w:sectPr>
      </w:pPr>
    </w:p>
    <w:bookmarkStart w:id="75" w:name="page76"/>
    <w:bookmarkEnd w:id="75"/>
    <w:p>
      <w:pPr>
        <w:spacing w:after="0"/>
        <w:rPr>
          <w:sz w:val="20"/>
          <w:szCs w:val="20"/>
          <w:color w:val="auto"/>
        </w:rPr>
      </w:pPr>
      <w:r>
        <w:rPr>
          <w:rFonts w:ascii="Calibri" w:cs="Calibri" w:eastAsia="Calibri" w:hAnsi="Calibri"/>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1960" w:type="dxa"/>
            <w:vAlign w:val="bottom"/>
            <w:gridSpan w:val="2"/>
            <w:vMerge w:val="restart"/>
          </w:tcPr>
          <w:p>
            <w:pPr>
              <w:ind w:left="280"/>
              <w:spacing w:after="0"/>
              <w:rPr>
                <w:sz w:val="20"/>
                <w:szCs w:val="20"/>
                <w:color w:val="auto"/>
              </w:rPr>
            </w:pPr>
            <w:r>
              <w:rPr>
                <w:rFonts w:ascii="Calibri" w:cs="Calibri" w:eastAsia="Calibri" w:hAnsi="Calibri"/>
                <w:sz w:val="14"/>
                <w:szCs w:val="14"/>
                <w:b w:val="1"/>
                <w:bCs w:val="1"/>
                <w:color w:val="auto"/>
              </w:rPr>
              <w:t>Efectve Interest Rate</w:t>
            </w:r>
          </w:p>
        </w:tc>
        <w:tc>
          <w:tcPr>
            <w:tcW w:w="320" w:type="dxa"/>
            <w:vAlign w:val="bottom"/>
          </w:tcPr>
          <w:p>
            <w:pPr>
              <w:spacing w:after="0"/>
              <w:rPr>
                <w:sz w:val="14"/>
                <w:szCs w:val="14"/>
                <w:color w:val="auto"/>
              </w:rPr>
            </w:pPr>
          </w:p>
        </w:tc>
        <w:tc>
          <w:tcPr>
            <w:tcW w:w="1520" w:type="dxa"/>
            <w:vAlign w:val="bottom"/>
            <w:gridSpan w:val="2"/>
          </w:tcPr>
          <w:p>
            <w:pPr>
              <w:ind w:left="200"/>
              <w:spacing w:after="0"/>
              <w:rPr>
                <w:sz w:val="20"/>
                <w:szCs w:val="20"/>
                <w:color w:val="auto"/>
              </w:rPr>
            </w:pPr>
            <w:r>
              <w:rPr>
                <w:rFonts w:ascii="Calibri" w:cs="Calibri" w:eastAsia="Calibri" w:hAnsi="Calibri"/>
                <w:sz w:val="14"/>
                <w:szCs w:val="14"/>
                <w:b w:val="1"/>
                <w:bCs w:val="1"/>
                <w:color w:val="auto"/>
              </w:rPr>
              <w:t>October 29,</w:t>
            </w:r>
          </w:p>
        </w:tc>
        <w:tc>
          <w:tcPr>
            <w:tcW w:w="300" w:type="dxa"/>
            <w:vAlign w:val="bottom"/>
          </w:tcPr>
          <w:p>
            <w:pPr>
              <w:spacing w:after="0"/>
              <w:rPr>
                <w:sz w:val="14"/>
                <w:szCs w:val="14"/>
                <w:color w:val="auto"/>
              </w:rPr>
            </w:pPr>
          </w:p>
        </w:tc>
        <w:tc>
          <w:tcPr>
            <w:tcW w:w="1420" w:type="dxa"/>
            <w:vAlign w:val="bottom"/>
          </w:tcPr>
          <w:p>
            <w:pPr>
              <w:jc w:val="right"/>
              <w:ind w:right="434"/>
              <w:spacing w:after="0"/>
              <w:rPr>
                <w:sz w:val="20"/>
                <w:szCs w:val="20"/>
                <w:color w:val="auto"/>
              </w:rPr>
            </w:pPr>
            <w:r>
              <w:rPr>
                <w:rFonts w:ascii="Calibri" w:cs="Calibri" w:eastAsia="Calibri" w:hAnsi="Calibri"/>
                <w:sz w:val="14"/>
                <w:szCs w:val="14"/>
                <w:b w:val="1"/>
                <w:bCs w:val="1"/>
                <w:color w:val="auto"/>
              </w:rPr>
              <w:t>October 30,</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1960" w:type="dxa"/>
            <w:vAlign w:val="bottom"/>
            <w:gridSpan w:val="2"/>
            <w:vMerge w:val="continue"/>
          </w:tcPr>
          <w:p>
            <w:pPr>
              <w:spacing w:after="0"/>
              <w:rPr>
                <w:sz w:val="14"/>
                <w:szCs w:val="14"/>
                <w:color w:val="auto"/>
              </w:rPr>
            </w:pPr>
          </w:p>
        </w:tc>
        <w:tc>
          <w:tcPr>
            <w:tcW w:w="320" w:type="dxa"/>
            <w:vAlign w:val="bottom"/>
          </w:tcPr>
          <w:p>
            <w:pPr>
              <w:spacing w:after="0"/>
              <w:rPr>
                <w:sz w:val="14"/>
                <w:szCs w:val="14"/>
                <w:color w:val="auto"/>
              </w:rPr>
            </w:pPr>
          </w:p>
        </w:tc>
        <w:tc>
          <w:tcPr>
            <w:tcW w:w="1400" w:type="dxa"/>
            <w:vAlign w:val="bottom"/>
          </w:tcPr>
          <w:p>
            <w:pPr>
              <w:jc w:val="right"/>
              <w:ind w:right="634"/>
              <w:spacing w:after="0" w:line="168" w:lineRule="exact"/>
              <w:rPr>
                <w:sz w:val="20"/>
                <w:szCs w:val="20"/>
                <w:color w:val="auto"/>
              </w:rPr>
            </w:pPr>
            <w:r>
              <w:rPr>
                <w:rFonts w:ascii="Calibri" w:cs="Calibri" w:eastAsia="Calibri" w:hAnsi="Calibri"/>
                <w:sz w:val="14"/>
                <w:szCs w:val="14"/>
                <w:b w:val="1"/>
                <w:bCs w:val="1"/>
                <w:color w:val="auto"/>
              </w:rPr>
              <w:t>2023</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20" w:type="dxa"/>
            <w:vAlign w:val="bottom"/>
          </w:tcPr>
          <w:p>
            <w:pPr>
              <w:jc w:val="right"/>
              <w:ind w:right="634"/>
              <w:spacing w:after="0" w:line="168" w:lineRule="exact"/>
              <w:rPr>
                <w:sz w:val="20"/>
                <w:szCs w:val="20"/>
                <w:color w:val="auto"/>
              </w:rPr>
            </w:pPr>
            <w:r>
              <w:rPr>
                <w:rFonts w:ascii="Calibri" w:cs="Calibri" w:eastAsia="Calibri" w:hAnsi="Calibri"/>
                <w:sz w:val="14"/>
                <w:szCs w:val="14"/>
                <w:b w:val="1"/>
                <w:bCs w:val="1"/>
                <w:color w:val="auto"/>
              </w:rPr>
              <w:t>2022</w:t>
            </w: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2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3120" w:type="dxa"/>
            <w:vAlign w:val="bottom"/>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Borders>
              <w:bottom w:val="single" w:sz="8" w:color="auto"/>
            </w:tcBorders>
            <w:gridSpan w:val="2"/>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120" w:type="dxa"/>
            <w:vAlign w:val="bottom"/>
          </w:tcPr>
          <w:p>
            <w:pPr>
              <w:spacing w:after="0"/>
              <w:rPr>
                <w:sz w:val="16"/>
                <w:szCs w:val="16"/>
                <w:color w:val="auto"/>
              </w:rPr>
            </w:pPr>
          </w:p>
        </w:tc>
        <w:tc>
          <w:tcPr>
            <w:tcW w:w="3800" w:type="dxa"/>
            <w:vAlign w:val="bottom"/>
            <w:gridSpan w:val="5"/>
          </w:tcPr>
          <w:p>
            <w:pPr>
              <w:ind w:left="1820"/>
              <w:spacing w:after="0"/>
              <w:rPr>
                <w:sz w:val="20"/>
                <w:szCs w:val="20"/>
                <w:color w:val="auto"/>
              </w:rPr>
            </w:pPr>
            <w:r>
              <w:rPr>
                <w:rFonts w:ascii="Calibri" w:cs="Calibri" w:eastAsia="Calibri" w:hAnsi="Calibri"/>
                <w:sz w:val="14"/>
                <w:szCs w:val="14"/>
                <w:b w:val="1"/>
                <w:bCs w:val="1"/>
                <w:color w:val="auto"/>
              </w:rPr>
              <w:t>(In millions, except percentages)</w:t>
            </w:r>
          </w:p>
        </w:tc>
        <w:tc>
          <w:tcPr>
            <w:tcW w:w="3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2100" w:type="dxa"/>
            <w:vAlign w:val="bottom"/>
          </w:tcPr>
          <w:p>
            <w:pPr>
              <w:spacing w:after="0"/>
              <w:rPr>
                <w:sz w:val="3"/>
                <w:szCs w:val="3"/>
                <w:color w:val="auto"/>
              </w:rPr>
            </w:pPr>
          </w:p>
        </w:tc>
        <w:tc>
          <w:tcPr>
            <w:tcW w:w="480" w:type="dxa"/>
            <w:vAlign w:val="bottom"/>
          </w:tcPr>
          <w:p>
            <w:pPr>
              <w:spacing w:after="0"/>
              <w:rPr>
                <w:sz w:val="3"/>
                <w:szCs w:val="3"/>
                <w:color w:val="auto"/>
              </w:rPr>
            </w:pPr>
          </w:p>
        </w:tc>
        <w:tc>
          <w:tcPr>
            <w:tcW w:w="3120" w:type="dxa"/>
            <w:vAlign w:val="bottom"/>
          </w:tcPr>
          <w:p>
            <w:pPr>
              <w:spacing w:after="0"/>
              <w:rPr>
                <w:sz w:val="3"/>
                <w:szCs w:val="3"/>
                <w:color w:val="auto"/>
              </w:rPr>
            </w:pPr>
          </w:p>
        </w:tc>
        <w:tc>
          <w:tcPr>
            <w:tcW w:w="1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400" w:type="dxa"/>
            <w:vAlign w:val="bottom"/>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8"/>
        </w:trPr>
        <w:tc>
          <w:tcPr>
            <w:tcW w:w="20" w:type="dxa"/>
            <w:vAlign w:val="bottom"/>
            <w:shd w:val="clear" w:color="auto" w:fill="CCEEFF"/>
          </w:tcPr>
          <w:p>
            <w:pPr>
              <w:spacing w:after="0"/>
              <w:rPr>
                <w:sz w:val="18"/>
                <w:szCs w:val="18"/>
                <w:color w:val="auto"/>
              </w:rPr>
            </w:pPr>
          </w:p>
        </w:tc>
        <w:tc>
          <w:tcPr>
            <w:tcW w:w="5700" w:type="dxa"/>
            <w:vAlign w:val="bottom"/>
            <w:gridSpan w:val="3"/>
            <w:shd w:val="clear" w:color="auto" w:fill="CCEEFF"/>
          </w:tcPr>
          <w:p>
            <w:pPr>
              <w:ind w:left="120"/>
              <w:spacing w:after="0" w:line="210" w:lineRule="exact"/>
              <w:rPr>
                <w:sz w:val="20"/>
                <w:szCs w:val="20"/>
                <w:color w:val="auto"/>
              </w:rPr>
            </w:pPr>
            <w:r>
              <w:rPr>
                <w:rFonts w:ascii="Calibri" w:cs="Calibri" w:eastAsia="Calibri" w:hAnsi="Calibri"/>
                <w:sz w:val="18"/>
                <w:szCs w:val="18"/>
                <w:color w:val="auto"/>
              </w:rPr>
              <w:t>3.500% notes due January 2028</w:t>
            </w:r>
          </w:p>
        </w:tc>
        <w:tc>
          <w:tcPr>
            <w:tcW w:w="1860" w:type="dxa"/>
            <w:vAlign w:val="bottom"/>
            <w:shd w:val="clear" w:color="auto" w:fill="CCEEFF"/>
          </w:tcPr>
          <w:p>
            <w:pPr>
              <w:jc w:val="right"/>
              <w:spacing w:after="0" w:line="210" w:lineRule="exact"/>
              <w:rPr>
                <w:sz w:val="20"/>
                <w:szCs w:val="20"/>
                <w:color w:val="auto"/>
              </w:rPr>
            </w:pPr>
            <w:r>
              <w:rPr>
                <w:rFonts w:ascii="Calibri" w:cs="Calibri" w:eastAsia="Calibri" w:hAnsi="Calibri"/>
                <w:sz w:val="18"/>
                <w:szCs w:val="18"/>
                <w:color w:val="auto"/>
              </w:rPr>
              <w:t>3.60 %</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line="210" w:lineRule="exact"/>
              <w:rPr>
                <w:sz w:val="20"/>
                <w:szCs w:val="20"/>
                <w:color w:val="auto"/>
              </w:rPr>
            </w:pPr>
            <w:r>
              <w:rPr>
                <w:rFonts w:ascii="Calibri" w:cs="Calibri" w:eastAsia="Calibri" w:hAnsi="Calibri"/>
                <w:sz w:val="18"/>
                <w:szCs w:val="18"/>
                <w:color w:val="auto"/>
              </w:rPr>
              <w:t>777</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line="210" w:lineRule="exact"/>
              <w:rPr>
                <w:sz w:val="20"/>
                <w:szCs w:val="20"/>
                <w:color w:val="auto"/>
              </w:rPr>
            </w:pPr>
            <w:r>
              <w:rPr>
                <w:rFonts w:ascii="Calibri" w:cs="Calibri" w:eastAsia="Calibri" w:hAnsi="Calibri"/>
                <w:sz w:val="18"/>
                <w:szCs w:val="18"/>
                <w:color w:val="auto"/>
              </w:rPr>
              <w:t>777</w:t>
            </w:r>
          </w:p>
        </w:tc>
        <w:tc>
          <w:tcPr>
            <w:tcW w:w="0" w:type="dxa"/>
            <w:vAlign w:val="bottom"/>
          </w:tcPr>
          <w:p>
            <w:pPr>
              <w:spacing w:after="0"/>
              <w:rPr>
                <w:sz w:val="1"/>
                <w:szCs w:val="1"/>
                <w:color w:val="auto"/>
              </w:rPr>
            </w:pPr>
          </w:p>
        </w:tc>
      </w:tr>
      <w:tr>
        <w:trPr>
          <w:trHeight w:val="218"/>
        </w:trPr>
        <w:tc>
          <w:tcPr>
            <w:tcW w:w="20" w:type="dxa"/>
            <w:vAlign w:val="bottom"/>
            <w:tcBorders>
              <w:bottom w:val="single" w:sz="8" w:color="CCEEFF"/>
            </w:tcBorders>
          </w:tcPr>
          <w:p>
            <w:pPr>
              <w:spacing w:after="0"/>
              <w:rPr>
                <w:sz w:val="18"/>
                <w:szCs w:val="18"/>
                <w:color w:val="auto"/>
              </w:rPr>
            </w:pPr>
          </w:p>
        </w:tc>
        <w:tc>
          <w:tcPr>
            <w:tcW w:w="2100" w:type="dxa"/>
            <w:vAlign w:val="bottom"/>
            <w:tcBorders>
              <w:bottom w:val="single" w:sz="8" w:color="CCEEFF"/>
            </w:tcBorders>
          </w:tcPr>
          <w:p>
            <w:pPr>
              <w:spacing w:after="0"/>
              <w:rPr>
                <w:sz w:val="18"/>
                <w:szCs w:val="18"/>
                <w:color w:val="auto"/>
              </w:rPr>
            </w:pPr>
          </w:p>
        </w:tc>
        <w:tc>
          <w:tcPr>
            <w:tcW w:w="480" w:type="dxa"/>
            <w:vAlign w:val="bottom"/>
            <w:tcBorders>
              <w:bottom w:val="single" w:sz="8" w:color="CCEEFF"/>
            </w:tcBorders>
          </w:tcPr>
          <w:p>
            <w:pPr>
              <w:spacing w:after="0"/>
              <w:rPr>
                <w:sz w:val="18"/>
                <w:szCs w:val="18"/>
                <w:color w:val="auto"/>
              </w:rPr>
            </w:pPr>
          </w:p>
        </w:tc>
        <w:tc>
          <w:tcPr>
            <w:tcW w:w="3120" w:type="dxa"/>
            <w:vAlign w:val="bottom"/>
            <w:tcBorders>
              <w:bottom w:val="single" w:sz="8" w:color="CCEEFF"/>
            </w:tcBorders>
          </w:tcPr>
          <w:p>
            <w:pPr>
              <w:spacing w:after="0"/>
              <w:rPr>
                <w:sz w:val="18"/>
                <w:szCs w:val="18"/>
                <w:color w:val="auto"/>
              </w:rPr>
            </w:pPr>
          </w:p>
        </w:tc>
        <w:tc>
          <w:tcPr>
            <w:tcW w:w="18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line="210" w:lineRule="exact"/>
              <w:rPr>
                <w:sz w:val="20"/>
                <w:szCs w:val="20"/>
                <w:color w:val="auto"/>
              </w:rPr>
            </w:pPr>
            <w:r>
              <w:rPr>
                <w:rFonts w:ascii="Calibri" w:cs="Calibri" w:eastAsia="Calibri" w:hAnsi="Calibri"/>
                <w:sz w:val="18"/>
                <w:szCs w:val="18"/>
                <w:color w:val="auto"/>
              </w:rPr>
              <w:t>5,023</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line="210" w:lineRule="exact"/>
              <w:rPr>
                <w:sz w:val="20"/>
                <w:szCs w:val="20"/>
                <w:color w:val="auto"/>
              </w:rPr>
            </w:pPr>
            <w:r>
              <w:rPr>
                <w:rFonts w:ascii="Calibri" w:cs="Calibri" w:eastAsia="Calibri" w:hAnsi="Calibri"/>
                <w:sz w:val="18"/>
                <w:szCs w:val="18"/>
                <w:color w:val="auto"/>
              </w:rPr>
              <w:t>5,283</w:t>
            </w:r>
          </w:p>
        </w:tc>
        <w:tc>
          <w:tcPr>
            <w:tcW w:w="0" w:type="dxa"/>
            <w:vAlign w:val="bottom"/>
          </w:tcPr>
          <w:p>
            <w:pPr>
              <w:spacing w:after="0"/>
              <w:rPr>
                <w:sz w:val="1"/>
                <w:szCs w:val="1"/>
                <w:color w:val="auto"/>
              </w:rPr>
            </w:pPr>
          </w:p>
        </w:tc>
      </w:tr>
      <w:tr>
        <w:trPr>
          <w:trHeight w:val="191"/>
        </w:trPr>
        <w:tc>
          <w:tcPr>
            <w:tcW w:w="20" w:type="dxa"/>
            <w:vAlign w:val="bottom"/>
            <w:shd w:val="clear" w:color="auto" w:fill="CCEEFF"/>
          </w:tcPr>
          <w:p>
            <w:pPr>
              <w:spacing w:after="0"/>
              <w:rPr>
                <w:sz w:val="16"/>
                <w:szCs w:val="16"/>
                <w:color w:val="auto"/>
              </w:rPr>
            </w:pPr>
          </w:p>
        </w:tc>
        <w:tc>
          <w:tcPr>
            <w:tcW w:w="5700" w:type="dxa"/>
            <w:vAlign w:val="bottom"/>
            <w:gridSpan w:val="3"/>
            <w:shd w:val="clear" w:color="auto" w:fill="CCEEFF"/>
          </w:tcPr>
          <w:p>
            <w:pPr>
              <w:spacing w:after="0" w:line="159" w:lineRule="exact"/>
              <w:rPr>
                <w:sz w:val="20"/>
                <w:szCs w:val="20"/>
                <w:color w:val="auto"/>
              </w:rPr>
            </w:pPr>
            <w:r>
              <w:rPr>
                <w:rFonts w:ascii="Calibri" w:cs="Calibri" w:eastAsia="Calibri" w:hAnsi="Calibri"/>
                <w:sz w:val="17"/>
                <w:szCs w:val="17"/>
                <w:color w:val="auto"/>
              </w:rPr>
              <w:t>Assumed CA Senior Notes - fxed rate</w:t>
            </w:r>
          </w:p>
        </w:tc>
        <w:tc>
          <w:tcPr>
            <w:tcW w:w="1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0" w:type="dxa"/>
            <w:vAlign w:val="bottom"/>
            <w:tcBorders>
              <w:top w:val="single" w:sz="8" w:color="CCEEFF"/>
            </w:tcBorders>
          </w:tcPr>
          <w:p>
            <w:pPr>
              <w:spacing w:after="0"/>
              <w:rPr>
                <w:sz w:val="18"/>
                <w:szCs w:val="18"/>
                <w:color w:val="auto"/>
              </w:rPr>
            </w:pPr>
          </w:p>
        </w:tc>
        <w:tc>
          <w:tcPr>
            <w:tcW w:w="2580" w:type="dxa"/>
            <w:vAlign w:val="bottom"/>
            <w:tcBorders>
              <w:top w:val="single" w:sz="8" w:color="auto"/>
            </w:tcBorders>
            <w:gridSpan w:val="2"/>
          </w:tcPr>
          <w:p>
            <w:pPr>
              <w:ind w:left="120"/>
              <w:spacing w:after="0" w:line="210" w:lineRule="exact"/>
              <w:rPr>
                <w:sz w:val="20"/>
                <w:szCs w:val="20"/>
                <w:color w:val="auto"/>
              </w:rPr>
            </w:pPr>
            <w:r>
              <w:rPr>
                <w:rFonts w:ascii="Calibri" w:cs="Calibri" w:eastAsia="Calibri" w:hAnsi="Calibri"/>
                <w:sz w:val="18"/>
                <w:szCs w:val="18"/>
                <w:color w:val="auto"/>
              </w:rPr>
              <w:t>4.500% notes due August 2023</w:t>
            </w:r>
          </w:p>
        </w:tc>
        <w:tc>
          <w:tcPr>
            <w:tcW w:w="3120" w:type="dxa"/>
            <w:vAlign w:val="bottom"/>
            <w:tcBorders>
              <w:top w:val="single" w:sz="8" w:color="CCEEFF"/>
            </w:tcBorders>
          </w:tcPr>
          <w:p>
            <w:pPr>
              <w:spacing w:after="0"/>
              <w:rPr>
                <w:sz w:val="18"/>
                <w:szCs w:val="18"/>
                <w:color w:val="auto"/>
              </w:rPr>
            </w:pPr>
          </w:p>
        </w:tc>
        <w:tc>
          <w:tcPr>
            <w:tcW w:w="1860" w:type="dxa"/>
            <w:vAlign w:val="bottom"/>
            <w:tcBorders>
              <w:top w:val="single" w:sz="8" w:color="CCEEFF"/>
            </w:tcBorders>
          </w:tcPr>
          <w:p>
            <w:pPr>
              <w:jc w:val="right"/>
              <w:spacing w:after="0" w:line="210" w:lineRule="exact"/>
              <w:rPr>
                <w:sz w:val="20"/>
                <w:szCs w:val="20"/>
                <w:color w:val="auto"/>
              </w:rPr>
            </w:pPr>
            <w:r>
              <w:rPr>
                <w:rFonts w:ascii="Calibri" w:cs="Calibri" w:eastAsia="Calibri" w:hAnsi="Calibri"/>
                <w:sz w:val="18"/>
                <w:szCs w:val="18"/>
                <w:color w:val="auto"/>
              </w:rPr>
              <w:t>4.10 %</w:t>
            </w:r>
          </w:p>
        </w:tc>
        <w:tc>
          <w:tcPr>
            <w:tcW w:w="10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520" w:type="dxa"/>
            <w:vAlign w:val="bottom"/>
            <w:tcBorders>
              <w:top w:val="single" w:sz="8" w:color="CCEEFF"/>
            </w:tcBorders>
            <w:gridSpan w:val="2"/>
          </w:tcPr>
          <w:p>
            <w:pPr>
              <w:jc w:val="right"/>
              <w:ind w:right="180"/>
              <w:spacing w:after="0" w:line="210" w:lineRule="exact"/>
              <w:rPr>
                <w:sz w:val="20"/>
                <w:szCs w:val="20"/>
                <w:color w:val="auto"/>
              </w:rPr>
            </w:pPr>
            <w:r>
              <w:rPr>
                <w:rFonts w:ascii="Calibri" w:cs="Calibri" w:eastAsia="Calibri" w:hAnsi="Calibri"/>
                <w:sz w:val="18"/>
                <w:szCs w:val="18"/>
                <w:color w:val="auto"/>
              </w:rPr>
              <w:t>—</w:t>
            </w:r>
          </w:p>
        </w:tc>
        <w:tc>
          <w:tcPr>
            <w:tcW w:w="300" w:type="dxa"/>
            <w:vAlign w:val="bottom"/>
            <w:tcBorders>
              <w:top w:val="single" w:sz="8" w:color="CCEEFF"/>
            </w:tcBorders>
          </w:tcPr>
          <w:p>
            <w:pPr>
              <w:spacing w:after="0"/>
              <w:rPr>
                <w:sz w:val="18"/>
                <w:szCs w:val="18"/>
                <w:color w:val="auto"/>
              </w:rPr>
            </w:pPr>
          </w:p>
        </w:tc>
        <w:tc>
          <w:tcPr>
            <w:tcW w:w="1420" w:type="dxa"/>
            <w:vAlign w:val="bottom"/>
            <w:tcBorders>
              <w:top w:val="single" w:sz="8" w:color="CCEEFF"/>
            </w:tcBorders>
          </w:tcPr>
          <w:p>
            <w:pPr>
              <w:jc w:val="right"/>
              <w:spacing w:after="0" w:line="210" w:lineRule="exact"/>
              <w:rPr>
                <w:sz w:val="20"/>
                <w:szCs w:val="20"/>
                <w:color w:val="auto"/>
              </w:rPr>
            </w:pPr>
            <w:r>
              <w:rPr>
                <w:rFonts w:ascii="Calibri" w:cs="Calibri" w:eastAsia="Calibri" w:hAnsi="Calibri"/>
                <w:sz w:val="18"/>
                <w:szCs w:val="18"/>
                <w:color w:val="auto"/>
              </w:rPr>
              <w:t>143</w:t>
            </w:r>
          </w:p>
        </w:tc>
        <w:tc>
          <w:tcPr>
            <w:tcW w:w="0" w:type="dxa"/>
            <w:vAlign w:val="bottom"/>
          </w:tcPr>
          <w:p>
            <w:pPr>
              <w:spacing w:after="0"/>
              <w:rPr>
                <w:sz w:val="1"/>
                <w:szCs w:val="1"/>
                <w:color w:val="auto"/>
              </w:rPr>
            </w:pPr>
          </w:p>
        </w:tc>
      </w:tr>
      <w:tr>
        <w:trPr>
          <w:trHeight w:val="225"/>
        </w:trPr>
        <w:tc>
          <w:tcPr>
            <w:tcW w:w="20" w:type="dxa"/>
            <w:vAlign w:val="bottom"/>
            <w:shd w:val="clear" w:color="auto" w:fill="CCEEFF"/>
          </w:tcPr>
          <w:p>
            <w:pPr>
              <w:spacing w:after="0"/>
              <w:rPr>
                <w:sz w:val="19"/>
                <w:szCs w:val="19"/>
                <w:color w:val="auto"/>
              </w:rPr>
            </w:pPr>
          </w:p>
        </w:tc>
        <w:tc>
          <w:tcPr>
            <w:tcW w:w="5700" w:type="dxa"/>
            <w:vAlign w:val="bottom"/>
            <w:gridSpan w:val="3"/>
            <w:shd w:val="clear" w:color="auto" w:fill="CCEEFF"/>
          </w:tcPr>
          <w:p>
            <w:pPr>
              <w:ind w:left="120"/>
              <w:spacing w:after="0" w:line="217" w:lineRule="exact"/>
              <w:rPr>
                <w:sz w:val="20"/>
                <w:szCs w:val="20"/>
                <w:color w:val="auto"/>
              </w:rPr>
            </w:pPr>
            <w:r>
              <w:rPr>
                <w:rFonts w:ascii="Calibri" w:cs="Calibri" w:eastAsia="Calibri" w:hAnsi="Calibri"/>
                <w:sz w:val="18"/>
                <w:szCs w:val="18"/>
                <w:color w:val="auto"/>
              </w:rPr>
              <w:t>4.700% notes due March 2027</w:t>
            </w:r>
          </w:p>
        </w:tc>
        <w:tc>
          <w:tcPr>
            <w:tcW w:w="1860" w:type="dxa"/>
            <w:vAlign w:val="bottom"/>
            <w:shd w:val="clear" w:color="auto" w:fill="CCEEFF"/>
          </w:tcPr>
          <w:p>
            <w:pPr>
              <w:jc w:val="right"/>
              <w:spacing w:after="0" w:line="217" w:lineRule="exact"/>
              <w:rPr>
                <w:sz w:val="20"/>
                <w:szCs w:val="20"/>
                <w:color w:val="auto"/>
              </w:rPr>
            </w:pPr>
            <w:r>
              <w:rPr>
                <w:rFonts w:ascii="Calibri" w:cs="Calibri" w:eastAsia="Calibri" w:hAnsi="Calibri"/>
                <w:sz w:val="18"/>
                <w:szCs w:val="18"/>
                <w:color w:val="auto"/>
              </w:rPr>
              <w:t>5.15 %</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line="217" w:lineRule="exact"/>
              <w:rPr>
                <w:sz w:val="20"/>
                <w:szCs w:val="20"/>
                <w:color w:val="auto"/>
              </w:rPr>
            </w:pPr>
            <w:r>
              <w:rPr>
                <w:rFonts w:ascii="Calibri" w:cs="Calibri" w:eastAsia="Calibri" w:hAnsi="Calibri"/>
                <w:sz w:val="18"/>
                <w:szCs w:val="18"/>
                <w:color w:val="auto"/>
              </w:rPr>
              <w:t>215</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line="217" w:lineRule="exact"/>
              <w:rPr>
                <w:sz w:val="20"/>
                <w:szCs w:val="20"/>
                <w:color w:val="auto"/>
              </w:rPr>
            </w:pPr>
            <w:r>
              <w:rPr>
                <w:rFonts w:ascii="Calibri" w:cs="Calibri" w:eastAsia="Calibri" w:hAnsi="Calibri"/>
                <w:sz w:val="18"/>
                <w:szCs w:val="18"/>
                <w:color w:val="auto"/>
              </w:rPr>
              <w:t>215</w:t>
            </w:r>
          </w:p>
        </w:tc>
        <w:tc>
          <w:tcPr>
            <w:tcW w:w="0" w:type="dxa"/>
            <w:vAlign w:val="bottom"/>
          </w:tcPr>
          <w:p>
            <w:pPr>
              <w:spacing w:after="0"/>
              <w:rPr>
                <w:sz w:val="1"/>
                <w:szCs w:val="1"/>
                <w:color w:val="auto"/>
              </w:rPr>
            </w:pPr>
          </w:p>
        </w:tc>
      </w:tr>
      <w:tr>
        <w:trPr>
          <w:trHeight w:val="218"/>
        </w:trPr>
        <w:tc>
          <w:tcPr>
            <w:tcW w:w="20" w:type="dxa"/>
            <w:vAlign w:val="bottom"/>
            <w:tcBorders>
              <w:bottom w:val="single" w:sz="8" w:color="CCEEFF"/>
            </w:tcBorders>
          </w:tcPr>
          <w:p>
            <w:pPr>
              <w:spacing w:after="0"/>
              <w:rPr>
                <w:sz w:val="18"/>
                <w:szCs w:val="18"/>
                <w:color w:val="auto"/>
              </w:rPr>
            </w:pPr>
          </w:p>
        </w:tc>
        <w:tc>
          <w:tcPr>
            <w:tcW w:w="2100" w:type="dxa"/>
            <w:vAlign w:val="bottom"/>
            <w:tcBorders>
              <w:bottom w:val="single" w:sz="8" w:color="CCEEFF"/>
            </w:tcBorders>
          </w:tcPr>
          <w:p>
            <w:pPr>
              <w:spacing w:after="0"/>
              <w:rPr>
                <w:sz w:val="18"/>
                <w:szCs w:val="18"/>
                <w:color w:val="auto"/>
              </w:rPr>
            </w:pPr>
          </w:p>
        </w:tc>
        <w:tc>
          <w:tcPr>
            <w:tcW w:w="480" w:type="dxa"/>
            <w:vAlign w:val="bottom"/>
            <w:tcBorders>
              <w:bottom w:val="single" w:sz="8" w:color="CCEEFF"/>
            </w:tcBorders>
          </w:tcPr>
          <w:p>
            <w:pPr>
              <w:spacing w:after="0"/>
              <w:rPr>
                <w:sz w:val="18"/>
                <w:szCs w:val="18"/>
                <w:color w:val="auto"/>
              </w:rPr>
            </w:pPr>
          </w:p>
        </w:tc>
        <w:tc>
          <w:tcPr>
            <w:tcW w:w="3120" w:type="dxa"/>
            <w:vAlign w:val="bottom"/>
            <w:tcBorders>
              <w:bottom w:val="single" w:sz="8" w:color="CCEEFF"/>
            </w:tcBorders>
          </w:tcPr>
          <w:p>
            <w:pPr>
              <w:spacing w:after="0"/>
              <w:rPr>
                <w:sz w:val="18"/>
                <w:szCs w:val="18"/>
                <w:color w:val="auto"/>
              </w:rPr>
            </w:pPr>
          </w:p>
        </w:tc>
        <w:tc>
          <w:tcPr>
            <w:tcW w:w="18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line="210" w:lineRule="exact"/>
              <w:rPr>
                <w:sz w:val="20"/>
                <w:szCs w:val="20"/>
                <w:color w:val="auto"/>
              </w:rPr>
            </w:pPr>
            <w:r>
              <w:rPr>
                <w:rFonts w:ascii="Calibri" w:cs="Calibri" w:eastAsia="Calibri" w:hAnsi="Calibri"/>
                <w:sz w:val="18"/>
                <w:szCs w:val="18"/>
                <w:color w:val="auto"/>
              </w:rPr>
              <w:t>215</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line="210" w:lineRule="exact"/>
              <w:rPr>
                <w:sz w:val="20"/>
                <w:szCs w:val="20"/>
                <w:color w:val="auto"/>
              </w:rPr>
            </w:pPr>
            <w:r>
              <w:rPr>
                <w:rFonts w:ascii="Calibri" w:cs="Calibri" w:eastAsia="Calibri" w:hAnsi="Calibri"/>
                <w:sz w:val="18"/>
                <w:szCs w:val="18"/>
                <w:color w:val="auto"/>
              </w:rPr>
              <w:t>358</w:t>
            </w:r>
          </w:p>
        </w:tc>
        <w:tc>
          <w:tcPr>
            <w:tcW w:w="0" w:type="dxa"/>
            <w:vAlign w:val="bottom"/>
          </w:tcPr>
          <w:p>
            <w:pPr>
              <w:spacing w:after="0"/>
              <w:rPr>
                <w:sz w:val="1"/>
                <w:szCs w:val="1"/>
                <w:color w:val="auto"/>
              </w:rPr>
            </w:pPr>
          </w:p>
        </w:tc>
      </w:tr>
      <w:tr>
        <w:trPr>
          <w:trHeight w:val="191"/>
        </w:trPr>
        <w:tc>
          <w:tcPr>
            <w:tcW w:w="20" w:type="dxa"/>
            <w:vAlign w:val="bottom"/>
            <w:tcBorders>
              <w:bottom w:val="single" w:sz="8" w:color="CCEEFF"/>
            </w:tcBorders>
            <w:shd w:val="clear" w:color="auto" w:fill="CCEEFF"/>
          </w:tcPr>
          <w:p>
            <w:pPr>
              <w:spacing w:after="0"/>
              <w:rPr>
                <w:sz w:val="16"/>
                <w:szCs w:val="16"/>
                <w:color w:val="auto"/>
              </w:rPr>
            </w:pPr>
          </w:p>
        </w:tc>
        <w:tc>
          <w:tcPr>
            <w:tcW w:w="2100" w:type="dxa"/>
            <w:vAlign w:val="bottom"/>
            <w:tcBorders>
              <w:bottom w:val="single" w:sz="8" w:color="auto"/>
            </w:tcBorders>
            <w:shd w:val="clear" w:color="auto" w:fill="CCEEFF"/>
          </w:tcPr>
          <w:p>
            <w:pPr>
              <w:spacing w:after="0" w:line="159" w:lineRule="exact"/>
              <w:rPr>
                <w:sz w:val="20"/>
                <w:szCs w:val="20"/>
                <w:color w:val="auto"/>
              </w:rPr>
            </w:pPr>
            <w:r>
              <w:rPr>
                <w:rFonts w:ascii="Calibri" w:cs="Calibri" w:eastAsia="Calibri" w:hAnsi="Calibri"/>
                <w:sz w:val="17"/>
                <w:szCs w:val="17"/>
                <w:color w:val="auto"/>
              </w:rPr>
              <w:t>Other senior notes - fxed rate</w:t>
            </w:r>
          </w:p>
        </w:tc>
        <w:tc>
          <w:tcPr>
            <w:tcW w:w="3600" w:type="dxa"/>
            <w:vAlign w:val="bottom"/>
            <w:tcBorders>
              <w:bottom w:val="single" w:sz="8" w:color="CCEEFF"/>
            </w:tcBorders>
            <w:gridSpan w:val="2"/>
            <w:shd w:val="clear" w:color="auto" w:fill="CCEEFF"/>
          </w:tcPr>
          <w:p>
            <w:pPr>
              <w:spacing w:after="0"/>
              <w:rPr>
                <w:sz w:val="16"/>
                <w:szCs w:val="16"/>
                <w:color w:val="auto"/>
              </w:rPr>
            </w:pPr>
          </w:p>
        </w:tc>
        <w:tc>
          <w:tcPr>
            <w:tcW w:w="18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4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142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700" w:type="dxa"/>
            <w:vAlign w:val="bottom"/>
            <w:gridSpan w:val="3"/>
          </w:tcPr>
          <w:p>
            <w:pPr>
              <w:ind w:left="120"/>
              <w:spacing w:after="0" w:line="210" w:lineRule="exact"/>
              <w:rPr>
                <w:sz w:val="20"/>
                <w:szCs w:val="20"/>
                <w:color w:val="auto"/>
              </w:rPr>
            </w:pPr>
            <w:r>
              <w:rPr>
                <w:rFonts w:ascii="Calibri" w:cs="Calibri" w:eastAsia="Calibri" w:hAnsi="Calibri"/>
                <w:sz w:val="18"/>
                <w:szCs w:val="18"/>
                <w:color w:val="auto"/>
              </w:rPr>
              <w:t>3.500% notes due August 2024</w:t>
            </w:r>
          </w:p>
        </w:tc>
        <w:tc>
          <w:tcPr>
            <w:tcW w:w="1860" w:type="dxa"/>
            <w:vAlign w:val="bottom"/>
          </w:tcPr>
          <w:p>
            <w:pPr>
              <w:jc w:val="right"/>
              <w:spacing w:after="0" w:line="210" w:lineRule="exact"/>
              <w:rPr>
                <w:sz w:val="20"/>
                <w:szCs w:val="20"/>
                <w:color w:val="auto"/>
              </w:rPr>
            </w:pPr>
            <w:r>
              <w:rPr>
                <w:rFonts w:ascii="Calibri" w:cs="Calibri" w:eastAsia="Calibri" w:hAnsi="Calibri"/>
                <w:sz w:val="18"/>
                <w:szCs w:val="18"/>
                <w:color w:val="auto"/>
              </w:rPr>
              <w:t>3.55 %</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0" w:type="dxa"/>
            <w:vAlign w:val="bottom"/>
          </w:tcPr>
          <w:p>
            <w:pPr>
              <w:jc w:val="right"/>
              <w:spacing w:after="0" w:line="210" w:lineRule="exact"/>
              <w:rPr>
                <w:sz w:val="20"/>
                <w:szCs w:val="20"/>
                <w:color w:val="auto"/>
              </w:rPr>
            </w:pPr>
            <w:r>
              <w:rPr>
                <w:rFonts w:ascii="Calibri" w:cs="Calibri" w:eastAsia="Calibri" w:hAnsi="Calibri"/>
                <w:sz w:val="18"/>
                <w:szCs w:val="18"/>
                <w:color w:val="auto"/>
              </w:rPr>
              <w:t>7</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tcPr>
          <w:p>
            <w:pPr>
              <w:jc w:val="right"/>
              <w:spacing w:after="0" w:line="210" w:lineRule="exact"/>
              <w:rPr>
                <w:sz w:val="20"/>
                <w:szCs w:val="20"/>
                <w:color w:val="auto"/>
              </w:rPr>
            </w:pPr>
            <w:r>
              <w:rPr>
                <w:rFonts w:ascii="Calibri" w:cs="Calibri" w:eastAsia="Calibri" w:hAnsi="Calibri"/>
                <w:sz w:val="18"/>
                <w:szCs w:val="18"/>
                <w:color w:val="auto"/>
              </w:rPr>
              <w:t>7</w:t>
            </w:r>
          </w:p>
        </w:tc>
        <w:tc>
          <w:tcPr>
            <w:tcW w:w="0" w:type="dxa"/>
            <w:vAlign w:val="bottom"/>
          </w:tcPr>
          <w:p>
            <w:pPr>
              <w:spacing w:after="0"/>
              <w:rPr>
                <w:sz w:val="1"/>
                <w:szCs w:val="1"/>
                <w:color w:val="auto"/>
              </w:rPr>
            </w:pPr>
          </w:p>
        </w:tc>
      </w:tr>
      <w:tr>
        <w:trPr>
          <w:trHeight w:val="225"/>
        </w:trPr>
        <w:tc>
          <w:tcPr>
            <w:tcW w:w="20" w:type="dxa"/>
            <w:vAlign w:val="bottom"/>
            <w:shd w:val="clear" w:color="auto" w:fill="CCEEFF"/>
          </w:tcPr>
          <w:p>
            <w:pPr>
              <w:spacing w:after="0"/>
              <w:rPr>
                <w:sz w:val="19"/>
                <w:szCs w:val="19"/>
                <w:color w:val="auto"/>
              </w:rPr>
            </w:pPr>
          </w:p>
        </w:tc>
        <w:tc>
          <w:tcPr>
            <w:tcW w:w="5700" w:type="dxa"/>
            <w:vAlign w:val="bottom"/>
            <w:gridSpan w:val="3"/>
            <w:shd w:val="clear" w:color="auto" w:fill="CCEEFF"/>
          </w:tcPr>
          <w:p>
            <w:pPr>
              <w:ind w:left="120"/>
              <w:spacing w:after="0" w:line="217" w:lineRule="exact"/>
              <w:rPr>
                <w:sz w:val="20"/>
                <w:szCs w:val="20"/>
                <w:color w:val="auto"/>
              </w:rPr>
            </w:pPr>
            <w:r>
              <w:rPr>
                <w:rFonts w:ascii="Calibri" w:cs="Calibri" w:eastAsia="Calibri" w:hAnsi="Calibri"/>
                <w:sz w:val="18"/>
                <w:szCs w:val="18"/>
                <w:color w:val="auto"/>
              </w:rPr>
              <w:t>4.500% notes due August 2034</w:t>
            </w:r>
          </w:p>
        </w:tc>
        <w:tc>
          <w:tcPr>
            <w:tcW w:w="1860" w:type="dxa"/>
            <w:vAlign w:val="bottom"/>
            <w:shd w:val="clear" w:color="auto" w:fill="CCEEFF"/>
          </w:tcPr>
          <w:p>
            <w:pPr>
              <w:jc w:val="right"/>
              <w:spacing w:after="0" w:line="217" w:lineRule="exact"/>
              <w:rPr>
                <w:sz w:val="20"/>
                <w:szCs w:val="20"/>
                <w:color w:val="auto"/>
              </w:rPr>
            </w:pPr>
            <w:r>
              <w:rPr>
                <w:rFonts w:ascii="Calibri" w:cs="Calibri" w:eastAsia="Calibri" w:hAnsi="Calibri"/>
                <w:sz w:val="18"/>
                <w:szCs w:val="18"/>
                <w:color w:val="auto"/>
              </w:rPr>
              <w:t>4.55 %</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line="217" w:lineRule="exact"/>
              <w:rPr>
                <w:sz w:val="20"/>
                <w:szCs w:val="20"/>
                <w:color w:val="auto"/>
              </w:rPr>
            </w:pPr>
            <w:r>
              <w:rPr>
                <w:rFonts w:ascii="Calibri" w:cs="Calibri" w:eastAsia="Calibri" w:hAnsi="Calibri"/>
                <w:sz w:val="18"/>
                <w:szCs w:val="18"/>
                <w:color w:val="auto"/>
              </w:rPr>
              <w:t>6</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line="217" w:lineRule="exact"/>
              <w:rPr>
                <w:sz w:val="20"/>
                <w:szCs w:val="20"/>
                <w:color w:val="auto"/>
              </w:rPr>
            </w:pPr>
            <w:r>
              <w:rPr>
                <w:rFonts w:ascii="Calibri" w:cs="Calibri" w:eastAsia="Calibri" w:hAnsi="Calibri"/>
                <w:sz w:val="18"/>
                <w:szCs w:val="18"/>
                <w:color w:val="auto"/>
              </w:rPr>
              <w:t>6</w:t>
            </w:r>
          </w:p>
        </w:tc>
        <w:tc>
          <w:tcPr>
            <w:tcW w:w="0" w:type="dxa"/>
            <w:vAlign w:val="bottom"/>
          </w:tcPr>
          <w:p>
            <w:pPr>
              <w:spacing w:after="0"/>
              <w:rPr>
                <w:sz w:val="1"/>
                <w:szCs w:val="1"/>
                <w:color w:val="auto"/>
              </w:rPr>
            </w:pPr>
          </w:p>
        </w:tc>
      </w:tr>
      <w:tr>
        <w:trPr>
          <w:trHeight w:val="218"/>
        </w:trPr>
        <w:tc>
          <w:tcPr>
            <w:tcW w:w="20" w:type="dxa"/>
            <w:vAlign w:val="bottom"/>
            <w:tcBorders>
              <w:bottom w:val="single" w:sz="8" w:color="CCEEFF"/>
            </w:tcBorders>
          </w:tcPr>
          <w:p>
            <w:pPr>
              <w:spacing w:after="0"/>
              <w:rPr>
                <w:sz w:val="18"/>
                <w:szCs w:val="18"/>
                <w:color w:val="auto"/>
              </w:rPr>
            </w:pPr>
          </w:p>
        </w:tc>
        <w:tc>
          <w:tcPr>
            <w:tcW w:w="2100" w:type="dxa"/>
            <w:vAlign w:val="bottom"/>
            <w:tcBorders>
              <w:bottom w:val="single" w:sz="8" w:color="CCEEFF"/>
            </w:tcBorders>
          </w:tcPr>
          <w:p>
            <w:pPr>
              <w:spacing w:after="0"/>
              <w:rPr>
                <w:sz w:val="18"/>
                <w:szCs w:val="18"/>
                <w:color w:val="auto"/>
              </w:rPr>
            </w:pPr>
          </w:p>
        </w:tc>
        <w:tc>
          <w:tcPr>
            <w:tcW w:w="480" w:type="dxa"/>
            <w:vAlign w:val="bottom"/>
            <w:tcBorders>
              <w:bottom w:val="single" w:sz="8" w:color="CCEEFF"/>
            </w:tcBorders>
          </w:tcPr>
          <w:p>
            <w:pPr>
              <w:spacing w:after="0"/>
              <w:rPr>
                <w:sz w:val="18"/>
                <w:szCs w:val="18"/>
                <w:color w:val="auto"/>
              </w:rPr>
            </w:pPr>
          </w:p>
        </w:tc>
        <w:tc>
          <w:tcPr>
            <w:tcW w:w="3120" w:type="dxa"/>
            <w:vAlign w:val="bottom"/>
            <w:tcBorders>
              <w:bottom w:val="single" w:sz="8" w:color="CCEEFF"/>
            </w:tcBorders>
          </w:tcPr>
          <w:p>
            <w:pPr>
              <w:spacing w:after="0"/>
              <w:rPr>
                <w:sz w:val="18"/>
                <w:szCs w:val="18"/>
                <w:color w:val="auto"/>
              </w:rPr>
            </w:pPr>
          </w:p>
        </w:tc>
        <w:tc>
          <w:tcPr>
            <w:tcW w:w="18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line="210" w:lineRule="exact"/>
              <w:rPr>
                <w:sz w:val="20"/>
                <w:szCs w:val="20"/>
                <w:color w:val="auto"/>
              </w:rPr>
            </w:pPr>
            <w:r>
              <w:rPr>
                <w:rFonts w:ascii="Calibri" w:cs="Calibri" w:eastAsia="Calibri" w:hAnsi="Calibri"/>
                <w:sz w:val="18"/>
                <w:szCs w:val="18"/>
                <w:color w:val="auto"/>
              </w:rPr>
              <w:t>13</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line="210" w:lineRule="exact"/>
              <w:rPr>
                <w:sz w:val="20"/>
                <w:szCs w:val="20"/>
                <w:color w:val="auto"/>
              </w:rPr>
            </w:pPr>
            <w:r>
              <w:rPr>
                <w:rFonts w:ascii="Calibri" w:cs="Calibri" w:eastAsia="Calibri" w:hAnsi="Calibri"/>
                <w:sz w:val="18"/>
                <w:szCs w:val="18"/>
                <w:color w:val="auto"/>
              </w:rPr>
              <w:t>13</w:t>
            </w:r>
          </w:p>
        </w:tc>
        <w:tc>
          <w:tcPr>
            <w:tcW w:w="0" w:type="dxa"/>
            <w:vAlign w:val="bottom"/>
          </w:tcPr>
          <w:p>
            <w:pPr>
              <w:spacing w:after="0"/>
              <w:rPr>
                <w:sz w:val="1"/>
                <w:szCs w:val="1"/>
                <w:color w:val="auto"/>
              </w:rPr>
            </w:pPr>
          </w:p>
        </w:tc>
      </w:tr>
      <w:tr>
        <w:trPr>
          <w:trHeight w:val="251"/>
        </w:trPr>
        <w:tc>
          <w:tcPr>
            <w:tcW w:w="20" w:type="dxa"/>
            <w:vAlign w:val="bottom"/>
            <w:shd w:val="clear" w:color="auto" w:fill="CCEEFF"/>
          </w:tcPr>
          <w:p>
            <w:pPr>
              <w:spacing w:after="0"/>
              <w:rPr>
                <w:sz w:val="21"/>
                <w:szCs w:val="21"/>
                <w:color w:val="auto"/>
              </w:rPr>
            </w:pPr>
          </w:p>
        </w:tc>
        <w:tc>
          <w:tcPr>
            <w:tcW w:w="21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3120" w:type="dxa"/>
            <w:vAlign w:val="bottom"/>
            <w:shd w:val="clear" w:color="auto" w:fill="CCEEFF"/>
          </w:tcPr>
          <w:p>
            <w:pPr>
              <w:spacing w:after="0"/>
              <w:rPr>
                <w:sz w:val="21"/>
                <w:szCs w:val="21"/>
                <w:color w:val="auto"/>
              </w:rPr>
            </w:pPr>
          </w:p>
        </w:tc>
        <w:tc>
          <w:tcPr>
            <w:tcW w:w="18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700" w:type="dxa"/>
            <w:vAlign w:val="bottom"/>
            <w:gridSpan w:val="3"/>
          </w:tcPr>
          <w:p>
            <w:pPr>
              <w:ind w:left="200"/>
              <w:spacing w:after="0"/>
              <w:rPr>
                <w:sz w:val="20"/>
                <w:szCs w:val="20"/>
                <w:color w:val="auto"/>
              </w:rPr>
            </w:pPr>
            <w:r>
              <w:rPr>
                <w:rFonts w:ascii="Calibri" w:cs="Calibri" w:eastAsia="Calibri" w:hAnsi="Calibri"/>
                <w:sz w:val="18"/>
                <w:szCs w:val="18"/>
                <w:color w:val="auto"/>
              </w:rPr>
              <w:t>Total principal amount outstanding</w:t>
            </w:r>
          </w:p>
        </w:tc>
        <w:tc>
          <w:tcPr>
            <w:tcW w:w="1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2"/>
              <w:spacing w:after="0" w:line="210" w:lineRule="exact"/>
              <w:rPr>
                <w:sz w:val="20"/>
                <w:szCs w:val="20"/>
                <w:color w:val="auto"/>
              </w:rPr>
            </w:pPr>
            <w:r>
              <w:rPr>
                <w:rFonts w:ascii="Calibri" w:cs="Calibri" w:eastAsia="Calibri" w:hAnsi="Calibri"/>
                <w:sz w:val="18"/>
                <w:szCs w:val="18"/>
                <w:color w:val="auto"/>
                <w:w w:val="87"/>
              </w:rPr>
              <w:t>$</w:t>
            </w:r>
          </w:p>
        </w:tc>
        <w:tc>
          <w:tcPr>
            <w:tcW w:w="1400" w:type="dxa"/>
            <w:vAlign w:val="bottom"/>
            <w:tcBorders>
              <w:bottom w:val="single" w:sz="8" w:color="auto"/>
            </w:tcBorders>
          </w:tcPr>
          <w:p>
            <w:pPr>
              <w:jc w:val="right"/>
              <w:spacing w:after="0" w:line="210" w:lineRule="exact"/>
              <w:rPr>
                <w:sz w:val="20"/>
                <w:szCs w:val="20"/>
                <w:color w:val="auto"/>
              </w:rPr>
            </w:pPr>
            <w:r>
              <w:rPr>
                <w:rFonts w:ascii="Calibri" w:cs="Calibri" w:eastAsia="Calibri" w:hAnsi="Calibri"/>
                <w:sz w:val="18"/>
                <w:szCs w:val="18"/>
                <w:color w:val="auto"/>
              </w:rPr>
              <w:t>40,815</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2"/>
              <w:spacing w:after="0" w:line="210" w:lineRule="exact"/>
              <w:rPr>
                <w:sz w:val="20"/>
                <w:szCs w:val="20"/>
                <w:color w:val="auto"/>
              </w:rPr>
            </w:pPr>
            <w:r>
              <w:rPr>
                <w:rFonts w:ascii="Calibri" w:cs="Calibri" w:eastAsia="Calibri" w:hAnsi="Calibri"/>
                <w:sz w:val="18"/>
                <w:szCs w:val="18"/>
                <w:color w:val="auto"/>
                <w:w w:val="87"/>
              </w:rPr>
              <w:t>$</w:t>
            </w:r>
          </w:p>
        </w:tc>
        <w:tc>
          <w:tcPr>
            <w:tcW w:w="1420" w:type="dxa"/>
            <w:vAlign w:val="bottom"/>
            <w:tcBorders>
              <w:bottom w:val="single" w:sz="8" w:color="auto"/>
            </w:tcBorders>
          </w:tcPr>
          <w:p>
            <w:pPr>
              <w:jc w:val="right"/>
              <w:spacing w:after="0" w:line="210" w:lineRule="exact"/>
              <w:rPr>
                <w:sz w:val="20"/>
                <w:szCs w:val="20"/>
                <w:color w:val="auto"/>
              </w:rPr>
            </w:pPr>
            <w:r>
              <w:rPr>
                <w:rFonts w:ascii="Calibri" w:cs="Calibri" w:eastAsia="Calibri" w:hAnsi="Calibri"/>
                <w:sz w:val="18"/>
                <w:szCs w:val="18"/>
                <w:color w:val="auto"/>
              </w:rPr>
              <w:t>41,218</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3120" w:type="dxa"/>
            <w:vAlign w:val="bottom"/>
            <w:tcBorders>
              <w:bottom w:val="single" w:sz="8" w:color="CCEEFF"/>
            </w:tcBorders>
          </w:tcPr>
          <w:p>
            <w:pPr>
              <w:spacing w:after="0" w:line="20" w:lineRule="exact"/>
              <w:rPr>
                <w:sz w:val="1"/>
                <w:szCs w:val="1"/>
                <w:color w:val="auto"/>
              </w:rPr>
            </w:pPr>
          </w:p>
        </w:tc>
        <w:tc>
          <w:tcPr>
            <w:tcW w:w="18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20"/>
                <w:szCs w:val="20"/>
                <w:color w:val="auto"/>
              </w:rPr>
            </w:pPr>
          </w:p>
        </w:tc>
        <w:tc>
          <w:tcPr>
            <w:tcW w:w="21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3120" w:type="dxa"/>
            <w:vAlign w:val="bottom"/>
            <w:shd w:val="clear" w:color="auto" w:fill="CCEEFF"/>
          </w:tcPr>
          <w:p>
            <w:pPr>
              <w:spacing w:after="0"/>
              <w:rPr>
                <w:sz w:val="20"/>
                <w:szCs w:val="20"/>
                <w:color w:val="auto"/>
              </w:rPr>
            </w:pPr>
          </w:p>
        </w:tc>
        <w:tc>
          <w:tcPr>
            <w:tcW w:w="1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700" w:type="dxa"/>
            <w:vAlign w:val="bottom"/>
            <w:gridSpan w:val="3"/>
          </w:tcPr>
          <w:p>
            <w:pPr>
              <w:spacing w:after="0" w:line="210" w:lineRule="exact"/>
              <w:rPr>
                <w:sz w:val="20"/>
                <w:szCs w:val="20"/>
                <w:color w:val="auto"/>
              </w:rPr>
            </w:pPr>
            <w:r>
              <w:rPr>
                <w:rFonts w:ascii="Calibri" w:cs="Calibri" w:eastAsia="Calibri" w:hAnsi="Calibri"/>
                <w:sz w:val="18"/>
                <w:szCs w:val="18"/>
                <w:color w:val="auto"/>
              </w:rPr>
              <w:t>Current porton of principal amount outstanding</w:t>
            </w:r>
          </w:p>
        </w:tc>
        <w:tc>
          <w:tcPr>
            <w:tcW w:w="1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jc w:val="right"/>
              <w:ind w:right="132"/>
              <w:spacing w:after="0" w:line="210" w:lineRule="exact"/>
              <w:rPr>
                <w:sz w:val="20"/>
                <w:szCs w:val="20"/>
                <w:color w:val="auto"/>
              </w:rPr>
            </w:pPr>
            <w:r>
              <w:rPr>
                <w:rFonts w:ascii="Calibri" w:cs="Calibri" w:eastAsia="Calibri" w:hAnsi="Calibri"/>
                <w:sz w:val="18"/>
                <w:szCs w:val="18"/>
                <w:color w:val="auto"/>
                <w:w w:val="87"/>
              </w:rPr>
              <w:t>$</w:t>
            </w:r>
          </w:p>
        </w:tc>
        <w:tc>
          <w:tcPr>
            <w:tcW w:w="1400" w:type="dxa"/>
            <w:vAlign w:val="bottom"/>
          </w:tcPr>
          <w:p>
            <w:pPr>
              <w:jc w:val="right"/>
              <w:spacing w:after="0" w:line="210" w:lineRule="exact"/>
              <w:rPr>
                <w:sz w:val="20"/>
                <w:szCs w:val="20"/>
                <w:color w:val="auto"/>
              </w:rPr>
            </w:pPr>
            <w:r>
              <w:rPr>
                <w:rFonts w:ascii="Calibri" w:cs="Calibri" w:eastAsia="Calibri" w:hAnsi="Calibri"/>
                <w:sz w:val="18"/>
                <w:szCs w:val="18"/>
                <w:color w:val="auto"/>
              </w:rPr>
              <w:t>1,563</w:t>
            </w:r>
          </w:p>
        </w:tc>
        <w:tc>
          <w:tcPr>
            <w:tcW w:w="120" w:type="dxa"/>
            <w:vAlign w:val="bottom"/>
          </w:tcPr>
          <w:p>
            <w:pPr>
              <w:spacing w:after="0"/>
              <w:rPr>
                <w:sz w:val="18"/>
                <w:szCs w:val="18"/>
                <w:color w:val="auto"/>
              </w:rPr>
            </w:pPr>
          </w:p>
        </w:tc>
        <w:tc>
          <w:tcPr>
            <w:tcW w:w="300" w:type="dxa"/>
            <w:vAlign w:val="bottom"/>
          </w:tcPr>
          <w:p>
            <w:pPr>
              <w:jc w:val="right"/>
              <w:ind w:right="112"/>
              <w:spacing w:after="0" w:line="210" w:lineRule="exact"/>
              <w:rPr>
                <w:sz w:val="20"/>
                <w:szCs w:val="20"/>
                <w:color w:val="auto"/>
              </w:rPr>
            </w:pPr>
            <w:r>
              <w:rPr>
                <w:rFonts w:ascii="Calibri" w:cs="Calibri" w:eastAsia="Calibri" w:hAnsi="Calibri"/>
                <w:sz w:val="18"/>
                <w:szCs w:val="18"/>
                <w:color w:val="auto"/>
                <w:w w:val="87"/>
              </w:rPr>
              <w:t>$</w:t>
            </w:r>
          </w:p>
        </w:tc>
        <w:tc>
          <w:tcPr>
            <w:tcW w:w="1420" w:type="dxa"/>
            <w:vAlign w:val="bottom"/>
          </w:tcPr>
          <w:p>
            <w:pPr>
              <w:jc w:val="right"/>
              <w:spacing w:after="0" w:line="210" w:lineRule="exact"/>
              <w:rPr>
                <w:sz w:val="20"/>
                <w:szCs w:val="20"/>
                <w:color w:val="auto"/>
              </w:rPr>
            </w:pPr>
            <w:r>
              <w:rPr>
                <w:rFonts w:ascii="Calibri" w:cs="Calibri" w:eastAsia="Calibri" w:hAnsi="Calibri"/>
                <w:sz w:val="18"/>
                <w:szCs w:val="18"/>
                <w:color w:val="auto"/>
              </w:rPr>
              <w:t>403</w:t>
            </w:r>
          </w:p>
        </w:tc>
        <w:tc>
          <w:tcPr>
            <w:tcW w:w="0" w:type="dxa"/>
            <w:vAlign w:val="bottom"/>
          </w:tcPr>
          <w:p>
            <w:pPr>
              <w:spacing w:after="0"/>
              <w:rPr>
                <w:sz w:val="1"/>
                <w:szCs w:val="1"/>
                <w:color w:val="auto"/>
              </w:rPr>
            </w:pPr>
          </w:p>
        </w:tc>
      </w:tr>
      <w:tr>
        <w:trPr>
          <w:trHeight w:val="225"/>
        </w:trPr>
        <w:tc>
          <w:tcPr>
            <w:tcW w:w="20" w:type="dxa"/>
            <w:vAlign w:val="bottom"/>
            <w:shd w:val="clear" w:color="auto" w:fill="CCEEFF"/>
          </w:tcPr>
          <w:p>
            <w:pPr>
              <w:spacing w:after="0"/>
              <w:rPr>
                <w:sz w:val="19"/>
                <w:szCs w:val="19"/>
                <w:color w:val="auto"/>
              </w:rPr>
            </w:pPr>
          </w:p>
        </w:tc>
        <w:tc>
          <w:tcPr>
            <w:tcW w:w="5700" w:type="dxa"/>
            <w:vAlign w:val="bottom"/>
            <w:gridSpan w:val="3"/>
            <w:shd w:val="clear" w:color="auto" w:fill="CCEEFF"/>
          </w:tcPr>
          <w:p>
            <w:pPr>
              <w:spacing w:after="0" w:line="217" w:lineRule="exact"/>
              <w:rPr>
                <w:sz w:val="20"/>
                <w:szCs w:val="20"/>
                <w:color w:val="auto"/>
              </w:rPr>
            </w:pPr>
            <w:r>
              <w:rPr>
                <w:rFonts w:ascii="Calibri" w:cs="Calibri" w:eastAsia="Calibri" w:hAnsi="Calibri"/>
                <w:sz w:val="18"/>
                <w:szCs w:val="18"/>
                <w:color w:val="auto"/>
              </w:rPr>
              <w:t>Short-term fnance lease liabilites</w:t>
            </w:r>
          </w:p>
        </w:tc>
        <w:tc>
          <w:tcPr>
            <w:tcW w:w="1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line="217" w:lineRule="exact"/>
              <w:rPr>
                <w:sz w:val="20"/>
                <w:szCs w:val="20"/>
                <w:color w:val="auto"/>
              </w:rPr>
            </w:pPr>
            <w:r>
              <w:rPr>
                <w:rFonts w:ascii="Calibri" w:cs="Calibri" w:eastAsia="Calibri" w:hAnsi="Calibri"/>
                <w:sz w:val="18"/>
                <w:szCs w:val="18"/>
                <w:color w:val="auto"/>
              </w:rPr>
              <w:t>45</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line="217" w:lineRule="exact"/>
              <w:rPr>
                <w:sz w:val="20"/>
                <w:szCs w:val="20"/>
                <w:color w:val="auto"/>
              </w:rPr>
            </w:pPr>
            <w:r>
              <w:rPr>
                <w:rFonts w:ascii="Calibri" w:cs="Calibri" w:eastAsia="Calibri" w:hAnsi="Calibri"/>
                <w:sz w:val="18"/>
                <w:szCs w:val="18"/>
                <w:color w:val="auto"/>
              </w:rPr>
              <w:t>37</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700" w:type="dxa"/>
            <w:vAlign w:val="bottom"/>
            <w:gridSpan w:val="3"/>
          </w:tcPr>
          <w:p>
            <w:pPr>
              <w:ind w:left="100"/>
              <w:spacing w:after="0"/>
              <w:rPr>
                <w:sz w:val="20"/>
                <w:szCs w:val="20"/>
                <w:color w:val="auto"/>
              </w:rPr>
            </w:pPr>
            <w:r>
              <w:rPr>
                <w:rFonts w:ascii="Calibri" w:cs="Calibri" w:eastAsia="Calibri" w:hAnsi="Calibri"/>
                <w:sz w:val="18"/>
                <w:szCs w:val="18"/>
                <w:color w:val="auto"/>
              </w:rPr>
              <w:t>Total current porton of long-term debt</w:t>
            </w:r>
          </w:p>
        </w:tc>
        <w:tc>
          <w:tcPr>
            <w:tcW w:w="1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2"/>
              <w:spacing w:after="0" w:line="210" w:lineRule="exact"/>
              <w:rPr>
                <w:sz w:val="20"/>
                <w:szCs w:val="20"/>
                <w:color w:val="auto"/>
              </w:rPr>
            </w:pPr>
            <w:r>
              <w:rPr>
                <w:rFonts w:ascii="Calibri" w:cs="Calibri" w:eastAsia="Calibri" w:hAnsi="Calibri"/>
                <w:sz w:val="18"/>
                <w:szCs w:val="18"/>
                <w:color w:val="auto"/>
                <w:w w:val="87"/>
              </w:rPr>
              <w:t>$</w:t>
            </w:r>
          </w:p>
        </w:tc>
        <w:tc>
          <w:tcPr>
            <w:tcW w:w="1400" w:type="dxa"/>
            <w:vAlign w:val="bottom"/>
            <w:tcBorders>
              <w:bottom w:val="single" w:sz="8" w:color="auto"/>
            </w:tcBorders>
          </w:tcPr>
          <w:p>
            <w:pPr>
              <w:jc w:val="right"/>
              <w:spacing w:after="0" w:line="210" w:lineRule="exact"/>
              <w:rPr>
                <w:sz w:val="20"/>
                <w:szCs w:val="20"/>
                <w:color w:val="auto"/>
              </w:rPr>
            </w:pPr>
            <w:r>
              <w:rPr>
                <w:rFonts w:ascii="Calibri" w:cs="Calibri" w:eastAsia="Calibri" w:hAnsi="Calibri"/>
                <w:sz w:val="18"/>
                <w:szCs w:val="18"/>
                <w:color w:val="auto"/>
              </w:rPr>
              <w:t>1,608</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2"/>
              <w:spacing w:after="0" w:line="210" w:lineRule="exact"/>
              <w:rPr>
                <w:sz w:val="20"/>
                <w:szCs w:val="20"/>
                <w:color w:val="auto"/>
              </w:rPr>
            </w:pPr>
            <w:r>
              <w:rPr>
                <w:rFonts w:ascii="Calibri" w:cs="Calibri" w:eastAsia="Calibri" w:hAnsi="Calibri"/>
                <w:sz w:val="18"/>
                <w:szCs w:val="18"/>
                <w:color w:val="auto"/>
                <w:w w:val="87"/>
              </w:rPr>
              <w:t>$</w:t>
            </w:r>
          </w:p>
        </w:tc>
        <w:tc>
          <w:tcPr>
            <w:tcW w:w="1420" w:type="dxa"/>
            <w:vAlign w:val="bottom"/>
            <w:tcBorders>
              <w:bottom w:val="single" w:sz="8" w:color="auto"/>
            </w:tcBorders>
          </w:tcPr>
          <w:p>
            <w:pPr>
              <w:jc w:val="right"/>
              <w:spacing w:after="0" w:line="210" w:lineRule="exact"/>
              <w:rPr>
                <w:sz w:val="20"/>
                <w:szCs w:val="20"/>
                <w:color w:val="auto"/>
              </w:rPr>
            </w:pPr>
            <w:r>
              <w:rPr>
                <w:rFonts w:ascii="Calibri" w:cs="Calibri" w:eastAsia="Calibri" w:hAnsi="Calibri"/>
                <w:sz w:val="18"/>
                <w:szCs w:val="18"/>
                <w:color w:val="auto"/>
              </w:rPr>
              <w:t>440</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3120" w:type="dxa"/>
            <w:vAlign w:val="bottom"/>
            <w:tcBorders>
              <w:bottom w:val="single" w:sz="8" w:color="CCEEFF"/>
            </w:tcBorders>
          </w:tcPr>
          <w:p>
            <w:pPr>
              <w:spacing w:after="0" w:line="20" w:lineRule="exact"/>
              <w:rPr>
                <w:sz w:val="1"/>
                <w:szCs w:val="1"/>
                <w:color w:val="auto"/>
              </w:rPr>
            </w:pPr>
          </w:p>
        </w:tc>
        <w:tc>
          <w:tcPr>
            <w:tcW w:w="18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20"/>
                <w:szCs w:val="20"/>
                <w:color w:val="auto"/>
              </w:rPr>
            </w:pPr>
          </w:p>
        </w:tc>
        <w:tc>
          <w:tcPr>
            <w:tcW w:w="21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3120" w:type="dxa"/>
            <w:vAlign w:val="bottom"/>
            <w:shd w:val="clear" w:color="auto" w:fill="CCEEFF"/>
          </w:tcPr>
          <w:p>
            <w:pPr>
              <w:spacing w:after="0"/>
              <w:rPr>
                <w:sz w:val="20"/>
                <w:szCs w:val="20"/>
                <w:color w:val="auto"/>
              </w:rPr>
            </w:pPr>
          </w:p>
        </w:tc>
        <w:tc>
          <w:tcPr>
            <w:tcW w:w="1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700" w:type="dxa"/>
            <w:vAlign w:val="bottom"/>
            <w:gridSpan w:val="3"/>
          </w:tcPr>
          <w:p>
            <w:pPr>
              <w:spacing w:after="0" w:line="210" w:lineRule="exact"/>
              <w:rPr>
                <w:sz w:val="20"/>
                <w:szCs w:val="20"/>
                <w:color w:val="auto"/>
              </w:rPr>
            </w:pPr>
            <w:r>
              <w:rPr>
                <w:rFonts w:ascii="Calibri" w:cs="Calibri" w:eastAsia="Calibri" w:hAnsi="Calibri"/>
                <w:sz w:val="18"/>
                <w:szCs w:val="18"/>
                <w:color w:val="auto"/>
              </w:rPr>
              <w:t>Non-current porton of principal amount outstanding</w:t>
            </w:r>
          </w:p>
        </w:tc>
        <w:tc>
          <w:tcPr>
            <w:tcW w:w="1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jc w:val="right"/>
              <w:ind w:right="132"/>
              <w:spacing w:after="0" w:line="210" w:lineRule="exact"/>
              <w:rPr>
                <w:sz w:val="20"/>
                <w:szCs w:val="20"/>
                <w:color w:val="auto"/>
              </w:rPr>
            </w:pPr>
            <w:r>
              <w:rPr>
                <w:rFonts w:ascii="Calibri" w:cs="Calibri" w:eastAsia="Calibri" w:hAnsi="Calibri"/>
                <w:sz w:val="18"/>
                <w:szCs w:val="18"/>
                <w:color w:val="auto"/>
                <w:w w:val="87"/>
              </w:rPr>
              <w:t>$</w:t>
            </w:r>
          </w:p>
        </w:tc>
        <w:tc>
          <w:tcPr>
            <w:tcW w:w="1400" w:type="dxa"/>
            <w:vAlign w:val="bottom"/>
          </w:tcPr>
          <w:p>
            <w:pPr>
              <w:jc w:val="right"/>
              <w:spacing w:after="0" w:line="210" w:lineRule="exact"/>
              <w:rPr>
                <w:sz w:val="20"/>
                <w:szCs w:val="20"/>
                <w:color w:val="auto"/>
              </w:rPr>
            </w:pPr>
            <w:r>
              <w:rPr>
                <w:rFonts w:ascii="Calibri" w:cs="Calibri" w:eastAsia="Calibri" w:hAnsi="Calibri"/>
                <w:sz w:val="18"/>
                <w:szCs w:val="18"/>
                <w:color w:val="auto"/>
              </w:rPr>
              <w:t>39,252</w:t>
            </w:r>
          </w:p>
        </w:tc>
        <w:tc>
          <w:tcPr>
            <w:tcW w:w="120" w:type="dxa"/>
            <w:vAlign w:val="bottom"/>
          </w:tcPr>
          <w:p>
            <w:pPr>
              <w:spacing w:after="0"/>
              <w:rPr>
                <w:sz w:val="18"/>
                <w:szCs w:val="18"/>
                <w:color w:val="auto"/>
              </w:rPr>
            </w:pPr>
          </w:p>
        </w:tc>
        <w:tc>
          <w:tcPr>
            <w:tcW w:w="300" w:type="dxa"/>
            <w:vAlign w:val="bottom"/>
          </w:tcPr>
          <w:p>
            <w:pPr>
              <w:jc w:val="right"/>
              <w:ind w:right="112"/>
              <w:spacing w:after="0" w:line="210" w:lineRule="exact"/>
              <w:rPr>
                <w:sz w:val="20"/>
                <w:szCs w:val="20"/>
                <w:color w:val="auto"/>
              </w:rPr>
            </w:pPr>
            <w:r>
              <w:rPr>
                <w:rFonts w:ascii="Calibri" w:cs="Calibri" w:eastAsia="Calibri" w:hAnsi="Calibri"/>
                <w:sz w:val="18"/>
                <w:szCs w:val="18"/>
                <w:color w:val="auto"/>
                <w:w w:val="87"/>
              </w:rPr>
              <w:t>$</w:t>
            </w:r>
          </w:p>
        </w:tc>
        <w:tc>
          <w:tcPr>
            <w:tcW w:w="1420" w:type="dxa"/>
            <w:vAlign w:val="bottom"/>
          </w:tcPr>
          <w:p>
            <w:pPr>
              <w:jc w:val="right"/>
              <w:spacing w:after="0" w:line="210" w:lineRule="exact"/>
              <w:rPr>
                <w:sz w:val="20"/>
                <w:szCs w:val="20"/>
                <w:color w:val="auto"/>
              </w:rPr>
            </w:pPr>
            <w:r>
              <w:rPr>
                <w:rFonts w:ascii="Calibri" w:cs="Calibri" w:eastAsia="Calibri" w:hAnsi="Calibri"/>
                <w:sz w:val="18"/>
                <w:szCs w:val="18"/>
                <w:color w:val="auto"/>
              </w:rPr>
              <w:t>40,815</w:t>
            </w:r>
          </w:p>
        </w:tc>
        <w:tc>
          <w:tcPr>
            <w:tcW w:w="0" w:type="dxa"/>
            <w:vAlign w:val="bottom"/>
          </w:tcPr>
          <w:p>
            <w:pPr>
              <w:spacing w:after="0"/>
              <w:rPr>
                <w:sz w:val="1"/>
                <w:szCs w:val="1"/>
                <w:color w:val="auto"/>
              </w:rPr>
            </w:pPr>
          </w:p>
        </w:tc>
      </w:tr>
      <w:tr>
        <w:trPr>
          <w:trHeight w:val="232"/>
        </w:trPr>
        <w:tc>
          <w:tcPr>
            <w:tcW w:w="20" w:type="dxa"/>
            <w:vAlign w:val="bottom"/>
            <w:shd w:val="clear" w:color="auto" w:fill="CCEEFF"/>
          </w:tcPr>
          <w:p>
            <w:pPr>
              <w:spacing w:after="0"/>
              <w:rPr>
                <w:sz w:val="20"/>
                <w:szCs w:val="20"/>
                <w:color w:val="auto"/>
              </w:rPr>
            </w:pPr>
          </w:p>
        </w:tc>
        <w:tc>
          <w:tcPr>
            <w:tcW w:w="5700" w:type="dxa"/>
            <w:vAlign w:val="bottom"/>
            <w:gridSpan w:val="3"/>
            <w:shd w:val="clear" w:color="auto" w:fill="CCEEFF"/>
          </w:tcPr>
          <w:p>
            <w:pPr>
              <w:spacing w:after="0" w:line="217" w:lineRule="exact"/>
              <w:rPr>
                <w:sz w:val="20"/>
                <w:szCs w:val="20"/>
                <w:color w:val="auto"/>
              </w:rPr>
            </w:pPr>
            <w:r>
              <w:rPr>
                <w:rFonts w:ascii="Calibri" w:cs="Calibri" w:eastAsia="Calibri" w:hAnsi="Calibri"/>
                <w:sz w:val="18"/>
                <w:szCs w:val="18"/>
                <w:color w:val="auto"/>
              </w:rPr>
              <w:t>Long-term fnance lease liabilites</w:t>
            </w:r>
          </w:p>
        </w:tc>
        <w:tc>
          <w:tcPr>
            <w:tcW w:w="1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400" w:type="dxa"/>
            <w:vAlign w:val="bottom"/>
            <w:shd w:val="clear" w:color="auto" w:fill="CCEEFF"/>
          </w:tcPr>
          <w:p>
            <w:pPr>
              <w:jc w:val="right"/>
              <w:spacing w:after="0" w:line="217" w:lineRule="exact"/>
              <w:rPr>
                <w:sz w:val="20"/>
                <w:szCs w:val="20"/>
                <w:color w:val="auto"/>
              </w:rPr>
            </w:pPr>
            <w:r>
              <w:rPr>
                <w:rFonts w:ascii="Calibri" w:cs="Calibri" w:eastAsia="Calibri" w:hAnsi="Calibri"/>
                <w:sz w:val="18"/>
                <w:szCs w:val="18"/>
                <w:color w:val="auto"/>
              </w:rPr>
              <w:t>4</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line="217" w:lineRule="exact"/>
              <w:rPr>
                <w:sz w:val="20"/>
                <w:szCs w:val="20"/>
                <w:color w:val="auto"/>
              </w:rPr>
            </w:pPr>
            <w:r>
              <w:rPr>
                <w:rFonts w:ascii="Calibri" w:cs="Calibri" w:eastAsia="Calibri" w:hAnsi="Calibri"/>
                <w:sz w:val="18"/>
                <w:szCs w:val="18"/>
                <w:color w:val="auto"/>
              </w:rPr>
              <w:t>22</w:t>
            </w:r>
          </w:p>
        </w:tc>
        <w:tc>
          <w:tcPr>
            <w:tcW w:w="0" w:type="dxa"/>
            <w:vAlign w:val="bottom"/>
          </w:tcPr>
          <w:p>
            <w:pPr>
              <w:spacing w:after="0"/>
              <w:rPr>
                <w:sz w:val="1"/>
                <w:szCs w:val="1"/>
                <w:color w:val="auto"/>
              </w:rPr>
            </w:pPr>
          </w:p>
        </w:tc>
      </w:tr>
      <w:tr>
        <w:trPr>
          <w:trHeight w:val="218"/>
        </w:trPr>
        <w:tc>
          <w:tcPr>
            <w:tcW w:w="20" w:type="dxa"/>
            <w:vAlign w:val="bottom"/>
            <w:tcBorders>
              <w:bottom w:val="single" w:sz="8" w:color="CCEEFF"/>
            </w:tcBorders>
          </w:tcPr>
          <w:p>
            <w:pPr>
              <w:spacing w:after="0"/>
              <w:rPr>
                <w:sz w:val="18"/>
                <w:szCs w:val="18"/>
                <w:color w:val="auto"/>
              </w:rPr>
            </w:pPr>
          </w:p>
        </w:tc>
        <w:tc>
          <w:tcPr>
            <w:tcW w:w="5700" w:type="dxa"/>
            <w:vAlign w:val="bottom"/>
            <w:tcBorders>
              <w:bottom w:val="single" w:sz="8" w:color="CCEEFF"/>
            </w:tcBorders>
            <w:gridSpan w:val="3"/>
          </w:tcPr>
          <w:p>
            <w:pPr>
              <w:spacing w:after="0" w:line="210" w:lineRule="exact"/>
              <w:rPr>
                <w:sz w:val="20"/>
                <w:szCs w:val="20"/>
                <w:color w:val="auto"/>
              </w:rPr>
            </w:pPr>
            <w:r>
              <w:rPr>
                <w:rFonts w:ascii="Calibri" w:cs="Calibri" w:eastAsia="Calibri" w:hAnsi="Calibri"/>
                <w:sz w:val="18"/>
                <w:szCs w:val="18"/>
                <w:color w:val="auto"/>
              </w:rPr>
              <w:t>Unamortzed discount and issuance costs</w:t>
            </w:r>
          </w:p>
        </w:tc>
        <w:tc>
          <w:tcPr>
            <w:tcW w:w="18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line="210" w:lineRule="exact"/>
              <w:rPr>
                <w:sz w:val="20"/>
                <w:szCs w:val="20"/>
                <w:color w:val="auto"/>
              </w:rPr>
            </w:pPr>
            <w:r>
              <w:rPr>
                <w:rFonts w:ascii="Calibri" w:cs="Calibri" w:eastAsia="Calibri" w:hAnsi="Calibri"/>
                <w:sz w:val="18"/>
                <w:szCs w:val="18"/>
                <w:color w:val="auto"/>
              </w:rPr>
              <w:t>(1,635)</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line="210" w:lineRule="exact"/>
              <w:rPr>
                <w:sz w:val="20"/>
                <w:szCs w:val="20"/>
                <w:color w:val="auto"/>
              </w:rPr>
            </w:pPr>
            <w:r>
              <w:rPr>
                <w:rFonts w:ascii="Calibri" w:cs="Calibri" w:eastAsia="Calibri" w:hAnsi="Calibri"/>
                <w:sz w:val="18"/>
                <w:szCs w:val="18"/>
                <w:color w:val="auto"/>
              </w:rPr>
              <w:t>(1,762)</w:t>
            </w:r>
          </w:p>
        </w:tc>
        <w:tc>
          <w:tcPr>
            <w:tcW w:w="0" w:type="dxa"/>
            <w:vAlign w:val="bottom"/>
          </w:tcPr>
          <w:p>
            <w:pPr>
              <w:spacing w:after="0"/>
              <w:rPr>
                <w:sz w:val="1"/>
                <w:szCs w:val="1"/>
                <w:color w:val="auto"/>
              </w:rPr>
            </w:pPr>
          </w:p>
        </w:tc>
      </w:tr>
      <w:tr>
        <w:trPr>
          <w:trHeight w:val="249"/>
        </w:trPr>
        <w:tc>
          <w:tcPr>
            <w:tcW w:w="20" w:type="dxa"/>
            <w:vAlign w:val="bottom"/>
            <w:tcBorders>
              <w:bottom w:val="single" w:sz="8" w:color="CCEEFF"/>
            </w:tcBorders>
            <w:shd w:val="clear" w:color="auto" w:fill="CCEEFF"/>
          </w:tcPr>
          <w:p>
            <w:pPr>
              <w:spacing w:after="0"/>
              <w:rPr>
                <w:sz w:val="21"/>
                <w:szCs w:val="21"/>
                <w:color w:val="auto"/>
              </w:rPr>
            </w:pPr>
          </w:p>
        </w:tc>
        <w:tc>
          <w:tcPr>
            <w:tcW w:w="5700" w:type="dxa"/>
            <w:vAlign w:val="bottom"/>
            <w:tcBorders>
              <w:bottom w:val="single" w:sz="8" w:color="CCEEFF"/>
            </w:tcBorders>
            <w:gridSpan w:val="3"/>
            <w:shd w:val="clear" w:color="auto" w:fill="CCEEFF"/>
          </w:tcPr>
          <w:p>
            <w:pPr>
              <w:ind w:left="100"/>
              <w:spacing w:after="0"/>
              <w:rPr>
                <w:sz w:val="20"/>
                <w:szCs w:val="20"/>
                <w:color w:val="auto"/>
              </w:rPr>
            </w:pPr>
            <w:r>
              <w:rPr>
                <w:rFonts w:ascii="Calibri" w:cs="Calibri" w:eastAsia="Calibri" w:hAnsi="Calibri"/>
                <w:sz w:val="18"/>
                <w:szCs w:val="18"/>
                <w:color w:val="auto"/>
              </w:rPr>
              <w:t>Total long-term debt</w:t>
            </w:r>
          </w:p>
        </w:tc>
        <w:tc>
          <w:tcPr>
            <w:tcW w:w="1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2"/>
              <w:spacing w:after="0" w:line="210" w:lineRule="exact"/>
              <w:rPr>
                <w:sz w:val="20"/>
                <w:szCs w:val="20"/>
                <w:color w:val="auto"/>
              </w:rPr>
            </w:pPr>
            <w:r>
              <w:rPr>
                <w:rFonts w:ascii="Calibri" w:cs="Calibri" w:eastAsia="Calibri" w:hAnsi="Calibri"/>
                <w:sz w:val="18"/>
                <w:szCs w:val="18"/>
                <w:color w:val="auto"/>
                <w:w w:val="87"/>
              </w:rPr>
              <w:t>$</w:t>
            </w:r>
          </w:p>
        </w:tc>
        <w:tc>
          <w:tcPr>
            <w:tcW w:w="1400" w:type="dxa"/>
            <w:vAlign w:val="bottom"/>
            <w:tcBorders>
              <w:bottom w:val="single" w:sz="8" w:color="auto"/>
            </w:tcBorders>
            <w:shd w:val="clear" w:color="auto" w:fill="CCEEFF"/>
          </w:tcPr>
          <w:p>
            <w:pPr>
              <w:jc w:val="right"/>
              <w:spacing w:after="0" w:line="210" w:lineRule="exact"/>
              <w:rPr>
                <w:sz w:val="20"/>
                <w:szCs w:val="20"/>
                <w:color w:val="auto"/>
              </w:rPr>
            </w:pPr>
            <w:r>
              <w:rPr>
                <w:rFonts w:ascii="Calibri" w:cs="Calibri" w:eastAsia="Calibri" w:hAnsi="Calibri"/>
                <w:sz w:val="18"/>
                <w:szCs w:val="18"/>
                <w:color w:val="auto"/>
              </w:rPr>
              <w:t>37,621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2"/>
              <w:spacing w:after="0" w:line="210" w:lineRule="exact"/>
              <w:rPr>
                <w:sz w:val="20"/>
                <w:szCs w:val="20"/>
                <w:color w:val="auto"/>
              </w:rPr>
            </w:pPr>
            <w:r>
              <w:rPr>
                <w:rFonts w:ascii="Calibri" w:cs="Calibri" w:eastAsia="Calibri" w:hAnsi="Calibri"/>
                <w:sz w:val="18"/>
                <w:szCs w:val="18"/>
                <w:color w:val="auto"/>
                <w:w w:val="87"/>
              </w:rPr>
              <w:t>$</w:t>
            </w:r>
          </w:p>
        </w:tc>
        <w:tc>
          <w:tcPr>
            <w:tcW w:w="1420" w:type="dxa"/>
            <w:vAlign w:val="bottom"/>
            <w:tcBorders>
              <w:bottom w:val="single" w:sz="8" w:color="auto"/>
            </w:tcBorders>
            <w:shd w:val="clear" w:color="auto" w:fill="CCEEFF"/>
          </w:tcPr>
          <w:p>
            <w:pPr>
              <w:jc w:val="right"/>
              <w:spacing w:after="0" w:line="210" w:lineRule="exact"/>
              <w:rPr>
                <w:sz w:val="20"/>
                <w:szCs w:val="20"/>
                <w:color w:val="auto"/>
              </w:rPr>
            </w:pPr>
            <w:r>
              <w:rPr>
                <w:rFonts w:ascii="Calibri" w:cs="Calibri" w:eastAsia="Calibri" w:hAnsi="Calibri"/>
                <w:sz w:val="18"/>
                <w:szCs w:val="18"/>
                <w:color w:val="auto"/>
              </w:rPr>
              <w:t>39,075</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3120" w:type="dxa"/>
            <w:vAlign w:val="bottom"/>
            <w:tcBorders>
              <w:top w:val="single" w:sz="8" w:color="CCEEFF"/>
            </w:tcBorders>
          </w:tcPr>
          <w:p>
            <w:pPr>
              <w:spacing w:after="0" w:line="20" w:lineRule="exact"/>
              <w:rPr>
                <w:sz w:val="1"/>
                <w:szCs w:val="1"/>
                <w:color w:val="auto"/>
              </w:rPr>
            </w:pPr>
          </w:p>
        </w:tc>
        <w:tc>
          <w:tcPr>
            <w:tcW w:w="1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7" w:lineRule="exact"/>
        <w:rPr>
          <w:sz w:val="20"/>
          <w:szCs w:val="20"/>
          <w:color w:val="auto"/>
        </w:rPr>
      </w:pPr>
    </w:p>
    <w:p>
      <w:pPr>
        <w:ind w:left="400"/>
        <w:spacing w:after="0"/>
        <w:rPr>
          <w:sz w:val="20"/>
          <w:szCs w:val="20"/>
          <w:color w:val="auto"/>
        </w:rPr>
      </w:pPr>
      <w:r>
        <w:rPr>
          <w:rFonts w:ascii="Calibri" w:cs="Calibri" w:eastAsia="Calibri" w:hAnsi="Calibri"/>
          <w:sz w:val="17"/>
          <w:szCs w:val="17"/>
          <w:color w:val="auto"/>
        </w:rPr>
        <w:t>The senior notes are recorded net of discount and issuance costs, which are amortzed to interest expense over the respectve terms of such senior notes.</w:t>
      </w:r>
    </w:p>
    <w:p>
      <w:pPr>
        <w:spacing w:after="0" w:line="109" w:lineRule="exact"/>
        <w:rPr>
          <w:sz w:val="20"/>
          <w:szCs w:val="20"/>
          <w:color w:val="auto"/>
        </w:rPr>
      </w:pPr>
    </w:p>
    <w:p>
      <w:pPr>
        <w:ind w:right="40" w:firstLine="396"/>
        <w:spacing w:after="0" w:line="245" w:lineRule="auto"/>
        <w:rPr>
          <w:sz w:val="20"/>
          <w:szCs w:val="20"/>
          <w:color w:val="auto"/>
        </w:rPr>
      </w:pPr>
      <w:r>
        <w:rPr>
          <w:rFonts w:ascii="Calibri" w:cs="Calibri" w:eastAsia="Calibri" w:hAnsi="Calibri"/>
          <w:sz w:val="17"/>
          <w:szCs w:val="17"/>
          <w:color w:val="auto"/>
        </w:rPr>
        <w:t>We may redeem or purchase, in whole or in part, any of our senior notes prior to their respectve maturites, subject to a specifed make-whole premium determined in accordance with the indentures governing the respectve notes, plus accrued and unpaid interest. In the event of a change in control, note holders will have the right to require us to repurchase their notes at a price equal to 101% of the principal amount of such notes, plus accrued and unpaid interest.</w:t>
      </w:r>
    </w:p>
    <w:p>
      <w:pPr>
        <w:spacing w:after="0" w:line="104" w:lineRule="exact"/>
        <w:rPr>
          <w:sz w:val="20"/>
          <w:szCs w:val="20"/>
          <w:color w:val="auto"/>
        </w:rPr>
      </w:pPr>
    </w:p>
    <w:p>
      <w:pPr>
        <w:ind w:right="640" w:firstLine="396"/>
        <w:spacing w:after="0" w:line="230" w:lineRule="auto"/>
        <w:rPr>
          <w:sz w:val="20"/>
          <w:szCs w:val="20"/>
          <w:color w:val="auto"/>
        </w:rPr>
      </w:pPr>
      <w:r>
        <w:rPr>
          <w:rFonts w:ascii="Calibri" w:cs="Calibri" w:eastAsia="Calibri" w:hAnsi="Calibri"/>
          <w:sz w:val="18"/>
          <w:szCs w:val="18"/>
          <w:color w:val="auto"/>
        </w:rPr>
        <w:t>Subsequent to the end of fscal year 2023, we borrowed term loans to fnance the acquisiton of VMware, Inc. (“VMware”) and assumed VMware’s outstanding senior unsecured notes. See Note 15. “Subsequent Events” for additonal informaton.</w:t>
      </w:r>
    </w:p>
    <w:p>
      <w:pPr>
        <w:spacing w:after="0" w:line="97"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April 2022 Senior Notes</w:t>
      </w:r>
    </w:p>
    <w:p>
      <w:pPr>
        <w:spacing w:after="0" w:line="107" w:lineRule="exact"/>
        <w:rPr>
          <w:sz w:val="20"/>
          <w:szCs w:val="20"/>
          <w:color w:val="auto"/>
        </w:rPr>
      </w:pPr>
    </w:p>
    <w:p>
      <w:pPr>
        <w:ind w:left="400"/>
        <w:spacing w:after="0"/>
        <w:rPr>
          <w:sz w:val="20"/>
          <w:szCs w:val="20"/>
          <w:color w:val="auto"/>
        </w:rPr>
      </w:pPr>
      <w:r>
        <w:rPr>
          <w:rFonts w:ascii="Calibri" w:cs="Calibri" w:eastAsia="Calibri" w:hAnsi="Calibri"/>
          <w:sz w:val="17"/>
          <w:szCs w:val="17"/>
          <w:color w:val="auto"/>
        </w:rPr>
        <w:t>In April 2022, we issued $750 million of 4.000% senior unsecured notes due April 2029 and $1,200 million of 4.150% senior unsecured notes due April</w:t>
      </w:r>
    </w:p>
    <w:p>
      <w:pPr>
        <w:spacing w:after="0" w:line="4" w:lineRule="exact"/>
        <w:rPr>
          <w:sz w:val="20"/>
          <w:szCs w:val="20"/>
          <w:color w:val="auto"/>
        </w:rPr>
      </w:pPr>
    </w:p>
    <w:p>
      <w:pPr>
        <w:spacing w:after="0"/>
        <w:rPr>
          <w:sz w:val="20"/>
          <w:szCs w:val="20"/>
          <w:color w:val="auto"/>
        </w:rPr>
      </w:pPr>
      <w:r>
        <w:rPr>
          <w:rFonts w:ascii="Calibri" w:cs="Calibri" w:eastAsia="Calibri" w:hAnsi="Calibri"/>
          <w:sz w:val="17"/>
          <w:szCs w:val="17"/>
          <w:color w:val="auto"/>
        </w:rPr>
        <w:t>2032. Using the net proceeds, we redeemed the outstanding balance of $1,020 million of our 4.700% notes due 2025 and $944 million of our 4.250% notes due</w:t>
      </w:r>
    </w:p>
    <w:p>
      <w:pPr>
        <w:spacing w:after="0" w:line="4" w:lineRule="exact"/>
        <w:rPr>
          <w:sz w:val="20"/>
          <w:szCs w:val="20"/>
          <w:color w:val="auto"/>
        </w:rPr>
      </w:pPr>
    </w:p>
    <w:p>
      <w:pPr>
        <w:ind w:right="440"/>
        <w:spacing w:after="0" w:line="230" w:lineRule="auto"/>
        <w:rPr>
          <w:sz w:val="20"/>
          <w:szCs w:val="20"/>
          <w:color w:val="auto"/>
        </w:rPr>
      </w:pPr>
      <w:r>
        <w:rPr>
          <w:rFonts w:ascii="Calibri" w:cs="Calibri" w:eastAsia="Calibri" w:hAnsi="Calibri"/>
          <w:sz w:val="18"/>
          <w:szCs w:val="18"/>
          <w:color w:val="auto"/>
        </w:rPr>
        <w:t>2026. As a result of these redemptons, we incurred premiums of $85 million and wrote of $15 million of unamortzed discount and issuance costs, both of which were included in interest expense.</w:t>
      </w:r>
    </w:p>
    <w:p>
      <w:pPr>
        <w:spacing w:after="0" w:line="107" w:lineRule="exact"/>
        <w:rPr>
          <w:sz w:val="20"/>
          <w:szCs w:val="20"/>
          <w:color w:val="auto"/>
        </w:rPr>
      </w:pPr>
    </w:p>
    <w:p>
      <w:pPr>
        <w:ind w:right="120" w:firstLine="396"/>
        <w:spacing w:after="0" w:line="245" w:lineRule="auto"/>
        <w:rPr>
          <w:sz w:val="20"/>
          <w:szCs w:val="20"/>
          <w:color w:val="auto"/>
        </w:rPr>
      </w:pPr>
      <w:r>
        <w:rPr>
          <w:rFonts w:ascii="Calibri" w:cs="Calibri" w:eastAsia="Calibri" w:hAnsi="Calibri"/>
          <w:sz w:val="17"/>
          <w:szCs w:val="17"/>
          <w:color w:val="auto"/>
        </w:rPr>
        <w:t>In April 2022, we issued $2,500 million of 4.926% senior unsecured notes due May 2037 in exchange for $2,502 million of certain of our outstanding notes maturing between 2027 and 2030. As a result of this exchange, we paid premiums of $47 million, which were included in unamortzed discount and issuance costs. The 4.926% notes due 2037, the 4.000% notes due 2029 and the 4.150% notes due 2032 are collectvely referred as the “April 2022 Senior Notes.”</w:t>
      </w:r>
    </w:p>
    <w:p>
      <w:pPr>
        <w:spacing w:after="0" w:line="94"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September 2021 Senior Notes</w:t>
      </w:r>
    </w:p>
    <w:p>
      <w:pPr>
        <w:spacing w:after="0" w:line="107" w:lineRule="exact"/>
        <w:rPr>
          <w:sz w:val="20"/>
          <w:szCs w:val="20"/>
          <w:color w:val="auto"/>
        </w:rPr>
      </w:pPr>
    </w:p>
    <w:p>
      <w:pPr>
        <w:ind w:left="400"/>
        <w:spacing w:after="0"/>
        <w:rPr>
          <w:sz w:val="20"/>
          <w:szCs w:val="20"/>
          <w:color w:val="auto"/>
        </w:rPr>
      </w:pPr>
      <w:r>
        <w:rPr>
          <w:rFonts w:ascii="Calibri" w:cs="Calibri" w:eastAsia="Calibri" w:hAnsi="Calibri"/>
          <w:sz w:val="17"/>
          <w:szCs w:val="17"/>
          <w:color w:val="auto"/>
        </w:rPr>
        <w:t>In September 2021, we completed our private ofers to exchange $6.0 billion of certain of our outstanding notes maturing between 2025 and 2030 for</w:t>
      </w:r>
    </w:p>
    <w:p>
      <w:pPr>
        <w:spacing w:after="0" w:line="4" w:lineRule="exact"/>
        <w:rPr>
          <w:sz w:val="20"/>
          <w:szCs w:val="20"/>
          <w:color w:val="auto"/>
        </w:rPr>
      </w:pPr>
    </w:p>
    <w:p>
      <w:pPr>
        <w:ind w:right="20"/>
        <w:spacing w:after="0" w:line="230" w:lineRule="auto"/>
        <w:rPr>
          <w:sz w:val="20"/>
          <w:szCs w:val="20"/>
          <w:color w:val="auto"/>
        </w:rPr>
      </w:pPr>
      <w:r>
        <w:rPr>
          <w:rFonts w:ascii="Calibri" w:cs="Calibri" w:eastAsia="Calibri" w:hAnsi="Calibri"/>
          <w:sz w:val="18"/>
          <w:szCs w:val="18"/>
          <w:color w:val="auto"/>
        </w:rPr>
        <w:t>$3,250 million of 3.137% senior unsecured notes due November 2035 and $2,750 million of 3.187% senior unsecured notes due November 2036 (collectvely, the “September 2021 Senior Notes”). As a result of this exchange, we paid premiums of $762 million, which were included in unamortzed discount and issuance costs.</w:t>
      </w: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9" w:right="339" w:bottom="1440" w:gutter="0" w:footer="0" w:header="0"/>
        </w:sectPr>
      </w:pPr>
    </w:p>
    <w:bookmarkStart w:id="76" w:name="page77"/>
    <w:bookmarkEnd w:id="76"/>
    <w:p>
      <w:pPr>
        <w:spacing w:after="0"/>
        <w:rPr>
          <w:sz w:val="20"/>
          <w:szCs w:val="20"/>
          <w:color w:val="auto"/>
        </w:rPr>
      </w:pPr>
      <w:r>
        <w:rPr>
          <w:rFonts w:ascii="Calibri" w:cs="Calibri" w:eastAsia="Calibri" w:hAnsi="Calibri"/>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March 2021 Senior Notes</w:t>
      </w:r>
    </w:p>
    <w:p>
      <w:pPr>
        <w:spacing w:after="0" w:line="107" w:lineRule="exact"/>
        <w:rPr>
          <w:sz w:val="20"/>
          <w:szCs w:val="20"/>
          <w:color w:val="auto"/>
        </w:rPr>
      </w:pPr>
    </w:p>
    <w:p>
      <w:pPr>
        <w:ind w:left="400"/>
        <w:spacing w:after="0"/>
        <w:rPr>
          <w:sz w:val="20"/>
          <w:szCs w:val="20"/>
          <w:color w:val="auto"/>
        </w:rPr>
      </w:pPr>
      <w:r>
        <w:rPr>
          <w:rFonts w:ascii="Calibri" w:cs="Calibri" w:eastAsia="Calibri" w:hAnsi="Calibri"/>
          <w:sz w:val="17"/>
          <w:szCs w:val="17"/>
          <w:color w:val="auto"/>
        </w:rPr>
        <w:t>In March 2021, we completed our private ofers to exchange $5.5 billion of certain of our outstanding notes maturing between 2024 and 2027 (the “March</w:t>
      </w:r>
    </w:p>
    <w:p>
      <w:pPr>
        <w:spacing w:after="0" w:line="4" w:lineRule="exact"/>
        <w:rPr>
          <w:sz w:val="20"/>
          <w:szCs w:val="20"/>
          <w:color w:val="auto"/>
        </w:rPr>
      </w:pPr>
    </w:p>
    <w:p>
      <w:pPr>
        <w:jc w:val="both"/>
        <w:ind w:right="120"/>
        <w:spacing w:after="0" w:line="230" w:lineRule="auto"/>
        <w:rPr>
          <w:sz w:val="20"/>
          <w:szCs w:val="20"/>
          <w:color w:val="auto"/>
        </w:rPr>
      </w:pPr>
      <w:r>
        <w:rPr>
          <w:rFonts w:ascii="Calibri" w:cs="Calibri" w:eastAsia="Calibri" w:hAnsi="Calibri"/>
          <w:sz w:val="18"/>
          <w:szCs w:val="18"/>
          <w:color w:val="auto"/>
        </w:rPr>
        <w:t>2021 Exchange Ofer”) for $2,250 million of 3.419% senior unsecured notes due April 2033 and $3,250 million of 3.469% senior unsecured notes due April 2034 (collectvely, the “March 2021 Senior Notes”). As a result of this exchange, we paid premiums of $581 million, which were included in unamortzed discount and issuance costs.</w:t>
      </w:r>
    </w:p>
    <w:p>
      <w:pPr>
        <w:spacing w:after="0" w:line="94" w:lineRule="exact"/>
        <w:rPr>
          <w:sz w:val="20"/>
          <w:szCs w:val="20"/>
          <w:color w:val="auto"/>
        </w:rPr>
      </w:pPr>
    </w:p>
    <w:p>
      <w:pPr>
        <w:ind w:right="140" w:firstLine="396"/>
        <w:spacing w:after="0" w:line="220" w:lineRule="auto"/>
        <w:rPr>
          <w:sz w:val="20"/>
          <w:szCs w:val="20"/>
          <w:color w:val="auto"/>
        </w:rPr>
      </w:pPr>
      <w:r>
        <w:rPr>
          <w:rFonts w:ascii="Calibri" w:cs="Calibri" w:eastAsia="Calibri" w:hAnsi="Calibri"/>
          <w:sz w:val="18"/>
          <w:szCs w:val="18"/>
          <w:color w:val="auto"/>
        </w:rPr>
        <w:t>In connecton with the March 2021 Exchange Ofer, Broadcom Corporaton (“BRCM”) and Broadcom Technologies Inc. (“BTI”) were automatcally and unconditonally released from their guarantees in accordance with the respectve indentures governing the January 2021 Senior Notes, June 2020 Senior Notes, May 2020 Senior Notes, April 2020 Senior Notes, and April 2019 Senior Notes, as defned below respectvely.</w:t>
      </w:r>
    </w:p>
    <w:p>
      <w:pPr>
        <w:spacing w:after="0" w:line="99"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January 2021 Senior Notes</w:t>
      </w:r>
    </w:p>
    <w:p>
      <w:pPr>
        <w:spacing w:after="0" w:line="107" w:lineRule="exact"/>
        <w:rPr>
          <w:sz w:val="20"/>
          <w:szCs w:val="20"/>
          <w:color w:val="auto"/>
        </w:rPr>
      </w:pPr>
    </w:p>
    <w:p>
      <w:pPr>
        <w:ind w:right="80" w:firstLine="396"/>
        <w:spacing w:after="0" w:line="230" w:lineRule="auto"/>
        <w:rPr>
          <w:sz w:val="20"/>
          <w:szCs w:val="20"/>
          <w:color w:val="auto"/>
        </w:rPr>
      </w:pPr>
      <w:r>
        <w:rPr>
          <w:rFonts w:ascii="Calibri" w:cs="Calibri" w:eastAsia="Calibri" w:hAnsi="Calibri"/>
          <w:sz w:val="18"/>
          <w:szCs w:val="18"/>
          <w:color w:val="auto"/>
        </w:rPr>
        <w:t>In January 2021, we issued $10 billion of senior unsecured notes (the “January 2021 Senior Notes”). Using the net proceeds from the January 2021 Senior Notes, we repaid the outstanding balance of $5,888 million of our unsecured term A-3 facility and unsecured term A-5 facility under the credit agreement entered into on November 4, 2019 (the “November 2019 Credit Agreement”), repurchased $3,830 million of certain of our outstanding notes maturing between 2021 and 2023 through a cash tender ofer and redempton, and repaid $282 million of our 2.200% notes upon maturity in January 2021. As a result of these repayments and repurchases, we incurred premiums of $151 million and wrote of $47 million of unamortzed discount and issuance costs, both of which were included in interest expense.</w:t>
      </w:r>
    </w:p>
    <w:p>
      <w:pPr>
        <w:spacing w:after="0" w:line="100"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2021 Credit Agreement</w:t>
      </w:r>
    </w:p>
    <w:p>
      <w:pPr>
        <w:spacing w:after="0" w:line="107" w:lineRule="exact"/>
        <w:rPr>
          <w:sz w:val="20"/>
          <w:szCs w:val="20"/>
          <w:color w:val="auto"/>
        </w:rPr>
      </w:pPr>
    </w:p>
    <w:p>
      <w:pPr>
        <w:ind w:right="80" w:firstLine="396"/>
        <w:spacing w:after="0" w:line="244" w:lineRule="auto"/>
        <w:rPr>
          <w:sz w:val="20"/>
          <w:szCs w:val="20"/>
          <w:color w:val="auto"/>
        </w:rPr>
      </w:pPr>
      <w:r>
        <w:rPr>
          <w:rFonts w:ascii="Calibri" w:cs="Calibri" w:eastAsia="Calibri" w:hAnsi="Calibri"/>
          <w:sz w:val="17"/>
          <w:szCs w:val="17"/>
          <w:color w:val="auto"/>
        </w:rPr>
        <w:t>In January 2021, we entered into a credit agreement (the “2021 Credit Agreement”), which provides for a fve-year $7.5 billion unsecured revolving credit facility, of which $500 million is available for the issuance of mult-currency leters of credit. The issuance of leters of credit and certain other instruments would reduce the aggregate amount otherwise available under the revolving credit facility for revolving loans. Subject to the terms of the 2021 Credit Agreement, we are permited to borrow, repay and reborrow revolving loans at any tme prior to the earlier of (a) January 19, 2026 and (b) the date of terminaton in whole of the revolving lenders’ commitments under the 2021 Credit Agreement. In connecton with the 2021 Credit Agreement, we terminated the credit agreement entered into on May 7, 2019, which provided for a fve-year $5 billion unsecured revolving credit facility, and the November 2019 Credit Agreement. We had no borrowings outstanding under the revolving credit facility at either October 29, 2023 or October 30, 2022.</w:t>
      </w:r>
    </w:p>
    <w:p>
      <w:pPr>
        <w:spacing w:after="0" w:line="98"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June 2020 Senior Notes</w:t>
      </w:r>
    </w:p>
    <w:p>
      <w:pPr>
        <w:spacing w:after="0" w:line="107" w:lineRule="exact"/>
        <w:rPr>
          <w:sz w:val="20"/>
          <w:szCs w:val="20"/>
          <w:color w:val="auto"/>
        </w:rPr>
      </w:pPr>
    </w:p>
    <w:p>
      <w:pPr>
        <w:ind w:left="400"/>
        <w:spacing w:after="0"/>
        <w:rPr>
          <w:sz w:val="20"/>
          <w:szCs w:val="20"/>
          <w:color w:val="auto"/>
        </w:rPr>
      </w:pPr>
      <w:r>
        <w:rPr>
          <w:rFonts w:ascii="Calibri" w:cs="Calibri" w:eastAsia="Calibri" w:hAnsi="Calibri"/>
          <w:sz w:val="17"/>
          <w:szCs w:val="17"/>
          <w:color w:val="auto"/>
        </w:rPr>
        <w:t>In June 2020, we completed our private ofers to exchange $3,742 million of certain series of our outstanding senior notes maturing between 2021 and</w:t>
      </w:r>
    </w:p>
    <w:p>
      <w:pPr>
        <w:spacing w:after="0" w:line="4" w:lineRule="exact"/>
        <w:rPr>
          <w:sz w:val="20"/>
          <w:szCs w:val="20"/>
          <w:color w:val="auto"/>
        </w:rPr>
      </w:pPr>
    </w:p>
    <w:p>
      <w:pPr>
        <w:ind w:right="1660"/>
        <w:spacing w:after="0" w:line="335" w:lineRule="auto"/>
        <w:rPr>
          <w:sz w:val="20"/>
          <w:szCs w:val="20"/>
          <w:color w:val="auto"/>
        </w:rPr>
      </w:pPr>
      <w:r>
        <w:rPr>
          <w:rFonts w:ascii="Calibri" w:cs="Calibri" w:eastAsia="Calibri" w:hAnsi="Calibri"/>
          <w:sz w:val="18"/>
          <w:szCs w:val="18"/>
          <w:color w:val="auto"/>
        </w:rPr>
        <w:t xml:space="preserve">2024 for $1,695 million of senior notes due 2026 and $2,222 million of senior notes due 2028 (collectvely, the “June 2020 Senior Notes”). </w:t>
      </w:r>
      <w:r>
        <w:rPr>
          <w:rFonts w:ascii="Calibri" w:cs="Calibri" w:eastAsia="Calibri" w:hAnsi="Calibri"/>
          <w:sz w:val="18"/>
          <w:szCs w:val="18"/>
          <w:b w:val="1"/>
          <w:bCs w:val="1"/>
          <w:i w:val="1"/>
          <w:iCs w:val="1"/>
          <w:color w:val="auto"/>
        </w:rPr>
        <w:t>May 2020 Senior Notes</w:t>
      </w:r>
    </w:p>
    <w:p>
      <w:pPr>
        <w:spacing w:after="0" w:line="20" w:lineRule="exact"/>
        <w:rPr>
          <w:sz w:val="20"/>
          <w:szCs w:val="20"/>
          <w:color w:val="auto"/>
        </w:rPr>
      </w:pPr>
    </w:p>
    <w:p>
      <w:pPr>
        <w:ind w:firstLine="396"/>
        <w:spacing w:after="0" w:line="230" w:lineRule="auto"/>
        <w:rPr>
          <w:sz w:val="20"/>
          <w:szCs w:val="20"/>
          <w:color w:val="auto"/>
        </w:rPr>
      </w:pPr>
      <w:r>
        <w:rPr>
          <w:rFonts w:ascii="Calibri" w:cs="Calibri" w:eastAsia="Calibri" w:hAnsi="Calibri"/>
          <w:sz w:val="18"/>
          <w:szCs w:val="18"/>
          <w:color w:val="auto"/>
        </w:rPr>
        <w:t>In May 2020, we issued $8 billion of senior unsecured notes (the “May 2020 Senior Notes”). Using the net proceeds, we repaid certain term loans under the November 2019 Credit Agreement and all outstanding borrowings under a revolving credit facility.</w:t>
      </w:r>
    </w:p>
    <w:p>
      <w:pPr>
        <w:spacing w:after="0" w:line="97"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April 2020 Senior Notes</w:t>
      </w:r>
    </w:p>
    <w:p>
      <w:pPr>
        <w:spacing w:after="0" w:line="107" w:lineRule="exact"/>
        <w:rPr>
          <w:sz w:val="20"/>
          <w:szCs w:val="20"/>
          <w:color w:val="auto"/>
        </w:rPr>
      </w:pPr>
    </w:p>
    <w:p>
      <w:pPr>
        <w:ind w:right="20" w:firstLine="396"/>
        <w:spacing w:after="0" w:line="230" w:lineRule="auto"/>
        <w:rPr>
          <w:sz w:val="20"/>
          <w:szCs w:val="20"/>
          <w:color w:val="auto"/>
        </w:rPr>
      </w:pPr>
      <w:r>
        <w:rPr>
          <w:rFonts w:ascii="Calibri" w:cs="Calibri" w:eastAsia="Calibri" w:hAnsi="Calibri"/>
          <w:sz w:val="18"/>
          <w:szCs w:val="18"/>
          <w:color w:val="auto"/>
        </w:rPr>
        <w:t>In April 2020, we issued $4.5 billion of senior unsecured notes (the “April 2020 Senior Notes”). Using the net proceeds, we repurchased certain series of our outstanding senior notes maturing between 2021 and 2022, pursuant to a cash tender ofer that we completed in April 2020.</w:t>
      </w:r>
    </w:p>
    <w:p>
      <w:pPr>
        <w:spacing w:after="0" w:line="97"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April 2019 Senior Notes</w:t>
      </w:r>
    </w:p>
    <w:p>
      <w:pPr>
        <w:spacing w:after="0" w:line="97" w:lineRule="exact"/>
        <w:rPr>
          <w:sz w:val="20"/>
          <w:szCs w:val="20"/>
          <w:color w:val="auto"/>
        </w:rPr>
      </w:pPr>
    </w:p>
    <w:p>
      <w:pPr>
        <w:ind w:left="400"/>
        <w:spacing w:after="0"/>
        <w:rPr>
          <w:sz w:val="20"/>
          <w:szCs w:val="20"/>
          <w:color w:val="auto"/>
        </w:rPr>
      </w:pPr>
      <w:r>
        <w:rPr>
          <w:rFonts w:ascii="Calibri" w:cs="Calibri" w:eastAsia="Calibri" w:hAnsi="Calibri"/>
          <w:sz w:val="18"/>
          <w:szCs w:val="18"/>
          <w:color w:val="auto"/>
        </w:rPr>
        <w:t>In April 2019, we issued $11 billion of senior unsecured notes (the “April 2019 Senior Notes”). Using the net proceeds, we repaid certain term loans.</w:t>
      </w:r>
    </w:p>
    <w:p>
      <w:pPr>
        <w:spacing w:after="0" w:line="200" w:lineRule="exact"/>
        <w:rPr>
          <w:sz w:val="20"/>
          <w:szCs w:val="20"/>
          <w:color w:val="auto"/>
        </w:rPr>
      </w:pPr>
    </w:p>
    <w:p>
      <w:pPr>
        <w:spacing w:after="0" w:line="333"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9" w:right="339" w:bottom="1440" w:gutter="0" w:footer="0" w:header="0"/>
        </w:sectPr>
      </w:pPr>
    </w:p>
    <w:bookmarkStart w:id="77" w:name="page78"/>
    <w:bookmarkEnd w:id="77"/>
    <w:p>
      <w:pPr>
        <w:spacing w:after="0"/>
        <w:rPr>
          <w:sz w:val="20"/>
          <w:szCs w:val="20"/>
          <w:color w:val="auto"/>
        </w:rPr>
      </w:pPr>
      <w:r>
        <w:rPr>
          <w:rFonts w:ascii="Calibri" w:cs="Calibri" w:eastAsia="Calibri" w:hAnsi="Calibri"/>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Registered Exchange Ofer</w:t>
      </w:r>
    </w:p>
    <w:p>
      <w:pPr>
        <w:spacing w:after="0" w:line="107" w:lineRule="exact"/>
        <w:rPr>
          <w:sz w:val="20"/>
          <w:szCs w:val="20"/>
          <w:color w:val="auto"/>
        </w:rPr>
      </w:pPr>
    </w:p>
    <w:p>
      <w:pPr>
        <w:ind w:right="100" w:firstLine="396"/>
        <w:spacing w:after="0" w:line="244" w:lineRule="auto"/>
        <w:rPr>
          <w:sz w:val="20"/>
          <w:szCs w:val="20"/>
          <w:color w:val="auto"/>
        </w:rPr>
      </w:pPr>
      <w:r>
        <w:rPr>
          <w:rFonts w:ascii="Calibri" w:cs="Calibri" w:eastAsia="Calibri" w:hAnsi="Calibri"/>
          <w:sz w:val="17"/>
          <w:szCs w:val="17"/>
          <w:color w:val="auto"/>
        </w:rPr>
        <w:t>In connecton with the issuance of the June 2020 Senior Notes, the May 2020 Senior Notes, the April 2020 Senior Notes (collectvely, the “2020 Senior Notes”) and the April 2019 Senior Notes, we entered into registraton rights agreements, pursuant to which we were obligated to use commercially reasonable eforts to fle with the Securites and Exchange Commission (the “SEC”), and cause to be declared efectve, a registraton statement with respect to an ofer to exchange (the “Registered Exchange Ofer”) each series of the 2020 Senior Notes and the April 2019 Senior Notes for notes that are registered with the SEC (the “Registered Notes”), with substantally identcal terms. We completed the Registered Exchange Ofer on August 10, 2020. Substantally all of our 2020 Senior Notes and April 2019 Senior Notes were tendered and exchanged for the corresponding Registered Notes in the Registered Exchange Ofer.</w:t>
      </w:r>
    </w:p>
    <w:p>
      <w:pPr>
        <w:spacing w:after="0" w:line="98"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Commercial Paper</w:t>
      </w:r>
    </w:p>
    <w:p>
      <w:pPr>
        <w:spacing w:after="0" w:line="107" w:lineRule="exact"/>
        <w:rPr>
          <w:sz w:val="20"/>
          <w:szCs w:val="20"/>
          <w:color w:val="auto"/>
        </w:rPr>
      </w:pPr>
    </w:p>
    <w:p>
      <w:pPr>
        <w:ind w:firstLine="155"/>
        <w:spacing w:after="0" w:line="230" w:lineRule="auto"/>
        <w:rPr>
          <w:sz w:val="20"/>
          <w:szCs w:val="20"/>
          <w:color w:val="auto"/>
        </w:rPr>
      </w:pPr>
      <w:r>
        <w:rPr>
          <w:rFonts w:ascii="Calibri" w:cs="Calibri" w:eastAsia="Calibri" w:hAnsi="Calibri"/>
          <w:sz w:val="18"/>
          <w:szCs w:val="18"/>
          <w:color w:val="auto"/>
        </w:rPr>
        <w:t>In February 2019, we established a commercial paper program pursuant to which we may issue unsecured commercial paper notes (“Commercial Paper”) in principal amount of up to $2 billion outstanding at any tme with maturites of up to 397 days from the date of issue. Commercial Paper is sold under customary terms in the commercial paper market and may be issued at a discount from par or, alternatvely, may be sold at par and bear interest at rates dictated by market conditons at the tme of their issuance. The discount associated with the Commercial Paper is amortzed to interest expense over its term. Outstanding Commercial Paper reduces the amount that would otherwise be available to borrow for general corporate purposes under our revolving credit facility. We had no Commercial Paper outstanding at either October 29, 2023 or October 30, 2022.</w:t>
      </w:r>
    </w:p>
    <w:p>
      <w:pPr>
        <w:spacing w:after="0" w:line="100"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2017 Senior Notes</w:t>
      </w:r>
    </w:p>
    <w:p>
      <w:pPr>
        <w:spacing w:after="0" w:line="107" w:lineRule="exact"/>
        <w:rPr>
          <w:sz w:val="20"/>
          <w:szCs w:val="20"/>
          <w:color w:val="auto"/>
        </w:rPr>
      </w:pPr>
    </w:p>
    <w:p>
      <w:pPr>
        <w:ind w:right="140" w:firstLine="396"/>
        <w:spacing w:after="0" w:line="245" w:lineRule="auto"/>
        <w:rPr>
          <w:sz w:val="20"/>
          <w:szCs w:val="20"/>
          <w:color w:val="auto"/>
        </w:rPr>
      </w:pPr>
      <w:r>
        <w:rPr>
          <w:rFonts w:ascii="Calibri" w:cs="Calibri" w:eastAsia="Calibri" w:hAnsi="Calibri"/>
          <w:sz w:val="17"/>
          <w:szCs w:val="17"/>
          <w:color w:val="auto"/>
        </w:rPr>
        <w:t>During the fscal year ended October 29, 2017, Broadcom Cayman Finance Limited, which subsequently merged into BTI during the fscal year ended November 3, 2019 (“fscal year 2019”) with BTI remaining as the surviving entty, and BRCM issued $17,550 million of senior unsecured notes (the “2017 Senior Notes”). Our 2017 Senior Notes are fully and unconditonally guaranteed, jointly and severally, on an unsecured, unsubordinated basis by Broadcom and BTI. Using the net proceeds, plus cash on hand, we repaid certain term loans and fnanced the acquisiton of Brocade Communicatons Systems, Inc.</w:t>
      </w:r>
    </w:p>
    <w:p>
      <w:pPr>
        <w:spacing w:after="0" w:line="103" w:lineRule="exact"/>
        <w:rPr>
          <w:sz w:val="20"/>
          <w:szCs w:val="20"/>
          <w:color w:val="auto"/>
        </w:rPr>
      </w:pPr>
    </w:p>
    <w:p>
      <w:pPr>
        <w:ind w:right="100" w:firstLine="396"/>
        <w:spacing w:after="0" w:line="230" w:lineRule="auto"/>
        <w:rPr>
          <w:sz w:val="20"/>
          <w:szCs w:val="20"/>
          <w:color w:val="auto"/>
        </w:rPr>
      </w:pPr>
      <w:r>
        <w:rPr>
          <w:rFonts w:ascii="Calibri" w:cs="Calibri" w:eastAsia="Calibri" w:hAnsi="Calibri"/>
          <w:sz w:val="18"/>
          <w:szCs w:val="18"/>
          <w:color w:val="auto"/>
        </w:rPr>
        <w:t>During the fscal year ended November 4, 2018, substantally all of the 2017 Senior Notes were tendered and exchanged for notes registered with the SEC, with substantally identcal terms.</w:t>
      </w:r>
    </w:p>
    <w:p>
      <w:pPr>
        <w:spacing w:after="0" w:line="97"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Assumed CA Senior Notes</w:t>
      </w:r>
    </w:p>
    <w:p>
      <w:pPr>
        <w:spacing w:after="0" w:line="107" w:lineRule="exact"/>
        <w:rPr>
          <w:sz w:val="20"/>
          <w:szCs w:val="20"/>
          <w:color w:val="auto"/>
        </w:rPr>
      </w:pPr>
    </w:p>
    <w:p>
      <w:pPr>
        <w:ind w:right="420" w:firstLine="396"/>
        <w:spacing w:after="0" w:line="230" w:lineRule="auto"/>
        <w:rPr>
          <w:sz w:val="20"/>
          <w:szCs w:val="20"/>
          <w:color w:val="auto"/>
        </w:rPr>
      </w:pPr>
      <w:r>
        <w:rPr>
          <w:rFonts w:ascii="Calibri" w:cs="Calibri" w:eastAsia="Calibri" w:hAnsi="Calibri"/>
          <w:sz w:val="18"/>
          <w:szCs w:val="18"/>
          <w:color w:val="auto"/>
        </w:rPr>
        <w:t>In connecton with our acquisiton of CA, Inc. (“CA”) during fscal year 2019, we assumed $2.25 billion of CA’s outstanding senior unsecured notes (the “Assumed CA Senior Notes”). CA remains the sole obligor under the Assumed CA Senior Notes.</w:t>
      </w:r>
    </w:p>
    <w:p>
      <w:pPr>
        <w:spacing w:after="0" w:line="97"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Fair Value of Debt</w:t>
      </w:r>
    </w:p>
    <w:p>
      <w:pPr>
        <w:spacing w:after="0" w:line="107" w:lineRule="exact"/>
        <w:rPr>
          <w:sz w:val="20"/>
          <w:szCs w:val="20"/>
          <w:color w:val="auto"/>
        </w:rPr>
      </w:pPr>
    </w:p>
    <w:p>
      <w:pPr>
        <w:ind w:right="20" w:firstLine="396"/>
        <w:spacing w:after="0" w:line="230" w:lineRule="auto"/>
        <w:rPr>
          <w:sz w:val="20"/>
          <w:szCs w:val="20"/>
          <w:color w:val="auto"/>
        </w:rPr>
      </w:pPr>
      <w:r>
        <w:rPr>
          <w:rFonts w:ascii="Calibri" w:cs="Calibri" w:eastAsia="Calibri" w:hAnsi="Calibri"/>
          <w:sz w:val="18"/>
          <w:szCs w:val="18"/>
          <w:color w:val="auto"/>
        </w:rPr>
        <w:t>As of October 29, 2023, the estmated aggregate fair value of our debt was $33,181 million. The fair value of our senior notes was determined using quoted prices from less actve markets. All of our debt obligatons are categorized as Level 2 instruments.</w:t>
      </w:r>
    </w:p>
    <w:p>
      <w:pPr>
        <w:spacing w:after="0" w:line="97"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Future Principal Payments of Debt</w:t>
      </w:r>
    </w:p>
    <w:p>
      <w:pPr>
        <w:spacing w:after="0" w:line="97" w:lineRule="exact"/>
        <w:rPr>
          <w:sz w:val="20"/>
          <w:szCs w:val="20"/>
          <w:color w:val="auto"/>
        </w:rPr>
      </w:pPr>
    </w:p>
    <w:p>
      <w:pPr>
        <w:ind w:left="400"/>
        <w:spacing w:after="0"/>
        <w:rPr>
          <w:sz w:val="20"/>
          <w:szCs w:val="20"/>
          <w:color w:val="auto"/>
        </w:rPr>
      </w:pPr>
      <w:r>
        <w:rPr>
          <w:rFonts w:ascii="Calibri" w:cs="Calibri" w:eastAsia="Calibri" w:hAnsi="Calibri"/>
          <w:sz w:val="18"/>
          <w:szCs w:val="18"/>
          <w:color w:val="auto"/>
        </w:rPr>
        <w:t>The future scheduled principal payments of debt as of October 29, 2023 were as follows: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200" w:type="dxa"/>
            <w:vAlign w:val="bottom"/>
            <w:vMerge w:val="restart"/>
          </w:tcPr>
          <w:p>
            <w:pPr>
              <w:ind w:left="20"/>
              <w:spacing w:after="0"/>
              <w:rPr>
                <w:sz w:val="20"/>
                <w:szCs w:val="20"/>
                <w:color w:val="auto"/>
              </w:rPr>
            </w:pPr>
            <w:r>
              <w:rPr>
                <w:rFonts w:ascii="Calibri" w:cs="Calibri" w:eastAsia="Calibri" w:hAnsi="Calibri"/>
                <w:sz w:val="18"/>
                <w:szCs w:val="18"/>
                <w:b w:val="1"/>
                <w:bCs w:val="1"/>
                <w:color w:val="auto"/>
              </w:rPr>
              <w:t>Fiscal Year:</w:t>
            </w:r>
          </w:p>
        </w:tc>
        <w:tc>
          <w:tcPr>
            <w:tcW w:w="160" w:type="dxa"/>
            <w:vAlign w:val="bottom"/>
          </w:tcPr>
          <w:p>
            <w:pPr>
              <w:spacing w:after="0"/>
              <w:rPr>
                <w:sz w:val="14"/>
                <w:szCs w:val="14"/>
                <w:color w:val="auto"/>
              </w:rPr>
            </w:pPr>
          </w:p>
        </w:tc>
        <w:tc>
          <w:tcPr>
            <w:tcW w:w="1820" w:type="dxa"/>
            <w:vAlign w:val="bottom"/>
          </w:tcPr>
          <w:p>
            <w:pPr>
              <w:jc w:val="center"/>
              <w:ind w:right="57"/>
              <w:spacing w:after="0"/>
              <w:rPr>
                <w:sz w:val="20"/>
                <w:szCs w:val="20"/>
                <w:color w:val="auto"/>
              </w:rPr>
            </w:pPr>
            <w:r>
              <w:rPr>
                <w:rFonts w:ascii="Calibri" w:cs="Calibri" w:eastAsia="Calibri" w:hAnsi="Calibri"/>
                <w:sz w:val="14"/>
                <w:szCs w:val="14"/>
                <w:b w:val="1"/>
                <w:bCs w:val="1"/>
                <w:color w:val="auto"/>
              </w:rPr>
              <w:t>Future Scheduled Principal</w:t>
            </w:r>
          </w:p>
        </w:tc>
        <w:tc>
          <w:tcPr>
            <w:tcW w:w="0" w:type="dxa"/>
            <w:vAlign w:val="bottom"/>
          </w:tcPr>
          <w:p>
            <w:pPr>
              <w:spacing w:after="0"/>
              <w:rPr>
                <w:sz w:val="1"/>
                <w:szCs w:val="1"/>
                <w:color w:val="auto"/>
              </w:rPr>
            </w:pPr>
          </w:p>
        </w:tc>
      </w:tr>
      <w:tr>
        <w:trPr>
          <w:trHeight w:val="178"/>
        </w:trPr>
        <w:tc>
          <w:tcPr>
            <w:tcW w:w="920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820" w:type="dxa"/>
            <w:vAlign w:val="bottom"/>
          </w:tcPr>
          <w:p>
            <w:pPr>
              <w:jc w:val="center"/>
              <w:ind w:right="77"/>
              <w:spacing w:after="0" w:line="168" w:lineRule="exact"/>
              <w:rPr>
                <w:sz w:val="20"/>
                <w:szCs w:val="20"/>
                <w:color w:val="auto"/>
              </w:rPr>
            </w:pPr>
            <w:r>
              <w:rPr>
                <w:rFonts w:ascii="Calibri" w:cs="Calibri" w:eastAsia="Calibri" w:hAnsi="Calibri"/>
                <w:sz w:val="14"/>
                <w:szCs w:val="14"/>
                <w:b w:val="1"/>
                <w:bCs w:val="1"/>
                <w:color w:val="auto"/>
              </w:rPr>
              <w:t>Payments</w:t>
            </w:r>
          </w:p>
        </w:tc>
        <w:tc>
          <w:tcPr>
            <w:tcW w:w="0" w:type="dxa"/>
            <w:vAlign w:val="bottom"/>
          </w:tcPr>
          <w:p>
            <w:pPr>
              <w:spacing w:after="0"/>
              <w:rPr>
                <w:sz w:val="1"/>
                <w:szCs w:val="1"/>
                <w:color w:val="auto"/>
              </w:rPr>
            </w:pPr>
          </w:p>
        </w:tc>
      </w:tr>
      <w:tr>
        <w:trPr>
          <w:trHeight w:val="22"/>
        </w:trPr>
        <w:tc>
          <w:tcPr>
            <w:tcW w:w="9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1"/>
        </w:trPr>
        <w:tc>
          <w:tcPr>
            <w:tcW w:w="9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20" w:type="dxa"/>
            <w:vAlign w:val="bottom"/>
          </w:tcPr>
          <w:p>
            <w:pPr>
              <w:jc w:val="center"/>
              <w:ind w:right="77"/>
              <w:spacing w:after="0" w:line="161" w:lineRule="exact"/>
              <w:rPr>
                <w:sz w:val="20"/>
                <w:szCs w:val="20"/>
                <w:color w:val="auto"/>
              </w:rPr>
            </w:pPr>
            <w:r>
              <w:rPr>
                <w:rFonts w:ascii="Calibri" w:cs="Calibri" w:eastAsia="Calibri" w:hAnsi="Calibri"/>
                <w:sz w:val="14"/>
                <w:szCs w:val="14"/>
                <w:b w:val="1"/>
                <w:bCs w:val="1"/>
                <w:color w:val="auto"/>
              </w:rPr>
              <w:t>(In millions)</w:t>
            </w:r>
          </w:p>
        </w:tc>
        <w:tc>
          <w:tcPr>
            <w:tcW w:w="0" w:type="dxa"/>
            <w:vAlign w:val="bottom"/>
          </w:tcPr>
          <w:p>
            <w:pPr>
              <w:spacing w:after="0"/>
              <w:rPr>
                <w:sz w:val="1"/>
                <w:szCs w:val="1"/>
                <w:color w:val="auto"/>
              </w:rPr>
            </w:pPr>
          </w:p>
        </w:tc>
      </w:tr>
      <w:tr>
        <w:trPr>
          <w:trHeight w:val="30"/>
        </w:trPr>
        <w:tc>
          <w:tcPr>
            <w:tcW w:w="9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4"/>
        </w:trPr>
        <w:tc>
          <w:tcPr>
            <w:tcW w:w="9200" w:type="dxa"/>
            <w:vAlign w:val="bottom"/>
            <w:shd w:val="clear" w:color="auto" w:fill="CCEEFF"/>
          </w:tcPr>
          <w:p>
            <w:pPr>
              <w:ind w:left="20"/>
              <w:spacing w:after="0" w:line="210" w:lineRule="exact"/>
              <w:rPr>
                <w:sz w:val="20"/>
                <w:szCs w:val="20"/>
                <w:color w:val="auto"/>
              </w:rPr>
            </w:pPr>
            <w:r>
              <w:rPr>
                <w:rFonts w:ascii="Calibri" w:cs="Calibri" w:eastAsia="Calibri" w:hAnsi="Calibri"/>
                <w:sz w:val="18"/>
                <w:szCs w:val="18"/>
                <w:color w:val="auto"/>
              </w:rPr>
              <w:t>2024</w:t>
            </w:r>
          </w:p>
        </w:tc>
        <w:tc>
          <w:tcPr>
            <w:tcW w:w="160" w:type="dxa"/>
            <w:vAlign w:val="bottom"/>
            <w:shd w:val="clear" w:color="auto" w:fill="CCEEFF"/>
          </w:tcPr>
          <w:p>
            <w:pPr>
              <w:jc w:val="right"/>
              <w:spacing w:after="0" w:line="210" w:lineRule="exact"/>
              <w:rPr>
                <w:sz w:val="20"/>
                <w:szCs w:val="20"/>
                <w:color w:val="auto"/>
              </w:rPr>
            </w:pPr>
            <w:r>
              <w:rPr>
                <w:rFonts w:ascii="Calibri" w:cs="Calibri" w:eastAsia="Calibri" w:hAnsi="Calibri"/>
                <w:sz w:val="18"/>
                <w:szCs w:val="18"/>
                <w:color w:val="auto"/>
                <w:w w:val="87"/>
              </w:rPr>
              <w:t>$</w:t>
            </w:r>
          </w:p>
        </w:tc>
        <w:tc>
          <w:tcPr>
            <w:tcW w:w="1820" w:type="dxa"/>
            <w:vAlign w:val="bottom"/>
            <w:shd w:val="clear" w:color="auto" w:fill="CCEEFF"/>
          </w:tcPr>
          <w:p>
            <w:pPr>
              <w:jc w:val="right"/>
              <w:spacing w:after="0" w:line="210" w:lineRule="exact"/>
              <w:rPr>
                <w:sz w:val="20"/>
                <w:szCs w:val="20"/>
                <w:color w:val="auto"/>
              </w:rPr>
            </w:pPr>
            <w:r>
              <w:rPr>
                <w:rFonts w:ascii="Calibri" w:cs="Calibri" w:eastAsia="Calibri" w:hAnsi="Calibri"/>
                <w:sz w:val="18"/>
                <w:szCs w:val="18"/>
                <w:color w:val="auto"/>
              </w:rPr>
              <w:t>1,563</w:t>
            </w:r>
          </w:p>
        </w:tc>
        <w:tc>
          <w:tcPr>
            <w:tcW w:w="0" w:type="dxa"/>
            <w:vAlign w:val="bottom"/>
          </w:tcPr>
          <w:p>
            <w:pPr>
              <w:spacing w:after="0"/>
              <w:rPr>
                <w:sz w:val="1"/>
                <w:szCs w:val="1"/>
                <w:color w:val="auto"/>
              </w:rPr>
            </w:pPr>
          </w:p>
        </w:tc>
      </w:tr>
      <w:tr>
        <w:trPr>
          <w:trHeight w:val="217"/>
        </w:trPr>
        <w:tc>
          <w:tcPr>
            <w:tcW w:w="9200" w:type="dxa"/>
            <w:vAlign w:val="bottom"/>
          </w:tcPr>
          <w:p>
            <w:pPr>
              <w:ind w:left="20"/>
              <w:spacing w:after="0" w:line="210" w:lineRule="exact"/>
              <w:rPr>
                <w:sz w:val="20"/>
                <w:szCs w:val="20"/>
                <w:color w:val="auto"/>
              </w:rPr>
            </w:pPr>
            <w:r>
              <w:rPr>
                <w:rFonts w:ascii="Calibri" w:cs="Calibri" w:eastAsia="Calibri" w:hAnsi="Calibri"/>
                <w:sz w:val="18"/>
                <w:szCs w:val="18"/>
                <w:color w:val="auto"/>
              </w:rPr>
              <w:t>2025</w:t>
            </w:r>
          </w:p>
        </w:tc>
        <w:tc>
          <w:tcPr>
            <w:tcW w:w="160" w:type="dxa"/>
            <w:vAlign w:val="bottom"/>
          </w:tcPr>
          <w:p>
            <w:pPr>
              <w:spacing w:after="0"/>
              <w:rPr>
                <w:sz w:val="18"/>
                <w:szCs w:val="18"/>
                <w:color w:val="auto"/>
              </w:rPr>
            </w:pPr>
          </w:p>
        </w:tc>
        <w:tc>
          <w:tcPr>
            <w:tcW w:w="1820" w:type="dxa"/>
            <w:vAlign w:val="bottom"/>
          </w:tcPr>
          <w:p>
            <w:pPr>
              <w:jc w:val="right"/>
              <w:spacing w:after="0" w:line="210" w:lineRule="exact"/>
              <w:rPr>
                <w:sz w:val="20"/>
                <w:szCs w:val="20"/>
                <w:color w:val="auto"/>
              </w:rPr>
            </w:pPr>
            <w:r>
              <w:rPr>
                <w:rFonts w:ascii="Calibri" w:cs="Calibri" w:eastAsia="Calibri" w:hAnsi="Calibri"/>
                <w:sz w:val="18"/>
                <w:szCs w:val="18"/>
                <w:color w:val="auto"/>
              </w:rPr>
              <w:t>495</w:t>
            </w:r>
          </w:p>
        </w:tc>
        <w:tc>
          <w:tcPr>
            <w:tcW w:w="0" w:type="dxa"/>
            <w:vAlign w:val="bottom"/>
          </w:tcPr>
          <w:p>
            <w:pPr>
              <w:spacing w:after="0"/>
              <w:rPr>
                <w:sz w:val="1"/>
                <w:szCs w:val="1"/>
                <w:color w:val="auto"/>
              </w:rPr>
            </w:pPr>
          </w:p>
        </w:tc>
      </w:tr>
      <w:tr>
        <w:trPr>
          <w:trHeight w:val="232"/>
        </w:trPr>
        <w:tc>
          <w:tcPr>
            <w:tcW w:w="9200" w:type="dxa"/>
            <w:vAlign w:val="bottom"/>
            <w:shd w:val="clear" w:color="auto" w:fill="CCEEFF"/>
          </w:tcPr>
          <w:p>
            <w:pPr>
              <w:ind w:left="20"/>
              <w:spacing w:after="0" w:line="217" w:lineRule="exact"/>
              <w:rPr>
                <w:sz w:val="20"/>
                <w:szCs w:val="20"/>
                <w:color w:val="auto"/>
              </w:rPr>
            </w:pPr>
            <w:r>
              <w:rPr>
                <w:rFonts w:ascii="Calibri" w:cs="Calibri" w:eastAsia="Calibri" w:hAnsi="Calibri"/>
                <w:sz w:val="18"/>
                <w:szCs w:val="18"/>
                <w:color w:val="auto"/>
              </w:rPr>
              <w:t>2026</w:t>
            </w:r>
          </w:p>
        </w:tc>
        <w:tc>
          <w:tcPr>
            <w:tcW w:w="160" w:type="dxa"/>
            <w:vAlign w:val="bottom"/>
            <w:shd w:val="clear" w:color="auto" w:fill="CCEEFF"/>
          </w:tcPr>
          <w:p>
            <w:pPr>
              <w:spacing w:after="0"/>
              <w:rPr>
                <w:sz w:val="20"/>
                <w:szCs w:val="20"/>
                <w:color w:val="auto"/>
              </w:rPr>
            </w:pPr>
          </w:p>
        </w:tc>
        <w:tc>
          <w:tcPr>
            <w:tcW w:w="1820" w:type="dxa"/>
            <w:vAlign w:val="bottom"/>
            <w:shd w:val="clear" w:color="auto" w:fill="CCEEFF"/>
          </w:tcPr>
          <w:p>
            <w:pPr>
              <w:jc w:val="right"/>
              <w:spacing w:after="0" w:line="217" w:lineRule="exact"/>
              <w:rPr>
                <w:sz w:val="20"/>
                <w:szCs w:val="20"/>
                <w:color w:val="auto"/>
              </w:rPr>
            </w:pPr>
            <w:r>
              <w:rPr>
                <w:rFonts w:ascii="Calibri" w:cs="Calibri" w:eastAsia="Calibri" w:hAnsi="Calibri"/>
                <w:sz w:val="18"/>
                <w:szCs w:val="18"/>
                <w:color w:val="auto"/>
              </w:rPr>
              <w:t>1,652</w:t>
            </w:r>
          </w:p>
        </w:tc>
        <w:tc>
          <w:tcPr>
            <w:tcW w:w="0" w:type="dxa"/>
            <w:vAlign w:val="bottom"/>
          </w:tcPr>
          <w:p>
            <w:pPr>
              <w:spacing w:after="0"/>
              <w:rPr>
                <w:sz w:val="1"/>
                <w:szCs w:val="1"/>
                <w:color w:val="auto"/>
              </w:rPr>
            </w:pPr>
          </w:p>
        </w:tc>
      </w:tr>
      <w:tr>
        <w:trPr>
          <w:trHeight w:val="217"/>
        </w:trPr>
        <w:tc>
          <w:tcPr>
            <w:tcW w:w="9200" w:type="dxa"/>
            <w:vAlign w:val="bottom"/>
          </w:tcPr>
          <w:p>
            <w:pPr>
              <w:ind w:left="20"/>
              <w:spacing w:after="0" w:line="210" w:lineRule="exact"/>
              <w:rPr>
                <w:sz w:val="20"/>
                <w:szCs w:val="20"/>
                <w:color w:val="auto"/>
              </w:rPr>
            </w:pPr>
            <w:r>
              <w:rPr>
                <w:rFonts w:ascii="Calibri" w:cs="Calibri" w:eastAsia="Calibri" w:hAnsi="Calibri"/>
                <w:sz w:val="18"/>
                <w:szCs w:val="18"/>
                <w:color w:val="auto"/>
              </w:rPr>
              <w:t>2027</w:t>
            </w:r>
          </w:p>
        </w:tc>
        <w:tc>
          <w:tcPr>
            <w:tcW w:w="160" w:type="dxa"/>
            <w:vAlign w:val="bottom"/>
          </w:tcPr>
          <w:p>
            <w:pPr>
              <w:spacing w:after="0"/>
              <w:rPr>
                <w:sz w:val="18"/>
                <w:szCs w:val="18"/>
                <w:color w:val="auto"/>
              </w:rPr>
            </w:pPr>
          </w:p>
        </w:tc>
        <w:tc>
          <w:tcPr>
            <w:tcW w:w="1820" w:type="dxa"/>
            <w:vAlign w:val="bottom"/>
          </w:tcPr>
          <w:p>
            <w:pPr>
              <w:jc w:val="right"/>
              <w:spacing w:after="0" w:line="210" w:lineRule="exact"/>
              <w:rPr>
                <w:sz w:val="20"/>
                <w:szCs w:val="20"/>
                <w:color w:val="auto"/>
              </w:rPr>
            </w:pPr>
            <w:r>
              <w:rPr>
                <w:rFonts w:ascii="Calibri" w:cs="Calibri" w:eastAsia="Calibri" w:hAnsi="Calibri"/>
                <w:sz w:val="18"/>
                <w:szCs w:val="18"/>
                <w:color w:val="auto"/>
              </w:rPr>
              <w:t>3,137</w:t>
            </w:r>
          </w:p>
        </w:tc>
        <w:tc>
          <w:tcPr>
            <w:tcW w:w="0" w:type="dxa"/>
            <w:vAlign w:val="bottom"/>
          </w:tcPr>
          <w:p>
            <w:pPr>
              <w:spacing w:after="0"/>
              <w:rPr>
                <w:sz w:val="1"/>
                <w:szCs w:val="1"/>
                <w:color w:val="auto"/>
              </w:rPr>
            </w:pPr>
          </w:p>
        </w:tc>
      </w:tr>
      <w:tr>
        <w:trPr>
          <w:trHeight w:val="232"/>
        </w:trPr>
        <w:tc>
          <w:tcPr>
            <w:tcW w:w="9200" w:type="dxa"/>
            <w:vAlign w:val="bottom"/>
            <w:shd w:val="clear" w:color="auto" w:fill="CCEEFF"/>
          </w:tcPr>
          <w:p>
            <w:pPr>
              <w:ind w:left="20"/>
              <w:spacing w:after="0" w:line="217" w:lineRule="exact"/>
              <w:rPr>
                <w:sz w:val="20"/>
                <w:szCs w:val="20"/>
                <w:color w:val="auto"/>
              </w:rPr>
            </w:pPr>
            <w:r>
              <w:rPr>
                <w:rFonts w:ascii="Calibri" w:cs="Calibri" w:eastAsia="Calibri" w:hAnsi="Calibri"/>
                <w:sz w:val="18"/>
                <w:szCs w:val="18"/>
                <w:color w:val="auto"/>
              </w:rPr>
              <w:t>2028</w:t>
            </w:r>
          </w:p>
        </w:tc>
        <w:tc>
          <w:tcPr>
            <w:tcW w:w="160" w:type="dxa"/>
            <w:vAlign w:val="bottom"/>
            <w:shd w:val="clear" w:color="auto" w:fill="CCEEFF"/>
          </w:tcPr>
          <w:p>
            <w:pPr>
              <w:spacing w:after="0"/>
              <w:rPr>
                <w:sz w:val="20"/>
                <w:szCs w:val="20"/>
                <w:color w:val="auto"/>
              </w:rPr>
            </w:pPr>
          </w:p>
        </w:tc>
        <w:tc>
          <w:tcPr>
            <w:tcW w:w="1820" w:type="dxa"/>
            <w:vAlign w:val="bottom"/>
            <w:shd w:val="clear" w:color="auto" w:fill="CCEEFF"/>
          </w:tcPr>
          <w:p>
            <w:pPr>
              <w:jc w:val="right"/>
              <w:spacing w:after="0" w:line="217" w:lineRule="exact"/>
              <w:rPr>
                <w:sz w:val="20"/>
                <w:szCs w:val="20"/>
                <w:color w:val="auto"/>
              </w:rPr>
            </w:pPr>
            <w:r>
              <w:rPr>
                <w:rFonts w:ascii="Calibri" w:cs="Calibri" w:eastAsia="Calibri" w:hAnsi="Calibri"/>
                <w:sz w:val="18"/>
                <w:szCs w:val="18"/>
                <w:color w:val="auto"/>
              </w:rPr>
              <w:t>2,645</w:t>
            </w:r>
          </w:p>
        </w:tc>
        <w:tc>
          <w:tcPr>
            <w:tcW w:w="0" w:type="dxa"/>
            <w:vAlign w:val="bottom"/>
          </w:tcPr>
          <w:p>
            <w:pPr>
              <w:spacing w:after="0"/>
              <w:rPr>
                <w:sz w:val="1"/>
                <w:szCs w:val="1"/>
                <w:color w:val="auto"/>
              </w:rPr>
            </w:pPr>
          </w:p>
        </w:tc>
      </w:tr>
      <w:tr>
        <w:trPr>
          <w:trHeight w:val="218"/>
        </w:trPr>
        <w:tc>
          <w:tcPr>
            <w:tcW w:w="9200" w:type="dxa"/>
            <w:vAlign w:val="bottom"/>
            <w:tcBorders>
              <w:bottom w:val="single" w:sz="8" w:color="CCEEFF"/>
            </w:tcBorders>
          </w:tcPr>
          <w:p>
            <w:pPr>
              <w:ind w:left="20"/>
              <w:spacing w:after="0" w:line="210" w:lineRule="exact"/>
              <w:rPr>
                <w:sz w:val="20"/>
                <w:szCs w:val="20"/>
                <w:color w:val="auto"/>
              </w:rPr>
            </w:pPr>
            <w:r>
              <w:rPr>
                <w:rFonts w:ascii="Calibri" w:cs="Calibri" w:eastAsia="Calibri" w:hAnsi="Calibri"/>
                <w:sz w:val="18"/>
                <w:szCs w:val="18"/>
                <w:color w:val="auto"/>
              </w:rPr>
              <w:t>Thereafer</w:t>
            </w:r>
          </w:p>
        </w:tc>
        <w:tc>
          <w:tcPr>
            <w:tcW w:w="16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tcPr>
          <w:p>
            <w:pPr>
              <w:jc w:val="right"/>
              <w:spacing w:after="0" w:line="210" w:lineRule="exact"/>
              <w:rPr>
                <w:sz w:val="20"/>
                <w:szCs w:val="20"/>
                <w:color w:val="auto"/>
              </w:rPr>
            </w:pPr>
            <w:r>
              <w:rPr>
                <w:rFonts w:ascii="Calibri" w:cs="Calibri" w:eastAsia="Calibri" w:hAnsi="Calibri"/>
                <w:sz w:val="18"/>
                <w:szCs w:val="18"/>
                <w:color w:val="auto"/>
              </w:rPr>
              <w:t>31,323</w:t>
            </w:r>
          </w:p>
        </w:tc>
        <w:tc>
          <w:tcPr>
            <w:tcW w:w="0" w:type="dxa"/>
            <w:vAlign w:val="bottom"/>
          </w:tcPr>
          <w:p>
            <w:pPr>
              <w:spacing w:after="0"/>
              <w:rPr>
                <w:sz w:val="1"/>
                <w:szCs w:val="1"/>
                <w:color w:val="auto"/>
              </w:rPr>
            </w:pPr>
          </w:p>
        </w:tc>
      </w:tr>
      <w:tr>
        <w:trPr>
          <w:trHeight w:val="249"/>
        </w:trPr>
        <w:tc>
          <w:tcPr>
            <w:tcW w:w="9200" w:type="dxa"/>
            <w:vAlign w:val="bottom"/>
            <w:tcBorders>
              <w:bottom w:val="single" w:sz="8" w:color="CCEEFF"/>
            </w:tcBorders>
            <w:shd w:val="clear" w:color="auto" w:fill="CCEEFF"/>
          </w:tcPr>
          <w:p>
            <w:pPr>
              <w:ind w:left="140"/>
              <w:spacing w:after="0"/>
              <w:rPr>
                <w:sz w:val="20"/>
                <w:szCs w:val="20"/>
                <w:color w:val="auto"/>
              </w:rPr>
            </w:pPr>
            <w:r>
              <w:rPr>
                <w:rFonts w:ascii="Calibri" w:cs="Calibri" w:eastAsia="Calibri" w:hAnsi="Calibri"/>
                <w:sz w:val="18"/>
                <w:szCs w:val="18"/>
                <w:color w:val="auto"/>
              </w:rPr>
              <w:t>Total</w:t>
            </w:r>
          </w:p>
        </w:tc>
        <w:tc>
          <w:tcPr>
            <w:tcW w:w="160" w:type="dxa"/>
            <w:vAlign w:val="bottom"/>
            <w:tcBorders>
              <w:bottom w:val="single" w:sz="8" w:color="auto"/>
            </w:tcBorders>
            <w:shd w:val="clear" w:color="auto" w:fill="CCEEFF"/>
          </w:tcPr>
          <w:p>
            <w:pPr>
              <w:jc w:val="right"/>
              <w:spacing w:after="0" w:line="210" w:lineRule="exact"/>
              <w:rPr>
                <w:sz w:val="20"/>
                <w:szCs w:val="20"/>
                <w:color w:val="auto"/>
              </w:rPr>
            </w:pPr>
            <w:r>
              <w:rPr>
                <w:rFonts w:ascii="Calibri" w:cs="Calibri" w:eastAsia="Calibri" w:hAnsi="Calibri"/>
                <w:sz w:val="18"/>
                <w:szCs w:val="18"/>
                <w:color w:val="auto"/>
                <w:w w:val="87"/>
              </w:rPr>
              <w:t>$</w:t>
            </w:r>
          </w:p>
        </w:tc>
        <w:tc>
          <w:tcPr>
            <w:tcW w:w="1820" w:type="dxa"/>
            <w:vAlign w:val="bottom"/>
            <w:tcBorders>
              <w:bottom w:val="single" w:sz="8" w:color="auto"/>
            </w:tcBorders>
            <w:shd w:val="clear" w:color="auto" w:fill="CCEEFF"/>
          </w:tcPr>
          <w:p>
            <w:pPr>
              <w:jc w:val="right"/>
              <w:spacing w:after="0" w:line="210" w:lineRule="exact"/>
              <w:rPr>
                <w:sz w:val="20"/>
                <w:szCs w:val="20"/>
                <w:color w:val="auto"/>
              </w:rPr>
            </w:pPr>
            <w:r>
              <w:rPr>
                <w:rFonts w:ascii="Calibri" w:cs="Calibri" w:eastAsia="Calibri" w:hAnsi="Calibri"/>
                <w:sz w:val="18"/>
                <w:szCs w:val="18"/>
                <w:color w:val="auto"/>
              </w:rPr>
              <w:t>40,815</w:t>
            </w:r>
          </w:p>
        </w:tc>
        <w:tc>
          <w:tcPr>
            <w:tcW w:w="0" w:type="dxa"/>
            <w:vAlign w:val="bottom"/>
          </w:tcPr>
          <w:p>
            <w:pPr>
              <w:spacing w:after="0"/>
              <w:rPr>
                <w:sz w:val="1"/>
                <w:szCs w:val="1"/>
                <w:color w:val="auto"/>
              </w:rPr>
            </w:pPr>
          </w:p>
        </w:tc>
      </w:tr>
      <w:tr>
        <w:trPr>
          <w:trHeight w:val="20"/>
        </w:trPr>
        <w:tc>
          <w:tcPr>
            <w:tcW w:w="9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8" w:lineRule="exact"/>
        <w:rPr>
          <w:sz w:val="20"/>
          <w:szCs w:val="20"/>
          <w:color w:val="auto"/>
        </w:rPr>
      </w:pPr>
    </w:p>
    <w:p>
      <w:pPr>
        <w:ind w:left="160"/>
        <w:spacing w:after="0"/>
        <w:rPr>
          <w:sz w:val="20"/>
          <w:szCs w:val="20"/>
          <w:color w:val="auto"/>
        </w:rPr>
      </w:pPr>
      <w:r>
        <w:rPr>
          <w:rFonts w:ascii="Calibri" w:cs="Calibri" w:eastAsia="Calibri" w:hAnsi="Calibri"/>
          <w:sz w:val="18"/>
          <w:szCs w:val="18"/>
          <w:color w:val="auto"/>
        </w:rPr>
        <w:t>As of October 29, 2023 and October 30, 2022, we were in compliance with all debt covenants.</w:t>
      </w:r>
    </w:p>
    <w:p>
      <w:pPr>
        <w:spacing w:after="0" w:line="200" w:lineRule="exact"/>
        <w:rPr>
          <w:sz w:val="20"/>
          <w:szCs w:val="20"/>
          <w:color w:val="auto"/>
        </w:rPr>
      </w:pPr>
    </w:p>
    <w:p>
      <w:pPr>
        <w:spacing w:after="0" w:line="333" w:lineRule="exact"/>
        <w:rPr>
          <w:sz w:val="20"/>
          <w:szCs w:val="20"/>
          <w:color w:val="auto"/>
        </w:rPr>
      </w:pPr>
    </w:p>
    <w:p>
      <w:pPr>
        <w:jc w:val="center"/>
        <w:ind w:right="-39"/>
        <w:spacing w:after="0"/>
        <w:rPr>
          <w:sz w:val="20"/>
          <w:szCs w:val="20"/>
          <w:color w:val="auto"/>
        </w:rPr>
      </w:pPr>
      <w:r>
        <w:rPr>
          <w:rFonts w:ascii="Calibri" w:cs="Calibri" w:eastAsia="Calibri" w:hAnsi="Calibri"/>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09" w:right="359" w:bottom="1440" w:gutter="0" w:footer="0" w:header="0"/>
        </w:sectPr>
      </w:pPr>
    </w:p>
    <w:bookmarkStart w:id="78" w:name="page79"/>
    <w:bookmarkEnd w:id="78"/>
    <w:p>
      <w:pPr>
        <w:spacing w:after="0"/>
        <w:rPr>
          <w:sz w:val="20"/>
          <w:szCs w:val="20"/>
          <w:color w:val="auto"/>
        </w:rPr>
      </w:pPr>
      <w:r>
        <w:rPr>
          <w:rFonts w:ascii="Calibri" w:cs="Calibri" w:eastAsia="Calibri" w:hAnsi="Calibri"/>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10. Stockholders’ Equity</w:t>
      </w:r>
    </w:p>
    <w:p>
      <w:pPr>
        <w:spacing w:after="0" w:line="97"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Cash Dividends Declared and Paid</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7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gridSpan w:val="2"/>
          </w:tcPr>
          <w:p>
            <w:pPr>
              <w:jc w:val="center"/>
              <w:ind w:right="360"/>
              <w:spacing w:after="0"/>
              <w:rPr>
                <w:sz w:val="20"/>
                <w:szCs w:val="20"/>
                <w:color w:val="auto"/>
              </w:rPr>
            </w:pPr>
            <w:r>
              <w:rPr>
                <w:rFonts w:ascii="Calibri" w:cs="Calibri" w:eastAsia="Calibri" w:hAnsi="Calibri"/>
                <w:sz w:val="14"/>
                <w:szCs w:val="14"/>
                <w:b w:val="1"/>
                <w:bCs w:val="1"/>
                <w:color w:val="auto"/>
                <w:w w:val="98"/>
              </w:rPr>
              <w:t>Fiscal Year</w:t>
            </w:r>
          </w:p>
        </w:tc>
        <w:tc>
          <w:tcPr>
            <w:tcW w:w="38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45"/>
        </w:trPr>
        <w:tc>
          <w:tcPr>
            <w:tcW w:w="6760" w:type="dxa"/>
            <w:vAlign w:val="bottom"/>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r>
      <w:tr>
        <w:trPr>
          <w:trHeight w:val="161"/>
        </w:trPr>
        <w:tc>
          <w:tcPr>
            <w:tcW w:w="6760" w:type="dxa"/>
            <w:vAlign w:val="bottom"/>
          </w:tcPr>
          <w:p>
            <w:pPr>
              <w:spacing w:after="0"/>
              <w:rPr>
                <w:sz w:val="13"/>
                <w:szCs w:val="13"/>
                <w:color w:val="auto"/>
              </w:rPr>
            </w:pPr>
          </w:p>
        </w:tc>
        <w:tc>
          <w:tcPr>
            <w:tcW w:w="900" w:type="dxa"/>
            <w:vAlign w:val="bottom"/>
          </w:tcPr>
          <w:p>
            <w:pPr>
              <w:jc w:val="right"/>
              <w:spacing w:after="0" w:line="161" w:lineRule="exact"/>
              <w:rPr>
                <w:sz w:val="20"/>
                <w:szCs w:val="20"/>
                <w:color w:val="auto"/>
              </w:rPr>
            </w:pPr>
            <w:r>
              <w:rPr>
                <w:rFonts w:ascii="Calibri" w:cs="Calibri" w:eastAsia="Calibri" w:hAnsi="Calibri"/>
                <w:sz w:val="14"/>
                <w:szCs w:val="14"/>
                <w:b w:val="1"/>
                <w:bCs w:val="1"/>
                <w:color w:val="auto"/>
              </w:rPr>
              <w:t>2023</w:t>
            </w: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80" w:type="dxa"/>
            <w:vAlign w:val="bottom"/>
          </w:tcPr>
          <w:p>
            <w:pPr>
              <w:jc w:val="center"/>
              <w:ind w:right="178"/>
              <w:spacing w:after="0" w:line="161" w:lineRule="exact"/>
              <w:rPr>
                <w:sz w:val="20"/>
                <w:szCs w:val="20"/>
                <w:color w:val="auto"/>
              </w:rPr>
            </w:pPr>
            <w:r>
              <w:rPr>
                <w:rFonts w:ascii="Calibri" w:cs="Calibri" w:eastAsia="Calibri" w:hAnsi="Calibri"/>
                <w:sz w:val="14"/>
                <w:szCs w:val="14"/>
                <w:b w:val="1"/>
                <w:bCs w:val="1"/>
                <w:color w:val="auto"/>
                <w:w w:val="98"/>
              </w:rPr>
              <w:t>2022</w:t>
            </w: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40" w:type="dxa"/>
            <w:vAlign w:val="bottom"/>
          </w:tcPr>
          <w:p>
            <w:pPr>
              <w:jc w:val="right"/>
              <w:ind w:right="476"/>
              <w:spacing w:after="0" w:line="161" w:lineRule="exact"/>
              <w:rPr>
                <w:sz w:val="20"/>
                <w:szCs w:val="20"/>
                <w:color w:val="auto"/>
              </w:rPr>
            </w:pPr>
            <w:r>
              <w:rPr>
                <w:rFonts w:ascii="Calibri" w:cs="Calibri" w:eastAsia="Calibri" w:hAnsi="Calibri"/>
                <w:sz w:val="14"/>
                <w:szCs w:val="14"/>
                <w:b w:val="1"/>
                <w:bCs w:val="1"/>
                <w:color w:val="auto"/>
              </w:rPr>
              <w:t>2021</w:t>
            </w:r>
          </w:p>
        </w:tc>
      </w:tr>
      <w:tr>
        <w:trPr>
          <w:trHeight w:val="30"/>
        </w:trPr>
        <w:tc>
          <w:tcPr>
            <w:tcW w:w="676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86"/>
        </w:trPr>
        <w:tc>
          <w:tcPr>
            <w:tcW w:w="67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540" w:type="dxa"/>
            <w:vAlign w:val="bottom"/>
            <w:gridSpan w:val="6"/>
          </w:tcPr>
          <w:p>
            <w:pPr>
              <w:jc w:val="center"/>
              <w:ind w:left="36"/>
              <w:spacing w:after="0"/>
              <w:rPr>
                <w:sz w:val="20"/>
                <w:szCs w:val="20"/>
                <w:color w:val="auto"/>
              </w:rPr>
            </w:pPr>
            <w:r>
              <w:rPr>
                <w:rFonts w:ascii="Calibri" w:cs="Calibri" w:eastAsia="Calibri" w:hAnsi="Calibri"/>
                <w:sz w:val="14"/>
                <w:szCs w:val="14"/>
                <w:b w:val="1"/>
                <w:bCs w:val="1"/>
                <w:color w:val="auto"/>
              </w:rPr>
              <w:t>(In millions, except per share data)</w:t>
            </w:r>
          </w:p>
        </w:tc>
        <w:tc>
          <w:tcPr>
            <w:tcW w:w="1040" w:type="dxa"/>
            <w:vAlign w:val="bottom"/>
          </w:tcPr>
          <w:p>
            <w:pPr>
              <w:spacing w:after="0"/>
              <w:rPr>
                <w:sz w:val="16"/>
                <w:szCs w:val="16"/>
                <w:color w:val="auto"/>
              </w:rPr>
            </w:pPr>
          </w:p>
        </w:tc>
      </w:tr>
      <w:tr>
        <w:trPr>
          <w:trHeight w:val="45"/>
        </w:trPr>
        <w:tc>
          <w:tcPr>
            <w:tcW w:w="6760" w:type="dxa"/>
            <w:vAlign w:val="bottom"/>
          </w:tcPr>
          <w:p>
            <w:pPr>
              <w:spacing w:after="0"/>
              <w:rPr>
                <w:sz w:val="3"/>
                <w:szCs w:val="3"/>
                <w:color w:val="auto"/>
              </w:rPr>
            </w:pPr>
          </w:p>
        </w:tc>
        <w:tc>
          <w:tcPr>
            <w:tcW w:w="9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24"/>
        </w:trPr>
        <w:tc>
          <w:tcPr>
            <w:tcW w:w="6760" w:type="dxa"/>
            <w:vAlign w:val="bottom"/>
            <w:shd w:val="clear" w:color="auto" w:fill="CCEEFF"/>
          </w:tcPr>
          <w:p>
            <w:pPr>
              <w:ind w:left="20"/>
              <w:spacing w:after="0" w:line="210" w:lineRule="exact"/>
              <w:rPr>
                <w:sz w:val="20"/>
                <w:szCs w:val="20"/>
                <w:color w:val="auto"/>
              </w:rPr>
            </w:pPr>
            <w:r>
              <w:rPr>
                <w:rFonts w:ascii="Calibri" w:cs="Calibri" w:eastAsia="Calibri" w:hAnsi="Calibri"/>
                <w:sz w:val="18"/>
                <w:szCs w:val="18"/>
                <w:color w:val="auto"/>
              </w:rPr>
              <w:t>Dividends per share to common stockholders</w:t>
            </w:r>
          </w:p>
        </w:tc>
        <w:tc>
          <w:tcPr>
            <w:tcW w:w="900" w:type="dxa"/>
            <w:vAlign w:val="bottom"/>
            <w:shd w:val="clear" w:color="auto" w:fill="CCEEFF"/>
          </w:tcPr>
          <w:p>
            <w:pPr>
              <w:jc w:val="right"/>
              <w:ind w:right="716"/>
              <w:spacing w:after="0" w:line="210" w:lineRule="exact"/>
              <w:rPr>
                <w:sz w:val="20"/>
                <w:szCs w:val="20"/>
                <w:color w:val="auto"/>
              </w:rPr>
            </w:pPr>
            <w:r>
              <w:rPr>
                <w:rFonts w:ascii="Calibri" w:cs="Calibri" w:eastAsia="Calibri" w:hAnsi="Calibri"/>
                <w:sz w:val="18"/>
                <w:szCs w:val="18"/>
                <w:color w:val="auto"/>
                <w:w w:val="87"/>
              </w:rPr>
              <w:t>$</w:t>
            </w:r>
          </w:p>
        </w:tc>
        <w:tc>
          <w:tcPr>
            <w:tcW w:w="520" w:type="dxa"/>
            <w:vAlign w:val="bottom"/>
            <w:shd w:val="clear" w:color="auto" w:fill="CCEEFF"/>
          </w:tcPr>
          <w:p>
            <w:pPr>
              <w:jc w:val="right"/>
              <w:spacing w:after="0" w:line="210" w:lineRule="exact"/>
              <w:rPr>
                <w:sz w:val="20"/>
                <w:szCs w:val="20"/>
                <w:color w:val="auto"/>
              </w:rPr>
            </w:pPr>
            <w:r>
              <w:rPr>
                <w:rFonts w:ascii="Calibri" w:cs="Calibri" w:eastAsia="Calibri" w:hAnsi="Calibri"/>
                <w:sz w:val="18"/>
                <w:szCs w:val="18"/>
                <w:color w:val="auto"/>
              </w:rPr>
              <w:t>18.40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2"/>
              <w:spacing w:after="0" w:line="210" w:lineRule="exact"/>
              <w:rPr>
                <w:sz w:val="20"/>
                <w:szCs w:val="20"/>
                <w:color w:val="auto"/>
              </w:rPr>
            </w:pPr>
            <w:r>
              <w:rPr>
                <w:rFonts w:ascii="Calibri" w:cs="Calibri" w:eastAsia="Calibri" w:hAnsi="Calibri"/>
                <w:sz w:val="18"/>
                <w:szCs w:val="18"/>
                <w:color w:val="auto"/>
              </w:rPr>
              <w:t>$</w:t>
            </w:r>
          </w:p>
        </w:tc>
        <w:tc>
          <w:tcPr>
            <w:tcW w:w="1180" w:type="dxa"/>
            <w:vAlign w:val="bottom"/>
            <w:shd w:val="clear" w:color="auto" w:fill="CCEEFF"/>
          </w:tcPr>
          <w:p>
            <w:pPr>
              <w:jc w:val="right"/>
              <w:spacing w:after="0" w:line="210" w:lineRule="exact"/>
              <w:rPr>
                <w:sz w:val="20"/>
                <w:szCs w:val="20"/>
                <w:color w:val="auto"/>
              </w:rPr>
            </w:pPr>
            <w:r>
              <w:rPr>
                <w:rFonts w:ascii="Calibri" w:cs="Calibri" w:eastAsia="Calibri" w:hAnsi="Calibri"/>
                <w:sz w:val="18"/>
                <w:szCs w:val="18"/>
                <w:color w:val="auto"/>
              </w:rPr>
              <w:t>16.40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2"/>
              <w:spacing w:after="0" w:line="210" w:lineRule="exact"/>
              <w:rPr>
                <w:sz w:val="20"/>
                <w:szCs w:val="20"/>
                <w:color w:val="auto"/>
              </w:rPr>
            </w:pPr>
            <w:r>
              <w:rPr>
                <w:rFonts w:ascii="Calibri" w:cs="Calibri" w:eastAsia="Calibri" w:hAnsi="Calibri"/>
                <w:sz w:val="18"/>
                <w:szCs w:val="18"/>
                <w:color w:val="auto"/>
                <w:w w:val="87"/>
              </w:rPr>
              <w:t>$</w:t>
            </w:r>
          </w:p>
        </w:tc>
        <w:tc>
          <w:tcPr>
            <w:tcW w:w="1040" w:type="dxa"/>
            <w:vAlign w:val="bottom"/>
            <w:shd w:val="clear" w:color="auto" w:fill="CCEEFF"/>
          </w:tcPr>
          <w:p>
            <w:pPr>
              <w:jc w:val="right"/>
              <w:spacing w:after="0" w:line="210" w:lineRule="exact"/>
              <w:rPr>
                <w:sz w:val="20"/>
                <w:szCs w:val="20"/>
                <w:color w:val="auto"/>
              </w:rPr>
            </w:pPr>
            <w:r>
              <w:rPr>
                <w:rFonts w:ascii="Calibri" w:cs="Calibri" w:eastAsia="Calibri" w:hAnsi="Calibri"/>
                <w:sz w:val="18"/>
                <w:szCs w:val="18"/>
                <w:color w:val="auto"/>
              </w:rPr>
              <w:t>14.40</w:t>
            </w:r>
          </w:p>
        </w:tc>
      </w:tr>
      <w:tr>
        <w:trPr>
          <w:trHeight w:val="217"/>
        </w:trPr>
        <w:tc>
          <w:tcPr>
            <w:tcW w:w="6760" w:type="dxa"/>
            <w:vAlign w:val="bottom"/>
          </w:tcPr>
          <w:p>
            <w:pPr>
              <w:ind w:left="20"/>
              <w:spacing w:after="0" w:line="210" w:lineRule="exact"/>
              <w:rPr>
                <w:sz w:val="20"/>
                <w:szCs w:val="20"/>
                <w:color w:val="auto"/>
              </w:rPr>
            </w:pPr>
            <w:r>
              <w:rPr>
                <w:rFonts w:ascii="Calibri" w:cs="Calibri" w:eastAsia="Calibri" w:hAnsi="Calibri"/>
                <w:sz w:val="18"/>
                <w:szCs w:val="18"/>
                <w:color w:val="auto"/>
              </w:rPr>
              <w:t>Dividends to common stockholders</w:t>
            </w:r>
          </w:p>
        </w:tc>
        <w:tc>
          <w:tcPr>
            <w:tcW w:w="900" w:type="dxa"/>
            <w:vAlign w:val="bottom"/>
          </w:tcPr>
          <w:p>
            <w:pPr>
              <w:jc w:val="right"/>
              <w:ind w:right="716"/>
              <w:spacing w:after="0" w:line="210" w:lineRule="exact"/>
              <w:rPr>
                <w:sz w:val="20"/>
                <w:szCs w:val="20"/>
                <w:color w:val="auto"/>
              </w:rPr>
            </w:pPr>
            <w:r>
              <w:rPr>
                <w:rFonts w:ascii="Calibri" w:cs="Calibri" w:eastAsia="Calibri" w:hAnsi="Calibri"/>
                <w:sz w:val="18"/>
                <w:szCs w:val="18"/>
                <w:color w:val="auto"/>
                <w:w w:val="87"/>
              </w:rPr>
              <w:t>$</w:t>
            </w:r>
          </w:p>
        </w:tc>
        <w:tc>
          <w:tcPr>
            <w:tcW w:w="520" w:type="dxa"/>
            <w:vAlign w:val="bottom"/>
          </w:tcPr>
          <w:p>
            <w:pPr>
              <w:jc w:val="right"/>
              <w:spacing w:after="0" w:line="210" w:lineRule="exact"/>
              <w:rPr>
                <w:sz w:val="20"/>
                <w:szCs w:val="20"/>
                <w:color w:val="auto"/>
              </w:rPr>
            </w:pPr>
            <w:r>
              <w:rPr>
                <w:rFonts w:ascii="Calibri" w:cs="Calibri" w:eastAsia="Calibri" w:hAnsi="Calibri"/>
                <w:sz w:val="18"/>
                <w:szCs w:val="18"/>
                <w:color w:val="auto"/>
              </w:rPr>
              <w:t>7,645</w:t>
            </w:r>
          </w:p>
        </w:tc>
        <w:tc>
          <w:tcPr>
            <w:tcW w:w="100" w:type="dxa"/>
            <w:vAlign w:val="bottom"/>
          </w:tcPr>
          <w:p>
            <w:pPr>
              <w:spacing w:after="0"/>
              <w:rPr>
                <w:sz w:val="18"/>
                <w:szCs w:val="18"/>
                <w:color w:val="auto"/>
              </w:rPr>
            </w:pPr>
          </w:p>
        </w:tc>
        <w:tc>
          <w:tcPr>
            <w:tcW w:w="260" w:type="dxa"/>
            <w:vAlign w:val="bottom"/>
          </w:tcPr>
          <w:p>
            <w:pPr>
              <w:jc w:val="right"/>
              <w:ind w:right="52"/>
              <w:spacing w:after="0" w:line="210" w:lineRule="exact"/>
              <w:rPr>
                <w:sz w:val="20"/>
                <w:szCs w:val="20"/>
                <w:color w:val="auto"/>
              </w:rPr>
            </w:pPr>
            <w:r>
              <w:rPr>
                <w:rFonts w:ascii="Calibri" w:cs="Calibri" w:eastAsia="Calibri" w:hAnsi="Calibri"/>
                <w:sz w:val="18"/>
                <w:szCs w:val="18"/>
                <w:color w:val="auto"/>
              </w:rPr>
              <w:t>$</w:t>
            </w:r>
          </w:p>
        </w:tc>
        <w:tc>
          <w:tcPr>
            <w:tcW w:w="1180" w:type="dxa"/>
            <w:vAlign w:val="bottom"/>
          </w:tcPr>
          <w:p>
            <w:pPr>
              <w:jc w:val="right"/>
              <w:spacing w:after="0" w:line="210" w:lineRule="exact"/>
              <w:rPr>
                <w:sz w:val="20"/>
                <w:szCs w:val="20"/>
                <w:color w:val="auto"/>
              </w:rPr>
            </w:pPr>
            <w:r>
              <w:rPr>
                <w:rFonts w:ascii="Calibri" w:cs="Calibri" w:eastAsia="Calibri" w:hAnsi="Calibri"/>
                <w:sz w:val="18"/>
                <w:szCs w:val="18"/>
                <w:color w:val="auto"/>
              </w:rPr>
              <w:t>6,733</w:t>
            </w:r>
          </w:p>
        </w:tc>
        <w:tc>
          <w:tcPr>
            <w:tcW w:w="100" w:type="dxa"/>
            <w:vAlign w:val="bottom"/>
          </w:tcPr>
          <w:p>
            <w:pPr>
              <w:spacing w:after="0"/>
              <w:rPr>
                <w:sz w:val="18"/>
                <w:szCs w:val="18"/>
                <w:color w:val="auto"/>
              </w:rPr>
            </w:pPr>
          </w:p>
        </w:tc>
        <w:tc>
          <w:tcPr>
            <w:tcW w:w="380" w:type="dxa"/>
            <w:vAlign w:val="bottom"/>
          </w:tcPr>
          <w:p>
            <w:pPr>
              <w:jc w:val="right"/>
              <w:ind w:right="192"/>
              <w:spacing w:after="0" w:line="210" w:lineRule="exact"/>
              <w:rPr>
                <w:sz w:val="20"/>
                <w:szCs w:val="20"/>
                <w:color w:val="auto"/>
              </w:rPr>
            </w:pPr>
            <w:r>
              <w:rPr>
                <w:rFonts w:ascii="Calibri" w:cs="Calibri" w:eastAsia="Calibri" w:hAnsi="Calibri"/>
                <w:sz w:val="18"/>
                <w:szCs w:val="18"/>
                <w:color w:val="auto"/>
                <w:w w:val="87"/>
              </w:rPr>
              <w:t>$</w:t>
            </w:r>
          </w:p>
        </w:tc>
        <w:tc>
          <w:tcPr>
            <w:tcW w:w="1040" w:type="dxa"/>
            <w:vAlign w:val="bottom"/>
          </w:tcPr>
          <w:p>
            <w:pPr>
              <w:jc w:val="right"/>
              <w:spacing w:after="0" w:line="210" w:lineRule="exact"/>
              <w:rPr>
                <w:sz w:val="20"/>
                <w:szCs w:val="20"/>
                <w:color w:val="auto"/>
              </w:rPr>
            </w:pPr>
            <w:r>
              <w:rPr>
                <w:rFonts w:ascii="Calibri" w:cs="Calibri" w:eastAsia="Calibri" w:hAnsi="Calibri"/>
                <w:sz w:val="18"/>
                <w:szCs w:val="18"/>
                <w:color w:val="auto"/>
              </w:rPr>
              <w:t>5,913</w:t>
            </w:r>
          </w:p>
        </w:tc>
      </w:tr>
      <w:tr>
        <w:trPr>
          <w:trHeight w:val="232"/>
        </w:trPr>
        <w:tc>
          <w:tcPr>
            <w:tcW w:w="6760" w:type="dxa"/>
            <w:vAlign w:val="bottom"/>
            <w:shd w:val="clear" w:color="auto" w:fill="CCEEFF"/>
          </w:tcPr>
          <w:p>
            <w:pPr>
              <w:ind w:left="20"/>
              <w:spacing w:after="0" w:line="217" w:lineRule="exact"/>
              <w:rPr>
                <w:sz w:val="20"/>
                <w:szCs w:val="20"/>
                <w:color w:val="auto"/>
              </w:rPr>
            </w:pPr>
            <w:r>
              <w:rPr>
                <w:rFonts w:ascii="Calibri" w:cs="Calibri" w:eastAsia="Calibri" w:hAnsi="Calibri"/>
                <w:sz w:val="18"/>
                <w:szCs w:val="18"/>
                <w:color w:val="auto"/>
              </w:rPr>
              <w:t>Dividends per share to preferred stockholders</w:t>
            </w:r>
          </w:p>
        </w:tc>
        <w:tc>
          <w:tcPr>
            <w:tcW w:w="900" w:type="dxa"/>
            <w:vAlign w:val="bottom"/>
            <w:shd w:val="clear" w:color="auto" w:fill="CCEEFF"/>
          </w:tcPr>
          <w:p>
            <w:pPr>
              <w:jc w:val="right"/>
              <w:ind w:right="716"/>
              <w:spacing w:after="0" w:line="217" w:lineRule="exact"/>
              <w:rPr>
                <w:sz w:val="20"/>
                <w:szCs w:val="20"/>
                <w:color w:val="auto"/>
              </w:rPr>
            </w:pPr>
            <w:r>
              <w:rPr>
                <w:rFonts w:ascii="Calibri" w:cs="Calibri" w:eastAsia="Calibri" w:hAnsi="Calibri"/>
                <w:sz w:val="18"/>
                <w:szCs w:val="18"/>
                <w:color w:val="auto"/>
                <w:w w:val="87"/>
              </w:rPr>
              <w:t>$</w:t>
            </w:r>
          </w:p>
        </w:tc>
        <w:tc>
          <w:tcPr>
            <w:tcW w:w="620" w:type="dxa"/>
            <w:vAlign w:val="bottom"/>
            <w:gridSpan w:val="2"/>
            <w:shd w:val="clear" w:color="auto" w:fill="CCEEFF"/>
          </w:tcPr>
          <w:p>
            <w:pPr>
              <w:jc w:val="right"/>
              <w:ind w:right="160"/>
              <w:spacing w:after="0" w:line="217" w:lineRule="exact"/>
              <w:rPr>
                <w:sz w:val="20"/>
                <w:szCs w:val="20"/>
                <w:color w:val="auto"/>
              </w:rPr>
            </w:pPr>
            <w:r>
              <w:rPr>
                <w:rFonts w:ascii="Calibri" w:cs="Calibri" w:eastAsia="Calibri" w:hAnsi="Calibri"/>
                <w:sz w:val="18"/>
                <w:szCs w:val="18"/>
                <w:color w:val="auto"/>
              </w:rPr>
              <w:t>—</w:t>
            </w:r>
          </w:p>
        </w:tc>
        <w:tc>
          <w:tcPr>
            <w:tcW w:w="260" w:type="dxa"/>
            <w:vAlign w:val="bottom"/>
            <w:shd w:val="clear" w:color="auto" w:fill="CCEEFF"/>
          </w:tcPr>
          <w:p>
            <w:pPr>
              <w:jc w:val="right"/>
              <w:ind w:right="52"/>
              <w:spacing w:after="0" w:line="217" w:lineRule="exact"/>
              <w:rPr>
                <w:sz w:val="20"/>
                <w:szCs w:val="20"/>
                <w:color w:val="auto"/>
              </w:rPr>
            </w:pPr>
            <w:r>
              <w:rPr>
                <w:rFonts w:ascii="Calibri" w:cs="Calibri" w:eastAsia="Calibri" w:hAnsi="Calibri"/>
                <w:sz w:val="18"/>
                <w:szCs w:val="18"/>
                <w:color w:val="auto"/>
              </w:rPr>
              <w:t>$</w:t>
            </w:r>
          </w:p>
        </w:tc>
        <w:tc>
          <w:tcPr>
            <w:tcW w:w="1180" w:type="dxa"/>
            <w:vAlign w:val="bottom"/>
            <w:shd w:val="clear" w:color="auto" w:fill="CCEEFF"/>
          </w:tcPr>
          <w:p>
            <w:pPr>
              <w:jc w:val="right"/>
              <w:spacing w:after="0" w:line="217" w:lineRule="exact"/>
              <w:rPr>
                <w:sz w:val="20"/>
                <w:szCs w:val="20"/>
                <w:color w:val="auto"/>
              </w:rPr>
            </w:pPr>
            <w:r>
              <w:rPr>
                <w:rFonts w:ascii="Calibri" w:cs="Calibri" w:eastAsia="Calibri" w:hAnsi="Calibri"/>
                <w:sz w:val="18"/>
                <w:szCs w:val="18"/>
                <w:color w:val="auto"/>
              </w:rPr>
              <w:t>80.00</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92"/>
              <w:spacing w:after="0" w:line="217" w:lineRule="exact"/>
              <w:rPr>
                <w:sz w:val="20"/>
                <w:szCs w:val="20"/>
                <w:color w:val="auto"/>
              </w:rPr>
            </w:pPr>
            <w:r>
              <w:rPr>
                <w:rFonts w:ascii="Calibri" w:cs="Calibri" w:eastAsia="Calibri" w:hAnsi="Calibri"/>
                <w:sz w:val="18"/>
                <w:szCs w:val="18"/>
                <w:color w:val="auto"/>
                <w:w w:val="87"/>
              </w:rPr>
              <w:t>$</w:t>
            </w:r>
          </w:p>
        </w:tc>
        <w:tc>
          <w:tcPr>
            <w:tcW w:w="1040" w:type="dxa"/>
            <w:vAlign w:val="bottom"/>
            <w:shd w:val="clear" w:color="auto" w:fill="CCEEFF"/>
          </w:tcPr>
          <w:p>
            <w:pPr>
              <w:jc w:val="right"/>
              <w:spacing w:after="0" w:line="217" w:lineRule="exact"/>
              <w:rPr>
                <w:sz w:val="20"/>
                <w:szCs w:val="20"/>
                <w:color w:val="auto"/>
              </w:rPr>
            </w:pPr>
            <w:r>
              <w:rPr>
                <w:rFonts w:ascii="Calibri" w:cs="Calibri" w:eastAsia="Calibri" w:hAnsi="Calibri"/>
                <w:sz w:val="18"/>
                <w:szCs w:val="18"/>
                <w:color w:val="auto"/>
              </w:rPr>
              <w:t>80.00</w:t>
            </w:r>
          </w:p>
        </w:tc>
      </w:tr>
      <w:tr>
        <w:trPr>
          <w:trHeight w:val="210"/>
        </w:trPr>
        <w:tc>
          <w:tcPr>
            <w:tcW w:w="6760" w:type="dxa"/>
            <w:vAlign w:val="bottom"/>
          </w:tcPr>
          <w:p>
            <w:pPr>
              <w:ind w:left="20"/>
              <w:spacing w:after="0" w:line="210" w:lineRule="exact"/>
              <w:rPr>
                <w:sz w:val="20"/>
                <w:szCs w:val="20"/>
                <w:color w:val="auto"/>
              </w:rPr>
            </w:pPr>
            <w:r>
              <w:rPr>
                <w:rFonts w:ascii="Calibri" w:cs="Calibri" w:eastAsia="Calibri" w:hAnsi="Calibri"/>
                <w:sz w:val="18"/>
                <w:szCs w:val="18"/>
                <w:color w:val="auto"/>
              </w:rPr>
              <w:t>Dividends to preferred stockholders</w:t>
            </w:r>
          </w:p>
        </w:tc>
        <w:tc>
          <w:tcPr>
            <w:tcW w:w="900" w:type="dxa"/>
            <w:vAlign w:val="bottom"/>
          </w:tcPr>
          <w:p>
            <w:pPr>
              <w:jc w:val="right"/>
              <w:ind w:right="716"/>
              <w:spacing w:after="0" w:line="210" w:lineRule="exact"/>
              <w:rPr>
                <w:sz w:val="20"/>
                <w:szCs w:val="20"/>
                <w:color w:val="auto"/>
              </w:rPr>
            </w:pPr>
            <w:r>
              <w:rPr>
                <w:rFonts w:ascii="Calibri" w:cs="Calibri" w:eastAsia="Calibri" w:hAnsi="Calibri"/>
                <w:sz w:val="18"/>
                <w:szCs w:val="18"/>
                <w:color w:val="auto"/>
                <w:w w:val="87"/>
              </w:rPr>
              <w:t>$</w:t>
            </w:r>
          </w:p>
        </w:tc>
        <w:tc>
          <w:tcPr>
            <w:tcW w:w="620" w:type="dxa"/>
            <w:vAlign w:val="bottom"/>
            <w:gridSpan w:val="2"/>
          </w:tcPr>
          <w:p>
            <w:pPr>
              <w:jc w:val="right"/>
              <w:ind w:right="160"/>
              <w:spacing w:after="0" w:line="210" w:lineRule="exact"/>
              <w:rPr>
                <w:sz w:val="20"/>
                <w:szCs w:val="20"/>
                <w:color w:val="auto"/>
              </w:rPr>
            </w:pPr>
            <w:r>
              <w:rPr>
                <w:rFonts w:ascii="Calibri" w:cs="Calibri" w:eastAsia="Calibri" w:hAnsi="Calibri"/>
                <w:sz w:val="18"/>
                <w:szCs w:val="18"/>
                <w:color w:val="auto"/>
              </w:rPr>
              <w:t>—</w:t>
            </w:r>
          </w:p>
        </w:tc>
        <w:tc>
          <w:tcPr>
            <w:tcW w:w="260" w:type="dxa"/>
            <w:vAlign w:val="bottom"/>
          </w:tcPr>
          <w:p>
            <w:pPr>
              <w:jc w:val="right"/>
              <w:ind w:right="52"/>
              <w:spacing w:after="0" w:line="210" w:lineRule="exact"/>
              <w:rPr>
                <w:sz w:val="20"/>
                <w:szCs w:val="20"/>
                <w:color w:val="auto"/>
              </w:rPr>
            </w:pPr>
            <w:r>
              <w:rPr>
                <w:rFonts w:ascii="Calibri" w:cs="Calibri" w:eastAsia="Calibri" w:hAnsi="Calibri"/>
                <w:sz w:val="18"/>
                <w:szCs w:val="18"/>
                <w:color w:val="auto"/>
              </w:rPr>
              <w:t>$</w:t>
            </w:r>
          </w:p>
        </w:tc>
        <w:tc>
          <w:tcPr>
            <w:tcW w:w="1180" w:type="dxa"/>
            <w:vAlign w:val="bottom"/>
          </w:tcPr>
          <w:p>
            <w:pPr>
              <w:jc w:val="right"/>
              <w:spacing w:after="0" w:line="210" w:lineRule="exact"/>
              <w:rPr>
                <w:sz w:val="20"/>
                <w:szCs w:val="20"/>
                <w:color w:val="auto"/>
              </w:rPr>
            </w:pPr>
            <w:r>
              <w:rPr>
                <w:rFonts w:ascii="Calibri" w:cs="Calibri" w:eastAsia="Calibri" w:hAnsi="Calibri"/>
                <w:sz w:val="18"/>
                <w:szCs w:val="18"/>
                <w:color w:val="auto"/>
              </w:rPr>
              <w:t>299</w:t>
            </w:r>
          </w:p>
        </w:tc>
        <w:tc>
          <w:tcPr>
            <w:tcW w:w="100" w:type="dxa"/>
            <w:vAlign w:val="bottom"/>
          </w:tcPr>
          <w:p>
            <w:pPr>
              <w:spacing w:after="0"/>
              <w:rPr>
                <w:sz w:val="18"/>
                <w:szCs w:val="18"/>
                <w:color w:val="auto"/>
              </w:rPr>
            </w:pPr>
          </w:p>
        </w:tc>
        <w:tc>
          <w:tcPr>
            <w:tcW w:w="380" w:type="dxa"/>
            <w:vAlign w:val="bottom"/>
          </w:tcPr>
          <w:p>
            <w:pPr>
              <w:jc w:val="right"/>
              <w:ind w:right="192"/>
              <w:spacing w:after="0" w:line="210" w:lineRule="exact"/>
              <w:rPr>
                <w:sz w:val="20"/>
                <w:szCs w:val="20"/>
                <w:color w:val="auto"/>
              </w:rPr>
            </w:pPr>
            <w:r>
              <w:rPr>
                <w:rFonts w:ascii="Calibri" w:cs="Calibri" w:eastAsia="Calibri" w:hAnsi="Calibri"/>
                <w:sz w:val="18"/>
                <w:szCs w:val="18"/>
                <w:color w:val="auto"/>
                <w:w w:val="87"/>
              </w:rPr>
              <w:t>$</w:t>
            </w:r>
          </w:p>
        </w:tc>
        <w:tc>
          <w:tcPr>
            <w:tcW w:w="1040" w:type="dxa"/>
            <w:vAlign w:val="bottom"/>
          </w:tcPr>
          <w:p>
            <w:pPr>
              <w:jc w:val="right"/>
              <w:spacing w:after="0" w:line="210" w:lineRule="exact"/>
              <w:rPr>
                <w:sz w:val="20"/>
                <w:szCs w:val="20"/>
                <w:color w:val="auto"/>
              </w:rPr>
            </w:pPr>
            <w:r>
              <w:rPr>
                <w:rFonts w:ascii="Calibri" w:cs="Calibri" w:eastAsia="Calibri" w:hAnsi="Calibri"/>
                <w:sz w:val="18"/>
                <w:szCs w:val="18"/>
                <w:color w:val="auto"/>
              </w:rPr>
              <w:t>299</w:t>
            </w:r>
          </w:p>
        </w:tc>
      </w:tr>
    </w:tbl>
    <w:p>
      <w:pPr>
        <w:spacing w:after="0" w:line="192" w:lineRule="exact"/>
        <w:rPr>
          <w:sz w:val="20"/>
          <w:szCs w:val="20"/>
          <w:color w:val="auto"/>
        </w:rPr>
      </w:pPr>
    </w:p>
    <w:p>
      <w:pPr>
        <w:ind w:right="520" w:firstLine="396"/>
        <w:spacing w:after="0" w:line="247" w:lineRule="auto"/>
        <w:rPr>
          <w:sz w:val="20"/>
          <w:szCs w:val="20"/>
          <w:color w:val="auto"/>
        </w:rPr>
      </w:pPr>
      <w:r>
        <w:rPr>
          <w:rFonts w:ascii="Calibri" w:cs="Calibri" w:eastAsia="Calibri" w:hAnsi="Calibri"/>
          <w:sz w:val="17"/>
          <w:szCs w:val="17"/>
          <w:color w:val="auto"/>
        </w:rPr>
        <w:t>On September 30, 2019, we completed an ofering of approximately 4 million shares of Mandatory Convertble Preferred Stock, which generated net proceeds of approximately $3,679 million and would automatcally convert into shares of our common stock on September 30, 2022.</w:t>
      </w:r>
    </w:p>
    <w:p>
      <w:pPr>
        <w:spacing w:after="0" w:line="101" w:lineRule="exact"/>
        <w:rPr>
          <w:sz w:val="20"/>
          <w:szCs w:val="20"/>
          <w:color w:val="auto"/>
        </w:rPr>
      </w:pPr>
    </w:p>
    <w:p>
      <w:pPr>
        <w:ind w:right="60" w:firstLine="396"/>
        <w:spacing w:after="0" w:line="230" w:lineRule="auto"/>
        <w:rPr>
          <w:sz w:val="20"/>
          <w:szCs w:val="20"/>
          <w:color w:val="auto"/>
        </w:rPr>
      </w:pPr>
      <w:r>
        <w:rPr>
          <w:rFonts w:ascii="Calibri" w:cs="Calibri" w:eastAsia="Calibri" w:hAnsi="Calibri"/>
          <w:sz w:val="18"/>
          <w:szCs w:val="18"/>
          <w:color w:val="auto"/>
        </w:rPr>
        <w:t>The holders of Mandatory Convertble Preferred Stock were enttled to receive, when, as and if declared by our Board of Directors, or an authorized commitee thereof, out of funds legally available for payment, cumulatve dividends at the annual rate of 8.00% of the liquidaton preference of $1,000 per share (equivalent to $80 annually per share), payable in cash or, subject to certain limitatons, by delivery of shares of our common stock or any combinaton of cash and shares of our common stock, at our electon.</w:t>
      </w:r>
    </w:p>
    <w:p>
      <w:pPr>
        <w:spacing w:after="0" w:line="108" w:lineRule="exact"/>
        <w:rPr>
          <w:sz w:val="20"/>
          <w:szCs w:val="20"/>
          <w:color w:val="auto"/>
        </w:rPr>
      </w:pPr>
    </w:p>
    <w:p>
      <w:pPr>
        <w:jc w:val="both"/>
        <w:ind w:right="20" w:firstLine="396"/>
        <w:spacing w:after="0" w:line="230" w:lineRule="auto"/>
        <w:rPr>
          <w:sz w:val="20"/>
          <w:szCs w:val="20"/>
          <w:color w:val="auto"/>
        </w:rPr>
      </w:pPr>
      <w:r>
        <w:rPr>
          <w:rFonts w:ascii="Calibri" w:cs="Calibri" w:eastAsia="Calibri" w:hAnsi="Calibri"/>
          <w:sz w:val="18"/>
          <w:szCs w:val="18"/>
          <w:color w:val="auto"/>
        </w:rPr>
        <w:t>During fscal year 2022, outstanding shares of our Mandatory Convertble Preferred Stock converted into an aggregate of approximately 12 million shares of our common stock at conversion rates ranging between 3.0894 and 3.1149 common shares per share of Mandatory Convertble Preferred Stock. We paid cash in lieu of fractonal shares of common stock upon conversion.</w:t>
      </w:r>
    </w:p>
    <w:p>
      <w:pPr>
        <w:spacing w:after="0" w:line="98"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Stock Repurchase Programs</w:t>
      </w:r>
    </w:p>
    <w:p>
      <w:pPr>
        <w:spacing w:after="0" w:line="107" w:lineRule="exact"/>
        <w:rPr>
          <w:sz w:val="20"/>
          <w:szCs w:val="20"/>
          <w:color w:val="auto"/>
        </w:rPr>
      </w:pPr>
    </w:p>
    <w:p>
      <w:pPr>
        <w:ind w:right="40" w:firstLine="396"/>
        <w:spacing w:after="0" w:line="230" w:lineRule="auto"/>
        <w:rPr>
          <w:sz w:val="20"/>
          <w:szCs w:val="20"/>
          <w:color w:val="auto"/>
        </w:rPr>
      </w:pPr>
      <w:r>
        <w:rPr>
          <w:rFonts w:ascii="Calibri" w:cs="Calibri" w:eastAsia="Calibri" w:hAnsi="Calibri"/>
          <w:sz w:val="18"/>
          <w:szCs w:val="18"/>
          <w:color w:val="auto"/>
        </w:rPr>
        <w:t>In December 2021, our Board of Directors authorized a stock repurchase program to repurchase up to $10 billion of our common stock from tme to tme through December 31, 2022, which was subsequently extended to December 31, 2023. In May 2022, our Board of Directors authorized another stock repurchase program to repurchase up to an additonal $10 billion of our common stock from tme to tme through December 31, 2023. We repurchased and retred approximately 9 million and 12 million shares of our common stock for $5,824 million and $7,000 million under these stock repurchase programs during fscal years 2023 and 2022, respectvely.</w:t>
      </w:r>
    </w:p>
    <w:p>
      <w:pPr>
        <w:spacing w:after="0" w:line="109" w:lineRule="exact"/>
        <w:rPr>
          <w:sz w:val="20"/>
          <w:szCs w:val="20"/>
          <w:color w:val="auto"/>
        </w:rPr>
      </w:pPr>
    </w:p>
    <w:p>
      <w:pPr>
        <w:ind w:right="40" w:firstLine="396"/>
        <w:spacing w:after="0" w:line="230" w:lineRule="auto"/>
        <w:rPr>
          <w:sz w:val="20"/>
          <w:szCs w:val="20"/>
          <w:color w:val="auto"/>
        </w:rPr>
      </w:pPr>
      <w:r>
        <w:rPr>
          <w:rFonts w:ascii="Calibri" w:cs="Calibri" w:eastAsia="Calibri" w:hAnsi="Calibri"/>
          <w:sz w:val="18"/>
          <w:szCs w:val="18"/>
          <w:color w:val="auto"/>
        </w:rPr>
        <w:t>Repurchases under our stock repurchase programs may be efected through a variety of methods, including open market or privately negotated purchases. The tming and amount of shares repurchased will depend on the stock price, business and market conditons, corporate and regulatory requirements, alternatve investment opportunites, acquisiton opportunites, and other factors. We are not obligated to repurchase any specifc amount of shares of common stock, and the stock repurchase programs may be suspended or terminated at any tme.</w:t>
      </w:r>
    </w:p>
    <w:p>
      <w:pPr>
        <w:spacing w:after="0" w:line="99"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Equity Incentve Award Plan</w:t>
      </w:r>
    </w:p>
    <w:p>
      <w:pPr>
        <w:spacing w:after="0" w:line="97" w:lineRule="exact"/>
        <w:rPr>
          <w:sz w:val="20"/>
          <w:szCs w:val="20"/>
          <w:color w:val="auto"/>
        </w:rPr>
      </w:pPr>
    </w:p>
    <w:p>
      <w:pPr>
        <w:ind w:left="400"/>
        <w:spacing w:after="0"/>
        <w:rPr>
          <w:sz w:val="20"/>
          <w:szCs w:val="20"/>
          <w:color w:val="auto"/>
        </w:rPr>
      </w:pPr>
      <w:r>
        <w:rPr>
          <w:rFonts w:ascii="Calibri" w:cs="Calibri" w:eastAsia="Calibri" w:hAnsi="Calibri"/>
          <w:sz w:val="18"/>
          <w:szCs w:val="18"/>
          <w:b w:val="1"/>
          <w:bCs w:val="1"/>
          <w:i w:val="1"/>
          <w:iCs w:val="1"/>
          <w:color w:val="auto"/>
        </w:rPr>
        <w:t>2012 Plan</w:t>
      </w:r>
    </w:p>
    <w:p>
      <w:pPr>
        <w:spacing w:after="0" w:line="107" w:lineRule="exact"/>
        <w:rPr>
          <w:sz w:val="20"/>
          <w:szCs w:val="20"/>
          <w:color w:val="auto"/>
        </w:rPr>
      </w:pPr>
    </w:p>
    <w:p>
      <w:pPr>
        <w:ind w:right="20" w:firstLine="396"/>
        <w:spacing w:after="0" w:line="244" w:lineRule="auto"/>
        <w:rPr>
          <w:sz w:val="20"/>
          <w:szCs w:val="20"/>
          <w:color w:val="auto"/>
        </w:rPr>
      </w:pPr>
      <w:r>
        <w:rPr>
          <w:rFonts w:ascii="Calibri" w:cs="Calibri" w:eastAsia="Calibri" w:hAnsi="Calibri"/>
          <w:sz w:val="17"/>
          <w:szCs w:val="17"/>
          <w:color w:val="auto"/>
        </w:rPr>
        <w:t>In connecton with the acquisiton of BRCM, we assumed the BRCM 2012 Stock Incentve Plan (the “Original 2012 Plan”) and outstanding unvested RSUs originally granted by BRCM under the Original 2012 Plan that were held by contnuing employees. During the second quarter of fscal year 2021, our stockholders approved the amendment and restatement of the Original 2012 Plan, now called the Broadcom Inc. 2012 Stock Incentve Plan (the “Amended 2012 Plan”). Under the Amended 2012 Plan, we may grant stock optons and stock appreciaton rights with an exercise price that is no less than the fair market value on the date of grant, restricted stock awards, and RSUs to employees. No partcipant may be granted such awards for more than an aggregate of 4 million shares in any fscal year. Equity awards granted under the Amended 2012 Plan generally vest over four years. The Amended 2012 Plan reduced the number of shares available for new equity award grants to 20 million shares and removed the annual share replenishment provision provided under the Original 2012 Plan. During the second quarter of fscal year 2023, our stockholders approved the amendment and restatement of the Amended 2012 Plan to increase the number of shares of common stock authorized for issuance by 25 million shares. Awards cancelled or forfeited and shares withheld to satsfy tax withholding obligatons become available for future issuance. As of October 29, 2023, 36 million shares remained available for issuance under the Amended 2012 Plan.</w:t>
      </w:r>
    </w:p>
    <w:p>
      <w:pPr>
        <w:spacing w:after="0" w:line="109" w:lineRule="exact"/>
        <w:rPr>
          <w:sz w:val="20"/>
          <w:szCs w:val="20"/>
          <w:color w:val="auto"/>
        </w:rPr>
      </w:pPr>
    </w:p>
    <w:p>
      <w:pPr>
        <w:jc w:val="both"/>
        <w:ind w:right="180" w:firstLine="396"/>
        <w:spacing w:after="0" w:line="230" w:lineRule="auto"/>
        <w:rPr>
          <w:sz w:val="20"/>
          <w:szCs w:val="20"/>
          <w:color w:val="auto"/>
        </w:rPr>
      </w:pPr>
      <w:r>
        <w:rPr>
          <w:rFonts w:ascii="Calibri" w:cs="Calibri" w:eastAsia="Calibri" w:hAnsi="Calibri"/>
          <w:sz w:val="18"/>
          <w:szCs w:val="18"/>
          <w:color w:val="auto"/>
        </w:rPr>
        <w:t>We may grant market-based RSUs with both a service conditon and a market conditon as part of our equity compensaton programs. The market-based RSUs generally vest over four years, subject to satsfacton of market conditons. During fscal years 2023, 2022 and 2021, we granted market-based RSUs under which grantees may receive the number of</w:t>
      </w: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9" w:right="339" w:bottom="1440" w:gutter="0" w:footer="0" w:header="0"/>
        </w:sectPr>
      </w:pPr>
    </w:p>
    <w:bookmarkStart w:id="79" w:name="page80"/>
    <w:bookmarkEnd w:id="79"/>
    <w:p>
      <w:pPr>
        <w:spacing w:after="0"/>
        <w:rPr>
          <w:sz w:val="20"/>
          <w:szCs w:val="20"/>
          <w:color w:val="auto"/>
        </w:rPr>
      </w:pPr>
      <w:r>
        <w:rPr>
          <w:rFonts w:ascii="Calibri" w:cs="Calibri" w:eastAsia="Calibri" w:hAnsi="Calibri"/>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right="180"/>
        <w:spacing w:after="0" w:line="230" w:lineRule="auto"/>
        <w:rPr>
          <w:sz w:val="20"/>
          <w:szCs w:val="20"/>
          <w:color w:val="auto"/>
        </w:rPr>
      </w:pPr>
      <w:r>
        <w:rPr>
          <w:rFonts w:ascii="Calibri" w:cs="Calibri" w:eastAsia="Calibri" w:hAnsi="Calibri"/>
          <w:sz w:val="18"/>
          <w:szCs w:val="18"/>
          <w:color w:val="auto"/>
        </w:rPr>
        <w:t>shares ranging from 0% to 300% of the original grant at vestng based upon the total stockholder return (“TSR”) on our common stock on an absolute basis and as compared to the TSR of an index group of companies. During fscal year 2023, we also granted market-based RSUs vestng over fve years, subject to satsfacton of stock price performance milestones.</w:t>
      </w:r>
    </w:p>
    <w:p>
      <w:pPr>
        <w:spacing w:after="0" w:line="98"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Employee Stock Purchase Plan</w:t>
      </w:r>
    </w:p>
    <w:p>
      <w:pPr>
        <w:spacing w:after="0" w:line="107" w:lineRule="exact"/>
        <w:rPr>
          <w:sz w:val="20"/>
          <w:szCs w:val="20"/>
          <w:color w:val="auto"/>
        </w:rPr>
      </w:pPr>
    </w:p>
    <w:p>
      <w:pPr>
        <w:ind w:right="80" w:firstLine="396"/>
        <w:spacing w:after="0" w:line="230" w:lineRule="auto"/>
        <w:rPr>
          <w:sz w:val="20"/>
          <w:szCs w:val="20"/>
          <w:color w:val="auto"/>
        </w:rPr>
      </w:pPr>
      <w:r>
        <w:rPr>
          <w:rFonts w:ascii="Calibri" w:cs="Calibri" w:eastAsia="Calibri" w:hAnsi="Calibri"/>
          <w:sz w:val="18"/>
          <w:szCs w:val="18"/>
          <w:color w:val="auto"/>
        </w:rPr>
        <w:t>The ESPP provides eligible employees with the opportunity to acquire an ownership interest in us through periodic payroll deductons, based on a 6-month look-back period, at a price equal to the lesser of 85% of the fair market value of our common stock at either the beginning or the end of the relevant ofering period. The ESPP is structured as a qualifed employee stock purchase plan under Secton 423 of the Internal Revenue Code of 1986. However, the ESPP is not intended to be a qualifed pension, proft sharing or stock bonus plan under Secton 401(a) of the Internal Revenue Code of 1986 and is not subject to the provisions of the Employee Retrement Income Security Act of 1974.</w:t>
      </w:r>
    </w:p>
    <w:p>
      <w:pPr>
        <w:spacing w:after="0" w:line="99"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Stock-Based Compensaton Expense</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7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00" w:type="dxa"/>
            <w:vAlign w:val="bottom"/>
            <w:gridSpan w:val="2"/>
          </w:tcPr>
          <w:p>
            <w:pPr>
              <w:jc w:val="center"/>
              <w:ind w:right="340"/>
              <w:spacing w:after="0"/>
              <w:rPr>
                <w:sz w:val="20"/>
                <w:szCs w:val="20"/>
                <w:color w:val="auto"/>
              </w:rPr>
            </w:pPr>
            <w:r>
              <w:rPr>
                <w:rFonts w:ascii="Calibri" w:cs="Calibri" w:eastAsia="Calibri" w:hAnsi="Calibri"/>
                <w:sz w:val="14"/>
                <w:szCs w:val="14"/>
                <w:b w:val="1"/>
                <w:bCs w:val="1"/>
                <w:color w:val="auto"/>
                <w:w w:val="98"/>
              </w:rPr>
              <w:t>Fiscal Year</w:t>
            </w:r>
          </w:p>
        </w:tc>
        <w:tc>
          <w:tcPr>
            <w:tcW w:w="34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45"/>
        </w:trPr>
        <w:tc>
          <w:tcPr>
            <w:tcW w:w="6760" w:type="dxa"/>
            <w:vAlign w:val="bottom"/>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r>
      <w:tr>
        <w:trPr>
          <w:trHeight w:val="161"/>
        </w:trPr>
        <w:tc>
          <w:tcPr>
            <w:tcW w:w="6760" w:type="dxa"/>
            <w:vAlign w:val="bottom"/>
          </w:tcPr>
          <w:p>
            <w:pPr>
              <w:spacing w:after="0"/>
              <w:rPr>
                <w:sz w:val="13"/>
                <w:szCs w:val="13"/>
                <w:color w:val="auto"/>
              </w:rPr>
            </w:pPr>
          </w:p>
        </w:tc>
        <w:tc>
          <w:tcPr>
            <w:tcW w:w="900" w:type="dxa"/>
            <w:vAlign w:val="bottom"/>
          </w:tcPr>
          <w:p>
            <w:pPr>
              <w:jc w:val="right"/>
              <w:spacing w:after="0" w:line="161" w:lineRule="exact"/>
              <w:rPr>
                <w:sz w:val="20"/>
                <w:szCs w:val="20"/>
                <w:color w:val="auto"/>
              </w:rPr>
            </w:pPr>
            <w:r>
              <w:rPr>
                <w:rFonts w:ascii="Calibri" w:cs="Calibri" w:eastAsia="Calibri" w:hAnsi="Calibri"/>
                <w:sz w:val="14"/>
                <w:szCs w:val="14"/>
                <w:b w:val="1"/>
                <w:bCs w:val="1"/>
                <w:color w:val="auto"/>
              </w:rPr>
              <w:t>2023</w:t>
            </w: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0" w:type="dxa"/>
            <w:vAlign w:val="bottom"/>
          </w:tcPr>
          <w:p>
            <w:pPr>
              <w:jc w:val="center"/>
              <w:ind w:right="157"/>
              <w:spacing w:after="0" w:line="161" w:lineRule="exact"/>
              <w:rPr>
                <w:sz w:val="20"/>
                <w:szCs w:val="20"/>
                <w:color w:val="auto"/>
              </w:rPr>
            </w:pPr>
            <w:r>
              <w:rPr>
                <w:rFonts w:ascii="Calibri" w:cs="Calibri" w:eastAsia="Calibri" w:hAnsi="Calibri"/>
                <w:sz w:val="14"/>
                <w:szCs w:val="14"/>
                <w:b w:val="1"/>
                <w:bCs w:val="1"/>
                <w:color w:val="auto"/>
                <w:w w:val="98"/>
              </w:rPr>
              <w:t>2022</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80" w:type="dxa"/>
            <w:vAlign w:val="bottom"/>
          </w:tcPr>
          <w:p>
            <w:pPr>
              <w:jc w:val="right"/>
              <w:ind w:right="474"/>
              <w:spacing w:after="0" w:line="161" w:lineRule="exact"/>
              <w:rPr>
                <w:sz w:val="20"/>
                <w:szCs w:val="20"/>
                <w:color w:val="auto"/>
              </w:rPr>
            </w:pPr>
            <w:r>
              <w:rPr>
                <w:rFonts w:ascii="Calibri" w:cs="Calibri" w:eastAsia="Calibri" w:hAnsi="Calibri"/>
                <w:sz w:val="14"/>
                <w:szCs w:val="14"/>
                <w:b w:val="1"/>
                <w:bCs w:val="1"/>
                <w:color w:val="auto"/>
              </w:rPr>
              <w:t>2021</w:t>
            </w:r>
          </w:p>
        </w:tc>
      </w:tr>
      <w:tr>
        <w:trPr>
          <w:trHeight w:val="30"/>
        </w:trPr>
        <w:tc>
          <w:tcPr>
            <w:tcW w:w="676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86"/>
        </w:trPr>
        <w:tc>
          <w:tcPr>
            <w:tcW w:w="67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00" w:type="dxa"/>
            <w:vAlign w:val="bottom"/>
            <w:gridSpan w:val="2"/>
          </w:tcPr>
          <w:p>
            <w:pPr>
              <w:jc w:val="center"/>
              <w:ind w:right="340"/>
              <w:spacing w:after="0"/>
              <w:rPr>
                <w:sz w:val="20"/>
                <w:szCs w:val="20"/>
                <w:color w:val="auto"/>
              </w:rPr>
            </w:pPr>
            <w:r>
              <w:rPr>
                <w:rFonts w:ascii="Calibri" w:cs="Calibri" w:eastAsia="Calibri" w:hAnsi="Calibri"/>
                <w:sz w:val="14"/>
                <w:szCs w:val="14"/>
                <w:b w:val="1"/>
                <w:bCs w:val="1"/>
                <w:color w:val="auto"/>
                <w:w w:val="98"/>
              </w:rPr>
              <w:t>(In millions)</w:t>
            </w: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45"/>
        </w:trPr>
        <w:tc>
          <w:tcPr>
            <w:tcW w:w="6760" w:type="dxa"/>
            <w:vAlign w:val="bottom"/>
          </w:tcPr>
          <w:p>
            <w:pPr>
              <w:spacing w:after="0"/>
              <w:rPr>
                <w:sz w:val="3"/>
                <w:szCs w:val="3"/>
                <w:color w:val="auto"/>
              </w:rPr>
            </w:pPr>
          </w:p>
        </w:tc>
        <w:tc>
          <w:tcPr>
            <w:tcW w:w="9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80" w:type="dxa"/>
            <w:vAlign w:val="bottom"/>
          </w:tcPr>
          <w:p>
            <w:pPr>
              <w:spacing w:after="0"/>
              <w:rPr>
                <w:sz w:val="3"/>
                <w:szCs w:val="3"/>
                <w:color w:val="auto"/>
              </w:rPr>
            </w:pPr>
          </w:p>
        </w:tc>
      </w:tr>
      <w:tr>
        <w:trPr>
          <w:trHeight w:val="224"/>
        </w:trPr>
        <w:tc>
          <w:tcPr>
            <w:tcW w:w="6760" w:type="dxa"/>
            <w:vAlign w:val="bottom"/>
            <w:shd w:val="clear" w:color="auto" w:fill="CCEEFF"/>
          </w:tcPr>
          <w:p>
            <w:pPr>
              <w:ind w:left="20"/>
              <w:spacing w:after="0" w:line="210" w:lineRule="exact"/>
              <w:rPr>
                <w:sz w:val="20"/>
                <w:szCs w:val="20"/>
                <w:color w:val="auto"/>
              </w:rPr>
            </w:pPr>
            <w:r>
              <w:rPr>
                <w:rFonts w:ascii="Calibri" w:cs="Calibri" w:eastAsia="Calibri" w:hAnsi="Calibri"/>
                <w:sz w:val="18"/>
                <w:szCs w:val="18"/>
                <w:color w:val="auto"/>
              </w:rPr>
              <w:t>Cost of products sold</w:t>
            </w:r>
          </w:p>
        </w:tc>
        <w:tc>
          <w:tcPr>
            <w:tcW w:w="900" w:type="dxa"/>
            <w:vAlign w:val="bottom"/>
            <w:shd w:val="clear" w:color="auto" w:fill="CCEEFF"/>
          </w:tcPr>
          <w:p>
            <w:pPr>
              <w:jc w:val="right"/>
              <w:ind w:right="716"/>
              <w:spacing w:after="0" w:line="210" w:lineRule="exact"/>
              <w:rPr>
                <w:sz w:val="20"/>
                <w:szCs w:val="20"/>
                <w:color w:val="auto"/>
              </w:rPr>
            </w:pPr>
            <w:r>
              <w:rPr>
                <w:rFonts w:ascii="Calibri" w:cs="Calibri" w:eastAsia="Calibri" w:hAnsi="Calibri"/>
                <w:sz w:val="18"/>
                <w:szCs w:val="18"/>
                <w:color w:val="auto"/>
                <w:w w:val="87"/>
              </w:rPr>
              <w:t>$</w:t>
            </w:r>
          </w:p>
        </w:tc>
        <w:tc>
          <w:tcPr>
            <w:tcW w:w="520" w:type="dxa"/>
            <w:vAlign w:val="bottom"/>
            <w:shd w:val="clear" w:color="auto" w:fill="CCEEFF"/>
          </w:tcPr>
          <w:p>
            <w:pPr>
              <w:jc w:val="right"/>
              <w:spacing w:after="0" w:line="210" w:lineRule="exact"/>
              <w:rPr>
                <w:sz w:val="20"/>
                <w:szCs w:val="20"/>
                <w:color w:val="auto"/>
              </w:rPr>
            </w:pPr>
            <w:r>
              <w:rPr>
                <w:rFonts w:ascii="Calibri" w:cs="Calibri" w:eastAsia="Calibri" w:hAnsi="Calibri"/>
                <w:sz w:val="18"/>
                <w:szCs w:val="18"/>
                <w:color w:val="auto"/>
              </w:rPr>
              <w:t>88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2"/>
              <w:spacing w:after="0" w:line="210" w:lineRule="exact"/>
              <w:rPr>
                <w:sz w:val="20"/>
                <w:szCs w:val="20"/>
                <w:color w:val="auto"/>
              </w:rPr>
            </w:pPr>
            <w:r>
              <w:rPr>
                <w:rFonts w:ascii="Calibri" w:cs="Calibri" w:eastAsia="Calibri" w:hAnsi="Calibri"/>
                <w:sz w:val="18"/>
                <w:szCs w:val="18"/>
                <w:color w:val="auto"/>
              </w:rPr>
              <w:t>$</w:t>
            </w:r>
          </w:p>
        </w:tc>
        <w:tc>
          <w:tcPr>
            <w:tcW w:w="1200" w:type="dxa"/>
            <w:vAlign w:val="bottom"/>
            <w:shd w:val="clear" w:color="auto" w:fill="CCEEFF"/>
          </w:tcPr>
          <w:p>
            <w:pPr>
              <w:jc w:val="right"/>
              <w:spacing w:after="0" w:line="210" w:lineRule="exact"/>
              <w:rPr>
                <w:sz w:val="20"/>
                <w:szCs w:val="20"/>
                <w:color w:val="auto"/>
              </w:rPr>
            </w:pPr>
            <w:r>
              <w:rPr>
                <w:rFonts w:ascii="Calibri" w:cs="Calibri" w:eastAsia="Calibri" w:hAnsi="Calibri"/>
                <w:sz w:val="18"/>
                <w:szCs w:val="18"/>
                <w:color w:val="auto"/>
              </w:rPr>
              <w:t>65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2"/>
              <w:spacing w:after="0" w:line="210" w:lineRule="exact"/>
              <w:rPr>
                <w:sz w:val="20"/>
                <w:szCs w:val="20"/>
                <w:color w:val="auto"/>
              </w:rPr>
            </w:pPr>
            <w:r>
              <w:rPr>
                <w:rFonts w:ascii="Calibri" w:cs="Calibri" w:eastAsia="Calibri" w:hAnsi="Calibri"/>
                <w:sz w:val="18"/>
                <w:szCs w:val="18"/>
                <w:color w:val="auto"/>
                <w:w w:val="87"/>
              </w:rPr>
              <w:t>$</w:t>
            </w:r>
          </w:p>
        </w:tc>
        <w:tc>
          <w:tcPr>
            <w:tcW w:w="1080" w:type="dxa"/>
            <w:vAlign w:val="bottom"/>
            <w:shd w:val="clear" w:color="auto" w:fill="CCEEFF"/>
          </w:tcPr>
          <w:p>
            <w:pPr>
              <w:jc w:val="right"/>
              <w:spacing w:after="0" w:line="210" w:lineRule="exact"/>
              <w:rPr>
                <w:sz w:val="20"/>
                <w:szCs w:val="20"/>
                <w:color w:val="auto"/>
              </w:rPr>
            </w:pPr>
            <w:r>
              <w:rPr>
                <w:rFonts w:ascii="Calibri" w:cs="Calibri" w:eastAsia="Calibri" w:hAnsi="Calibri"/>
                <w:sz w:val="18"/>
                <w:szCs w:val="18"/>
                <w:color w:val="auto"/>
              </w:rPr>
              <w:t>78</w:t>
            </w:r>
          </w:p>
        </w:tc>
      </w:tr>
      <w:tr>
        <w:trPr>
          <w:trHeight w:val="217"/>
        </w:trPr>
        <w:tc>
          <w:tcPr>
            <w:tcW w:w="6760" w:type="dxa"/>
            <w:vAlign w:val="bottom"/>
          </w:tcPr>
          <w:p>
            <w:pPr>
              <w:ind w:left="20"/>
              <w:spacing w:after="0" w:line="210" w:lineRule="exact"/>
              <w:rPr>
                <w:sz w:val="20"/>
                <w:szCs w:val="20"/>
                <w:color w:val="auto"/>
              </w:rPr>
            </w:pPr>
            <w:r>
              <w:rPr>
                <w:rFonts w:ascii="Calibri" w:cs="Calibri" w:eastAsia="Calibri" w:hAnsi="Calibri"/>
                <w:sz w:val="18"/>
                <w:szCs w:val="18"/>
                <w:color w:val="auto"/>
              </w:rPr>
              <w:t>Cost of subscriptons and services</w:t>
            </w:r>
          </w:p>
        </w:tc>
        <w:tc>
          <w:tcPr>
            <w:tcW w:w="900" w:type="dxa"/>
            <w:vAlign w:val="bottom"/>
          </w:tcPr>
          <w:p>
            <w:pPr>
              <w:spacing w:after="0"/>
              <w:rPr>
                <w:sz w:val="18"/>
                <w:szCs w:val="18"/>
                <w:color w:val="auto"/>
              </w:rPr>
            </w:pPr>
          </w:p>
        </w:tc>
        <w:tc>
          <w:tcPr>
            <w:tcW w:w="520" w:type="dxa"/>
            <w:vAlign w:val="bottom"/>
          </w:tcPr>
          <w:p>
            <w:pPr>
              <w:jc w:val="right"/>
              <w:spacing w:after="0" w:line="210" w:lineRule="exact"/>
              <w:rPr>
                <w:sz w:val="20"/>
                <w:szCs w:val="20"/>
                <w:color w:val="auto"/>
              </w:rPr>
            </w:pPr>
            <w:r>
              <w:rPr>
                <w:rFonts w:ascii="Calibri" w:cs="Calibri" w:eastAsia="Calibri" w:hAnsi="Calibri"/>
                <w:sz w:val="18"/>
                <w:szCs w:val="18"/>
                <w:color w:val="auto"/>
              </w:rPr>
              <w:t>122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jc w:val="right"/>
              <w:spacing w:after="0" w:line="210" w:lineRule="exact"/>
              <w:rPr>
                <w:sz w:val="20"/>
                <w:szCs w:val="20"/>
                <w:color w:val="auto"/>
              </w:rPr>
            </w:pPr>
            <w:r>
              <w:rPr>
                <w:rFonts w:ascii="Calibri" w:cs="Calibri" w:eastAsia="Calibri" w:hAnsi="Calibri"/>
                <w:sz w:val="18"/>
                <w:szCs w:val="18"/>
                <w:color w:val="auto"/>
              </w:rPr>
              <w:t>82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line="210" w:lineRule="exact"/>
              <w:rPr>
                <w:sz w:val="20"/>
                <w:szCs w:val="20"/>
                <w:color w:val="auto"/>
              </w:rPr>
            </w:pPr>
            <w:r>
              <w:rPr>
                <w:rFonts w:ascii="Calibri" w:cs="Calibri" w:eastAsia="Calibri" w:hAnsi="Calibri"/>
                <w:sz w:val="18"/>
                <w:szCs w:val="18"/>
                <w:color w:val="auto"/>
              </w:rPr>
              <w:t>65</w:t>
            </w:r>
          </w:p>
        </w:tc>
      </w:tr>
      <w:tr>
        <w:trPr>
          <w:trHeight w:val="232"/>
        </w:trPr>
        <w:tc>
          <w:tcPr>
            <w:tcW w:w="6760" w:type="dxa"/>
            <w:vAlign w:val="bottom"/>
            <w:shd w:val="clear" w:color="auto" w:fill="CCEEFF"/>
          </w:tcPr>
          <w:p>
            <w:pPr>
              <w:ind w:left="20"/>
              <w:spacing w:after="0" w:line="217" w:lineRule="exact"/>
              <w:rPr>
                <w:sz w:val="20"/>
                <w:szCs w:val="20"/>
                <w:color w:val="auto"/>
              </w:rPr>
            </w:pPr>
            <w:r>
              <w:rPr>
                <w:rFonts w:ascii="Calibri" w:cs="Calibri" w:eastAsia="Calibri" w:hAnsi="Calibri"/>
                <w:sz w:val="18"/>
                <w:szCs w:val="18"/>
                <w:color w:val="auto"/>
              </w:rPr>
              <w:t>Research and development</w:t>
            </w:r>
          </w:p>
        </w:tc>
        <w:tc>
          <w:tcPr>
            <w:tcW w:w="900" w:type="dxa"/>
            <w:vAlign w:val="bottom"/>
            <w:shd w:val="clear" w:color="auto" w:fill="CCEEFF"/>
          </w:tcPr>
          <w:p>
            <w:pPr>
              <w:spacing w:after="0"/>
              <w:rPr>
                <w:sz w:val="20"/>
                <w:szCs w:val="20"/>
                <w:color w:val="auto"/>
              </w:rPr>
            </w:pPr>
          </w:p>
        </w:tc>
        <w:tc>
          <w:tcPr>
            <w:tcW w:w="520" w:type="dxa"/>
            <w:vAlign w:val="bottom"/>
            <w:shd w:val="clear" w:color="auto" w:fill="CCEEFF"/>
          </w:tcPr>
          <w:p>
            <w:pPr>
              <w:jc w:val="right"/>
              <w:spacing w:after="0" w:line="217" w:lineRule="exact"/>
              <w:rPr>
                <w:sz w:val="20"/>
                <w:szCs w:val="20"/>
                <w:color w:val="auto"/>
              </w:rPr>
            </w:pPr>
            <w:r>
              <w:rPr>
                <w:rFonts w:ascii="Calibri" w:cs="Calibri" w:eastAsia="Calibri" w:hAnsi="Calibri"/>
                <w:sz w:val="18"/>
                <w:szCs w:val="18"/>
                <w:color w:val="auto"/>
              </w:rPr>
              <w:t>1,513</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line="217" w:lineRule="exact"/>
              <w:rPr>
                <w:sz w:val="20"/>
                <w:szCs w:val="20"/>
                <w:color w:val="auto"/>
              </w:rPr>
            </w:pPr>
            <w:r>
              <w:rPr>
                <w:rFonts w:ascii="Calibri" w:cs="Calibri" w:eastAsia="Calibri" w:hAnsi="Calibri"/>
                <w:sz w:val="18"/>
                <w:szCs w:val="18"/>
                <w:color w:val="auto"/>
              </w:rPr>
              <w:t>1,048</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line="217" w:lineRule="exact"/>
              <w:rPr>
                <w:sz w:val="20"/>
                <w:szCs w:val="20"/>
                <w:color w:val="auto"/>
              </w:rPr>
            </w:pPr>
            <w:r>
              <w:rPr>
                <w:rFonts w:ascii="Calibri" w:cs="Calibri" w:eastAsia="Calibri" w:hAnsi="Calibri"/>
                <w:sz w:val="18"/>
                <w:szCs w:val="18"/>
                <w:color w:val="auto"/>
              </w:rPr>
              <w:t>1,199</w:t>
            </w:r>
          </w:p>
        </w:tc>
      </w:tr>
      <w:tr>
        <w:trPr>
          <w:trHeight w:val="218"/>
        </w:trPr>
        <w:tc>
          <w:tcPr>
            <w:tcW w:w="6760" w:type="dxa"/>
            <w:vAlign w:val="bottom"/>
            <w:tcBorders>
              <w:bottom w:val="single" w:sz="8" w:color="CCEEFF"/>
            </w:tcBorders>
          </w:tcPr>
          <w:p>
            <w:pPr>
              <w:ind w:left="20"/>
              <w:spacing w:after="0" w:line="210" w:lineRule="exact"/>
              <w:rPr>
                <w:sz w:val="20"/>
                <w:szCs w:val="20"/>
                <w:color w:val="auto"/>
              </w:rPr>
            </w:pPr>
            <w:r>
              <w:rPr>
                <w:rFonts w:ascii="Calibri" w:cs="Calibri" w:eastAsia="Calibri" w:hAnsi="Calibri"/>
                <w:sz w:val="18"/>
                <w:szCs w:val="18"/>
                <w:color w:val="auto"/>
              </w:rPr>
              <w:t>Selling, general and administratve</w:t>
            </w:r>
          </w:p>
        </w:tc>
        <w:tc>
          <w:tcPr>
            <w:tcW w:w="9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line="210" w:lineRule="exact"/>
              <w:rPr>
                <w:sz w:val="20"/>
                <w:szCs w:val="20"/>
                <w:color w:val="auto"/>
              </w:rPr>
            </w:pPr>
            <w:r>
              <w:rPr>
                <w:rFonts w:ascii="Calibri" w:cs="Calibri" w:eastAsia="Calibri" w:hAnsi="Calibri"/>
                <w:sz w:val="18"/>
                <w:szCs w:val="18"/>
                <w:color w:val="auto"/>
              </w:rPr>
              <w:t>448</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line="210" w:lineRule="exact"/>
              <w:rPr>
                <w:sz w:val="20"/>
                <w:szCs w:val="20"/>
                <w:color w:val="auto"/>
              </w:rPr>
            </w:pPr>
            <w:r>
              <w:rPr>
                <w:rFonts w:ascii="Calibri" w:cs="Calibri" w:eastAsia="Calibri" w:hAnsi="Calibri"/>
                <w:sz w:val="18"/>
                <w:szCs w:val="18"/>
                <w:color w:val="auto"/>
              </w:rPr>
              <w:t>338</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line="210" w:lineRule="exact"/>
              <w:rPr>
                <w:sz w:val="20"/>
                <w:szCs w:val="20"/>
                <w:color w:val="auto"/>
              </w:rPr>
            </w:pPr>
            <w:r>
              <w:rPr>
                <w:rFonts w:ascii="Calibri" w:cs="Calibri" w:eastAsia="Calibri" w:hAnsi="Calibri"/>
                <w:sz w:val="18"/>
                <w:szCs w:val="18"/>
                <w:color w:val="auto"/>
              </w:rPr>
              <w:t>362</w:t>
            </w:r>
          </w:p>
        </w:tc>
      </w:tr>
      <w:tr>
        <w:trPr>
          <w:trHeight w:val="249"/>
        </w:trPr>
        <w:tc>
          <w:tcPr>
            <w:tcW w:w="6760" w:type="dxa"/>
            <w:vAlign w:val="bottom"/>
            <w:tcBorders>
              <w:bottom w:val="single" w:sz="8" w:color="CCEEFF"/>
            </w:tcBorders>
            <w:shd w:val="clear" w:color="auto" w:fill="CCEEFF"/>
          </w:tcPr>
          <w:p>
            <w:pPr>
              <w:ind w:left="140"/>
              <w:spacing w:after="0"/>
              <w:rPr>
                <w:sz w:val="20"/>
                <w:szCs w:val="20"/>
                <w:color w:val="auto"/>
              </w:rPr>
            </w:pPr>
            <w:r>
              <w:rPr>
                <w:rFonts w:ascii="Calibri" w:cs="Calibri" w:eastAsia="Calibri" w:hAnsi="Calibri"/>
                <w:sz w:val="18"/>
                <w:szCs w:val="18"/>
                <w:color w:val="auto"/>
              </w:rPr>
              <w:t>Total stock-based compensaton expense</w:t>
            </w:r>
          </w:p>
        </w:tc>
        <w:tc>
          <w:tcPr>
            <w:tcW w:w="900" w:type="dxa"/>
            <w:vAlign w:val="bottom"/>
            <w:tcBorders>
              <w:bottom w:val="single" w:sz="8" w:color="auto"/>
            </w:tcBorders>
            <w:shd w:val="clear" w:color="auto" w:fill="CCEEFF"/>
          </w:tcPr>
          <w:p>
            <w:pPr>
              <w:jc w:val="right"/>
              <w:ind w:right="716"/>
              <w:spacing w:after="0" w:line="210" w:lineRule="exact"/>
              <w:rPr>
                <w:sz w:val="20"/>
                <w:szCs w:val="20"/>
                <w:color w:val="auto"/>
              </w:rPr>
            </w:pPr>
            <w:r>
              <w:rPr>
                <w:rFonts w:ascii="Calibri" w:cs="Calibri" w:eastAsia="Calibri" w:hAnsi="Calibri"/>
                <w:sz w:val="18"/>
                <w:szCs w:val="18"/>
                <w:color w:val="auto"/>
                <w:w w:val="87"/>
              </w:rPr>
              <w:t>$</w:t>
            </w:r>
          </w:p>
        </w:tc>
        <w:tc>
          <w:tcPr>
            <w:tcW w:w="520" w:type="dxa"/>
            <w:vAlign w:val="bottom"/>
            <w:tcBorders>
              <w:bottom w:val="single" w:sz="8" w:color="auto"/>
            </w:tcBorders>
            <w:shd w:val="clear" w:color="auto" w:fill="CCEEFF"/>
          </w:tcPr>
          <w:p>
            <w:pPr>
              <w:jc w:val="right"/>
              <w:spacing w:after="0" w:line="210" w:lineRule="exact"/>
              <w:rPr>
                <w:sz w:val="20"/>
                <w:szCs w:val="20"/>
                <w:color w:val="auto"/>
              </w:rPr>
            </w:pPr>
            <w:r>
              <w:rPr>
                <w:rFonts w:ascii="Calibri" w:cs="Calibri" w:eastAsia="Calibri" w:hAnsi="Calibri"/>
                <w:sz w:val="18"/>
                <w:szCs w:val="18"/>
                <w:color w:val="auto"/>
              </w:rPr>
              <w:t>2,171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2"/>
              <w:spacing w:after="0" w:line="210" w:lineRule="exact"/>
              <w:rPr>
                <w:sz w:val="20"/>
                <w:szCs w:val="20"/>
                <w:color w:val="auto"/>
              </w:rPr>
            </w:pPr>
            <w:r>
              <w:rPr>
                <w:rFonts w:ascii="Calibri" w:cs="Calibri" w:eastAsia="Calibri" w:hAnsi="Calibri"/>
                <w:sz w:val="18"/>
                <w:szCs w:val="18"/>
                <w:color w:val="auto"/>
              </w:rPr>
              <w:t>$</w:t>
            </w:r>
          </w:p>
        </w:tc>
        <w:tc>
          <w:tcPr>
            <w:tcW w:w="1200" w:type="dxa"/>
            <w:vAlign w:val="bottom"/>
            <w:tcBorders>
              <w:bottom w:val="single" w:sz="8" w:color="auto"/>
            </w:tcBorders>
            <w:shd w:val="clear" w:color="auto" w:fill="CCEEFF"/>
          </w:tcPr>
          <w:p>
            <w:pPr>
              <w:jc w:val="right"/>
              <w:spacing w:after="0" w:line="210" w:lineRule="exact"/>
              <w:rPr>
                <w:sz w:val="20"/>
                <w:szCs w:val="20"/>
                <w:color w:val="auto"/>
              </w:rPr>
            </w:pPr>
            <w:r>
              <w:rPr>
                <w:rFonts w:ascii="Calibri" w:cs="Calibri" w:eastAsia="Calibri" w:hAnsi="Calibri"/>
                <w:sz w:val="18"/>
                <w:szCs w:val="18"/>
                <w:color w:val="auto"/>
              </w:rPr>
              <w:t>1,533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2"/>
              <w:spacing w:after="0" w:line="210" w:lineRule="exact"/>
              <w:rPr>
                <w:sz w:val="20"/>
                <w:szCs w:val="20"/>
                <w:color w:val="auto"/>
              </w:rPr>
            </w:pPr>
            <w:r>
              <w:rPr>
                <w:rFonts w:ascii="Calibri" w:cs="Calibri" w:eastAsia="Calibri" w:hAnsi="Calibri"/>
                <w:sz w:val="18"/>
                <w:szCs w:val="18"/>
                <w:color w:val="auto"/>
                <w:w w:val="87"/>
              </w:rPr>
              <w:t>$</w:t>
            </w:r>
          </w:p>
        </w:tc>
        <w:tc>
          <w:tcPr>
            <w:tcW w:w="1080" w:type="dxa"/>
            <w:vAlign w:val="bottom"/>
            <w:tcBorders>
              <w:bottom w:val="single" w:sz="8" w:color="auto"/>
            </w:tcBorders>
            <w:shd w:val="clear" w:color="auto" w:fill="CCEEFF"/>
          </w:tcPr>
          <w:p>
            <w:pPr>
              <w:jc w:val="right"/>
              <w:spacing w:after="0" w:line="210" w:lineRule="exact"/>
              <w:rPr>
                <w:sz w:val="20"/>
                <w:szCs w:val="20"/>
                <w:color w:val="auto"/>
              </w:rPr>
            </w:pPr>
            <w:r>
              <w:rPr>
                <w:rFonts w:ascii="Calibri" w:cs="Calibri" w:eastAsia="Calibri" w:hAnsi="Calibri"/>
                <w:sz w:val="18"/>
                <w:szCs w:val="18"/>
                <w:color w:val="auto"/>
              </w:rPr>
              <w:t>1,704</w:t>
            </w: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r>
        <w:trPr>
          <w:trHeight w:val="210"/>
        </w:trPr>
        <w:tc>
          <w:tcPr>
            <w:tcW w:w="67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24"/>
        </w:trPr>
        <w:tc>
          <w:tcPr>
            <w:tcW w:w="6760" w:type="dxa"/>
            <w:vAlign w:val="bottom"/>
            <w:shd w:val="clear" w:color="auto" w:fill="CCEEFF"/>
          </w:tcPr>
          <w:p>
            <w:pPr>
              <w:ind w:left="20"/>
              <w:spacing w:after="0" w:line="210" w:lineRule="exact"/>
              <w:rPr>
                <w:sz w:val="20"/>
                <w:szCs w:val="20"/>
                <w:color w:val="auto"/>
              </w:rPr>
            </w:pPr>
            <w:r>
              <w:rPr>
                <w:rFonts w:ascii="Calibri" w:cs="Calibri" w:eastAsia="Calibri" w:hAnsi="Calibri"/>
                <w:sz w:val="18"/>
                <w:szCs w:val="18"/>
                <w:color w:val="auto"/>
              </w:rPr>
              <w:t>Estmated income tax benefts for stock-based compensaton</w:t>
            </w:r>
          </w:p>
        </w:tc>
        <w:tc>
          <w:tcPr>
            <w:tcW w:w="900" w:type="dxa"/>
            <w:vAlign w:val="bottom"/>
            <w:shd w:val="clear" w:color="auto" w:fill="CCEEFF"/>
          </w:tcPr>
          <w:p>
            <w:pPr>
              <w:jc w:val="right"/>
              <w:ind w:right="716"/>
              <w:spacing w:after="0" w:line="210" w:lineRule="exact"/>
              <w:rPr>
                <w:sz w:val="20"/>
                <w:szCs w:val="20"/>
                <w:color w:val="auto"/>
              </w:rPr>
            </w:pPr>
            <w:r>
              <w:rPr>
                <w:rFonts w:ascii="Calibri" w:cs="Calibri" w:eastAsia="Calibri" w:hAnsi="Calibri"/>
                <w:sz w:val="18"/>
                <w:szCs w:val="18"/>
                <w:color w:val="auto"/>
                <w:w w:val="87"/>
              </w:rPr>
              <w:t>$</w:t>
            </w:r>
          </w:p>
        </w:tc>
        <w:tc>
          <w:tcPr>
            <w:tcW w:w="520" w:type="dxa"/>
            <w:vAlign w:val="bottom"/>
            <w:shd w:val="clear" w:color="auto" w:fill="CCEEFF"/>
          </w:tcPr>
          <w:p>
            <w:pPr>
              <w:jc w:val="right"/>
              <w:spacing w:after="0" w:line="210" w:lineRule="exact"/>
              <w:rPr>
                <w:sz w:val="20"/>
                <w:szCs w:val="20"/>
                <w:color w:val="auto"/>
              </w:rPr>
            </w:pPr>
            <w:r>
              <w:rPr>
                <w:rFonts w:ascii="Calibri" w:cs="Calibri" w:eastAsia="Calibri" w:hAnsi="Calibri"/>
                <w:sz w:val="18"/>
                <w:szCs w:val="18"/>
                <w:color w:val="auto"/>
              </w:rPr>
              <w:t>367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2"/>
              <w:spacing w:after="0" w:line="210" w:lineRule="exact"/>
              <w:rPr>
                <w:sz w:val="20"/>
                <w:szCs w:val="20"/>
                <w:color w:val="auto"/>
              </w:rPr>
            </w:pPr>
            <w:r>
              <w:rPr>
                <w:rFonts w:ascii="Calibri" w:cs="Calibri" w:eastAsia="Calibri" w:hAnsi="Calibri"/>
                <w:sz w:val="18"/>
                <w:szCs w:val="18"/>
                <w:color w:val="auto"/>
              </w:rPr>
              <w:t>$</w:t>
            </w:r>
          </w:p>
        </w:tc>
        <w:tc>
          <w:tcPr>
            <w:tcW w:w="1200" w:type="dxa"/>
            <w:vAlign w:val="bottom"/>
            <w:shd w:val="clear" w:color="auto" w:fill="CCEEFF"/>
          </w:tcPr>
          <w:p>
            <w:pPr>
              <w:jc w:val="right"/>
              <w:spacing w:after="0" w:line="210" w:lineRule="exact"/>
              <w:rPr>
                <w:sz w:val="20"/>
                <w:szCs w:val="20"/>
                <w:color w:val="auto"/>
              </w:rPr>
            </w:pPr>
            <w:r>
              <w:rPr>
                <w:rFonts w:ascii="Calibri" w:cs="Calibri" w:eastAsia="Calibri" w:hAnsi="Calibri"/>
                <w:sz w:val="18"/>
                <w:szCs w:val="18"/>
                <w:color w:val="auto"/>
              </w:rPr>
              <w:t>255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2"/>
              <w:spacing w:after="0" w:line="210" w:lineRule="exact"/>
              <w:rPr>
                <w:sz w:val="20"/>
                <w:szCs w:val="20"/>
                <w:color w:val="auto"/>
              </w:rPr>
            </w:pPr>
            <w:r>
              <w:rPr>
                <w:rFonts w:ascii="Calibri" w:cs="Calibri" w:eastAsia="Calibri" w:hAnsi="Calibri"/>
                <w:sz w:val="18"/>
                <w:szCs w:val="18"/>
                <w:color w:val="auto"/>
                <w:w w:val="87"/>
              </w:rPr>
              <w:t>$</w:t>
            </w:r>
          </w:p>
        </w:tc>
        <w:tc>
          <w:tcPr>
            <w:tcW w:w="1080" w:type="dxa"/>
            <w:vAlign w:val="bottom"/>
            <w:shd w:val="clear" w:color="auto" w:fill="CCEEFF"/>
          </w:tcPr>
          <w:p>
            <w:pPr>
              <w:jc w:val="right"/>
              <w:spacing w:after="0" w:line="210" w:lineRule="exact"/>
              <w:rPr>
                <w:sz w:val="20"/>
                <w:szCs w:val="20"/>
                <w:color w:val="auto"/>
              </w:rPr>
            </w:pPr>
            <w:r>
              <w:rPr>
                <w:rFonts w:ascii="Calibri" w:cs="Calibri" w:eastAsia="Calibri" w:hAnsi="Calibri"/>
                <w:sz w:val="18"/>
                <w:szCs w:val="18"/>
                <w:color w:val="auto"/>
              </w:rPr>
              <w:t>283</w:t>
            </w:r>
          </w:p>
        </w:tc>
      </w:tr>
      <w:tr>
        <w:trPr>
          <w:trHeight w:val="210"/>
        </w:trPr>
        <w:tc>
          <w:tcPr>
            <w:tcW w:w="6760" w:type="dxa"/>
            <w:vAlign w:val="bottom"/>
          </w:tcPr>
          <w:p>
            <w:pPr>
              <w:ind w:left="20"/>
              <w:spacing w:after="0" w:line="210" w:lineRule="exact"/>
              <w:rPr>
                <w:sz w:val="20"/>
                <w:szCs w:val="20"/>
                <w:color w:val="auto"/>
              </w:rPr>
            </w:pPr>
            <w:r>
              <w:rPr>
                <w:rFonts w:ascii="Calibri" w:cs="Calibri" w:eastAsia="Calibri" w:hAnsi="Calibri"/>
                <w:sz w:val="18"/>
                <w:szCs w:val="18"/>
                <w:color w:val="auto"/>
              </w:rPr>
              <w:t>Excess income tax benefts for stock-based awards exercised or released</w:t>
            </w:r>
          </w:p>
        </w:tc>
        <w:tc>
          <w:tcPr>
            <w:tcW w:w="900" w:type="dxa"/>
            <w:vAlign w:val="bottom"/>
          </w:tcPr>
          <w:p>
            <w:pPr>
              <w:jc w:val="right"/>
              <w:ind w:right="716"/>
              <w:spacing w:after="0" w:line="210" w:lineRule="exact"/>
              <w:rPr>
                <w:sz w:val="20"/>
                <w:szCs w:val="20"/>
                <w:color w:val="auto"/>
              </w:rPr>
            </w:pPr>
            <w:r>
              <w:rPr>
                <w:rFonts w:ascii="Calibri" w:cs="Calibri" w:eastAsia="Calibri" w:hAnsi="Calibri"/>
                <w:sz w:val="18"/>
                <w:szCs w:val="18"/>
                <w:color w:val="auto"/>
                <w:w w:val="87"/>
              </w:rPr>
              <w:t>$</w:t>
            </w:r>
          </w:p>
        </w:tc>
        <w:tc>
          <w:tcPr>
            <w:tcW w:w="520" w:type="dxa"/>
            <w:vAlign w:val="bottom"/>
          </w:tcPr>
          <w:p>
            <w:pPr>
              <w:jc w:val="right"/>
              <w:spacing w:after="0" w:line="210" w:lineRule="exact"/>
              <w:rPr>
                <w:sz w:val="20"/>
                <w:szCs w:val="20"/>
                <w:color w:val="auto"/>
              </w:rPr>
            </w:pPr>
            <w:r>
              <w:rPr>
                <w:rFonts w:ascii="Calibri" w:cs="Calibri" w:eastAsia="Calibri" w:hAnsi="Calibri"/>
                <w:sz w:val="18"/>
                <w:szCs w:val="18"/>
                <w:color w:val="auto"/>
              </w:rPr>
              <w:t>507</w:t>
            </w:r>
          </w:p>
        </w:tc>
        <w:tc>
          <w:tcPr>
            <w:tcW w:w="100" w:type="dxa"/>
            <w:vAlign w:val="bottom"/>
          </w:tcPr>
          <w:p>
            <w:pPr>
              <w:spacing w:after="0"/>
              <w:rPr>
                <w:sz w:val="18"/>
                <w:szCs w:val="18"/>
                <w:color w:val="auto"/>
              </w:rPr>
            </w:pPr>
          </w:p>
        </w:tc>
        <w:tc>
          <w:tcPr>
            <w:tcW w:w="240" w:type="dxa"/>
            <w:vAlign w:val="bottom"/>
          </w:tcPr>
          <w:p>
            <w:pPr>
              <w:jc w:val="right"/>
              <w:ind w:right="32"/>
              <w:spacing w:after="0" w:line="210" w:lineRule="exact"/>
              <w:rPr>
                <w:sz w:val="20"/>
                <w:szCs w:val="20"/>
                <w:color w:val="auto"/>
              </w:rPr>
            </w:pPr>
            <w:r>
              <w:rPr>
                <w:rFonts w:ascii="Calibri" w:cs="Calibri" w:eastAsia="Calibri" w:hAnsi="Calibri"/>
                <w:sz w:val="18"/>
                <w:szCs w:val="18"/>
                <w:color w:val="auto"/>
              </w:rPr>
              <w:t>$</w:t>
            </w:r>
          </w:p>
        </w:tc>
        <w:tc>
          <w:tcPr>
            <w:tcW w:w="1200" w:type="dxa"/>
            <w:vAlign w:val="bottom"/>
          </w:tcPr>
          <w:p>
            <w:pPr>
              <w:jc w:val="right"/>
              <w:spacing w:after="0" w:line="210" w:lineRule="exact"/>
              <w:rPr>
                <w:sz w:val="20"/>
                <w:szCs w:val="20"/>
                <w:color w:val="auto"/>
              </w:rPr>
            </w:pPr>
            <w:r>
              <w:rPr>
                <w:rFonts w:ascii="Calibri" w:cs="Calibri" w:eastAsia="Calibri" w:hAnsi="Calibri"/>
                <w:sz w:val="18"/>
                <w:szCs w:val="18"/>
                <w:color w:val="auto"/>
              </w:rPr>
              <w:t>375</w:t>
            </w:r>
          </w:p>
        </w:tc>
        <w:tc>
          <w:tcPr>
            <w:tcW w:w="100" w:type="dxa"/>
            <w:vAlign w:val="bottom"/>
          </w:tcPr>
          <w:p>
            <w:pPr>
              <w:spacing w:after="0"/>
              <w:rPr>
                <w:sz w:val="18"/>
                <w:szCs w:val="18"/>
                <w:color w:val="auto"/>
              </w:rPr>
            </w:pPr>
          </w:p>
        </w:tc>
        <w:tc>
          <w:tcPr>
            <w:tcW w:w="340" w:type="dxa"/>
            <w:vAlign w:val="bottom"/>
          </w:tcPr>
          <w:p>
            <w:pPr>
              <w:jc w:val="right"/>
              <w:ind w:right="152"/>
              <w:spacing w:after="0" w:line="210" w:lineRule="exact"/>
              <w:rPr>
                <w:sz w:val="20"/>
                <w:szCs w:val="20"/>
                <w:color w:val="auto"/>
              </w:rPr>
            </w:pPr>
            <w:r>
              <w:rPr>
                <w:rFonts w:ascii="Calibri" w:cs="Calibri" w:eastAsia="Calibri" w:hAnsi="Calibri"/>
                <w:sz w:val="18"/>
                <w:szCs w:val="18"/>
                <w:color w:val="auto"/>
                <w:w w:val="87"/>
              </w:rPr>
              <w:t>$</w:t>
            </w:r>
          </w:p>
        </w:tc>
        <w:tc>
          <w:tcPr>
            <w:tcW w:w="1080" w:type="dxa"/>
            <w:vAlign w:val="bottom"/>
          </w:tcPr>
          <w:p>
            <w:pPr>
              <w:jc w:val="right"/>
              <w:spacing w:after="0" w:line="210" w:lineRule="exact"/>
              <w:rPr>
                <w:sz w:val="20"/>
                <w:szCs w:val="20"/>
                <w:color w:val="auto"/>
              </w:rPr>
            </w:pPr>
            <w:r>
              <w:rPr>
                <w:rFonts w:ascii="Calibri" w:cs="Calibri" w:eastAsia="Calibri" w:hAnsi="Calibri"/>
                <w:sz w:val="18"/>
                <w:szCs w:val="18"/>
                <w:color w:val="auto"/>
              </w:rPr>
              <w:t>310</w:t>
            </w:r>
          </w:p>
        </w:tc>
      </w:tr>
    </w:tbl>
    <w:p>
      <w:pPr>
        <w:spacing w:after="0" w:line="192" w:lineRule="exact"/>
        <w:rPr>
          <w:sz w:val="20"/>
          <w:szCs w:val="20"/>
          <w:color w:val="auto"/>
        </w:rPr>
      </w:pPr>
    </w:p>
    <w:p>
      <w:pPr>
        <w:ind w:right="100" w:firstLine="396"/>
        <w:spacing w:after="0" w:line="230" w:lineRule="auto"/>
        <w:rPr>
          <w:sz w:val="20"/>
          <w:szCs w:val="20"/>
          <w:color w:val="auto"/>
        </w:rPr>
      </w:pPr>
      <w:r>
        <w:rPr>
          <w:rFonts w:ascii="Calibri" w:cs="Calibri" w:eastAsia="Calibri" w:hAnsi="Calibri"/>
          <w:sz w:val="18"/>
          <w:szCs w:val="18"/>
          <w:color w:val="auto"/>
        </w:rPr>
        <w:t>We have assumed an annualized forfeiture rate for RSUs of 5%. We will recognize additonal expense if actual forfeitures are lower than we estmated, and will recognize a beneft if actual forfeitures are higher than we estmated.</w:t>
      </w:r>
    </w:p>
    <w:p>
      <w:pPr>
        <w:spacing w:after="0" w:line="107" w:lineRule="exact"/>
        <w:rPr>
          <w:sz w:val="20"/>
          <w:szCs w:val="20"/>
          <w:color w:val="auto"/>
        </w:rPr>
      </w:pPr>
    </w:p>
    <w:p>
      <w:pPr>
        <w:ind w:right="60" w:firstLine="396"/>
        <w:spacing w:after="0" w:line="230" w:lineRule="auto"/>
        <w:rPr>
          <w:sz w:val="20"/>
          <w:szCs w:val="20"/>
          <w:color w:val="auto"/>
        </w:rPr>
      </w:pPr>
      <w:r>
        <w:rPr>
          <w:rFonts w:ascii="Calibri" w:cs="Calibri" w:eastAsia="Calibri" w:hAnsi="Calibri"/>
          <w:sz w:val="18"/>
          <w:szCs w:val="18"/>
          <w:color w:val="auto"/>
        </w:rPr>
        <w:t>During the frst quarter of fscal year 2019, the Compensaton Commitee of our Board of Directors approved a broad-based program of mult-year equity grants of tme- and market-based RSUs (the “Mult-Year Equity Awards”) in lieu of our annual employee equity awards historically granted on March 15 of each year. Each Mult-Year Equity Award vests on the same basis as four annual grants made March 15 of each year, beginning in fscal year 2019, with successive four-year vestng periods. Stock-based compensaton expense related to the Mult-Year Equity Awards was $596 million, $794 million and $816 million for fscal years 2023, 2022 and 2021, respectvely.</w:t>
      </w:r>
    </w:p>
    <w:p>
      <w:pPr>
        <w:spacing w:after="0" w:line="109" w:lineRule="exact"/>
        <w:rPr>
          <w:sz w:val="20"/>
          <w:szCs w:val="20"/>
          <w:color w:val="auto"/>
        </w:rPr>
      </w:pPr>
    </w:p>
    <w:p>
      <w:pPr>
        <w:ind w:right="380" w:firstLine="396"/>
        <w:spacing w:after="0" w:line="230" w:lineRule="auto"/>
        <w:rPr>
          <w:sz w:val="20"/>
          <w:szCs w:val="20"/>
          <w:color w:val="auto"/>
        </w:rPr>
      </w:pPr>
      <w:r>
        <w:rPr>
          <w:rFonts w:ascii="Calibri" w:cs="Calibri" w:eastAsia="Calibri" w:hAnsi="Calibri"/>
          <w:sz w:val="18"/>
          <w:szCs w:val="18"/>
          <w:color w:val="auto"/>
        </w:rPr>
        <w:t>As of October 29, 2023, the total unrecognized compensaton cost related to unvested stock-based awards was $6,375 million, which is expected to be recognized over the remaining weighted-average service period of 3.4 years.</w:t>
      </w:r>
    </w:p>
    <w:p>
      <w:pPr>
        <w:spacing w:after="0" w:line="107" w:lineRule="exact"/>
        <w:rPr>
          <w:sz w:val="20"/>
          <w:szCs w:val="20"/>
          <w:color w:val="auto"/>
        </w:rPr>
      </w:pPr>
    </w:p>
    <w:p>
      <w:pPr>
        <w:ind w:right="540" w:firstLine="396"/>
        <w:spacing w:after="0" w:line="230" w:lineRule="auto"/>
        <w:rPr>
          <w:sz w:val="20"/>
          <w:szCs w:val="20"/>
          <w:color w:val="auto"/>
        </w:rPr>
      </w:pPr>
      <w:r>
        <w:rPr>
          <w:rFonts w:ascii="Calibri" w:cs="Calibri" w:eastAsia="Calibri" w:hAnsi="Calibri"/>
          <w:sz w:val="18"/>
          <w:szCs w:val="18"/>
          <w:color w:val="auto"/>
        </w:rPr>
        <w:t>The following table summarizes the weighted-average assumptons utlized to calculate the fair value of market-based awards granted in the periods presented:</w:t>
      </w:r>
    </w:p>
    <w:p>
      <w:pPr>
        <w:spacing w:after="0" w:line="136" w:lineRule="exact"/>
        <w:rPr>
          <w:sz w:val="20"/>
          <w:szCs w:val="20"/>
          <w:color w:val="auto"/>
        </w:rPr>
      </w:pPr>
    </w:p>
    <w:p>
      <w:pPr>
        <w:ind w:left="8580"/>
        <w:spacing w:after="0"/>
        <w:rPr>
          <w:sz w:val="20"/>
          <w:szCs w:val="20"/>
          <w:color w:val="auto"/>
        </w:rPr>
      </w:pPr>
      <w:r>
        <w:rPr>
          <w:rFonts w:ascii="Calibri" w:cs="Calibri" w:eastAsia="Calibri" w:hAnsi="Calibri"/>
          <w:sz w:val="14"/>
          <w:szCs w:val="14"/>
          <w:b w:val="1"/>
          <w:bCs w:val="1"/>
          <w:color w:val="auto"/>
        </w:rPr>
        <w:t>Fiscal Year</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6520" w:type="dxa"/>
            <w:vAlign w:val="bottom"/>
          </w:tcPr>
          <w:p>
            <w:pPr>
              <w:spacing w:after="0"/>
              <w:rPr>
                <w:sz w:val="15"/>
                <w:szCs w:val="15"/>
                <w:color w:val="auto"/>
              </w:rPr>
            </w:pPr>
          </w:p>
        </w:tc>
        <w:tc>
          <w:tcPr>
            <w:tcW w:w="960" w:type="dxa"/>
            <w:vAlign w:val="bottom"/>
            <w:tcBorders>
              <w:top w:val="single" w:sz="8" w:color="auto"/>
            </w:tcBorders>
          </w:tcPr>
          <w:p>
            <w:pPr>
              <w:jc w:val="right"/>
              <w:spacing w:after="0"/>
              <w:rPr>
                <w:sz w:val="20"/>
                <w:szCs w:val="20"/>
                <w:color w:val="auto"/>
              </w:rPr>
            </w:pPr>
            <w:r>
              <w:rPr>
                <w:rFonts w:ascii="Calibri" w:cs="Calibri" w:eastAsia="Calibri" w:hAnsi="Calibri"/>
                <w:sz w:val="14"/>
                <w:szCs w:val="14"/>
                <w:b w:val="1"/>
                <w:bCs w:val="1"/>
                <w:color w:val="auto"/>
              </w:rPr>
              <w:t>2023</w:t>
            </w:r>
          </w:p>
        </w:tc>
        <w:tc>
          <w:tcPr>
            <w:tcW w:w="54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520" w:type="dxa"/>
            <w:vAlign w:val="bottom"/>
            <w:tcBorders>
              <w:top w:val="single" w:sz="8" w:color="auto"/>
            </w:tcBorders>
          </w:tcPr>
          <w:p>
            <w:pPr>
              <w:jc w:val="right"/>
              <w:ind w:right="536"/>
              <w:spacing w:after="0"/>
              <w:rPr>
                <w:sz w:val="20"/>
                <w:szCs w:val="20"/>
                <w:color w:val="auto"/>
              </w:rPr>
            </w:pPr>
            <w:r>
              <w:rPr>
                <w:rFonts w:ascii="Calibri" w:cs="Calibri" w:eastAsia="Calibri" w:hAnsi="Calibri"/>
                <w:sz w:val="14"/>
                <w:szCs w:val="14"/>
                <w:b w:val="1"/>
                <w:bCs w:val="1"/>
                <w:color w:val="auto"/>
              </w:rPr>
              <w:t>2022</w:t>
            </w:r>
          </w:p>
        </w:tc>
        <w:tc>
          <w:tcPr>
            <w:tcW w:w="100" w:type="dxa"/>
            <w:vAlign w:val="bottom"/>
            <w:tcBorders>
              <w:top w:val="single" w:sz="8" w:color="auto"/>
            </w:tcBorders>
          </w:tcPr>
          <w:p>
            <w:pPr>
              <w:spacing w:after="0"/>
              <w:rPr>
                <w:sz w:val="15"/>
                <w:szCs w:val="15"/>
                <w:color w:val="auto"/>
              </w:rPr>
            </w:pPr>
          </w:p>
        </w:tc>
        <w:tc>
          <w:tcPr>
            <w:tcW w:w="1500" w:type="dxa"/>
            <w:vAlign w:val="bottom"/>
            <w:tcBorders>
              <w:top w:val="single" w:sz="8" w:color="auto"/>
            </w:tcBorders>
          </w:tcPr>
          <w:p>
            <w:pPr>
              <w:jc w:val="right"/>
              <w:ind w:right="516"/>
              <w:spacing w:after="0"/>
              <w:rPr>
                <w:sz w:val="20"/>
                <w:szCs w:val="20"/>
                <w:color w:val="auto"/>
              </w:rPr>
            </w:pPr>
            <w:r>
              <w:rPr>
                <w:rFonts w:ascii="Calibri" w:cs="Calibri" w:eastAsia="Calibri" w:hAnsi="Calibri"/>
                <w:sz w:val="14"/>
                <w:szCs w:val="14"/>
                <w:b w:val="1"/>
                <w:bCs w:val="1"/>
                <w:color w:val="auto"/>
              </w:rPr>
              <w:t>2021</w:t>
            </w:r>
          </w:p>
        </w:tc>
      </w:tr>
      <w:tr>
        <w:trPr>
          <w:trHeight w:val="30"/>
        </w:trPr>
        <w:tc>
          <w:tcPr>
            <w:tcW w:w="65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18"/>
        </w:trPr>
        <w:tc>
          <w:tcPr>
            <w:tcW w:w="6520" w:type="dxa"/>
            <w:vAlign w:val="bottom"/>
            <w:shd w:val="clear" w:color="auto" w:fill="CCEEFF"/>
          </w:tcPr>
          <w:p>
            <w:pPr>
              <w:ind w:left="20"/>
              <w:spacing w:after="0" w:line="196" w:lineRule="exact"/>
              <w:rPr>
                <w:sz w:val="20"/>
                <w:szCs w:val="20"/>
                <w:color w:val="auto"/>
              </w:rPr>
            </w:pPr>
            <w:r>
              <w:rPr>
                <w:rFonts w:ascii="Calibri" w:cs="Calibri" w:eastAsia="Calibri" w:hAnsi="Calibri"/>
                <w:sz w:val="18"/>
                <w:szCs w:val="18"/>
                <w:color w:val="auto"/>
              </w:rPr>
              <w:t>Risk-free interest rate</w:t>
            </w:r>
          </w:p>
        </w:tc>
        <w:tc>
          <w:tcPr>
            <w:tcW w:w="9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line="210" w:lineRule="exact"/>
              <w:rPr>
                <w:sz w:val="20"/>
                <w:szCs w:val="20"/>
                <w:color w:val="auto"/>
              </w:rPr>
            </w:pPr>
            <w:r>
              <w:rPr>
                <w:rFonts w:ascii="Calibri" w:cs="Calibri" w:eastAsia="Calibri" w:hAnsi="Calibri"/>
                <w:sz w:val="18"/>
                <w:szCs w:val="18"/>
                <w:color w:val="auto"/>
              </w:rPr>
              <w:t>4.0 %</w:t>
            </w:r>
          </w:p>
        </w:tc>
        <w:tc>
          <w:tcPr>
            <w:tcW w:w="10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line="210" w:lineRule="exact"/>
              <w:rPr>
                <w:sz w:val="20"/>
                <w:szCs w:val="20"/>
                <w:color w:val="auto"/>
              </w:rPr>
            </w:pPr>
            <w:r>
              <w:rPr>
                <w:rFonts w:ascii="Calibri" w:cs="Calibri" w:eastAsia="Calibri" w:hAnsi="Calibri"/>
                <w:sz w:val="18"/>
                <w:szCs w:val="18"/>
                <w:color w:val="auto"/>
              </w:rPr>
              <w:t>1.4 %</w:t>
            </w:r>
          </w:p>
        </w:tc>
        <w:tc>
          <w:tcPr>
            <w:tcW w:w="10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line="210" w:lineRule="exact"/>
              <w:rPr>
                <w:sz w:val="20"/>
                <w:szCs w:val="20"/>
                <w:color w:val="auto"/>
              </w:rPr>
            </w:pPr>
            <w:r>
              <w:rPr>
                <w:rFonts w:ascii="Calibri" w:cs="Calibri" w:eastAsia="Calibri" w:hAnsi="Calibri"/>
                <w:sz w:val="18"/>
                <w:szCs w:val="18"/>
                <w:color w:val="auto"/>
              </w:rPr>
              <w:t>0.3 %</w:t>
            </w:r>
          </w:p>
        </w:tc>
      </w:tr>
      <w:tr>
        <w:trPr>
          <w:trHeight w:val="217"/>
        </w:trPr>
        <w:tc>
          <w:tcPr>
            <w:tcW w:w="7480" w:type="dxa"/>
            <w:vAlign w:val="bottom"/>
            <w:gridSpan w:val="2"/>
          </w:tcPr>
          <w:p>
            <w:pPr>
              <w:ind w:left="20"/>
              <w:spacing w:after="0" w:line="210" w:lineRule="exact"/>
              <w:rPr>
                <w:sz w:val="20"/>
                <w:szCs w:val="20"/>
                <w:color w:val="auto"/>
              </w:rPr>
            </w:pPr>
            <w:r>
              <w:rPr>
                <w:rFonts w:ascii="Calibri" w:cs="Calibri" w:eastAsia="Calibri" w:hAnsi="Calibri"/>
                <w:sz w:val="18"/>
                <w:szCs w:val="18"/>
                <w:color w:val="auto"/>
              </w:rPr>
              <w:t>Dividend yield</w:t>
            </w:r>
          </w:p>
        </w:tc>
        <w:tc>
          <w:tcPr>
            <w:tcW w:w="540" w:type="dxa"/>
            <w:vAlign w:val="bottom"/>
          </w:tcPr>
          <w:p>
            <w:pPr>
              <w:jc w:val="right"/>
              <w:spacing w:after="0" w:line="210" w:lineRule="exact"/>
              <w:rPr>
                <w:sz w:val="20"/>
                <w:szCs w:val="20"/>
                <w:color w:val="auto"/>
              </w:rPr>
            </w:pPr>
            <w:r>
              <w:rPr>
                <w:rFonts w:ascii="Calibri" w:cs="Calibri" w:eastAsia="Calibri" w:hAnsi="Calibri"/>
                <w:sz w:val="18"/>
                <w:szCs w:val="18"/>
                <w:color w:val="auto"/>
              </w:rPr>
              <w:t>3.3 %</w:t>
            </w:r>
          </w:p>
        </w:tc>
        <w:tc>
          <w:tcPr>
            <w:tcW w:w="100" w:type="dxa"/>
            <w:vAlign w:val="bottom"/>
          </w:tcPr>
          <w:p>
            <w:pPr>
              <w:spacing w:after="0"/>
              <w:rPr>
                <w:sz w:val="18"/>
                <w:szCs w:val="18"/>
                <w:color w:val="auto"/>
              </w:rPr>
            </w:pPr>
          </w:p>
        </w:tc>
        <w:tc>
          <w:tcPr>
            <w:tcW w:w="1520" w:type="dxa"/>
            <w:vAlign w:val="bottom"/>
          </w:tcPr>
          <w:p>
            <w:pPr>
              <w:jc w:val="right"/>
              <w:spacing w:after="0" w:line="210" w:lineRule="exact"/>
              <w:rPr>
                <w:sz w:val="20"/>
                <w:szCs w:val="20"/>
                <w:color w:val="auto"/>
              </w:rPr>
            </w:pPr>
            <w:r>
              <w:rPr>
                <w:rFonts w:ascii="Calibri" w:cs="Calibri" w:eastAsia="Calibri" w:hAnsi="Calibri"/>
                <w:sz w:val="18"/>
                <w:szCs w:val="18"/>
                <w:color w:val="auto"/>
              </w:rPr>
              <w:t>2.7 %</w:t>
            </w:r>
          </w:p>
        </w:tc>
        <w:tc>
          <w:tcPr>
            <w:tcW w:w="100" w:type="dxa"/>
            <w:vAlign w:val="bottom"/>
          </w:tcPr>
          <w:p>
            <w:pPr>
              <w:spacing w:after="0"/>
              <w:rPr>
                <w:sz w:val="18"/>
                <w:szCs w:val="18"/>
                <w:color w:val="auto"/>
              </w:rPr>
            </w:pPr>
          </w:p>
        </w:tc>
        <w:tc>
          <w:tcPr>
            <w:tcW w:w="1500" w:type="dxa"/>
            <w:vAlign w:val="bottom"/>
          </w:tcPr>
          <w:p>
            <w:pPr>
              <w:jc w:val="right"/>
              <w:spacing w:after="0" w:line="210" w:lineRule="exact"/>
              <w:rPr>
                <w:sz w:val="20"/>
                <w:szCs w:val="20"/>
                <w:color w:val="auto"/>
              </w:rPr>
            </w:pPr>
            <w:r>
              <w:rPr>
                <w:rFonts w:ascii="Calibri" w:cs="Calibri" w:eastAsia="Calibri" w:hAnsi="Calibri"/>
                <w:sz w:val="18"/>
                <w:szCs w:val="18"/>
                <w:color w:val="auto"/>
              </w:rPr>
              <w:t>3.0 %</w:t>
            </w:r>
          </w:p>
        </w:tc>
      </w:tr>
      <w:tr>
        <w:trPr>
          <w:trHeight w:val="232"/>
        </w:trPr>
        <w:tc>
          <w:tcPr>
            <w:tcW w:w="7480" w:type="dxa"/>
            <w:vAlign w:val="bottom"/>
            <w:gridSpan w:val="2"/>
            <w:shd w:val="clear" w:color="auto" w:fill="CCEEFF"/>
          </w:tcPr>
          <w:p>
            <w:pPr>
              <w:ind w:left="20"/>
              <w:spacing w:after="0" w:line="217" w:lineRule="exact"/>
              <w:rPr>
                <w:sz w:val="20"/>
                <w:szCs w:val="20"/>
                <w:color w:val="auto"/>
              </w:rPr>
            </w:pPr>
            <w:r>
              <w:rPr>
                <w:rFonts w:ascii="Calibri" w:cs="Calibri" w:eastAsia="Calibri" w:hAnsi="Calibri"/>
                <w:sz w:val="18"/>
                <w:szCs w:val="18"/>
                <w:color w:val="auto"/>
              </w:rPr>
              <w:t>Volatlity</w:t>
            </w:r>
          </w:p>
        </w:tc>
        <w:tc>
          <w:tcPr>
            <w:tcW w:w="540" w:type="dxa"/>
            <w:vAlign w:val="bottom"/>
            <w:shd w:val="clear" w:color="auto" w:fill="CCEEFF"/>
          </w:tcPr>
          <w:p>
            <w:pPr>
              <w:jc w:val="right"/>
              <w:spacing w:after="0" w:line="217" w:lineRule="exact"/>
              <w:rPr>
                <w:sz w:val="20"/>
                <w:szCs w:val="20"/>
                <w:color w:val="auto"/>
              </w:rPr>
            </w:pPr>
            <w:r>
              <w:rPr>
                <w:rFonts w:ascii="Calibri" w:cs="Calibri" w:eastAsia="Calibri" w:hAnsi="Calibri"/>
                <w:sz w:val="18"/>
                <w:szCs w:val="18"/>
                <w:color w:val="auto"/>
              </w:rPr>
              <w:t>32.8 %</w:t>
            </w:r>
          </w:p>
        </w:tc>
        <w:tc>
          <w:tcPr>
            <w:tcW w:w="100" w:type="dxa"/>
            <w:vAlign w:val="bottom"/>
            <w:shd w:val="clear" w:color="auto" w:fill="CCEEFF"/>
          </w:tcPr>
          <w:p>
            <w:pPr>
              <w:spacing w:after="0"/>
              <w:rPr>
                <w:sz w:val="20"/>
                <w:szCs w:val="20"/>
                <w:color w:val="auto"/>
              </w:rPr>
            </w:pPr>
          </w:p>
        </w:tc>
        <w:tc>
          <w:tcPr>
            <w:tcW w:w="1520" w:type="dxa"/>
            <w:vAlign w:val="bottom"/>
            <w:shd w:val="clear" w:color="auto" w:fill="CCEEFF"/>
          </w:tcPr>
          <w:p>
            <w:pPr>
              <w:jc w:val="right"/>
              <w:spacing w:after="0" w:line="217" w:lineRule="exact"/>
              <w:rPr>
                <w:sz w:val="20"/>
                <w:szCs w:val="20"/>
                <w:color w:val="auto"/>
              </w:rPr>
            </w:pPr>
            <w:r>
              <w:rPr>
                <w:rFonts w:ascii="Calibri" w:cs="Calibri" w:eastAsia="Calibri" w:hAnsi="Calibri"/>
                <w:sz w:val="18"/>
                <w:szCs w:val="18"/>
                <w:color w:val="auto"/>
              </w:rPr>
              <w:t>37.1 %</w:t>
            </w:r>
          </w:p>
        </w:tc>
        <w:tc>
          <w:tcPr>
            <w:tcW w:w="100" w:type="dxa"/>
            <w:vAlign w:val="bottom"/>
            <w:shd w:val="clear" w:color="auto" w:fill="CCEEFF"/>
          </w:tcPr>
          <w:p>
            <w:pPr>
              <w:spacing w:after="0"/>
              <w:rPr>
                <w:sz w:val="20"/>
                <w:szCs w:val="20"/>
                <w:color w:val="auto"/>
              </w:rPr>
            </w:pPr>
          </w:p>
        </w:tc>
        <w:tc>
          <w:tcPr>
            <w:tcW w:w="1500" w:type="dxa"/>
            <w:vAlign w:val="bottom"/>
            <w:shd w:val="clear" w:color="auto" w:fill="CCEEFF"/>
          </w:tcPr>
          <w:p>
            <w:pPr>
              <w:jc w:val="right"/>
              <w:spacing w:after="0" w:line="217" w:lineRule="exact"/>
              <w:rPr>
                <w:sz w:val="20"/>
                <w:szCs w:val="20"/>
                <w:color w:val="auto"/>
              </w:rPr>
            </w:pPr>
            <w:r>
              <w:rPr>
                <w:rFonts w:ascii="Calibri" w:cs="Calibri" w:eastAsia="Calibri" w:hAnsi="Calibri"/>
                <w:sz w:val="18"/>
                <w:szCs w:val="18"/>
                <w:color w:val="auto"/>
              </w:rPr>
              <w:t>39.0 %</w:t>
            </w:r>
          </w:p>
        </w:tc>
      </w:tr>
      <w:tr>
        <w:trPr>
          <w:trHeight w:val="210"/>
        </w:trPr>
        <w:tc>
          <w:tcPr>
            <w:tcW w:w="7480" w:type="dxa"/>
            <w:vAlign w:val="bottom"/>
            <w:gridSpan w:val="2"/>
          </w:tcPr>
          <w:p>
            <w:pPr>
              <w:ind w:left="20"/>
              <w:spacing w:after="0" w:line="210" w:lineRule="exact"/>
              <w:rPr>
                <w:sz w:val="20"/>
                <w:szCs w:val="20"/>
                <w:color w:val="auto"/>
              </w:rPr>
            </w:pPr>
            <w:r>
              <w:rPr>
                <w:rFonts w:ascii="Calibri" w:cs="Calibri" w:eastAsia="Calibri" w:hAnsi="Calibri"/>
                <w:sz w:val="18"/>
                <w:szCs w:val="18"/>
                <w:color w:val="auto"/>
              </w:rPr>
              <w:t>Expected term (in years)</w:t>
            </w:r>
          </w:p>
        </w:tc>
        <w:tc>
          <w:tcPr>
            <w:tcW w:w="540" w:type="dxa"/>
            <w:vAlign w:val="bottom"/>
          </w:tcPr>
          <w:p>
            <w:pPr>
              <w:jc w:val="right"/>
              <w:spacing w:after="0" w:line="210" w:lineRule="exact"/>
              <w:rPr>
                <w:sz w:val="20"/>
                <w:szCs w:val="20"/>
                <w:color w:val="auto"/>
              </w:rPr>
            </w:pPr>
            <w:r>
              <w:rPr>
                <w:rFonts w:ascii="Calibri" w:cs="Calibri" w:eastAsia="Calibri" w:hAnsi="Calibri"/>
                <w:sz w:val="18"/>
                <w:szCs w:val="18"/>
                <w:color w:val="auto"/>
              </w:rPr>
              <w:t>4.8</w:t>
            </w:r>
          </w:p>
        </w:tc>
        <w:tc>
          <w:tcPr>
            <w:tcW w:w="100" w:type="dxa"/>
            <w:vAlign w:val="bottom"/>
          </w:tcPr>
          <w:p>
            <w:pPr>
              <w:spacing w:after="0"/>
              <w:rPr>
                <w:sz w:val="18"/>
                <w:szCs w:val="18"/>
                <w:color w:val="auto"/>
              </w:rPr>
            </w:pPr>
          </w:p>
        </w:tc>
        <w:tc>
          <w:tcPr>
            <w:tcW w:w="1520" w:type="dxa"/>
            <w:vAlign w:val="bottom"/>
          </w:tcPr>
          <w:p>
            <w:pPr>
              <w:jc w:val="right"/>
              <w:spacing w:after="0" w:line="210" w:lineRule="exact"/>
              <w:rPr>
                <w:sz w:val="20"/>
                <w:szCs w:val="20"/>
                <w:color w:val="auto"/>
              </w:rPr>
            </w:pPr>
            <w:r>
              <w:rPr>
                <w:rFonts w:ascii="Calibri" w:cs="Calibri" w:eastAsia="Calibri" w:hAnsi="Calibri"/>
                <w:sz w:val="18"/>
                <w:szCs w:val="18"/>
                <w:color w:val="auto"/>
              </w:rPr>
              <w:t>3.4</w:t>
            </w:r>
          </w:p>
        </w:tc>
        <w:tc>
          <w:tcPr>
            <w:tcW w:w="100" w:type="dxa"/>
            <w:vAlign w:val="bottom"/>
          </w:tcPr>
          <w:p>
            <w:pPr>
              <w:spacing w:after="0"/>
              <w:rPr>
                <w:sz w:val="18"/>
                <w:szCs w:val="18"/>
                <w:color w:val="auto"/>
              </w:rPr>
            </w:pPr>
          </w:p>
        </w:tc>
        <w:tc>
          <w:tcPr>
            <w:tcW w:w="1500" w:type="dxa"/>
            <w:vAlign w:val="bottom"/>
          </w:tcPr>
          <w:p>
            <w:pPr>
              <w:jc w:val="right"/>
              <w:spacing w:after="0" w:line="210" w:lineRule="exact"/>
              <w:rPr>
                <w:sz w:val="20"/>
                <w:szCs w:val="20"/>
                <w:color w:val="auto"/>
              </w:rPr>
            </w:pPr>
            <w:r>
              <w:rPr>
                <w:rFonts w:ascii="Calibri" w:cs="Calibri" w:eastAsia="Calibri" w:hAnsi="Calibri"/>
                <w:sz w:val="18"/>
                <w:szCs w:val="18"/>
                <w:color w:val="auto"/>
              </w:rPr>
              <w:t>3.4</w:t>
            </w:r>
          </w:p>
        </w:tc>
      </w:tr>
    </w:tbl>
    <w:p>
      <w:pPr>
        <w:spacing w:after="0" w:line="179" w:lineRule="exact"/>
        <w:rPr>
          <w:sz w:val="20"/>
          <w:szCs w:val="20"/>
          <w:color w:val="auto"/>
        </w:rPr>
      </w:pPr>
    </w:p>
    <w:p>
      <w:pPr>
        <w:ind w:right="40" w:firstLine="396"/>
        <w:spacing w:after="0" w:line="230" w:lineRule="auto"/>
        <w:rPr>
          <w:sz w:val="20"/>
          <w:szCs w:val="20"/>
          <w:color w:val="auto"/>
        </w:rPr>
      </w:pPr>
      <w:r>
        <w:rPr>
          <w:rFonts w:ascii="Calibri" w:cs="Calibri" w:eastAsia="Calibri" w:hAnsi="Calibri"/>
          <w:sz w:val="18"/>
          <w:szCs w:val="18"/>
          <w:color w:val="auto"/>
        </w:rPr>
        <w:t>The risk-free interest rate was derived from the average U.S. Treasury Strips rate, which approximated the rate in efect appropriate for the term at the tme of grant.</w:t>
      </w:r>
    </w:p>
    <w:p>
      <w:pPr>
        <w:spacing w:after="0" w:line="97" w:lineRule="exact"/>
        <w:rPr>
          <w:sz w:val="20"/>
          <w:szCs w:val="20"/>
          <w:color w:val="auto"/>
        </w:rPr>
      </w:pPr>
    </w:p>
    <w:p>
      <w:pPr>
        <w:ind w:left="400"/>
        <w:spacing w:after="0"/>
        <w:rPr>
          <w:sz w:val="20"/>
          <w:szCs w:val="20"/>
          <w:color w:val="auto"/>
        </w:rPr>
      </w:pPr>
      <w:r>
        <w:rPr>
          <w:rFonts w:ascii="Calibri" w:cs="Calibri" w:eastAsia="Calibri" w:hAnsi="Calibri"/>
          <w:sz w:val="18"/>
          <w:szCs w:val="18"/>
          <w:color w:val="auto"/>
        </w:rPr>
        <w:t>The dividend yield was based on the historical and expected dividend payouts as of the respectve award grant dates.</w:t>
      </w:r>
    </w:p>
    <w:p>
      <w:pPr>
        <w:spacing w:after="0" w:line="107" w:lineRule="exact"/>
        <w:rPr>
          <w:sz w:val="20"/>
          <w:szCs w:val="20"/>
          <w:color w:val="auto"/>
        </w:rPr>
      </w:pPr>
    </w:p>
    <w:p>
      <w:pPr>
        <w:ind w:right="380" w:firstLine="396"/>
        <w:spacing w:after="0" w:line="230" w:lineRule="auto"/>
        <w:rPr>
          <w:sz w:val="20"/>
          <w:szCs w:val="20"/>
          <w:color w:val="auto"/>
        </w:rPr>
      </w:pPr>
      <w:r>
        <w:rPr>
          <w:rFonts w:ascii="Calibri" w:cs="Calibri" w:eastAsia="Calibri" w:hAnsi="Calibri"/>
          <w:sz w:val="18"/>
          <w:szCs w:val="18"/>
          <w:color w:val="auto"/>
        </w:rPr>
        <w:t>The volatlity was based on our own historical stock price volatlity over the period commensurate with the expected life of the awards and the implied volatlity of a 180-day call opton on our own common stock measured at a specifc date.</w:t>
      </w:r>
    </w:p>
    <w:p>
      <w:pPr>
        <w:spacing w:after="0" w:line="97" w:lineRule="exact"/>
        <w:rPr>
          <w:sz w:val="20"/>
          <w:szCs w:val="20"/>
          <w:color w:val="auto"/>
        </w:rPr>
      </w:pPr>
    </w:p>
    <w:p>
      <w:pPr>
        <w:ind w:left="400"/>
        <w:spacing w:after="0"/>
        <w:rPr>
          <w:sz w:val="20"/>
          <w:szCs w:val="20"/>
          <w:color w:val="auto"/>
        </w:rPr>
      </w:pPr>
      <w:r>
        <w:rPr>
          <w:rFonts w:ascii="Calibri" w:cs="Calibri" w:eastAsia="Calibri" w:hAnsi="Calibri"/>
          <w:sz w:val="18"/>
          <w:szCs w:val="18"/>
          <w:color w:val="auto"/>
        </w:rPr>
        <w:t>The expected term was commensurate with the awards’ contractual terms.</w:t>
      </w:r>
    </w:p>
    <w:p>
      <w:pPr>
        <w:spacing w:after="0" w:line="200" w:lineRule="exact"/>
        <w:rPr>
          <w:sz w:val="20"/>
          <w:szCs w:val="20"/>
          <w:color w:val="auto"/>
        </w:rPr>
      </w:pPr>
    </w:p>
    <w:p>
      <w:pPr>
        <w:spacing w:after="0" w:line="333"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9" w:right="339" w:bottom="1440" w:gutter="0" w:footer="0" w:header="0"/>
        </w:sectPr>
      </w:pPr>
    </w:p>
    <w:bookmarkStart w:id="80" w:name="page81"/>
    <w:bookmarkEnd w:id="80"/>
    <w:p>
      <w:pPr>
        <w:spacing w:after="0"/>
        <w:rPr>
          <w:sz w:val="20"/>
          <w:szCs w:val="20"/>
          <w:color w:val="auto"/>
        </w:rPr>
      </w:pPr>
      <w:r>
        <w:rPr>
          <w:rFonts w:ascii="Calibri" w:cs="Calibri" w:eastAsia="Calibri" w:hAnsi="Calibri"/>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Restricted Stock Unit Awards</w:t>
      </w:r>
    </w:p>
    <w:p>
      <w:pPr>
        <w:spacing w:after="0" w:line="97" w:lineRule="exact"/>
        <w:rPr>
          <w:sz w:val="20"/>
          <w:szCs w:val="20"/>
          <w:color w:val="auto"/>
        </w:rPr>
      </w:pPr>
    </w:p>
    <w:p>
      <w:pPr>
        <w:ind w:left="400"/>
        <w:spacing w:after="0"/>
        <w:rPr>
          <w:sz w:val="20"/>
          <w:szCs w:val="20"/>
          <w:color w:val="auto"/>
        </w:rPr>
      </w:pPr>
      <w:r>
        <w:rPr>
          <w:rFonts w:ascii="Calibri" w:cs="Calibri" w:eastAsia="Calibri" w:hAnsi="Calibri"/>
          <w:sz w:val="18"/>
          <w:szCs w:val="18"/>
          <w:color w:val="auto"/>
        </w:rPr>
        <w:t>A summary of tme- and market-based RSU actvity was as follows: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6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40" w:type="dxa"/>
            <w:vAlign w:val="bottom"/>
          </w:tcPr>
          <w:p>
            <w:pPr>
              <w:jc w:val="center"/>
              <w:ind w:right="136"/>
              <w:spacing w:after="0"/>
              <w:rPr>
                <w:sz w:val="20"/>
                <w:szCs w:val="20"/>
                <w:color w:val="auto"/>
              </w:rPr>
            </w:pPr>
            <w:r>
              <w:rPr>
                <w:rFonts w:ascii="Calibri" w:cs="Calibri" w:eastAsia="Calibri" w:hAnsi="Calibri"/>
                <w:sz w:val="14"/>
                <w:szCs w:val="14"/>
                <w:b w:val="1"/>
                <w:bCs w:val="1"/>
                <w:color w:val="auto"/>
                <w:w w:val="99"/>
              </w:rPr>
              <w:t>Weighted-Average</w:t>
            </w:r>
          </w:p>
        </w:tc>
      </w:tr>
      <w:tr>
        <w:trPr>
          <w:trHeight w:val="134"/>
        </w:trPr>
        <w:tc>
          <w:tcPr>
            <w:tcW w:w="762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540" w:type="dxa"/>
            <w:vAlign w:val="bottom"/>
          </w:tcPr>
          <w:p>
            <w:pPr>
              <w:jc w:val="center"/>
              <w:ind w:right="136"/>
              <w:spacing w:after="0" w:line="134" w:lineRule="exact"/>
              <w:rPr>
                <w:sz w:val="20"/>
                <w:szCs w:val="20"/>
                <w:color w:val="auto"/>
              </w:rPr>
            </w:pPr>
            <w:r>
              <w:rPr>
                <w:rFonts w:ascii="Calibri" w:cs="Calibri" w:eastAsia="Calibri" w:hAnsi="Calibri"/>
                <w:sz w:val="14"/>
                <w:szCs w:val="14"/>
                <w:b w:val="1"/>
                <w:bCs w:val="1"/>
                <w:color w:val="auto"/>
                <w:w w:val="99"/>
              </w:rPr>
              <w:t>Grant Date</w:t>
            </w:r>
          </w:p>
        </w:tc>
      </w:tr>
      <w:tr>
        <w:trPr>
          <w:trHeight w:val="145"/>
        </w:trPr>
        <w:tc>
          <w:tcPr>
            <w:tcW w:w="7620" w:type="dxa"/>
            <w:vAlign w:val="bottom"/>
          </w:tcPr>
          <w:p>
            <w:pPr>
              <w:spacing w:after="0"/>
              <w:rPr>
                <w:sz w:val="12"/>
                <w:szCs w:val="12"/>
                <w:color w:val="auto"/>
              </w:rPr>
            </w:pPr>
          </w:p>
        </w:tc>
        <w:tc>
          <w:tcPr>
            <w:tcW w:w="1440" w:type="dxa"/>
            <w:vAlign w:val="bottom"/>
          </w:tcPr>
          <w:p>
            <w:pPr>
              <w:jc w:val="center"/>
              <w:ind w:left="250"/>
              <w:spacing w:after="0" w:line="145" w:lineRule="exact"/>
              <w:rPr>
                <w:sz w:val="20"/>
                <w:szCs w:val="20"/>
                <w:color w:val="auto"/>
              </w:rPr>
            </w:pPr>
            <w:r>
              <w:rPr>
                <w:rFonts w:ascii="Calibri" w:cs="Calibri" w:eastAsia="Calibri" w:hAnsi="Calibri"/>
                <w:sz w:val="14"/>
                <w:szCs w:val="14"/>
                <w:b w:val="1"/>
                <w:bCs w:val="1"/>
                <w:color w:val="auto"/>
              </w:rPr>
              <w:t>Number of RSUs</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40" w:type="dxa"/>
            <w:vAlign w:val="bottom"/>
          </w:tcPr>
          <w:p>
            <w:pPr>
              <w:jc w:val="center"/>
              <w:ind w:right="116"/>
              <w:spacing w:after="0" w:line="145" w:lineRule="exact"/>
              <w:rPr>
                <w:sz w:val="20"/>
                <w:szCs w:val="20"/>
                <w:color w:val="auto"/>
              </w:rPr>
            </w:pPr>
            <w:r>
              <w:rPr>
                <w:rFonts w:ascii="Calibri" w:cs="Calibri" w:eastAsia="Calibri" w:hAnsi="Calibri"/>
                <w:sz w:val="14"/>
                <w:szCs w:val="14"/>
                <w:b w:val="1"/>
                <w:bCs w:val="1"/>
                <w:color w:val="auto"/>
                <w:w w:val="99"/>
              </w:rPr>
              <w:t>Fair Value</w:t>
            </w:r>
          </w:p>
        </w:tc>
      </w:tr>
      <w:tr>
        <w:trPr>
          <w:trHeight w:val="179"/>
        </w:trPr>
        <w:tc>
          <w:tcPr>
            <w:tcW w:w="7620" w:type="dxa"/>
            <w:vAlign w:val="bottom"/>
          </w:tcPr>
          <w:p>
            <w:pPr>
              <w:spacing w:after="0"/>
              <w:rPr>
                <w:sz w:val="15"/>
                <w:szCs w:val="15"/>
                <w:color w:val="auto"/>
              </w:rPr>
            </w:pPr>
          </w:p>
        </w:tc>
        <w:tc>
          <w:tcPr>
            <w:tcW w:w="1440" w:type="dxa"/>
            <w:vAlign w:val="bottom"/>
          </w:tcPr>
          <w:p>
            <w:pPr>
              <w:jc w:val="center"/>
              <w:ind w:left="250"/>
              <w:spacing w:after="0"/>
              <w:rPr>
                <w:sz w:val="20"/>
                <w:szCs w:val="20"/>
                <w:color w:val="auto"/>
              </w:rPr>
            </w:pPr>
            <w:r>
              <w:rPr>
                <w:rFonts w:ascii="Calibri" w:cs="Calibri" w:eastAsia="Calibri" w:hAnsi="Calibri"/>
                <w:sz w:val="14"/>
                <w:szCs w:val="14"/>
                <w:b w:val="1"/>
                <w:bCs w:val="1"/>
                <w:color w:val="auto"/>
              </w:rPr>
              <w:t>Outstanding</w:t>
            </w: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40" w:type="dxa"/>
            <w:vAlign w:val="bottom"/>
          </w:tcPr>
          <w:p>
            <w:pPr>
              <w:jc w:val="center"/>
              <w:ind w:right="136"/>
              <w:spacing w:after="0" w:line="168" w:lineRule="exact"/>
              <w:rPr>
                <w:sz w:val="20"/>
                <w:szCs w:val="20"/>
                <w:color w:val="auto"/>
              </w:rPr>
            </w:pPr>
            <w:r>
              <w:rPr>
                <w:rFonts w:ascii="Calibri" w:cs="Calibri" w:eastAsia="Calibri" w:hAnsi="Calibri"/>
                <w:sz w:val="14"/>
                <w:szCs w:val="14"/>
                <w:b w:val="1"/>
                <w:bCs w:val="1"/>
                <w:color w:val="auto"/>
              </w:rPr>
              <w:t>Per Share</w:t>
            </w:r>
          </w:p>
        </w:tc>
      </w:tr>
      <w:tr>
        <w:trPr>
          <w:trHeight w:val="32"/>
        </w:trPr>
        <w:tc>
          <w:tcPr>
            <w:tcW w:w="7620" w:type="dxa"/>
            <w:vAlign w:val="bottom"/>
          </w:tcPr>
          <w:p>
            <w:pPr>
              <w:spacing w:after="0"/>
              <w:rPr>
                <w:sz w:val="2"/>
                <w:szCs w:val="2"/>
                <w:color w:val="auto"/>
              </w:rPr>
            </w:pPr>
          </w:p>
        </w:tc>
        <w:tc>
          <w:tcPr>
            <w:tcW w:w="176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760" w:type="dxa"/>
            <w:vAlign w:val="bottom"/>
            <w:tcBorders>
              <w:bottom w:val="single" w:sz="8" w:color="auto"/>
            </w:tcBorders>
            <w:gridSpan w:val="2"/>
          </w:tcPr>
          <w:p>
            <w:pPr>
              <w:spacing w:after="0"/>
              <w:rPr>
                <w:sz w:val="2"/>
                <w:szCs w:val="2"/>
                <w:color w:val="auto"/>
              </w:rPr>
            </w:pPr>
          </w:p>
        </w:tc>
      </w:tr>
      <w:tr>
        <w:trPr>
          <w:trHeight w:val="186"/>
        </w:trPr>
        <w:tc>
          <w:tcPr>
            <w:tcW w:w="7620" w:type="dxa"/>
            <w:vAlign w:val="bottom"/>
          </w:tcPr>
          <w:p>
            <w:pPr>
              <w:spacing w:after="0"/>
              <w:rPr>
                <w:sz w:val="16"/>
                <w:szCs w:val="16"/>
                <w:color w:val="auto"/>
              </w:rPr>
            </w:pPr>
          </w:p>
        </w:tc>
        <w:tc>
          <w:tcPr>
            <w:tcW w:w="3620" w:type="dxa"/>
            <w:vAlign w:val="bottom"/>
            <w:gridSpan w:val="5"/>
          </w:tcPr>
          <w:p>
            <w:pPr>
              <w:jc w:val="right"/>
              <w:ind w:right="716"/>
              <w:spacing w:after="0"/>
              <w:rPr>
                <w:sz w:val="20"/>
                <w:szCs w:val="20"/>
                <w:color w:val="auto"/>
              </w:rPr>
            </w:pPr>
            <w:r>
              <w:rPr>
                <w:rFonts w:ascii="Calibri" w:cs="Calibri" w:eastAsia="Calibri" w:hAnsi="Calibri"/>
                <w:sz w:val="14"/>
                <w:szCs w:val="14"/>
                <w:b w:val="1"/>
                <w:bCs w:val="1"/>
                <w:color w:val="auto"/>
              </w:rPr>
              <w:t>(In millions, except per share data)</w:t>
            </w:r>
          </w:p>
        </w:tc>
      </w:tr>
      <w:tr>
        <w:trPr>
          <w:trHeight w:val="45"/>
        </w:trPr>
        <w:tc>
          <w:tcPr>
            <w:tcW w:w="7620" w:type="dxa"/>
            <w:vAlign w:val="bottom"/>
          </w:tcPr>
          <w:p>
            <w:pPr>
              <w:spacing w:after="0"/>
              <w:rPr>
                <w:sz w:val="3"/>
                <w:szCs w:val="3"/>
                <w:color w:val="auto"/>
              </w:rPr>
            </w:pPr>
          </w:p>
        </w:tc>
        <w:tc>
          <w:tcPr>
            <w:tcW w:w="144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540" w:type="dxa"/>
            <w:vAlign w:val="bottom"/>
          </w:tcPr>
          <w:p>
            <w:pPr>
              <w:spacing w:after="0"/>
              <w:rPr>
                <w:sz w:val="3"/>
                <w:szCs w:val="3"/>
                <w:color w:val="auto"/>
              </w:rPr>
            </w:pPr>
          </w:p>
        </w:tc>
      </w:tr>
      <w:tr>
        <w:trPr>
          <w:trHeight w:val="224"/>
        </w:trPr>
        <w:tc>
          <w:tcPr>
            <w:tcW w:w="9060" w:type="dxa"/>
            <w:vAlign w:val="bottom"/>
            <w:gridSpan w:val="2"/>
            <w:shd w:val="clear" w:color="auto" w:fill="CCEEFF"/>
          </w:tcPr>
          <w:p>
            <w:pPr>
              <w:ind w:left="20"/>
              <w:spacing w:after="0" w:line="210" w:lineRule="exact"/>
              <w:rPr>
                <w:sz w:val="20"/>
                <w:szCs w:val="20"/>
                <w:color w:val="auto"/>
              </w:rPr>
            </w:pPr>
            <w:r>
              <w:rPr>
                <w:rFonts w:ascii="Calibri" w:cs="Calibri" w:eastAsia="Calibri" w:hAnsi="Calibri"/>
                <w:sz w:val="18"/>
                <w:szCs w:val="18"/>
                <w:color w:val="auto"/>
              </w:rPr>
              <w:t>Balance as of November 1, 2020</w:t>
            </w:r>
          </w:p>
        </w:tc>
        <w:tc>
          <w:tcPr>
            <w:tcW w:w="320" w:type="dxa"/>
            <w:vAlign w:val="bottom"/>
            <w:shd w:val="clear" w:color="auto" w:fill="CCEEFF"/>
          </w:tcPr>
          <w:p>
            <w:pPr>
              <w:jc w:val="right"/>
              <w:spacing w:after="0" w:line="210" w:lineRule="exact"/>
              <w:rPr>
                <w:sz w:val="20"/>
                <w:szCs w:val="20"/>
                <w:color w:val="auto"/>
              </w:rPr>
            </w:pPr>
            <w:r>
              <w:rPr>
                <w:rFonts w:ascii="Calibri" w:cs="Calibri" w:eastAsia="Calibri" w:hAnsi="Calibri"/>
                <w:sz w:val="18"/>
                <w:szCs w:val="18"/>
                <w:color w:val="auto"/>
              </w:rPr>
              <w:t>32</w:t>
            </w:r>
          </w:p>
        </w:tc>
        <w:tc>
          <w:tcPr>
            <w:tcW w:w="320" w:type="dxa"/>
            <w:vAlign w:val="bottom"/>
            <w:gridSpan w:val="2"/>
            <w:shd w:val="clear" w:color="auto" w:fill="CCEEFF"/>
          </w:tcPr>
          <w:p>
            <w:pPr>
              <w:jc w:val="right"/>
              <w:ind w:right="100"/>
              <w:spacing w:after="0" w:line="210" w:lineRule="exact"/>
              <w:rPr>
                <w:sz w:val="20"/>
                <w:szCs w:val="20"/>
                <w:color w:val="auto"/>
              </w:rPr>
            </w:pPr>
            <w:r>
              <w:rPr>
                <w:rFonts w:ascii="Calibri" w:cs="Calibri" w:eastAsia="Calibri" w:hAnsi="Calibri"/>
                <w:sz w:val="18"/>
                <w:szCs w:val="18"/>
                <w:color w:val="auto"/>
              </w:rPr>
              <w:t>$</w:t>
            </w:r>
          </w:p>
        </w:tc>
        <w:tc>
          <w:tcPr>
            <w:tcW w:w="1540" w:type="dxa"/>
            <w:vAlign w:val="bottom"/>
            <w:shd w:val="clear" w:color="auto" w:fill="CCEEFF"/>
          </w:tcPr>
          <w:p>
            <w:pPr>
              <w:jc w:val="right"/>
              <w:spacing w:after="0" w:line="210" w:lineRule="exact"/>
              <w:rPr>
                <w:sz w:val="20"/>
                <w:szCs w:val="20"/>
                <w:color w:val="auto"/>
              </w:rPr>
            </w:pPr>
            <w:r>
              <w:rPr>
                <w:rFonts w:ascii="Calibri" w:cs="Calibri" w:eastAsia="Calibri" w:hAnsi="Calibri"/>
                <w:sz w:val="18"/>
                <w:szCs w:val="18"/>
                <w:color w:val="auto"/>
              </w:rPr>
              <w:t>188.35</w:t>
            </w:r>
          </w:p>
        </w:tc>
      </w:tr>
      <w:tr>
        <w:trPr>
          <w:trHeight w:val="217"/>
        </w:trPr>
        <w:tc>
          <w:tcPr>
            <w:tcW w:w="9060" w:type="dxa"/>
            <w:vAlign w:val="bottom"/>
            <w:gridSpan w:val="2"/>
          </w:tcPr>
          <w:p>
            <w:pPr>
              <w:ind w:left="140"/>
              <w:spacing w:after="0" w:line="210" w:lineRule="exact"/>
              <w:rPr>
                <w:sz w:val="20"/>
                <w:szCs w:val="20"/>
                <w:color w:val="auto"/>
              </w:rPr>
            </w:pPr>
            <w:r>
              <w:rPr>
                <w:rFonts w:ascii="Calibri" w:cs="Calibri" w:eastAsia="Calibri" w:hAnsi="Calibri"/>
                <w:sz w:val="18"/>
                <w:szCs w:val="18"/>
                <w:color w:val="auto"/>
              </w:rPr>
              <w:t>Granted</w:t>
            </w:r>
          </w:p>
        </w:tc>
        <w:tc>
          <w:tcPr>
            <w:tcW w:w="320" w:type="dxa"/>
            <w:vAlign w:val="bottom"/>
          </w:tcPr>
          <w:p>
            <w:pPr>
              <w:jc w:val="right"/>
              <w:spacing w:after="0" w:line="210" w:lineRule="exact"/>
              <w:rPr>
                <w:sz w:val="20"/>
                <w:szCs w:val="20"/>
                <w:color w:val="auto"/>
              </w:rPr>
            </w:pPr>
            <w:r>
              <w:rPr>
                <w:rFonts w:ascii="Calibri" w:cs="Calibri" w:eastAsia="Calibri" w:hAnsi="Calibri"/>
                <w:sz w:val="18"/>
                <w:szCs w:val="18"/>
                <w:color w:val="auto"/>
              </w:rPr>
              <w:t>2</w:t>
            </w:r>
          </w:p>
        </w:tc>
        <w:tc>
          <w:tcPr>
            <w:tcW w:w="320" w:type="dxa"/>
            <w:vAlign w:val="bottom"/>
            <w:gridSpan w:val="2"/>
          </w:tcPr>
          <w:p>
            <w:pPr>
              <w:jc w:val="right"/>
              <w:ind w:right="100"/>
              <w:spacing w:after="0" w:line="210" w:lineRule="exact"/>
              <w:rPr>
                <w:sz w:val="20"/>
                <w:szCs w:val="20"/>
                <w:color w:val="auto"/>
              </w:rPr>
            </w:pPr>
            <w:r>
              <w:rPr>
                <w:rFonts w:ascii="Calibri" w:cs="Calibri" w:eastAsia="Calibri" w:hAnsi="Calibri"/>
                <w:sz w:val="18"/>
                <w:szCs w:val="18"/>
                <w:color w:val="auto"/>
              </w:rPr>
              <w:t>$</w:t>
            </w:r>
          </w:p>
        </w:tc>
        <w:tc>
          <w:tcPr>
            <w:tcW w:w="1540" w:type="dxa"/>
            <w:vAlign w:val="bottom"/>
          </w:tcPr>
          <w:p>
            <w:pPr>
              <w:jc w:val="right"/>
              <w:spacing w:after="0" w:line="210" w:lineRule="exact"/>
              <w:rPr>
                <w:sz w:val="20"/>
                <w:szCs w:val="20"/>
                <w:color w:val="auto"/>
              </w:rPr>
            </w:pPr>
            <w:r>
              <w:rPr>
                <w:rFonts w:ascii="Calibri" w:cs="Calibri" w:eastAsia="Calibri" w:hAnsi="Calibri"/>
                <w:sz w:val="18"/>
                <w:szCs w:val="18"/>
                <w:color w:val="auto"/>
              </w:rPr>
              <w:t>408.69</w:t>
            </w:r>
          </w:p>
        </w:tc>
      </w:tr>
      <w:tr>
        <w:trPr>
          <w:trHeight w:val="232"/>
        </w:trPr>
        <w:tc>
          <w:tcPr>
            <w:tcW w:w="9060" w:type="dxa"/>
            <w:vAlign w:val="bottom"/>
            <w:gridSpan w:val="2"/>
            <w:shd w:val="clear" w:color="auto" w:fill="CCEEFF"/>
          </w:tcPr>
          <w:p>
            <w:pPr>
              <w:ind w:left="140"/>
              <w:spacing w:after="0" w:line="217" w:lineRule="exact"/>
              <w:rPr>
                <w:sz w:val="20"/>
                <w:szCs w:val="20"/>
                <w:color w:val="auto"/>
              </w:rPr>
            </w:pPr>
            <w:r>
              <w:rPr>
                <w:rFonts w:ascii="Calibri" w:cs="Calibri" w:eastAsia="Calibri" w:hAnsi="Calibri"/>
                <w:sz w:val="18"/>
                <w:szCs w:val="18"/>
                <w:color w:val="auto"/>
              </w:rPr>
              <w:t>Vested</w:t>
            </w:r>
          </w:p>
        </w:tc>
        <w:tc>
          <w:tcPr>
            <w:tcW w:w="320" w:type="dxa"/>
            <w:vAlign w:val="bottom"/>
            <w:shd w:val="clear" w:color="auto" w:fill="CCEEFF"/>
          </w:tcPr>
          <w:p>
            <w:pPr>
              <w:jc w:val="right"/>
              <w:spacing w:after="0" w:line="217" w:lineRule="exact"/>
              <w:rPr>
                <w:sz w:val="20"/>
                <w:szCs w:val="20"/>
                <w:color w:val="auto"/>
              </w:rPr>
            </w:pPr>
            <w:r>
              <w:rPr>
                <w:rFonts w:ascii="Calibri" w:cs="Calibri" w:eastAsia="Calibri" w:hAnsi="Calibri"/>
                <w:sz w:val="18"/>
                <w:szCs w:val="18"/>
                <w:color w:val="auto"/>
              </w:rPr>
              <w:t>(8)</w:t>
            </w:r>
          </w:p>
        </w:tc>
        <w:tc>
          <w:tcPr>
            <w:tcW w:w="320" w:type="dxa"/>
            <w:vAlign w:val="bottom"/>
            <w:gridSpan w:val="2"/>
            <w:shd w:val="clear" w:color="auto" w:fill="CCEEFF"/>
          </w:tcPr>
          <w:p>
            <w:pPr>
              <w:jc w:val="right"/>
              <w:ind w:right="100"/>
              <w:spacing w:after="0" w:line="217" w:lineRule="exact"/>
              <w:rPr>
                <w:sz w:val="20"/>
                <w:szCs w:val="20"/>
                <w:color w:val="auto"/>
              </w:rPr>
            </w:pPr>
            <w:r>
              <w:rPr>
                <w:rFonts w:ascii="Calibri" w:cs="Calibri" w:eastAsia="Calibri" w:hAnsi="Calibri"/>
                <w:sz w:val="18"/>
                <w:szCs w:val="18"/>
                <w:color w:val="auto"/>
              </w:rPr>
              <w:t>$</w:t>
            </w:r>
          </w:p>
        </w:tc>
        <w:tc>
          <w:tcPr>
            <w:tcW w:w="1540" w:type="dxa"/>
            <w:vAlign w:val="bottom"/>
            <w:shd w:val="clear" w:color="auto" w:fill="CCEEFF"/>
          </w:tcPr>
          <w:p>
            <w:pPr>
              <w:jc w:val="right"/>
              <w:spacing w:after="0" w:line="217" w:lineRule="exact"/>
              <w:rPr>
                <w:sz w:val="20"/>
                <w:szCs w:val="20"/>
                <w:color w:val="auto"/>
              </w:rPr>
            </w:pPr>
            <w:r>
              <w:rPr>
                <w:rFonts w:ascii="Calibri" w:cs="Calibri" w:eastAsia="Calibri" w:hAnsi="Calibri"/>
                <w:sz w:val="18"/>
                <w:szCs w:val="18"/>
                <w:color w:val="auto"/>
              </w:rPr>
              <w:t>214.15</w:t>
            </w:r>
          </w:p>
        </w:tc>
      </w:tr>
      <w:tr>
        <w:trPr>
          <w:trHeight w:val="218"/>
        </w:trPr>
        <w:tc>
          <w:tcPr>
            <w:tcW w:w="9060" w:type="dxa"/>
            <w:vAlign w:val="bottom"/>
            <w:gridSpan w:val="2"/>
          </w:tcPr>
          <w:p>
            <w:pPr>
              <w:ind w:left="140"/>
              <w:spacing w:after="0" w:line="210" w:lineRule="exact"/>
              <w:rPr>
                <w:sz w:val="20"/>
                <w:szCs w:val="20"/>
                <w:color w:val="auto"/>
              </w:rPr>
            </w:pPr>
            <w:r>
              <w:rPr>
                <w:rFonts w:ascii="Calibri" w:cs="Calibri" w:eastAsia="Calibri" w:hAnsi="Calibri"/>
                <w:sz w:val="18"/>
                <w:szCs w:val="18"/>
                <w:color w:val="auto"/>
              </w:rPr>
              <w:t>Forfeited</w:t>
            </w:r>
          </w:p>
        </w:tc>
        <w:tc>
          <w:tcPr>
            <w:tcW w:w="320" w:type="dxa"/>
            <w:vAlign w:val="bottom"/>
          </w:tcPr>
          <w:p>
            <w:pPr>
              <w:jc w:val="right"/>
              <w:spacing w:after="0" w:line="210" w:lineRule="exact"/>
              <w:rPr>
                <w:sz w:val="20"/>
                <w:szCs w:val="20"/>
                <w:color w:val="auto"/>
              </w:rPr>
            </w:pPr>
            <w:r>
              <w:rPr>
                <w:rFonts w:ascii="Calibri" w:cs="Calibri" w:eastAsia="Calibri" w:hAnsi="Calibri"/>
                <w:sz w:val="18"/>
                <w:szCs w:val="18"/>
                <w:color w:val="auto"/>
              </w:rPr>
              <w:t>(3)</w:t>
            </w:r>
          </w:p>
        </w:tc>
        <w:tc>
          <w:tcPr>
            <w:tcW w:w="320" w:type="dxa"/>
            <w:vAlign w:val="bottom"/>
            <w:gridSpan w:val="2"/>
          </w:tcPr>
          <w:p>
            <w:pPr>
              <w:jc w:val="right"/>
              <w:ind w:right="100"/>
              <w:spacing w:after="0" w:line="210" w:lineRule="exact"/>
              <w:rPr>
                <w:sz w:val="20"/>
                <w:szCs w:val="20"/>
                <w:color w:val="auto"/>
              </w:rPr>
            </w:pPr>
            <w:r>
              <w:rPr>
                <w:rFonts w:ascii="Calibri" w:cs="Calibri" w:eastAsia="Calibri" w:hAnsi="Calibri"/>
                <w:sz w:val="18"/>
                <w:szCs w:val="18"/>
                <w:color w:val="auto"/>
              </w:rPr>
              <w:t>$</w:t>
            </w:r>
          </w:p>
        </w:tc>
        <w:tc>
          <w:tcPr>
            <w:tcW w:w="1540" w:type="dxa"/>
            <w:vAlign w:val="bottom"/>
          </w:tcPr>
          <w:p>
            <w:pPr>
              <w:jc w:val="right"/>
              <w:spacing w:after="0" w:line="210" w:lineRule="exact"/>
              <w:rPr>
                <w:sz w:val="20"/>
                <w:szCs w:val="20"/>
                <w:color w:val="auto"/>
              </w:rPr>
            </w:pPr>
            <w:r>
              <w:rPr>
                <w:rFonts w:ascii="Calibri" w:cs="Calibri" w:eastAsia="Calibri" w:hAnsi="Calibri"/>
                <w:sz w:val="18"/>
                <w:szCs w:val="18"/>
                <w:color w:val="auto"/>
              </w:rPr>
              <w:t>189.84</w:t>
            </w:r>
          </w:p>
        </w:tc>
      </w:tr>
      <w:tr>
        <w:trPr>
          <w:trHeight w:val="224"/>
        </w:trPr>
        <w:tc>
          <w:tcPr>
            <w:tcW w:w="7620" w:type="dxa"/>
            <w:vAlign w:val="bottom"/>
            <w:tcBorders>
              <w:top w:val="single" w:sz="8" w:color="CCEEFF"/>
            </w:tcBorders>
            <w:shd w:val="clear" w:color="auto" w:fill="CCEEFF"/>
          </w:tcPr>
          <w:p>
            <w:pPr>
              <w:ind w:left="20"/>
              <w:spacing w:after="0" w:line="203" w:lineRule="exact"/>
              <w:rPr>
                <w:sz w:val="20"/>
                <w:szCs w:val="20"/>
                <w:color w:val="auto"/>
              </w:rPr>
            </w:pPr>
            <w:r>
              <w:rPr>
                <w:rFonts w:ascii="Calibri" w:cs="Calibri" w:eastAsia="Calibri" w:hAnsi="Calibri"/>
                <w:sz w:val="18"/>
                <w:szCs w:val="18"/>
                <w:color w:val="auto"/>
              </w:rPr>
              <w:t>Balance as of October 31, 2021</w:t>
            </w:r>
          </w:p>
        </w:tc>
        <w:tc>
          <w:tcPr>
            <w:tcW w:w="1440" w:type="dxa"/>
            <w:vAlign w:val="bottom"/>
            <w:tcBorders>
              <w:top w:val="single" w:sz="8" w:color="auto"/>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spacing w:after="0" w:line="210" w:lineRule="exact"/>
              <w:rPr>
                <w:sz w:val="20"/>
                <w:szCs w:val="20"/>
                <w:color w:val="auto"/>
              </w:rPr>
            </w:pPr>
            <w:r>
              <w:rPr>
                <w:rFonts w:ascii="Calibri" w:cs="Calibri" w:eastAsia="Calibri" w:hAnsi="Calibri"/>
                <w:sz w:val="18"/>
                <w:szCs w:val="18"/>
                <w:color w:val="auto"/>
              </w:rPr>
              <w:t>23</w:t>
            </w:r>
          </w:p>
        </w:tc>
        <w:tc>
          <w:tcPr>
            <w:tcW w:w="320" w:type="dxa"/>
            <w:vAlign w:val="bottom"/>
            <w:tcBorders>
              <w:top w:val="single" w:sz="8" w:color="CCEEFF"/>
            </w:tcBorders>
            <w:gridSpan w:val="2"/>
            <w:shd w:val="clear" w:color="auto" w:fill="CCEEFF"/>
          </w:tcPr>
          <w:p>
            <w:pPr>
              <w:jc w:val="right"/>
              <w:ind w:right="100"/>
              <w:spacing w:after="0" w:line="203" w:lineRule="exact"/>
              <w:rPr>
                <w:sz w:val="20"/>
                <w:szCs w:val="20"/>
                <w:color w:val="auto"/>
              </w:rPr>
            </w:pPr>
            <w:r>
              <w:rPr>
                <w:rFonts w:ascii="Calibri" w:cs="Calibri" w:eastAsia="Calibri" w:hAnsi="Calibri"/>
                <w:sz w:val="18"/>
                <w:szCs w:val="18"/>
                <w:color w:val="auto"/>
              </w:rPr>
              <w:t>$</w:t>
            </w:r>
          </w:p>
        </w:tc>
        <w:tc>
          <w:tcPr>
            <w:tcW w:w="1540" w:type="dxa"/>
            <w:vAlign w:val="bottom"/>
            <w:tcBorders>
              <w:top w:val="single" w:sz="8" w:color="CCEEFF"/>
            </w:tcBorders>
            <w:shd w:val="clear" w:color="auto" w:fill="CCEEFF"/>
          </w:tcPr>
          <w:p>
            <w:pPr>
              <w:jc w:val="right"/>
              <w:spacing w:after="0" w:line="203" w:lineRule="exact"/>
              <w:rPr>
                <w:sz w:val="20"/>
                <w:szCs w:val="20"/>
                <w:color w:val="auto"/>
              </w:rPr>
            </w:pPr>
            <w:r>
              <w:rPr>
                <w:rFonts w:ascii="Calibri" w:cs="Calibri" w:eastAsia="Calibri" w:hAnsi="Calibri"/>
                <w:sz w:val="18"/>
                <w:szCs w:val="18"/>
                <w:color w:val="auto"/>
              </w:rPr>
              <w:t>200.38</w:t>
            </w:r>
          </w:p>
        </w:tc>
      </w:tr>
      <w:tr>
        <w:trPr>
          <w:trHeight w:val="217"/>
        </w:trPr>
        <w:tc>
          <w:tcPr>
            <w:tcW w:w="9060" w:type="dxa"/>
            <w:vAlign w:val="bottom"/>
            <w:gridSpan w:val="2"/>
          </w:tcPr>
          <w:p>
            <w:pPr>
              <w:ind w:left="140"/>
              <w:spacing w:after="0" w:line="210" w:lineRule="exact"/>
              <w:rPr>
                <w:sz w:val="20"/>
                <w:szCs w:val="20"/>
                <w:color w:val="auto"/>
              </w:rPr>
            </w:pPr>
            <w:r>
              <w:rPr>
                <w:rFonts w:ascii="Calibri" w:cs="Calibri" w:eastAsia="Calibri" w:hAnsi="Calibri"/>
                <w:sz w:val="18"/>
                <w:szCs w:val="18"/>
                <w:color w:val="auto"/>
              </w:rPr>
              <w:t>Granted</w:t>
            </w:r>
          </w:p>
        </w:tc>
        <w:tc>
          <w:tcPr>
            <w:tcW w:w="320" w:type="dxa"/>
            <w:vAlign w:val="bottom"/>
          </w:tcPr>
          <w:p>
            <w:pPr>
              <w:jc w:val="right"/>
              <w:spacing w:after="0" w:line="210" w:lineRule="exact"/>
              <w:rPr>
                <w:sz w:val="20"/>
                <w:szCs w:val="20"/>
                <w:color w:val="auto"/>
              </w:rPr>
            </w:pPr>
            <w:r>
              <w:rPr>
                <w:rFonts w:ascii="Calibri" w:cs="Calibri" w:eastAsia="Calibri" w:hAnsi="Calibri"/>
                <w:sz w:val="18"/>
                <w:szCs w:val="18"/>
                <w:color w:val="auto"/>
              </w:rPr>
              <w:t>3</w:t>
            </w:r>
          </w:p>
        </w:tc>
        <w:tc>
          <w:tcPr>
            <w:tcW w:w="320" w:type="dxa"/>
            <w:vAlign w:val="bottom"/>
            <w:gridSpan w:val="2"/>
          </w:tcPr>
          <w:p>
            <w:pPr>
              <w:jc w:val="right"/>
              <w:ind w:right="100"/>
              <w:spacing w:after="0" w:line="210" w:lineRule="exact"/>
              <w:rPr>
                <w:sz w:val="20"/>
                <w:szCs w:val="20"/>
                <w:color w:val="auto"/>
              </w:rPr>
            </w:pPr>
            <w:r>
              <w:rPr>
                <w:rFonts w:ascii="Calibri" w:cs="Calibri" w:eastAsia="Calibri" w:hAnsi="Calibri"/>
                <w:sz w:val="18"/>
                <w:szCs w:val="18"/>
                <w:color w:val="auto"/>
              </w:rPr>
              <w:t>$</w:t>
            </w:r>
          </w:p>
        </w:tc>
        <w:tc>
          <w:tcPr>
            <w:tcW w:w="1540" w:type="dxa"/>
            <w:vAlign w:val="bottom"/>
          </w:tcPr>
          <w:p>
            <w:pPr>
              <w:jc w:val="right"/>
              <w:spacing w:after="0" w:line="210" w:lineRule="exact"/>
              <w:rPr>
                <w:sz w:val="20"/>
                <w:szCs w:val="20"/>
                <w:color w:val="auto"/>
              </w:rPr>
            </w:pPr>
            <w:r>
              <w:rPr>
                <w:rFonts w:ascii="Calibri" w:cs="Calibri" w:eastAsia="Calibri" w:hAnsi="Calibri"/>
                <w:sz w:val="18"/>
                <w:szCs w:val="18"/>
                <w:color w:val="auto"/>
              </w:rPr>
              <w:t>527.69</w:t>
            </w:r>
          </w:p>
        </w:tc>
      </w:tr>
      <w:tr>
        <w:trPr>
          <w:trHeight w:val="232"/>
        </w:trPr>
        <w:tc>
          <w:tcPr>
            <w:tcW w:w="9060" w:type="dxa"/>
            <w:vAlign w:val="bottom"/>
            <w:gridSpan w:val="2"/>
            <w:shd w:val="clear" w:color="auto" w:fill="CCEEFF"/>
          </w:tcPr>
          <w:p>
            <w:pPr>
              <w:ind w:left="140"/>
              <w:spacing w:after="0" w:line="217" w:lineRule="exact"/>
              <w:rPr>
                <w:sz w:val="20"/>
                <w:szCs w:val="20"/>
                <w:color w:val="auto"/>
              </w:rPr>
            </w:pPr>
            <w:r>
              <w:rPr>
                <w:rFonts w:ascii="Calibri" w:cs="Calibri" w:eastAsia="Calibri" w:hAnsi="Calibri"/>
                <w:sz w:val="18"/>
                <w:szCs w:val="18"/>
                <w:color w:val="auto"/>
              </w:rPr>
              <w:t>Vested</w:t>
            </w:r>
          </w:p>
        </w:tc>
        <w:tc>
          <w:tcPr>
            <w:tcW w:w="320" w:type="dxa"/>
            <w:vAlign w:val="bottom"/>
            <w:shd w:val="clear" w:color="auto" w:fill="CCEEFF"/>
          </w:tcPr>
          <w:p>
            <w:pPr>
              <w:jc w:val="right"/>
              <w:spacing w:after="0" w:line="217" w:lineRule="exact"/>
              <w:rPr>
                <w:sz w:val="20"/>
                <w:szCs w:val="20"/>
                <w:color w:val="auto"/>
              </w:rPr>
            </w:pPr>
            <w:r>
              <w:rPr>
                <w:rFonts w:ascii="Calibri" w:cs="Calibri" w:eastAsia="Calibri" w:hAnsi="Calibri"/>
                <w:sz w:val="18"/>
                <w:szCs w:val="18"/>
                <w:color w:val="auto"/>
              </w:rPr>
              <w:t>(7)</w:t>
            </w:r>
          </w:p>
        </w:tc>
        <w:tc>
          <w:tcPr>
            <w:tcW w:w="320" w:type="dxa"/>
            <w:vAlign w:val="bottom"/>
            <w:gridSpan w:val="2"/>
            <w:shd w:val="clear" w:color="auto" w:fill="CCEEFF"/>
          </w:tcPr>
          <w:p>
            <w:pPr>
              <w:jc w:val="right"/>
              <w:ind w:right="100"/>
              <w:spacing w:after="0" w:line="217" w:lineRule="exact"/>
              <w:rPr>
                <w:sz w:val="20"/>
                <w:szCs w:val="20"/>
                <w:color w:val="auto"/>
              </w:rPr>
            </w:pPr>
            <w:r>
              <w:rPr>
                <w:rFonts w:ascii="Calibri" w:cs="Calibri" w:eastAsia="Calibri" w:hAnsi="Calibri"/>
                <w:sz w:val="18"/>
                <w:szCs w:val="18"/>
                <w:color w:val="auto"/>
              </w:rPr>
              <w:t>$</w:t>
            </w:r>
          </w:p>
        </w:tc>
        <w:tc>
          <w:tcPr>
            <w:tcW w:w="1540" w:type="dxa"/>
            <w:vAlign w:val="bottom"/>
            <w:shd w:val="clear" w:color="auto" w:fill="CCEEFF"/>
          </w:tcPr>
          <w:p>
            <w:pPr>
              <w:jc w:val="right"/>
              <w:spacing w:after="0" w:line="217" w:lineRule="exact"/>
              <w:rPr>
                <w:sz w:val="20"/>
                <w:szCs w:val="20"/>
                <w:color w:val="auto"/>
              </w:rPr>
            </w:pPr>
            <w:r>
              <w:rPr>
                <w:rFonts w:ascii="Calibri" w:cs="Calibri" w:eastAsia="Calibri" w:hAnsi="Calibri"/>
                <w:sz w:val="18"/>
                <w:szCs w:val="18"/>
                <w:color w:val="auto"/>
              </w:rPr>
              <w:t>225.52</w:t>
            </w:r>
          </w:p>
        </w:tc>
      </w:tr>
      <w:tr>
        <w:trPr>
          <w:trHeight w:val="218"/>
        </w:trPr>
        <w:tc>
          <w:tcPr>
            <w:tcW w:w="9060" w:type="dxa"/>
            <w:vAlign w:val="bottom"/>
            <w:gridSpan w:val="2"/>
          </w:tcPr>
          <w:p>
            <w:pPr>
              <w:ind w:left="140"/>
              <w:spacing w:after="0" w:line="210" w:lineRule="exact"/>
              <w:rPr>
                <w:sz w:val="20"/>
                <w:szCs w:val="20"/>
                <w:color w:val="auto"/>
              </w:rPr>
            </w:pPr>
            <w:r>
              <w:rPr>
                <w:rFonts w:ascii="Calibri" w:cs="Calibri" w:eastAsia="Calibri" w:hAnsi="Calibri"/>
                <w:sz w:val="18"/>
                <w:szCs w:val="18"/>
                <w:color w:val="auto"/>
              </w:rPr>
              <w:t>Forfeited</w:t>
            </w:r>
          </w:p>
        </w:tc>
        <w:tc>
          <w:tcPr>
            <w:tcW w:w="320" w:type="dxa"/>
            <w:vAlign w:val="bottom"/>
          </w:tcPr>
          <w:p>
            <w:pPr>
              <w:jc w:val="right"/>
              <w:spacing w:after="0" w:line="210" w:lineRule="exact"/>
              <w:rPr>
                <w:sz w:val="20"/>
                <w:szCs w:val="20"/>
                <w:color w:val="auto"/>
              </w:rPr>
            </w:pPr>
            <w:r>
              <w:rPr>
                <w:rFonts w:ascii="Calibri" w:cs="Calibri" w:eastAsia="Calibri" w:hAnsi="Calibri"/>
                <w:sz w:val="18"/>
                <w:szCs w:val="18"/>
                <w:color w:val="auto"/>
              </w:rPr>
              <w:t>(1)</w:t>
            </w:r>
          </w:p>
        </w:tc>
        <w:tc>
          <w:tcPr>
            <w:tcW w:w="320" w:type="dxa"/>
            <w:vAlign w:val="bottom"/>
            <w:gridSpan w:val="2"/>
          </w:tcPr>
          <w:p>
            <w:pPr>
              <w:jc w:val="right"/>
              <w:ind w:right="100"/>
              <w:spacing w:after="0" w:line="210" w:lineRule="exact"/>
              <w:rPr>
                <w:sz w:val="20"/>
                <w:szCs w:val="20"/>
                <w:color w:val="auto"/>
              </w:rPr>
            </w:pPr>
            <w:r>
              <w:rPr>
                <w:rFonts w:ascii="Calibri" w:cs="Calibri" w:eastAsia="Calibri" w:hAnsi="Calibri"/>
                <w:sz w:val="18"/>
                <w:szCs w:val="18"/>
                <w:color w:val="auto"/>
              </w:rPr>
              <w:t>$</w:t>
            </w:r>
          </w:p>
        </w:tc>
        <w:tc>
          <w:tcPr>
            <w:tcW w:w="1540" w:type="dxa"/>
            <w:vAlign w:val="bottom"/>
          </w:tcPr>
          <w:p>
            <w:pPr>
              <w:jc w:val="right"/>
              <w:spacing w:after="0" w:line="210" w:lineRule="exact"/>
              <w:rPr>
                <w:sz w:val="20"/>
                <w:szCs w:val="20"/>
                <w:color w:val="auto"/>
              </w:rPr>
            </w:pPr>
            <w:r>
              <w:rPr>
                <w:rFonts w:ascii="Calibri" w:cs="Calibri" w:eastAsia="Calibri" w:hAnsi="Calibri"/>
                <w:sz w:val="18"/>
                <w:szCs w:val="18"/>
                <w:color w:val="auto"/>
              </w:rPr>
              <w:t>242.82</w:t>
            </w:r>
          </w:p>
        </w:tc>
      </w:tr>
      <w:tr>
        <w:trPr>
          <w:trHeight w:val="224"/>
        </w:trPr>
        <w:tc>
          <w:tcPr>
            <w:tcW w:w="7620" w:type="dxa"/>
            <w:vAlign w:val="bottom"/>
            <w:tcBorders>
              <w:top w:val="single" w:sz="8" w:color="CCEEFF"/>
            </w:tcBorders>
            <w:shd w:val="clear" w:color="auto" w:fill="CCEEFF"/>
          </w:tcPr>
          <w:p>
            <w:pPr>
              <w:ind w:left="20"/>
              <w:spacing w:after="0" w:line="203" w:lineRule="exact"/>
              <w:rPr>
                <w:sz w:val="20"/>
                <w:szCs w:val="20"/>
                <w:color w:val="auto"/>
              </w:rPr>
            </w:pPr>
            <w:r>
              <w:rPr>
                <w:rFonts w:ascii="Calibri" w:cs="Calibri" w:eastAsia="Calibri" w:hAnsi="Calibri"/>
                <w:sz w:val="18"/>
                <w:szCs w:val="18"/>
                <w:color w:val="auto"/>
              </w:rPr>
              <w:t>Balance as of October 30, 2022</w:t>
            </w:r>
          </w:p>
        </w:tc>
        <w:tc>
          <w:tcPr>
            <w:tcW w:w="1440" w:type="dxa"/>
            <w:vAlign w:val="bottom"/>
            <w:tcBorders>
              <w:top w:val="single" w:sz="8" w:color="auto"/>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spacing w:after="0" w:line="210" w:lineRule="exact"/>
              <w:rPr>
                <w:sz w:val="20"/>
                <w:szCs w:val="20"/>
                <w:color w:val="auto"/>
              </w:rPr>
            </w:pPr>
            <w:r>
              <w:rPr>
                <w:rFonts w:ascii="Calibri" w:cs="Calibri" w:eastAsia="Calibri" w:hAnsi="Calibri"/>
                <w:sz w:val="18"/>
                <w:szCs w:val="18"/>
                <w:color w:val="auto"/>
              </w:rPr>
              <w:t>18</w:t>
            </w:r>
          </w:p>
        </w:tc>
        <w:tc>
          <w:tcPr>
            <w:tcW w:w="320" w:type="dxa"/>
            <w:vAlign w:val="bottom"/>
            <w:tcBorders>
              <w:top w:val="single" w:sz="8" w:color="CCEEFF"/>
            </w:tcBorders>
            <w:gridSpan w:val="2"/>
            <w:shd w:val="clear" w:color="auto" w:fill="CCEEFF"/>
          </w:tcPr>
          <w:p>
            <w:pPr>
              <w:jc w:val="right"/>
              <w:ind w:right="100"/>
              <w:spacing w:after="0" w:line="203" w:lineRule="exact"/>
              <w:rPr>
                <w:sz w:val="20"/>
                <w:szCs w:val="20"/>
                <w:color w:val="auto"/>
              </w:rPr>
            </w:pPr>
            <w:r>
              <w:rPr>
                <w:rFonts w:ascii="Calibri" w:cs="Calibri" w:eastAsia="Calibri" w:hAnsi="Calibri"/>
                <w:sz w:val="18"/>
                <w:szCs w:val="18"/>
                <w:color w:val="auto"/>
              </w:rPr>
              <w:t>$</w:t>
            </w:r>
          </w:p>
        </w:tc>
        <w:tc>
          <w:tcPr>
            <w:tcW w:w="1540" w:type="dxa"/>
            <w:vAlign w:val="bottom"/>
            <w:tcBorders>
              <w:top w:val="single" w:sz="8" w:color="CCEEFF"/>
            </w:tcBorders>
            <w:shd w:val="clear" w:color="auto" w:fill="CCEEFF"/>
          </w:tcPr>
          <w:p>
            <w:pPr>
              <w:jc w:val="right"/>
              <w:spacing w:after="0" w:line="203" w:lineRule="exact"/>
              <w:rPr>
                <w:sz w:val="20"/>
                <w:szCs w:val="20"/>
                <w:color w:val="auto"/>
              </w:rPr>
            </w:pPr>
            <w:r>
              <w:rPr>
                <w:rFonts w:ascii="Calibri" w:cs="Calibri" w:eastAsia="Calibri" w:hAnsi="Calibri"/>
                <w:sz w:val="18"/>
                <w:szCs w:val="18"/>
                <w:color w:val="auto"/>
              </w:rPr>
              <w:t>238.49</w:t>
            </w:r>
          </w:p>
        </w:tc>
      </w:tr>
      <w:tr>
        <w:trPr>
          <w:trHeight w:val="217"/>
        </w:trPr>
        <w:tc>
          <w:tcPr>
            <w:tcW w:w="9060" w:type="dxa"/>
            <w:vAlign w:val="bottom"/>
            <w:gridSpan w:val="2"/>
          </w:tcPr>
          <w:p>
            <w:pPr>
              <w:ind w:left="120"/>
              <w:spacing w:after="0" w:line="210" w:lineRule="exact"/>
              <w:rPr>
                <w:sz w:val="20"/>
                <w:szCs w:val="20"/>
                <w:color w:val="auto"/>
              </w:rPr>
            </w:pPr>
            <w:r>
              <w:rPr>
                <w:rFonts w:ascii="Calibri" w:cs="Calibri" w:eastAsia="Calibri" w:hAnsi="Calibri"/>
                <w:sz w:val="18"/>
                <w:szCs w:val="18"/>
                <w:color w:val="auto"/>
              </w:rPr>
              <w:t>Granted</w:t>
            </w:r>
          </w:p>
        </w:tc>
        <w:tc>
          <w:tcPr>
            <w:tcW w:w="320" w:type="dxa"/>
            <w:vAlign w:val="bottom"/>
          </w:tcPr>
          <w:p>
            <w:pPr>
              <w:jc w:val="right"/>
              <w:spacing w:after="0" w:line="210" w:lineRule="exact"/>
              <w:rPr>
                <w:sz w:val="20"/>
                <w:szCs w:val="20"/>
                <w:color w:val="auto"/>
              </w:rPr>
            </w:pPr>
            <w:r>
              <w:rPr>
                <w:rFonts w:ascii="Calibri" w:cs="Calibri" w:eastAsia="Calibri" w:hAnsi="Calibri"/>
                <w:sz w:val="18"/>
                <w:szCs w:val="18"/>
                <w:color w:val="auto"/>
              </w:rPr>
              <w:t>12</w:t>
            </w:r>
          </w:p>
        </w:tc>
        <w:tc>
          <w:tcPr>
            <w:tcW w:w="320" w:type="dxa"/>
            <w:vAlign w:val="bottom"/>
            <w:gridSpan w:val="2"/>
          </w:tcPr>
          <w:p>
            <w:pPr>
              <w:jc w:val="right"/>
              <w:ind w:right="100"/>
              <w:spacing w:after="0" w:line="210" w:lineRule="exact"/>
              <w:rPr>
                <w:sz w:val="20"/>
                <w:szCs w:val="20"/>
                <w:color w:val="auto"/>
              </w:rPr>
            </w:pPr>
            <w:r>
              <w:rPr>
                <w:rFonts w:ascii="Calibri" w:cs="Calibri" w:eastAsia="Calibri" w:hAnsi="Calibri"/>
                <w:sz w:val="18"/>
                <w:szCs w:val="18"/>
                <w:color w:val="auto"/>
              </w:rPr>
              <w:t>$</w:t>
            </w:r>
          </w:p>
        </w:tc>
        <w:tc>
          <w:tcPr>
            <w:tcW w:w="1540" w:type="dxa"/>
            <w:vAlign w:val="bottom"/>
          </w:tcPr>
          <w:p>
            <w:pPr>
              <w:jc w:val="right"/>
              <w:spacing w:after="0" w:line="210" w:lineRule="exact"/>
              <w:rPr>
                <w:sz w:val="20"/>
                <w:szCs w:val="20"/>
                <w:color w:val="auto"/>
              </w:rPr>
            </w:pPr>
            <w:r>
              <w:rPr>
                <w:rFonts w:ascii="Calibri" w:cs="Calibri" w:eastAsia="Calibri" w:hAnsi="Calibri"/>
                <w:sz w:val="18"/>
                <w:szCs w:val="18"/>
                <w:color w:val="auto"/>
              </w:rPr>
              <w:t>519.78</w:t>
            </w:r>
          </w:p>
        </w:tc>
      </w:tr>
      <w:tr>
        <w:trPr>
          <w:trHeight w:val="232"/>
        </w:trPr>
        <w:tc>
          <w:tcPr>
            <w:tcW w:w="9060" w:type="dxa"/>
            <w:vAlign w:val="bottom"/>
            <w:gridSpan w:val="2"/>
            <w:shd w:val="clear" w:color="auto" w:fill="CCEEFF"/>
          </w:tcPr>
          <w:p>
            <w:pPr>
              <w:ind w:left="120"/>
              <w:spacing w:after="0" w:line="217" w:lineRule="exact"/>
              <w:rPr>
                <w:sz w:val="20"/>
                <w:szCs w:val="20"/>
                <w:color w:val="auto"/>
              </w:rPr>
            </w:pPr>
            <w:r>
              <w:rPr>
                <w:rFonts w:ascii="Calibri" w:cs="Calibri" w:eastAsia="Calibri" w:hAnsi="Calibri"/>
                <w:sz w:val="18"/>
                <w:szCs w:val="18"/>
                <w:color w:val="auto"/>
              </w:rPr>
              <w:t>Vested</w:t>
            </w:r>
          </w:p>
        </w:tc>
        <w:tc>
          <w:tcPr>
            <w:tcW w:w="320" w:type="dxa"/>
            <w:vAlign w:val="bottom"/>
            <w:shd w:val="clear" w:color="auto" w:fill="CCEEFF"/>
          </w:tcPr>
          <w:p>
            <w:pPr>
              <w:jc w:val="right"/>
              <w:spacing w:after="0" w:line="217" w:lineRule="exact"/>
              <w:rPr>
                <w:sz w:val="20"/>
                <w:szCs w:val="20"/>
                <w:color w:val="auto"/>
              </w:rPr>
            </w:pPr>
            <w:r>
              <w:rPr>
                <w:rFonts w:ascii="Calibri" w:cs="Calibri" w:eastAsia="Calibri" w:hAnsi="Calibri"/>
                <w:sz w:val="18"/>
                <w:szCs w:val="18"/>
                <w:color w:val="auto"/>
              </w:rPr>
              <w:t>(7)</w:t>
            </w:r>
          </w:p>
        </w:tc>
        <w:tc>
          <w:tcPr>
            <w:tcW w:w="320" w:type="dxa"/>
            <w:vAlign w:val="bottom"/>
            <w:gridSpan w:val="2"/>
            <w:shd w:val="clear" w:color="auto" w:fill="CCEEFF"/>
          </w:tcPr>
          <w:p>
            <w:pPr>
              <w:jc w:val="right"/>
              <w:ind w:right="100"/>
              <w:spacing w:after="0" w:line="217" w:lineRule="exact"/>
              <w:rPr>
                <w:sz w:val="20"/>
                <w:szCs w:val="20"/>
                <w:color w:val="auto"/>
              </w:rPr>
            </w:pPr>
            <w:r>
              <w:rPr>
                <w:rFonts w:ascii="Calibri" w:cs="Calibri" w:eastAsia="Calibri" w:hAnsi="Calibri"/>
                <w:sz w:val="18"/>
                <w:szCs w:val="18"/>
                <w:color w:val="auto"/>
              </w:rPr>
              <w:t>$</w:t>
            </w:r>
          </w:p>
        </w:tc>
        <w:tc>
          <w:tcPr>
            <w:tcW w:w="1540" w:type="dxa"/>
            <w:vAlign w:val="bottom"/>
            <w:shd w:val="clear" w:color="auto" w:fill="CCEEFF"/>
          </w:tcPr>
          <w:p>
            <w:pPr>
              <w:jc w:val="right"/>
              <w:spacing w:after="0" w:line="217" w:lineRule="exact"/>
              <w:rPr>
                <w:sz w:val="20"/>
                <w:szCs w:val="20"/>
                <w:color w:val="auto"/>
              </w:rPr>
            </w:pPr>
            <w:r>
              <w:rPr>
                <w:rFonts w:ascii="Calibri" w:cs="Calibri" w:eastAsia="Calibri" w:hAnsi="Calibri"/>
                <w:sz w:val="18"/>
                <w:szCs w:val="18"/>
                <w:color w:val="auto"/>
              </w:rPr>
              <w:t>262.48</w:t>
            </w:r>
          </w:p>
        </w:tc>
      </w:tr>
      <w:tr>
        <w:trPr>
          <w:trHeight w:val="218"/>
        </w:trPr>
        <w:tc>
          <w:tcPr>
            <w:tcW w:w="7620" w:type="dxa"/>
            <w:vAlign w:val="bottom"/>
            <w:tcBorders>
              <w:bottom w:val="single" w:sz="8" w:color="CCEEFF"/>
            </w:tcBorders>
          </w:tcPr>
          <w:p>
            <w:pPr>
              <w:ind w:left="120"/>
              <w:spacing w:after="0" w:line="210" w:lineRule="exact"/>
              <w:rPr>
                <w:sz w:val="20"/>
                <w:szCs w:val="20"/>
                <w:color w:val="auto"/>
              </w:rPr>
            </w:pPr>
            <w:r>
              <w:rPr>
                <w:rFonts w:ascii="Calibri" w:cs="Calibri" w:eastAsia="Calibri" w:hAnsi="Calibri"/>
                <w:sz w:val="18"/>
                <w:szCs w:val="18"/>
                <w:color w:val="auto"/>
              </w:rPr>
              <w:t>Forfeited</w:t>
            </w:r>
          </w:p>
        </w:tc>
        <w:tc>
          <w:tcPr>
            <w:tcW w:w="144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jc w:val="right"/>
              <w:spacing w:after="0" w:line="210" w:lineRule="exact"/>
              <w:rPr>
                <w:sz w:val="20"/>
                <w:szCs w:val="20"/>
                <w:color w:val="auto"/>
              </w:rPr>
            </w:pPr>
            <w:r>
              <w:rPr>
                <w:rFonts w:ascii="Calibri" w:cs="Calibri" w:eastAsia="Calibri" w:hAnsi="Calibri"/>
                <w:sz w:val="18"/>
                <w:szCs w:val="18"/>
                <w:color w:val="auto"/>
              </w:rPr>
              <w:t>(1)</w:t>
            </w:r>
          </w:p>
        </w:tc>
        <w:tc>
          <w:tcPr>
            <w:tcW w:w="320" w:type="dxa"/>
            <w:vAlign w:val="bottom"/>
            <w:tcBorders>
              <w:bottom w:val="single" w:sz="8" w:color="CCEEFF"/>
            </w:tcBorders>
            <w:gridSpan w:val="2"/>
          </w:tcPr>
          <w:p>
            <w:pPr>
              <w:jc w:val="right"/>
              <w:ind w:right="100"/>
              <w:spacing w:after="0" w:line="210" w:lineRule="exact"/>
              <w:rPr>
                <w:sz w:val="20"/>
                <w:szCs w:val="20"/>
                <w:color w:val="auto"/>
              </w:rPr>
            </w:pPr>
            <w:r>
              <w:rPr>
                <w:rFonts w:ascii="Calibri" w:cs="Calibri" w:eastAsia="Calibri" w:hAnsi="Calibri"/>
                <w:sz w:val="18"/>
                <w:szCs w:val="18"/>
                <w:color w:val="auto"/>
              </w:rPr>
              <w:t>$</w:t>
            </w:r>
          </w:p>
        </w:tc>
        <w:tc>
          <w:tcPr>
            <w:tcW w:w="1540" w:type="dxa"/>
            <w:vAlign w:val="bottom"/>
            <w:tcBorders>
              <w:bottom w:val="single" w:sz="8" w:color="CCEEFF"/>
            </w:tcBorders>
          </w:tcPr>
          <w:p>
            <w:pPr>
              <w:jc w:val="right"/>
              <w:spacing w:after="0" w:line="210" w:lineRule="exact"/>
              <w:rPr>
                <w:sz w:val="20"/>
                <w:szCs w:val="20"/>
                <w:color w:val="auto"/>
              </w:rPr>
            </w:pPr>
            <w:r>
              <w:rPr>
                <w:rFonts w:ascii="Calibri" w:cs="Calibri" w:eastAsia="Calibri" w:hAnsi="Calibri"/>
                <w:sz w:val="18"/>
                <w:szCs w:val="18"/>
                <w:color w:val="auto"/>
              </w:rPr>
              <w:t>307.91</w:t>
            </w:r>
          </w:p>
        </w:tc>
      </w:tr>
      <w:tr>
        <w:trPr>
          <w:trHeight w:val="244"/>
        </w:trPr>
        <w:tc>
          <w:tcPr>
            <w:tcW w:w="9060" w:type="dxa"/>
            <w:vAlign w:val="bottom"/>
            <w:gridSpan w:val="2"/>
            <w:shd w:val="clear" w:color="auto" w:fill="CCEEFF"/>
          </w:tcPr>
          <w:p>
            <w:pPr>
              <w:ind w:left="20"/>
              <w:spacing w:after="0"/>
              <w:rPr>
                <w:sz w:val="20"/>
                <w:szCs w:val="20"/>
                <w:color w:val="auto"/>
              </w:rPr>
            </w:pPr>
            <w:r>
              <w:rPr>
                <w:rFonts w:ascii="Calibri" w:cs="Calibri" w:eastAsia="Calibri" w:hAnsi="Calibri"/>
                <w:sz w:val="18"/>
                <w:szCs w:val="18"/>
                <w:color w:val="auto"/>
              </w:rPr>
              <w:t>Balance as of October 29, 2023</w:t>
            </w:r>
          </w:p>
        </w:tc>
        <w:tc>
          <w:tcPr>
            <w:tcW w:w="320" w:type="dxa"/>
            <w:vAlign w:val="bottom"/>
            <w:shd w:val="clear" w:color="auto" w:fill="CCEEFF"/>
          </w:tcPr>
          <w:p>
            <w:pPr>
              <w:jc w:val="right"/>
              <w:spacing w:after="0" w:line="210" w:lineRule="exact"/>
              <w:rPr>
                <w:sz w:val="20"/>
                <w:szCs w:val="20"/>
                <w:color w:val="auto"/>
              </w:rPr>
            </w:pPr>
            <w:r>
              <w:rPr>
                <w:rFonts w:ascii="Calibri" w:cs="Calibri" w:eastAsia="Calibri" w:hAnsi="Calibri"/>
                <w:sz w:val="18"/>
                <w:szCs w:val="18"/>
                <w:color w:val="auto"/>
              </w:rPr>
              <w:t>22</w:t>
            </w:r>
          </w:p>
        </w:tc>
        <w:tc>
          <w:tcPr>
            <w:tcW w:w="320" w:type="dxa"/>
            <w:vAlign w:val="bottom"/>
            <w:gridSpan w:val="2"/>
            <w:shd w:val="clear" w:color="auto" w:fill="CCEEFF"/>
          </w:tcPr>
          <w:p>
            <w:pPr>
              <w:jc w:val="right"/>
              <w:ind w:right="100"/>
              <w:spacing w:after="0"/>
              <w:rPr>
                <w:sz w:val="20"/>
                <w:szCs w:val="20"/>
                <w:color w:val="auto"/>
              </w:rPr>
            </w:pPr>
            <w:r>
              <w:rPr>
                <w:rFonts w:ascii="Calibri" w:cs="Calibri" w:eastAsia="Calibri" w:hAnsi="Calibri"/>
                <w:sz w:val="18"/>
                <w:szCs w:val="18"/>
                <w:color w:val="auto"/>
              </w:rPr>
              <w:t>$</w:t>
            </w:r>
          </w:p>
        </w:tc>
        <w:tc>
          <w:tcPr>
            <w:tcW w:w="154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389.21</w:t>
            </w:r>
          </w:p>
        </w:tc>
      </w:tr>
      <w:tr>
        <w:trPr>
          <w:trHeight w:val="20"/>
        </w:trPr>
        <w:tc>
          <w:tcPr>
            <w:tcW w:w="76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r>
    </w:tbl>
    <w:p>
      <w:pPr>
        <w:spacing w:after="0" w:line="177" w:lineRule="exact"/>
        <w:rPr>
          <w:sz w:val="20"/>
          <w:szCs w:val="20"/>
          <w:color w:val="auto"/>
        </w:rPr>
      </w:pPr>
    </w:p>
    <w:p>
      <w:pPr>
        <w:ind w:right="120" w:firstLine="396"/>
        <w:spacing w:after="0" w:line="230" w:lineRule="auto"/>
        <w:rPr>
          <w:sz w:val="20"/>
          <w:szCs w:val="20"/>
          <w:color w:val="auto"/>
        </w:rPr>
      </w:pPr>
      <w:r>
        <w:rPr>
          <w:rFonts w:ascii="Calibri" w:cs="Calibri" w:eastAsia="Calibri" w:hAnsi="Calibri"/>
          <w:sz w:val="18"/>
          <w:szCs w:val="18"/>
          <w:color w:val="auto"/>
        </w:rPr>
        <w:t>The aggregate fair value of tme- and market-based RSUs that vested in fscal years 2023, 2022 and 2021 was $5,423 million, $4,207 million and $3,715 million, respectvely, which represented the market value of our common stock on the date that the RSUs vested. The number of RSUs vested included shares of common stock that we withheld for setlement of employees’ tax obligatons due upon the vestng of RSUs.</w:t>
      </w:r>
    </w:p>
    <w:p>
      <w:pPr>
        <w:spacing w:after="0" w:line="98"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11. Income Taxes</w:t>
      </w:r>
    </w:p>
    <w:p>
      <w:pPr>
        <w:spacing w:after="0" w:line="97" w:lineRule="exact"/>
        <w:rPr>
          <w:sz w:val="20"/>
          <w:szCs w:val="20"/>
          <w:color w:val="auto"/>
        </w:rPr>
      </w:pPr>
    </w:p>
    <w:p>
      <w:pPr>
        <w:ind w:left="400"/>
        <w:spacing w:after="0"/>
        <w:rPr>
          <w:sz w:val="20"/>
          <w:szCs w:val="20"/>
          <w:color w:val="auto"/>
        </w:rPr>
      </w:pPr>
      <w:r>
        <w:rPr>
          <w:rFonts w:ascii="Calibri" w:cs="Calibri" w:eastAsia="Calibri" w:hAnsi="Calibri"/>
          <w:sz w:val="18"/>
          <w:szCs w:val="18"/>
          <w:color w:val="auto"/>
        </w:rPr>
        <w:t>The components of income before income taxes by U.S. and foreign jurisdictons were as follows: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3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00" w:type="dxa"/>
            <w:vAlign w:val="bottom"/>
            <w:gridSpan w:val="2"/>
          </w:tcPr>
          <w:p>
            <w:pPr>
              <w:jc w:val="center"/>
              <w:ind w:right="340"/>
              <w:spacing w:after="0"/>
              <w:rPr>
                <w:sz w:val="20"/>
                <w:szCs w:val="20"/>
                <w:color w:val="auto"/>
              </w:rPr>
            </w:pPr>
            <w:r>
              <w:rPr>
                <w:rFonts w:ascii="Calibri" w:cs="Calibri" w:eastAsia="Calibri" w:hAnsi="Calibri"/>
                <w:sz w:val="14"/>
                <w:szCs w:val="14"/>
                <w:b w:val="1"/>
                <w:bCs w:val="1"/>
                <w:color w:val="auto"/>
                <w:w w:val="98"/>
              </w:rPr>
              <w:t>Fiscal Year</w:t>
            </w:r>
          </w:p>
        </w:tc>
        <w:tc>
          <w:tcPr>
            <w:tcW w:w="3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5300" w:type="dxa"/>
            <w:vAlign w:val="bottom"/>
          </w:tcPr>
          <w:p>
            <w:pPr>
              <w:spacing w:after="0"/>
              <w:rPr>
                <w:sz w:val="3"/>
                <w:szCs w:val="3"/>
                <w:color w:val="auto"/>
              </w:rPr>
            </w:pPr>
          </w:p>
        </w:tc>
        <w:tc>
          <w:tcPr>
            <w:tcW w:w="1460" w:type="dxa"/>
            <w:vAlign w:val="bottom"/>
            <w:vMerge w:val="restart"/>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1"/>
        </w:trPr>
        <w:tc>
          <w:tcPr>
            <w:tcW w:w="5300" w:type="dxa"/>
            <w:vAlign w:val="bottom"/>
          </w:tcPr>
          <w:p>
            <w:pPr>
              <w:spacing w:after="0"/>
              <w:rPr>
                <w:sz w:val="13"/>
                <w:szCs w:val="13"/>
                <w:color w:val="auto"/>
              </w:rPr>
            </w:pPr>
          </w:p>
        </w:tc>
        <w:tc>
          <w:tcPr>
            <w:tcW w:w="1460" w:type="dxa"/>
            <w:vAlign w:val="bottom"/>
            <w:vMerge w:val="continue"/>
          </w:tcPr>
          <w:p>
            <w:pPr>
              <w:spacing w:after="0"/>
              <w:rPr>
                <w:sz w:val="13"/>
                <w:szCs w:val="13"/>
                <w:color w:val="auto"/>
              </w:rPr>
            </w:pPr>
          </w:p>
        </w:tc>
        <w:tc>
          <w:tcPr>
            <w:tcW w:w="860" w:type="dxa"/>
            <w:vAlign w:val="bottom"/>
          </w:tcPr>
          <w:p>
            <w:pPr>
              <w:jc w:val="right"/>
              <w:spacing w:after="0" w:line="161" w:lineRule="exact"/>
              <w:rPr>
                <w:sz w:val="20"/>
                <w:szCs w:val="20"/>
                <w:color w:val="auto"/>
              </w:rPr>
            </w:pPr>
            <w:r>
              <w:rPr>
                <w:rFonts w:ascii="Calibri" w:cs="Calibri" w:eastAsia="Calibri" w:hAnsi="Calibri"/>
                <w:sz w:val="14"/>
                <w:szCs w:val="14"/>
                <w:b w:val="1"/>
                <w:bCs w:val="1"/>
                <w:color w:val="auto"/>
              </w:rPr>
              <w:t>2023</w:t>
            </w: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0" w:type="dxa"/>
            <w:vAlign w:val="bottom"/>
          </w:tcPr>
          <w:p>
            <w:pPr>
              <w:jc w:val="center"/>
              <w:ind w:right="158"/>
              <w:spacing w:after="0" w:line="161" w:lineRule="exact"/>
              <w:rPr>
                <w:sz w:val="20"/>
                <w:szCs w:val="20"/>
                <w:color w:val="auto"/>
              </w:rPr>
            </w:pPr>
            <w:r>
              <w:rPr>
                <w:rFonts w:ascii="Calibri" w:cs="Calibri" w:eastAsia="Calibri" w:hAnsi="Calibri"/>
                <w:sz w:val="14"/>
                <w:szCs w:val="14"/>
                <w:b w:val="1"/>
                <w:bCs w:val="1"/>
                <w:color w:val="auto"/>
                <w:w w:val="98"/>
              </w:rPr>
              <w:t>2022</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80" w:type="dxa"/>
            <w:vAlign w:val="bottom"/>
          </w:tcPr>
          <w:p>
            <w:pPr>
              <w:jc w:val="right"/>
              <w:ind w:right="475"/>
              <w:spacing w:after="0" w:line="161" w:lineRule="exact"/>
              <w:rPr>
                <w:sz w:val="20"/>
                <w:szCs w:val="20"/>
                <w:color w:val="auto"/>
              </w:rPr>
            </w:pPr>
            <w:r>
              <w:rPr>
                <w:rFonts w:ascii="Calibri" w:cs="Calibri" w:eastAsia="Calibri" w:hAnsi="Calibri"/>
                <w:sz w:val="14"/>
                <w:szCs w:val="14"/>
                <w:b w:val="1"/>
                <w:bCs w:val="1"/>
                <w:color w:val="auto"/>
              </w:rPr>
              <w:t>2021</w:t>
            </w:r>
          </w:p>
        </w:tc>
        <w:tc>
          <w:tcPr>
            <w:tcW w:w="0" w:type="dxa"/>
            <w:vAlign w:val="bottom"/>
          </w:tcPr>
          <w:p>
            <w:pPr>
              <w:spacing w:after="0"/>
              <w:rPr>
                <w:sz w:val="1"/>
                <w:szCs w:val="1"/>
                <w:color w:val="auto"/>
              </w:rPr>
            </w:pPr>
          </w:p>
        </w:tc>
      </w:tr>
      <w:tr>
        <w:trPr>
          <w:trHeight w:val="30"/>
        </w:trPr>
        <w:tc>
          <w:tcPr>
            <w:tcW w:w="53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53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00" w:type="dxa"/>
            <w:vAlign w:val="bottom"/>
            <w:gridSpan w:val="2"/>
          </w:tcPr>
          <w:p>
            <w:pPr>
              <w:jc w:val="center"/>
              <w:ind w:right="340"/>
              <w:spacing w:after="0"/>
              <w:rPr>
                <w:sz w:val="20"/>
                <w:szCs w:val="20"/>
                <w:color w:val="auto"/>
              </w:rPr>
            </w:pPr>
            <w:r>
              <w:rPr>
                <w:rFonts w:ascii="Calibri" w:cs="Calibri" w:eastAsia="Calibri" w:hAnsi="Calibri"/>
                <w:sz w:val="14"/>
                <w:szCs w:val="14"/>
                <w:b w:val="1"/>
                <w:bCs w:val="1"/>
                <w:color w:val="auto"/>
                <w:w w:val="98"/>
              </w:rPr>
              <w:t>(In millions)</w:t>
            </w: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5300" w:type="dxa"/>
            <w:vAlign w:val="bottom"/>
          </w:tcPr>
          <w:p>
            <w:pPr>
              <w:spacing w:after="0"/>
              <w:rPr>
                <w:sz w:val="3"/>
                <w:szCs w:val="3"/>
                <w:color w:val="auto"/>
              </w:rPr>
            </w:pPr>
          </w:p>
        </w:tc>
        <w:tc>
          <w:tcPr>
            <w:tcW w:w="1460" w:type="dxa"/>
            <w:vAlign w:val="bottom"/>
          </w:tcPr>
          <w:p>
            <w:pPr>
              <w:spacing w:after="0"/>
              <w:rPr>
                <w:sz w:val="3"/>
                <w:szCs w:val="3"/>
                <w:color w:val="auto"/>
              </w:rPr>
            </w:pPr>
          </w:p>
        </w:tc>
        <w:tc>
          <w:tcPr>
            <w:tcW w:w="86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4"/>
        </w:trPr>
        <w:tc>
          <w:tcPr>
            <w:tcW w:w="5300" w:type="dxa"/>
            <w:vAlign w:val="bottom"/>
            <w:shd w:val="clear" w:color="auto" w:fill="CCEEFF"/>
          </w:tcPr>
          <w:p>
            <w:pPr>
              <w:ind w:left="20"/>
              <w:spacing w:after="0" w:line="210" w:lineRule="exact"/>
              <w:rPr>
                <w:sz w:val="20"/>
                <w:szCs w:val="20"/>
                <w:color w:val="auto"/>
              </w:rPr>
            </w:pPr>
            <w:r>
              <w:rPr>
                <w:rFonts w:ascii="Calibri" w:cs="Calibri" w:eastAsia="Calibri" w:hAnsi="Calibri"/>
                <w:sz w:val="18"/>
                <w:szCs w:val="18"/>
                <w:color w:val="auto"/>
              </w:rPr>
              <w:t>Domestc loss</w:t>
            </w:r>
          </w:p>
        </w:tc>
        <w:tc>
          <w:tcPr>
            <w:tcW w:w="2320" w:type="dxa"/>
            <w:vAlign w:val="bottom"/>
            <w:gridSpan w:val="2"/>
            <w:shd w:val="clear" w:color="auto" w:fill="CCEEFF"/>
          </w:tcPr>
          <w:p>
            <w:pPr>
              <w:jc w:val="right"/>
              <w:ind w:right="681"/>
              <w:spacing w:after="0" w:line="210" w:lineRule="exact"/>
              <w:rPr>
                <w:sz w:val="20"/>
                <w:szCs w:val="20"/>
                <w:color w:val="auto"/>
              </w:rPr>
            </w:pPr>
            <w:r>
              <w:rPr>
                <w:rFonts w:ascii="Calibri" w:cs="Calibri" w:eastAsia="Calibri" w:hAnsi="Calibri"/>
                <w:sz w:val="18"/>
                <w:szCs w:val="18"/>
                <w:color w:val="auto"/>
              </w:rPr>
              <w:t>$</w:t>
            </w:r>
          </w:p>
        </w:tc>
        <w:tc>
          <w:tcPr>
            <w:tcW w:w="560" w:type="dxa"/>
            <w:vAlign w:val="bottom"/>
            <w:shd w:val="clear" w:color="auto" w:fill="CCEEFF"/>
          </w:tcPr>
          <w:p>
            <w:pPr>
              <w:jc w:val="right"/>
              <w:spacing w:after="0" w:line="210" w:lineRule="exact"/>
              <w:rPr>
                <w:sz w:val="20"/>
                <w:szCs w:val="20"/>
                <w:color w:val="auto"/>
              </w:rPr>
            </w:pPr>
            <w:r>
              <w:rPr>
                <w:rFonts w:ascii="Calibri" w:cs="Calibri" w:eastAsia="Calibri" w:hAnsi="Calibri"/>
                <w:sz w:val="18"/>
                <w:szCs w:val="18"/>
                <w:color w:val="auto"/>
              </w:rPr>
              <w:t>(63)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2"/>
              <w:spacing w:after="0" w:line="210" w:lineRule="exact"/>
              <w:rPr>
                <w:sz w:val="20"/>
                <w:szCs w:val="20"/>
                <w:color w:val="auto"/>
              </w:rPr>
            </w:pPr>
            <w:r>
              <w:rPr>
                <w:rFonts w:ascii="Calibri" w:cs="Calibri" w:eastAsia="Calibri" w:hAnsi="Calibri"/>
                <w:sz w:val="18"/>
                <w:szCs w:val="18"/>
                <w:color w:val="auto"/>
              </w:rPr>
              <w:t>$</w:t>
            </w:r>
          </w:p>
        </w:tc>
        <w:tc>
          <w:tcPr>
            <w:tcW w:w="1200" w:type="dxa"/>
            <w:vAlign w:val="bottom"/>
            <w:shd w:val="clear" w:color="auto" w:fill="CCEEFF"/>
          </w:tcPr>
          <w:p>
            <w:pPr>
              <w:jc w:val="right"/>
              <w:spacing w:after="0" w:line="210" w:lineRule="exact"/>
              <w:rPr>
                <w:sz w:val="20"/>
                <w:szCs w:val="20"/>
                <w:color w:val="auto"/>
              </w:rPr>
            </w:pPr>
            <w:r>
              <w:rPr>
                <w:rFonts w:ascii="Calibri" w:cs="Calibri" w:eastAsia="Calibri" w:hAnsi="Calibri"/>
                <w:sz w:val="18"/>
                <w:szCs w:val="18"/>
                <w:color w:val="auto"/>
              </w:rPr>
              <w:t>(2,020)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2"/>
              <w:spacing w:after="0" w:line="210" w:lineRule="exact"/>
              <w:rPr>
                <w:sz w:val="20"/>
                <w:szCs w:val="20"/>
                <w:color w:val="auto"/>
              </w:rPr>
            </w:pPr>
            <w:r>
              <w:rPr>
                <w:rFonts w:ascii="Calibri" w:cs="Calibri" w:eastAsia="Calibri" w:hAnsi="Calibri"/>
                <w:sz w:val="18"/>
                <w:szCs w:val="18"/>
                <w:color w:val="auto"/>
                <w:w w:val="87"/>
              </w:rPr>
              <w:t>$</w:t>
            </w:r>
          </w:p>
        </w:tc>
        <w:tc>
          <w:tcPr>
            <w:tcW w:w="1080" w:type="dxa"/>
            <w:vAlign w:val="bottom"/>
            <w:shd w:val="clear" w:color="auto" w:fill="CCEEFF"/>
          </w:tcPr>
          <w:p>
            <w:pPr>
              <w:jc w:val="right"/>
              <w:spacing w:after="0" w:line="210" w:lineRule="exact"/>
              <w:rPr>
                <w:sz w:val="20"/>
                <w:szCs w:val="20"/>
                <w:color w:val="auto"/>
              </w:rPr>
            </w:pPr>
            <w:r>
              <w:rPr>
                <w:rFonts w:ascii="Calibri" w:cs="Calibri" w:eastAsia="Calibri" w:hAnsi="Calibri"/>
                <w:sz w:val="18"/>
                <w:szCs w:val="18"/>
                <w:color w:val="auto"/>
              </w:rPr>
              <w:t>(3,103)</w:t>
            </w:r>
          </w:p>
        </w:tc>
        <w:tc>
          <w:tcPr>
            <w:tcW w:w="0" w:type="dxa"/>
            <w:vAlign w:val="bottom"/>
          </w:tcPr>
          <w:p>
            <w:pPr>
              <w:spacing w:after="0"/>
              <w:rPr>
                <w:sz w:val="1"/>
                <w:szCs w:val="1"/>
                <w:color w:val="auto"/>
              </w:rPr>
            </w:pPr>
          </w:p>
        </w:tc>
      </w:tr>
      <w:tr>
        <w:trPr>
          <w:trHeight w:val="218"/>
        </w:trPr>
        <w:tc>
          <w:tcPr>
            <w:tcW w:w="5300" w:type="dxa"/>
            <w:vAlign w:val="bottom"/>
            <w:tcBorders>
              <w:bottom w:val="single" w:sz="8" w:color="CCEEFF"/>
            </w:tcBorders>
          </w:tcPr>
          <w:p>
            <w:pPr>
              <w:ind w:left="20"/>
              <w:spacing w:after="0" w:line="210" w:lineRule="exact"/>
              <w:rPr>
                <w:sz w:val="20"/>
                <w:szCs w:val="20"/>
                <w:color w:val="auto"/>
              </w:rPr>
            </w:pPr>
            <w:r>
              <w:rPr>
                <w:rFonts w:ascii="Calibri" w:cs="Calibri" w:eastAsia="Calibri" w:hAnsi="Calibri"/>
                <w:sz w:val="18"/>
                <w:szCs w:val="18"/>
                <w:color w:val="auto"/>
              </w:rPr>
              <w:t>Foreign income</w:t>
            </w:r>
          </w:p>
        </w:tc>
        <w:tc>
          <w:tcPr>
            <w:tcW w:w="146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line="210" w:lineRule="exact"/>
              <w:rPr>
                <w:sz w:val="20"/>
                <w:szCs w:val="20"/>
                <w:color w:val="auto"/>
              </w:rPr>
            </w:pPr>
            <w:r>
              <w:rPr>
                <w:rFonts w:ascii="Calibri" w:cs="Calibri" w:eastAsia="Calibri" w:hAnsi="Calibri"/>
                <w:sz w:val="18"/>
                <w:szCs w:val="18"/>
                <w:color w:val="auto"/>
                <w:w w:val="95"/>
              </w:rPr>
              <w:t>15,160</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line="210" w:lineRule="exact"/>
              <w:rPr>
                <w:sz w:val="20"/>
                <w:szCs w:val="20"/>
                <w:color w:val="auto"/>
              </w:rPr>
            </w:pPr>
            <w:r>
              <w:rPr>
                <w:rFonts w:ascii="Calibri" w:cs="Calibri" w:eastAsia="Calibri" w:hAnsi="Calibri"/>
                <w:sz w:val="18"/>
                <w:szCs w:val="18"/>
                <w:color w:val="auto"/>
              </w:rPr>
              <w:t>14,454</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line="210" w:lineRule="exact"/>
              <w:rPr>
                <w:sz w:val="20"/>
                <w:szCs w:val="20"/>
                <w:color w:val="auto"/>
              </w:rPr>
            </w:pPr>
            <w:r>
              <w:rPr>
                <w:rFonts w:ascii="Calibri" w:cs="Calibri" w:eastAsia="Calibri" w:hAnsi="Calibri"/>
                <w:sz w:val="18"/>
                <w:szCs w:val="18"/>
                <w:color w:val="auto"/>
              </w:rPr>
              <w:t>9,868</w:t>
            </w:r>
          </w:p>
        </w:tc>
        <w:tc>
          <w:tcPr>
            <w:tcW w:w="0" w:type="dxa"/>
            <w:vAlign w:val="bottom"/>
          </w:tcPr>
          <w:p>
            <w:pPr>
              <w:spacing w:after="0"/>
              <w:rPr>
                <w:sz w:val="1"/>
                <w:szCs w:val="1"/>
                <w:color w:val="auto"/>
              </w:rPr>
            </w:pPr>
          </w:p>
        </w:tc>
      </w:tr>
      <w:tr>
        <w:trPr>
          <w:trHeight w:val="249"/>
        </w:trPr>
        <w:tc>
          <w:tcPr>
            <w:tcW w:w="5300" w:type="dxa"/>
            <w:vAlign w:val="bottom"/>
            <w:tcBorders>
              <w:bottom w:val="single" w:sz="8" w:color="CCEEFF"/>
            </w:tcBorders>
            <w:shd w:val="clear" w:color="auto" w:fill="CCEEFF"/>
          </w:tcPr>
          <w:p>
            <w:pPr>
              <w:ind w:left="220"/>
              <w:spacing w:after="0"/>
              <w:rPr>
                <w:sz w:val="20"/>
                <w:szCs w:val="20"/>
                <w:color w:val="auto"/>
              </w:rPr>
            </w:pPr>
            <w:r>
              <w:rPr>
                <w:rFonts w:ascii="Calibri" w:cs="Calibri" w:eastAsia="Calibri" w:hAnsi="Calibri"/>
                <w:sz w:val="18"/>
                <w:szCs w:val="18"/>
                <w:color w:val="auto"/>
              </w:rPr>
              <w:t>Income before income taxes</w:t>
            </w:r>
          </w:p>
        </w:tc>
        <w:tc>
          <w:tcPr>
            <w:tcW w:w="14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ind w:right="681"/>
              <w:spacing w:after="0" w:line="210" w:lineRule="exact"/>
              <w:rPr>
                <w:sz w:val="20"/>
                <w:szCs w:val="20"/>
                <w:color w:val="auto"/>
              </w:rPr>
            </w:pPr>
            <w:r>
              <w:rPr>
                <w:rFonts w:ascii="Calibri" w:cs="Calibri" w:eastAsia="Calibri" w:hAnsi="Calibri"/>
                <w:sz w:val="18"/>
                <w:szCs w:val="18"/>
                <w:color w:val="auto"/>
                <w:w w:val="87"/>
              </w:rPr>
              <w:t>$</w:t>
            </w:r>
          </w:p>
        </w:tc>
        <w:tc>
          <w:tcPr>
            <w:tcW w:w="560" w:type="dxa"/>
            <w:vAlign w:val="bottom"/>
            <w:tcBorders>
              <w:bottom w:val="single" w:sz="8" w:color="auto"/>
            </w:tcBorders>
            <w:shd w:val="clear" w:color="auto" w:fill="CCEEFF"/>
          </w:tcPr>
          <w:p>
            <w:pPr>
              <w:jc w:val="right"/>
              <w:spacing w:after="0" w:line="210" w:lineRule="exact"/>
              <w:rPr>
                <w:sz w:val="20"/>
                <w:szCs w:val="20"/>
                <w:color w:val="auto"/>
              </w:rPr>
            </w:pPr>
            <w:r>
              <w:rPr>
                <w:rFonts w:ascii="Calibri" w:cs="Calibri" w:eastAsia="Calibri" w:hAnsi="Calibri"/>
                <w:sz w:val="18"/>
                <w:szCs w:val="18"/>
                <w:color w:val="auto"/>
                <w:w w:val="95"/>
              </w:rPr>
              <w:t>15,097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2"/>
              <w:spacing w:after="0" w:line="210" w:lineRule="exact"/>
              <w:rPr>
                <w:sz w:val="20"/>
                <w:szCs w:val="20"/>
                <w:color w:val="auto"/>
              </w:rPr>
            </w:pPr>
            <w:r>
              <w:rPr>
                <w:rFonts w:ascii="Calibri" w:cs="Calibri" w:eastAsia="Calibri" w:hAnsi="Calibri"/>
                <w:sz w:val="18"/>
                <w:szCs w:val="18"/>
                <w:color w:val="auto"/>
              </w:rPr>
              <w:t>$</w:t>
            </w:r>
          </w:p>
        </w:tc>
        <w:tc>
          <w:tcPr>
            <w:tcW w:w="1200" w:type="dxa"/>
            <w:vAlign w:val="bottom"/>
            <w:tcBorders>
              <w:bottom w:val="single" w:sz="8" w:color="auto"/>
            </w:tcBorders>
            <w:shd w:val="clear" w:color="auto" w:fill="CCEEFF"/>
          </w:tcPr>
          <w:p>
            <w:pPr>
              <w:jc w:val="right"/>
              <w:spacing w:after="0" w:line="210" w:lineRule="exact"/>
              <w:rPr>
                <w:sz w:val="20"/>
                <w:szCs w:val="20"/>
                <w:color w:val="auto"/>
              </w:rPr>
            </w:pPr>
            <w:r>
              <w:rPr>
                <w:rFonts w:ascii="Calibri" w:cs="Calibri" w:eastAsia="Calibri" w:hAnsi="Calibri"/>
                <w:sz w:val="18"/>
                <w:szCs w:val="18"/>
                <w:color w:val="auto"/>
              </w:rPr>
              <w:t>12,434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2"/>
              <w:spacing w:after="0" w:line="210" w:lineRule="exact"/>
              <w:rPr>
                <w:sz w:val="20"/>
                <w:szCs w:val="20"/>
                <w:color w:val="auto"/>
              </w:rPr>
            </w:pPr>
            <w:r>
              <w:rPr>
                <w:rFonts w:ascii="Calibri" w:cs="Calibri" w:eastAsia="Calibri" w:hAnsi="Calibri"/>
                <w:sz w:val="18"/>
                <w:szCs w:val="18"/>
                <w:color w:val="auto"/>
                <w:w w:val="87"/>
              </w:rPr>
              <w:t>$</w:t>
            </w:r>
          </w:p>
        </w:tc>
        <w:tc>
          <w:tcPr>
            <w:tcW w:w="1080" w:type="dxa"/>
            <w:vAlign w:val="bottom"/>
            <w:tcBorders>
              <w:bottom w:val="single" w:sz="8" w:color="auto"/>
            </w:tcBorders>
            <w:shd w:val="clear" w:color="auto" w:fill="CCEEFF"/>
          </w:tcPr>
          <w:p>
            <w:pPr>
              <w:jc w:val="right"/>
              <w:spacing w:after="0" w:line="210" w:lineRule="exact"/>
              <w:rPr>
                <w:sz w:val="20"/>
                <w:szCs w:val="20"/>
                <w:color w:val="auto"/>
              </w:rPr>
            </w:pPr>
            <w:r>
              <w:rPr>
                <w:rFonts w:ascii="Calibri" w:cs="Calibri" w:eastAsia="Calibri" w:hAnsi="Calibri"/>
                <w:sz w:val="18"/>
                <w:szCs w:val="18"/>
                <w:color w:val="auto"/>
              </w:rPr>
              <w:t>6,765</w:t>
            </w:r>
          </w:p>
        </w:tc>
        <w:tc>
          <w:tcPr>
            <w:tcW w:w="0" w:type="dxa"/>
            <w:vAlign w:val="bottom"/>
          </w:tcPr>
          <w:p>
            <w:pPr>
              <w:spacing w:after="0"/>
              <w:rPr>
                <w:sz w:val="1"/>
                <w:szCs w:val="1"/>
                <w:color w:val="auto"/>
              </w:rPr>
            </w:pPr>
          </w:p>
        </w:tc>
      </w:tr>
      <w:tr>
        <w:trPr>
          <w:trHeight w:val="20"/>
        </w:trPr>
        <w:tc>
          <w:tcPr>
            <w:tcW w:w="5300" w:type="dxa"/>
            <w:vAlign w:val="bottom"/>
            <w:tcBorders>
              <w:top w:val="single" w:sz="8" w:color="CCEEFF"/>
              <w:bottom w:val="single" w:sz="8" w:color="CCEEFF"/>
            </w:tcBorders>
            <w:vMerge w:val="restart"/>
          </w:tcPr>
          <w:p>
            <w:pPr>
              <w:ind w:left="400"/>
              <w:spacing w:after="0"/>
              <w:rPr>
                <w:sz w:val="20"/>
                <w:szCs w:val="20"/>
                <w:color w:val="auto"/>
              </w:rPr>
            </w:pPr>
            <w:r>
              <w:rPr>
                <w:rFonts w:ascii="Calibri" w:cs="Calibri" w:eastAsia="Calibri" w:hAnsi="Calibri"/>
                <w:sz w:val="18"/>
                <w:szCs w:val="18"/>
                <w:color w:val="auto"/>
                <w:w w:val="99"/>
              </w:rPr>
              <w:t>The components of the provision for income taxes were as follows:</w:t>
            </w:r>
          </w:p>
        </w:tc>
        <w:tc>
          <w:tcPr>
            <w:tcW w:w="14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7"/>
        </w:trPr>
        <w:tc>
          <w:tcPr>
            <w:tcW w:w="5300" w:type="dxa"/>
            <w:vAlign w:val="bottom"/>
            <w:vMerge w:val="continue"/>
          </w:tcPr>
          <w:p>
            <w:pPr>
              <w:spacing w:after="0"/>
              <w:rPr>
                <w:sz w:val="24"/>
                <w:szCs w:val="24"/>
                <w:color w:val="auto"/>
              </w:rPr>
            </w:pPr>
          </w:p>
        </w:tc>
        <w:tc>
          <w:tcPr>
            <w:tcW w:w="14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7"/>
        </w:trPr>
        <w:tc>
          <w:tcPr>
            <w:tcW w:w="53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00" w:type="dxa"/>
            <w:vAlign w:val="bottom"/>
            <w:gridSpan w:val="2"/>
          </w:tcPr>
          <w:p>
            <w:pPr>
              <w:jc w:val="center"/>
              <w:ind w:right="340"/>
              <w:spacing w:after="0"/>
              <w:rPr>
                <w:sz w:val="20"/>
                <w:szCs w:val="20"/>
                <w:color w:val="auto"/>
              </w:rPr>
            </w:pPr>
            <w:r>
              <w:rPr>
                <w:rFonts w:ascii="Calibri" w:cs="Calibri" w:eastAsia="Calibri" w:hAnsi="Calibri"/>
                <w:sz w:val="14"/>
                <w:szCs w:val="14"/>
                <w:b w:val="1"/>
                <w:bCs w:val="1"/>
                <w:color w:val="auto"/>
                <w:w w:val="98"/>
              </w:rPr>
              <w:t>Fiscal Year</w:t>
            </w: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
        </w:trPr>
        <w:tc>
          <w:tcPr>
            <w:tcW w:w="5300" w:type="dxa"/>
            <w:vAlign w:val="bottom"/>
          </w:tcPr>
          <w:p>
            <w:pPr>
              <w:spacing w:after="0"/>
              <w:rPr>
                <w:sz w:val="3"/>
                <w:szCs w:val="3"/>
                <w:color w:val="auto"/>
              </w:rPr>
            </w:pPr>
          </w:p>
        </w:tc>
        <w:tc>
          <w:tcPr>
            <w:tcW w:w="1460" w:type="dxa"/>
            <w:vAlign w:val="bottom"/>
            <w:vMerge w:val="restart"/>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1"/>
        </w:trPr>
        <w:tc>
          <w:tcPr>
            <w:tcW w:w="5300" w:type="dxa"/>
            <w:vAlign w:val="bottom"/>
          </w:tcPr>
          <w:p>
            <w:pPr>
              <w:spacing w:after="0"/>
              <w:rPr>
                <w:sz w:val="13"/>
                <w:szCs w:val="13"/>
                <w:color w:val="auto"/>
              </w:rPr>
            </w:pPr>
          </w:p>
        </w:tc>
        <w:tc>
          <w:tcPr>
            <w:tcW w:w="1460" w:type="dxa"/>
            <w:vAlign w:val="bottom"/>
            <w:vMerge w:val="continue"/>
          </w:tcPr>
          <w:p>
            <w:pPr>
              <w:spacing w:after="0"/>
              <w:rPr>
                <w:sz w:val="13"/>
                <w:szCs w:val="13"/>
                <w:color w:val="auto"/>
              </w:rPr>
            </w:pPr>
          </w:p>
        </w:tc>
        <w:tc>
          <w:tcPr>
            <w:tcW w:w="860" w:type="dxa"/>
            <w:vAlign w:val="bottom"/>
          </w:tcPr>
          <w:p>
            <w:pPr>
              <w:jc w:val="right"/>
              <w:spacing w:after="0" w:line="161" w:lineRule="exact"/>
              <w:rPr>
                <w:sz w:val="20"/>
                <w:szCs w:val="20"/>
                <w:color w:val="auto"/>
              </w:rPr>
            </w:pPr>
            <w:r>
              <w:rPr>
                <w:rFonts w:ascii="Calibri" w:cs="Calibri" w:eastAsia="Calibri" w:hAnsi="Calibri"/>
                <w:sz w:val="14"/>
                <w:szCs w:val="14"/>
                <w:b w:val="1"/>
                <w:bCs w:val="1"/>
                <w:color w:val="auto"/>
              </w:rPr>
              <w:t>2023</w:t>
            </w: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0" w:type="dxa"/>
            <w:vAlign w:val="bottom"/>
          </w:tcPr>
          <w:p>
            <w:pPr>
              <w:jc w:val="center"/>
              <w:ind w:right="158"/>
              <w:spacing w:after="0" w:line="161" w:lineRule="exact"/>
              <w:rPr>
                <w:sz w:val="20"/>
                <w:szCs w:val="20"/>
                <w:color w:val="auto"/>
              </w:rPr>
            </w:pPr>
            <w:r>
              <w:rPr>
                <w:rFonts w:ascii="Calibri" w:cs="Calibri" w:eastAsia="Calibri" w:hAnsi="Calibri"/>
                <w:sz w:val="14"/>
                <w:szCs w:val="14"/>
                <w:b w:val="1"/>
                <w:bCs w:val="1"/>
                <w:color w:val="auto"/>
                <w:w w:val="98"/>
              </w:rPr>
              <w:t>2022</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80" w:type="dxa"/>
            <w:vAlign w:val="bottom"/>
          </w:tcPr>
          <w:p>
            <w:pPr>
              <w:jc w:val="right"/>
              <w:ind w:right="475"/>
              <w:spacing w:after="0" w:line="161" w:lineRule="exact"/>
              <w:rPr>
                <w:sz w:val="20"/>
                <w:szCs w:val="20"/>
                <w:color w:val="auto"/>
              </w:rPr>
            </w:pPr>
            <w:r>
              <w:rPr>
                <w:rFonts w:ascii="Calibri" w:cs="Calibri" w:eastAsia="Calibri" w:hAnsi="Calibri"/>
                <w:sz w:val="14"/>
                <w:szCs w:val="14"/>
                <w:b w:val="1"/>
                <w:bCs w:val="1"/>
                <w:color w:val="auto"/>
              </w:rPr>
              <w:t>2021</w:t>
            </w:r>
          </w:p>
        </w:tc>
        <w:tc>
          <w:tcPr>
            <w:tcW w:w="0" w:type="dxa"/>
            <w:vAlign w:val="bottom"/>
          </w:tcPr>
          <w:p>
            <w:pPr>
              <w:spacing w:after="0"/>
              <w:rPr>
                <w:sz w:val="1"/>
                <w:szCs w:val="1"/>
                <w:color w:val="auto"/>
              </w:rPr>
            </w:pPr>
          </w:p>
        </w:tc>
      </w:tr>
      <w:tr>
        <w:trPr>
          <w:trHeight w:val="30"/>
        </w:trPr>
        <w:tc>
          <w:tcPr>
            <w:tcW w:w="53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53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00" w:type="dxa"/>
            <w:vAlign w:val="bottom"/>
            <w:gridSpan w:val="2"/>
          </w:tcPr>
          <w:p>
            <w:pPr>
              <w:jc w:val="center"/>
              <w:ind w:right="340"/>
              <w:spacing w:after="0"/>
              <w:rPr>
                <w:sz w:val="20"/>
                <w:szCs w:val="20"/>
                <w:color w:val="auto"/>
              </w:rPr>
            </w:pPr>
            <w:r>
              <w:rPr>
                <w:rFonts w:ascii="Calibri" w:cs="Calibri" w:eastAsia="Calibri" w:hAnsi="Calibri"/>
                <w:sz w:val="14"/>
                <w:szCs w:val="14"/>
                <w:b w:val="1"/>
                <w:bCs w:val="1"/>
                <w:color w:val="auto"/>
                <w:w w:val="98"/>
              </w:rPr>
              <w:t>(In millions)</w:t>
            </w: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8"/>
        </w:trPr>
        <w:tc>
          <w:tcPr>
            <w:tcW w:w="5300" w:type="dxa"/>
            <w:vAlign w:val="bottom"/>
          </w:tcPr>
          <w:p>
            <w:pPr>
              <w:ind w:left="20"/>
              <w:spacing w:after="0"/>
              <w:rPr>
                <w:sz w:val="20"/>
                <w:szCs w:val="20"/>
                <w:color w:val="auto"/>
              </w:rPr>
            </w:pPr>
            <w:r>
              <w:rPr>
                <w:rFonts w:ascii="Calibri" w:cs="Calibri" w:eastAsia="Calibri" w:hAnsi="Calibri"/>
                <w:sz w:val="18"/>
                <w:szCs w:val="18"/>
                <w:b w:val="1"/>
                <w:bCs w:val="1"/>
                <w:color w:val="auto"/>
              </w:rPr>
              <w:t>Current tax provision:</w:t>
            </w:r>
          </w:p>
        </w:tc>
        <w:tc>
          <w:tcPr>
            <w:tcW w:w="14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
        </w:trPr>
        <w:tc>
          <w:tcPr>
            <w:tcW w:w="5300" w:type="dxa"/>
            <w:vAlign w:val="bottom"/>
          </w:tcPr>
          <w:p>
            <w:pPr>
              <w:spacing w:after="0" w:line="20" w:lineRule="exact"/>
              <w:rPr>
                <w:sz w:val="1"/>
                <w:szCs w:val="1"/>
                <w:color w:val="auto"/>
              </w:rPr>
            </w:pPr>
          </w:p>
        </w:tc>
        <w:tc>
          <w:tcPr>
            <w:tcW w:w="232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300" w:type="dxa"/>
            <w:vAlign w:val="bottom"/>
            <w:shd w:val="clear" w:color="auto" w:fill="CCEEFF"/>
          </w:tcPr>
          <w:p>
            <w:pPr>
              <w:ind w:left="140"/>
              <w:spacing w:after="0" w:line="210" w:lineRule="exact"/>
              <w:rPr>
                <w:sz w:val="20"/>
                <w:szCs w:val="20"/>
                <w:color w:val="auto"/>
              </w:rPr>
            </w:pPr>
            <w:r>
              <w:rPr>
                <w:rFonts w:ascii="Calibri" w:cs="Calibri" w:eastAsia="Calibri" w:hAnsi="Calibri"/>
                <w:sz w:val="18"/>
                <w:szCs w:val="18"/>
                <w:color w:val="auto"/>
              </w:rPr>
              <w:t>Federal</w:t>
            </w:r>
          </w:p>
        </w:tc>
        <w:tc>
          <w:tcPr>
            <w:tcW w:w="2320" w:type="dxa"/>
            <w:vAlign w:val="bottom"/>
            <w:gridSpan w:val="2"/>
            <w:shd w:val="clear" w:color="auto" w:fill="CCEEFF"/>
          </w:tcPr>
          <w:p>
            <w:pPr>
              <w:jc w:val="right"/>
              <w:ind w:right="681"/>
              <w:spacing w:after="0" w:line="210" w:lineRule="exact"/>
              <w:rPr>
                <w:sz w:val="20"/>
                <w:szCs w:val="20"/>
                <w:color w:val="auto"/>
              </w:rPr>
            </w:pPr>
            <w:r>
              <w:rPr>
                <w:rFonts w:ascii="Calibri" w:cs="Calibri" w:eastAsia="Calibri" w:hAnsi="Calibri"/>
                <w:sz w:val="18"/>
                <w:szCs w:val="18"/>
                <w:color w:val="auto"/>
              </w:rPr>
              <w:t>$</w:t>
            </w:r>
          </w:p>
        </w:tc>
        <w:tc>
          <w:tcPr>
            <w:tcW w:w="560" w:type="dxa"/>
            <w:vAlign w:val="bottom"/>
            <w:shd w:val="clear" w:color="auto" w:fill="CCEEFF"/>
          </w:tcPr>
          <w:p>
            <w:pPr>
              <w:jc w:val="right"/>
              <w:spacing w:after="0" w:line="210" w:lineRule="exact"/>
              <w:rPr>
                <w:sz w:val="20"/>
                <w:szCs w:val="20"/>
                <w:color w:val="auto"/>
              </w:rPr>
            </w:pPr>
            <w:r>
              <w:rPr>
                <w:rFonts w:ascii="Calibri" w:cs="Calibri" w:eastAsia="Calibri" w:hAnsi="Calibri"/>
                <w:sz w:val="18"/>
                <w:szCs w:val="18"/>
                <w:color w:val="auto"/>
              </w:rPr>
              <w:t>952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2"/>
              <w:spacing w:after="0" w:line="210" w:lineRule="exact"/>
              <w:rPr>
                <w:sz w:val="20"/>
                <w:szCs w:val="20"/>
                <w:color w:val="auto"/>
              </w:rPr>
            </w:pPr>
            <w:r>
              <w:rPr>
                <w:rFonts w:ascii="Calibri" w:cs="Calibri" w:eastAsia="Calibri" w:hAnsi="Calibri"/>
                <w:sz w:val="18"/>
                <w:szCs w:val="18"/>
                <w:color w:val="auto"/>
              </w:rPr>
              <w:t>$</w:t>
            </w:r>
          </w:p>
        </w:tc>
        <w:tc>
          <w:tcPr>
            <w:tcW w:w="1200" w:type="dxa"/>
            <w:vAlign w:val="bottom"/>
            <w:shd w:val="clear" w:color="auto" w:fill="CCEEFF"/>
          </w:tcPr>
          <w:p>
            <w:pPr>
              <w:jc w:val="right"/>
              <w:spacing w:after="0" w:line="210" w:lineRule="exact"/>
              <w:rPr>
                <w:sz w:val="20"/>
                <w:szCs w:val="20"/>
                <w:color w:val="auto"/>
              </w:rPr>
            </w:pPr>
            <w:r>
              <w:rPr>
                <w:rFonts w:ascii="Calibri" w:cs="Calibri" w:eastAsia="Calibri" w:hAnsi="Calibri"/>
                <w:sz w:val="18"/>
                <w:szCs w:val="18"/>
                <w:color w:val="auto"/>
              </w:rPr>
              <w:t>174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2"/>
              <w:spacing w:after="0" w:line="210" w:lineRule="exact"/>
              <w:rPr>
                <w:sz w:val="20"/>
                <w:szCs w:val="20"/>
                <w:color w:val="auto"/>
              </w:rPr>
            </w:pPr>
            <w:r>
              <w:rPr>
                <w:rFonts w:ascii="Calibri" w:cs="Calibri" w:eastAsia="Calibri" w:hAnsi="Calibri"/>
                <w:sz w:val="18"/>
                <w:szCs w:val="18"/>
                <w:color w:val="auto"/>
                <w:w w:val="87"/>
              </w:rPr>
              <w:t>$</w:t>
            </w:r>
          </w:p>
        </w:tc>
        <w:tc>
          <w:tcPr>
            <w:tcW w:w="1080" w:type="dxa"/>
            <w:vAlign w:val="bottom"/>
            <w:shd w:val="clear" w:color="auto" w:fill="CCEEFF"/>
          </w:tcPr>
          <w:p>
            <w:pPr>
              <w:jc w:val="right"/>
              <w:spacing w:after="0" w:line="210" w:lineRule="exact"/>
              <w:rPr>
                <w:sz w:val="20"/>
                <w:szCs w:val="20"/>
                <w:color w:val="auto"/>
              </w:rPr>
            </w:pPr>
            <w:r>
              <w:rPr>
                <w:rFonts w:ascii="Calibri" w:cs="Calibri" w:eastAsia="Calibri" w:hAnsi="Calibri"/>
                <w:sz w:val="18"/>
                <w:szCs w:val="18"/>
                <w:color w:val="auto"/>
              </w:rPr>
              <w:t>446</w:t>
            </w:r>
          </w:p>
        </w:tc>
        <w:tc>
          <w:tcPr>
            <w:tcW w:w="0" w:type="dxa"/>
            <w:vAlign w:val="bottom"/>
          </w:tcPr>
          <w:p>
            <w:pPr>
              <w:spacing w:after="0"/>
              <w:rPr>
                <w:sz w:val="1"/>
                <w:szCs w:val="1"/>
                <w:color w:val="auto"/>
              </w:rPr>
            </w:pPr>
          </w:p>
        </w:tc>
      </w:tr>
      <w:tr>
        <w:trPr>
          <w:trHeight w:val="217"/>
        </w:trPr>
        <w:tc>
          <w:tcPr>
            <w:tcW w:w="5300" w:type="dxa"/>
            <w:vAlign w:val="bottom"/>
          </w:tcPr>
          <w:p>
            <w:pPr>
              <w:ind w:left="140"/>
              <w:spacing w:after="0" w:line="210" w:lineRule="exact"/>
              <w:rPr>
                <w:sz w:val="20"/>
                <w:szCs w:val="20"/>
                <w:color w:val="auto"/>
              </w:rPr>
            </w:pPr>
            <w:r>
              <w:rPr>
                <w:rFonts w:ascii="Calibri" w:cs="Calibri" w:eastAsia="Calibri" w:hAnsi="Calibri"/>
                <w:sz w:val="18"/>
                <w:szCs w:val="18"/>
                <w:color w:val="auto"/>
              </w:rPr>
              <w:t>State</w:t>
            </w:r>
          </w:p>
        </w:tc>
        <w:tc>
          <w:tcPr>
            <w:tcW w:w="14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60" w:type="dxa"/>
            <w:vAlign w:val="bottom"/>
          </w:tcPr>
          <w:p>
            <w:pPr>
              <w:jc w:val="right"/>
              <w:spacing w:after="0" w:line="210" w:lineRule="exact"/>
              <w:rPr>
                <w:sz w:val="20"/>
                <w:szCs w:val="20"/>
                <w:color w:val="auto"/>
              </w:rPr>
            </w:pPr>
            <w:r>
              <w:rPr>
                <w:rFonts w:ascii="Calibri" w:cs="Calibri" w:eastAsia="Calibri" w:hAnsi="Calibri"/>
                <w:sz w:val="18"/>
                <w:szCs w:val="18"/>
                <w:color w:val="auto"/>
              </w:rPr>
              <w:t>23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jc w:val="right"/>
              <w:spacing w:after="0" w:line="210" w:lineRule="exact"/>
              <w:rPr>
                <w:sz w:val="20"/>
                <w:szCs w:val="20"/>
                <w:color w:val="auto"/>
              </w:rPr>
            </w:pPr>
            <w:r>
              <w:rPr>
                <w:rFonts w:ascii="Calibri" w:cs="Calibri" w:eastAsia="Calibri" w:hAnsi="Calibri"/>
                <w:sz w:val="18"/>
                <w:szCs w:val="18"/>
                <w:color w:val="auto"/>
              </w:rPr>
              <w:t>48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line="210" w:lineRule="exact"/>
              <w:rPr>
                <w:sz w:val="20"/>
                <w:szCs w:val="20"/>
                <w:color w:val="auto"/>
              </w:rPr>
            </w:pPr>
            <w:r>
              <w:rPr>
                <w:rFonts w:ascii="Calibri" w:cs="Calibri" w:eastAsia="Calibri" w:hAnsi="Calibri"/>
                <w:sz w:val="18"/>
                <w:szCs w:val="18"/>
                <w:color w:val="auto"/>
              </w:rPr>
              <w:t>46</w:t>
            </w:r>
          </w:p>
        </w:tc>
        <w:tc>
          <w:tcPr>
            <w:tcW w:w="0" w:type="dxa"/>
            <w:vAlign w:val="bottom"/>
          </w:tcPr>
          <w:p>
            <w:pPr>
              <w:spacing w:after="0"/>
              <w:rPr>
                <w:sz w:val="1"/>
                <w:szCs w:val="1"/>
                <w:color w:val="auto"/>
              </w:rPr>
            </w:pPr>
          </w:p>
        </w:tc>
      </w:tr>
      <w:tr>
        <w:trPr>
          <w:trHeight w:val="232"/>
        </w:trPr>
        <w:tc>
          <w:tcPr>
            <w:tcW w:w="5300" w:type="dxa"/>
            <w:vAlign w:val="bottom"/>
            <w:shd w:val="clear" w:color="auto" w:fill="CCEEFF"/>
          </w:tcPr>
          <w:p>
            <w:pPr>
              <w:ind w:left="140"/>
              <w:spacing w:after="0" w:line="217" w:lineRule="exact"/>
              <w:rPr>
                <w:sz w:val="20"/>
                <w:szCs w:val="20"/>
                <w:color w:val="auto"/>
              </w:rPr>
            </w:pPr>
            <w:r>
              <w:rPr>
                <w:rFonts w:ascii="Calibri" w:cs="Calibri" w:eastAsia="Calibri" w:hAnsi="Calibri"/>
                <w:sz w:val="18"/>
                <w:szCs w:val="18"/>
                <w:color w:val="auto"/>
              </w:rPr>
              <w:t>Foreign</w:t>
            </w:r>
          </w:p>
        </w:tc>
        <w:tc>
          <w:tcPr>
            <w:tcW w:w="1460" w:type="dxa"/>
            <w:vAlign w:val="bottom"/>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jc w:val="right"/>
              <w:spacing w:after="0" w:line="217" w:lineRule="exact"/>
              <w:rPr>
                <w:sz w:val="20"/>
                <w:szCs w:val="20"/>
                <w:color w:val="auto"/>
              </w:rPr>
            </w:pPr>
            <w:r>
              <w:rPr>
                <w:rFonts w:ascii="Calibri" w:cs="Calibri" w:eastAsia="Calibri" w:hAnsi="Calibri"/>
                <w:sz w:val="18"/>
                <w:szCs w:val="18"/>
                <w:color w:val="auto"/>
              </w:rPr>
              <w:t>541</w:t>
            </w:r>
          </w:p>
        </w:tc>
        <w:tc>
          <w:tcPr>
            <w:tcW w:w="10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line="217" w:lineRule="exact"/>
              <w:rPr>
                <w:sz w:val="20"/>
                <w:szCs w:val="20"/>
                <w:color w:val="auto"/>
              </w:rPr>
            </w:pPr>
            <w:r>
              <w:rPr>
                <w:rFonts w:ascii="Calibri" w:cs="Calibri" w:eastAsia="Calibri" w:hAnsi="Calibri"/>
                <w:sz w:val="18"/>
                <w:szCs w:val="18"/>
                <w:color w:val="auto"/>
              </w:rPr>
              <w:t>762</w:t>
            </w:r>
          </w:p>
        </w:tc>
        <w:tc>
          <w:tcPr>
            <w:tcW w:w="100" w:type="dxa"/>
            <w:vAlign w:val="bottom"/>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line="217" w:lineRule="exact"/>
              <w:rPr>
                <w:sz w:val="20"/>
                <w:szCs w:val="20"/>
                <w:color w:val="auto"/>
              </w:rPr>
            </w:pPr>
            <w:r>
              <w:rPr>
                <w:rFonts w:ascii="Calibri" w:cs="Calibri" w:eastAsia="Calibri" w:hAnsi="Calibri"/>
                <w:sz w:val="18"/>
                <w:szCs w:val="18"/>
                <w:color w:val="auto"/>
              </w:rPr>
              <w:t>534</w:t>
            </w:r>
          </w:p>
        </w:tc>
        <w:tc>
          <w:tcPr>
            <w:tcW w:w="0" w:type="dxa"/>
            <w:vAlign w:val="bottom"/>
          </w:tcPr>
          <w:p>
            <w:pPr>
              <w:spacing w:after="0"/>
              <w:rPr>
                <w:sz w:val="1"/>
                <w:szCs w:val="1"/>
                <w:color w:val="auto"/>
              </w:rPr>
            </w:pPr>
          </w:p>
        </w:tc>
      </w:tr>
      <w:tr>
        <w:trPr>
          <w:trHeight w:val="211"/>
        </w:trPr>
        <w:tc>
          <w:tcPr>
            <w:tcW w:w="5300" w:type="dxa"/>
            <w:vAlign w:val="bottom"/>
            <w:tcBorders>
              <w:bottom w:val="single" w:sz="8" w:color="CCEEFF"/>
            </w:tcBorders>
          </w:tcPr>
          <w:p>
            <w:pPr>
              <w:ind w:left="220"/>
              <w:spacing w:after="0" w:line="196" w:lineRule="exact"/>
              <w:rPr>
                <w:sz w:val="20"/>
                <w:szCs w:val="20"/>
                <w:color w:val="auto"/>
              </w:rPr>
            </w:pPr>
            <w:r>
              <w:rPr>
                <w:rFonts w:ascii="Calibri" w:cs="Calibri" w:eastAsia="Calibri" w:hAnsi="Calibri"/>
                <w:sz w:val="18"/>
                <w:szCs w:val="18"/>
                <w:color w:val="auto"/>
              </w:rPr>
              <w:t>Total</w:t>
            </w:r>
          </w:p>
        </w:tc>
        <w:tc>
          <w:tcPr>
            <w:tcW w:w="146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line="210" w:lineRule="exact"/>
              <w:rPr>
                <w:sz w:val="20"/>
                <w:szCs w:val="20"/>
                <w:color w:val="auto"/>
              </w:rPr>
            </w:pPr>
            <w:r>
              <w:rPr>
                <w:rFonts w:ascii="Calibri" w:cs="Calibri" w:eastAsia="Calibri" w:hAnsi="Calibri"/>
                <w:sz w:val="18"/>
                <w:szCs w:val="18"/>
                <w:color w:val="auto"/>
              </w:rPr>
              <w:t>1,516</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line="210" w:lineRule="exact"/>
              <w:rPr>
                <w:sz w:val="20"/>
                <w:szCs w:val="20"/>
                <w:color w:val="auto"/>
              </w:rPr>
            </w:pPr>
            <w:r>
              <w:rPr>
                <w:rFonts w:ascii="Calibri" w:cs="Calibri" w:eastAsia="Calibri" w:hAnsi="Calibri"/>
                <w:sz w:val="18"/>
                <w:szCs w:val="18"/>
                <w:color w:val="auto"/>
              </w:rPr>
              <w:t>984</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line="210" w:lineRule="exact"/>
              <w:rPr>
                <w:sz w:val="20"/>
                <w:szCs w:val="20"/>
                <w:color w:val="auto"/>
              </w:rPr>
            </w:pPr>
            <w:r>
              <w:rPr>
                <w:rFonts w:ascii="Calibri" w:cs="Calibri" w:eastAsia="Calibri" w:hAnsi="Calibri"/>
                <w:sz w:val="18"/>
                <w:szCs w:val="18"/>
                <w:color w:val="auto"/>
              </w:rPr>
              <w:t>1,026</w:t>
            </w:r>
          </w:p>
        </w:tc>
        <w:tc>
          <w:tcPr>
            <w:tcW w:w="0" w:type="dxa"/>
            <w:vAlign w:val="bottom"/>
          </w:tcPr>
          <w:p>
            <w:pPr>
              <w:spacing w:after="0"/>
              <w:rPr>
                <w:sz w:val="1"/>
                <w:szCs w:val="1"/>
                <w:color w:val="auto"/>
              </w:rPr>
            </w:pPr>
          </w:p>
        </w:tc>
      </w:tr>
      <w:tr>
        <w:trPr>
          <w:trHeight w:val="204"/>
        </w:trPr>
        <w:tc>
          <w:tcPr>
            <w:tcW w:w="5300" w:type="dxa"/>
            <w:vAlign w:val="bottom"/>
            <w:tcBorders>
              <w:bottom w:val="single" w:sz="8" w:color="CCEEFF"/>
            </w:tcBorders>
            <w:shd w:val="clear" w:color="auto" w:fill="CCEEFF"/>
          </w:tcPr>
          <w:p>
            <w:pPr>
              <w:ind w:left="20"/>
              <w:spacing w:after="0" w:line="203" w:lineRule="exact"/>
              <w:rPr>
                <w:sz w:val="20"/>
                <w:szCs w:val="20"/>
                <w:color w:val="auto"/>
              </w:rPr>
            </w:pPr>
            <w:r>
              <w:rPr>
                <w:rFonts w:ascii="Calibri" w:cs="Calibri" w:eastAsia="Calibri" w:hAnsi="Calibri"/>
                <w:sz w:val="18"/>
                <w:szCs w:val="18"/>
                <w:b w:val="1"/>
                <w:bCs w:val="1"/>
                <w:color w:val="auto"/>
              </w:rPr>
              <w:t>Deferred tax provision (beneft):</w:t>
            </w:r>
          </w:p>
        </w:tc>
        <w:tc>
          <w:tcPr>
            <w:tcW w:w="146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5300" w:type="dxa"/>
            <w:vAlign w:val="bottom"/>
          </w:tcPr>
          <w:p>
            <w:pPr>
              <w:ind w:left="140"/>
              <w:spacing w:after="0" w:line="210" w:lineRule="exact"/>
              <w:rPr>
                <w:sz w:val="20"/>
                <w:szCs w:val="20"/>
                <w:color w:val="auto"/>
              </w:rPr>
            </w:pPr>
            <w:r>
              <w:rPr>
                <w:rFonts w:ascii="Calibri" w:cs="Calibri" w:eastAsia="Calibri" w:hAnsi="Calibri"/>
                <w:sz w:val="18"/>
                <w:szCs w:val="18"/>
                <w:color w:val="auto"/>
              </w:rPr>
              <w:t>Federal</w:t>
            </w:r>
          </w:p>
        </w:tc>
        <w:tc>
          <w:tcPr>
            <w:tcW w:w="14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60" w:type="dxa"/>
            <w:vAlign w:val="bottom"/>
          </w:tcPr>
          <w:p>
            <w:pPr>
              <w:jc w:val="right"/>
              <w:spacing w:after="0" w:line="210" w:lineRule="exact"/>
              <w:rPr>
                <w:sz w:val="20"/>
                <w:szCs w:val="20"/>
                <w:color w:val="auto"/>
              </w:rPr>
            </w:pPr>
            <w:r>
              <w:rPr>
                <w:rFonts w:ascii="Calibri" w:cs="Calibri" w:eastAsia="Calibri" w:hAnsi="Calibri"/>
                <w:sz w:val="18"/>
                <w:szCs w:val="18"/>
                <w:color w:val="auto"/>
              </w:rPr>
              <w:t>(499)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jc w:val="right"/>
              <w:spacing w:after="0" w:line="210" w:lineRule="exact"/>
              <w:rPr>
                <w:sz w:val="20"/>
                <w:szCs w:val="20"/>
                <w:color w:val="auto"/>
              </w:rPr>
            </w:pPr>
            <w:r>
              <w:rPr>
                <w:rFonts w:ascii="Calibri" w:cs="Calibri" w:eastAsia="Calibri" w:hAnsi="Calibri"/>
                <w:sz w:val="18"/>
                <w:szCs w:val="18"/>
                <w:color w:val="auto"/>
              </w:rPr>
              <w:t>68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line="210" w:lineRule="exact"/>
              <w:rPr>
                <w:sz w:val="20"/>
                <w:szCs w:val="20"/>
                <w:color w:val="auto"/>
              </w:rPr>
            </w:pPr>
            <w:r>
              <w:rPr>
                <w:rFonts w:ascii="Calibri" w:cs="Calibri" w:eastAsia="Calibri" w:hAnsi="Calibri"/>
                <w:sz w:val="18"/>
                <w:szCs w:val="18"/>
                <w:color w:val="auto"/>
              </w:rPr>
              <w:t>(876)</w:t>
            </w:r>
          </w:p>
        </w:tc>
        <w:tc>
          <w:tcPr>
            <w:tcW w:w="0" w:type="dxa"/>
            <w:vAlign w:val="bottom"/>
          </w:tcPr>
          <w:p>
            <w:pPr>
              <w:spacing w:after="0"/>
              <w:rPr>
                <w:sz w:val="1"/>
                <w:szCs w:val="1"/>
                <w:color w:val="auto"/>
              </w:rPr>
            </w:pPr>
          </w:p>
        </w:tc>
      </w:tr>
      <w:tr>
        <w:trPr>
          <w:trHeight w:val="232"/>
        </w:trPr>
        <w:tc>
          <w:tcPr>
            <w:tcW w:w="5300" w:type="dxa"/>
            <w:vAlign w:val="bottom"/>
            <w:shd w:val="clear" w:color="auto" w:fill="CCEEFF"/>
          </w:tcPr>
          <w:p>
            <w:pPr>
              <w:ind w:left="140"/>
              <w:spacing w:after="0" w:line="217" w:lineRule="exact"/>
              <w:rPr>
                <w:sz w:val="20"/>
                <w:szCs w:val="20"/>
                <w:color w:val="auto"/>
              </w:rPr>
            </w:pPr>
            <w:r>
              <w:rPr>
                <w:rFonts w:ascii="Calibri" w:cs="Calibri" w:eastAsia="Calibri" w:hAnsi="Calibri"/>
                <w:sz w:val="18"/>
                <w:szCs w:val="18"/>
                <w:color w:val="auto"/>
              </w:rPr>
              <w:t>State</w:t>
            </w:r>
          </w:p>
        </w:tc>
        <w:tc>
          <w:tcPr>
            <w:tcW w:w="146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line="217" w:lineRule="exact"/>
              <w:rPr>
                <w:sz w:val="20"/>
                <w:szCs w:val="20"/>
                <w:color w:val="auto"/>
              </w:rPr>
            </w:pPr>
            <w:r>
              <w:rPr>
                <w:rFonts w:ascii="Calibri" w:cs="Calibri" w:eastAsia="Calibri" w:hAnsi="Calibri"/>
                <w:sz w:val="18"/>
                <w:szCs w:val="18"/>
                <w:color w:val="auto"/>
              </w:rPr>
              <w:t>(31)</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line="217" w:lineRule="exact"/>
              <w:rPr>
                <w:sz w:val="20"/>
                <w:szCs w:val="20"/>
                <w:color w:val="auto"/>
              </w:rPr>
            </w:pPr>
            <w:r>
              <w:rPr>
                <w:rFonts w:ascii="Calibri" w:cs="Calibri" w:eastAsia="Calibri" w:hAnsi="Calibri"/>
                <w:sz w:val="18"/>
                <w:szCs w:val="18"/>
                <w:color w:val="auto"/>
              </w:rPr>
              <w:t>(15)</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line="217" w:lineRule="exact"/>
              <w:rPr>
                <w:sz w:val="20"/>
                <w:szCs w:val="20"/>
                <w:color w:val="auto"/>
              </w:rPr>
            </w:pPr>
            <w:r>
              <w:rPr>
                <w:rFonts w:ascii="Calibri" w:cs="Calibri" w:eastAsia="Calibri" w:hAnsi="Calibri"/>
                <w:sz w:val="18"/>
                <w:szCs w:val="18"/>
                <w:color w:val="auto"/>
              </w:rPr>
              <w:t>(114)</w:t>
            </w:r>
          </w:p>
        </w:tc>
        <w:tc>
          <w:tcPr>
            <w:tcW w:w="0" w:type="dxa"/>
            <w:vAlign w:val="bottom"/>
          </w:tcPr>
          <w:p>
            <w:pPr>
              <w:spacing w:after="0"/>
              <w:rPr>
                <w:sz w:val="1"/>
                <w:szCs w:val="1"/>
                <w:color w:val="auto"/>
              </w:rPr>
            </w:pPr>
          </w:p>
        </w:tc>
      </w:tr>
      <w:tr>
        <w:trPr>
          <w:trHeight w:val="218"/>
        </w:trPr>
        <w:tc>
          <w:tcPr>
            <w:tcW w:w="5300" w:type="dxa"/>
            <w:vAlign w:val="bottom"/>
            <w:tcBorders>
              <w:bottom w:val="single" w:sz="8" w:color="CCEEFF"/>
            </w:tcBorders>
          </w:tcPr>
          <w:p>
            <w:pPr>
              <w:ind w:left="140"/>
              <w:spacing w:after="0" w:line="210" w:lineRule="exact"/>
              <w:rPr>
                <w:sz w:val="20"/>
                <w:szCs w:val="20"/>
                <w:color w:val="auto"/>
              </w:rPr>
            </w:pPr>
            <w:r>
              <w:rPr>
                <w:rFonts w:ascii="Calibri" w:cs="Calibri" w:eastAsia="Calibri" w:hAnsi="Calibri"/>
                <w:sz w:val="18"/>
                <w:szCs w:val="18"/>
                <w:color w:val="auto"/>
              </w:rPr>
              <w:t>Foreign</w:t>
            </w:r>
          </w:p>
        </w:tc>
        <w:tc>
          <w:tcPr>
            <w:tcW w:w="146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line="210" w:lineRule="exact"/>
              <w:rPr>
                <w:sz w:val="20"/>
                <w:szCs w:val="20"/>
                <w:color w:val="auto"/>
              </w:rPr>
            </w:pPr>
            <w:r>
              <w:rPr>
                <w:rFonts w:ascii="Calibri" w:cs="Calibri" w:eastAsia="Calibri" w:hAnsi="Calibri"/>
                <w:sz w:val="18"/>
                <w:szCs w:val="18"/>
                <w:color w:val="auto"/>
              </w:rPr>
              <w:t>29</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line="210" w:lineRule="exact"/>
              <w:rPr>
                <w:sz w:val="20"/>
                <w:szCs w:val="20"/>
                <w:color w:val="auto"/>
              </w:rPr>
            </w:pPr>
            <w:r>
              <w:rPr>
                <w:rFonts w:ascii="Calibri" w:cs="Calibri" w:eastAsia="Calibri" w:hAnsi="Calibri"/>
                <w:sz w:val="18"/>
                <w:szCs w:val="18"/>
                <w:color w:val="auto"/>
              </w:rPr>
              <w:t>(98)</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line="210" w:lineRule="exact"/>
              <w:rPr>
                <w:sz w:val="20"/>
                <w:szCs w:val="20"/>
                <w:color w:val="auto"/>
              </w:rPr>
            </w:pPr>
            <w:r>
              <w:rPr>
                <w:rFonts w:ascii="Calibri" w:cs="Calibri" w:eastAsia="Calibri" w:hAnsi="Calibri"/>
                <w:sz w:val="18"/>
                <w:szCs w:val="18"/>
                <w:color w:val="auto"/>
              </w:rPr>
              <w:t>(7)</w:t>
            </w:r>
          </w:p>
        </w:tc>
        <w:tc>
          <w:tcPr>
            <w:tcW w:w="0" w:type="dxa"/>
            <w:vAlign w:val="bottom"/>
          </w:tcPr>
          <w:p>
            <w:pPr>
              <w:spacing w:after="0"/>
              <w:rPr>
                <w:sz w:val="1"/>
                <w:szCs w:val="1"/>
                <w:color w:val="auto"/>
              </w:rPr>
            </w:pPr>
          </w:p>
        </w:tc>
      </w:tr>
      <w:tr>
        <w:trPr>
          <w:trHeight w:val="224"/>
        </w:trPr>
        <w:tc>
          <w:tcPr>
            <w:tcW w:w="5300" w:type="dxa"/>
            <w:vAlign w:val="bottom"/>
            <w:shd w:val="clear" w:color="auto" w:fill="CCEEFF"/>
          </w:tcPr>
          <w:p>
            <w:pPr>
              <w:ind w:left="240"/>
              <w:spacing w:after="0" w:line="203" w:lineRule="exact"/>
              <w:rPr>
                <w:sz w:val="20"/>
                <w:szCs w:val="20"/>
                <w:color w:val="auto"/>
              </w:rPr>
            </w:pPr>
            <w:r>
              <w:rPr>
                <w:rFonts w:ascii="Calibri" w:cs="Calibri" w:eastAsia="Calibri" w:hAnsi="Calibri"/>
                <w:sz w:val="18"/>
                <w:szCs w:val="18"/>
                <w:color w:val="auto"/>
              </w:rPr>
              <w:t>Total</w:t>
            </w:r>
          </w:p>
        </w:tc>
        <w:tc>
          <w:tcPr>
            <w:tcW w:w="1460" w:type="dxa"/>
            <w:vAlign w:val="bottom"/>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line="210" w:lineRule="exact"/>
              <w:rPr>
                <w:sz w:val="20"/>
                <w:szCs w:val="20"/>
                <w:color w:val="auto"/>
              </w:rPr>
            </w:pPr>
            <w:r>
              <w:rPr>
                <w:rFonts w:ascii="Calibri" w:cs="Calibri" w:eastAsia="Calibri" w:hAnsi="Calibri"/>
                <w:sz w:val="18"/>
                <w:szCs w:val="18"/>
                <w:color w:val="auto"/>
              </w:rPr>
              <w:t>(501)</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line="210" w:lineRule="exact"/>
              <w:rPr>
                <w:sz w:val="20"/>
                <w:szCs w:val="20"/>
                <w:color w:val="auto"/>
              </w:rPr>
            </w:pPr>
            <w:r>
              <w:rPr>
                <w:rFonts w:ascii="Calibri" w:cs="Calibri" w:eastAsia="Calibri" w:hAnsi="Calibri"/>
                <w:sz w:val="18"/>
                <w:szCs w:val="18"/>
                <w:color w:val="auto"/>
              </w:rPr>
              <w:t>(45)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line="210" w:lineRule="exact"/>
              <w:rPr>
                <w:sz w:val="20"/>
                <w:szCs w:val="20"/>
                <w:color w:val="auto"/>
              </w:rPr>
            </w:pPr>
            <w:r>
              <w:rPr>
                <w:rFonts w:ascii="Calibri" w:cs="Calibri" w:eastAsia="Calibri" w:hAnsi="Calibri"/>
                <w:sz w:val="18"/>
                <w:szCs w:val="18"/>
                <w:color w:val="auto"/>
              </w:rPr>
              <w:t>(997)</w:t>
            </w:r>
          </w:p>
        </w:tc>
        <w:tc>
          <w:tcPr>
            <w:tcW w:w="0" w:type="dxa"/>
            <w:vAlign w:val="bottom"/>
          </w:tcPr>
          <w:p>
            <w:pPr>
              <w:spacing w:after="0"/>
              <w:rPr>
                <w:sz w:val="1"/>
                <w:szCs w:val="1"/>
                <w:color w:val="auto"/>
              </w:rPr>
            </w:pPr>
          </w:p>
        </w:tc>
      </w:tr>
      <w:tr>
        <w:trPr>
          <w:trHeight w:val="218"/>
        </w:trPr>
        <w:tc>
          <w:tcPr>
            <w:tcW w:w="5300" w:type="dxa"/>
            <w:vAlign w:val="bottom"/>
          </w:tcPr>
          <w:p>
            <w:pPr>
              <w:ind w:left="320"/>
              <w:spacing w:after="0" w:line="217" w:lineRule="exact"/>
              <w:rPr>
                <w:sz w:val="20"/>
                <w:szCs w:val="20"/>
                <w:color w:val="auto"/>
              </w:rPr>
            </w:pPr>
            <w:r>
              <w:rPr>
                <w:rFonts w:ascii="Calibri" w:cs="Calibri" w:eastAsia="Calibri" w:hAnsi="Calibri"/>
                <w:sz w:val="18"/>
                <w:szCs w:val="18"/>
                <w:color w:val="auto"/>
              </w:rPr>
              <w:t>Total provision for income taxes</w:t>
            </w:r>
          </w:p>
        </w:tc>
        <w:tc>
          <w:tcPr>
            <w:tcW w:w="1460" w:type="dxa"/>
            <w:vAlign w:val="bottom"/>
          </w:tcPr>
          <w:p>
            <w:pPr>
              <w:spacing w:after="0"/>
              <w:rPr>
                <w:sz w:val="18"/>
                <w:szCs w:val="18"/>
                <w:color w:val="auto"/>
              </w:rPr>
            </w:pPr>
          </w:p>
        </w:tc>
        <w:tc>
          <w:tcPr>
            <w:tcW w:w="860" w:type="dxa"/>
            <w:vAlign w:val="bottom"/>
            <w:tcBorders>
              <w:bottom w:val="single" w:sz="8" w:color="auto"/>
            </w:tcBorders>
          </w:tcPr>
          <w:p>
            <w:pPr>
              <w:jc w:val="right"/>
              <w:ind w:right="681"/>
              <w:spacing w:after="0" w:line="210" w:lineRule="exact"/>
              <w:rPr>
                <w:sz w:val="20"/>
                <w:szCs w:val="20"/>
                <w:color w:val="auto"/>
              </w:rPr>
            </w:pPr>
            <w:r>
              <w:rPr>
                <w:rFonts w:ascii="Calibri" w:cs="Calibri" w:eastAsia="Calibri" w:hAnsi="Calibri"/>
                <w:sz w:val="18"/>
                <w:szCs w:val="18"/>
                <w:color w:val="auto"/>
                <w:w w:val="87"/>
              </w:rPr>
              <w:t>$</w:t>
            </w:r>
          </w:p>
        </w:tc>
        <w:tc>
          <w:tcPr>
            <w:tcW w:w="560" w:type="dxa"/>
            <w:vAlign w:val="bottom"/>
            <w:tcBorders>
              <w:bottom w:val="single" w:sz="8" w:color="auto"/>
            </w:tcBorders>
          </w:tcPr>
          <w:p>
            <w:pPr>
              <w:jc w:val="right"/>
              <w:spacing w:after="0" w:line="210" w:lineRule="exact"/>
              <w:rPr>
                <w:sz w:val="20"/>
                <w:szCs w:val="20"/>
                <w:color w:val="auto"/>
              </w:rPr>
            </w:pPr>
            <w:r>
              <w:rPr>
                <w:rFonts w:ascii="Calibri" w:cs="Calibri" w:eastAsia="Calibri" w:hAnsi="Calibri"/>
                <w:sz w:val="18"/>
                <w:szCs w:val="18"/>
                <w:color w:val="auto"/>
              </w:rPr>
              <w:t>1,015</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32"/>
              <w:spacing w:after="0" w:line="210" w:lineRule="exact"/>
              <w:rPr>
                <w:sz w:val="20"/>
                <w:szCs w:val="20"/>
                <w:color w:val="auto"/>
              </w:rPr>
            </w:pPr>
            <w:r>
              <w:rPr>
                <w:rFonts w:ascii="Calibri" w:cs="Calibri" w:eastAsia="Calibri" w:hAnsi="Calibri"/>
                <w:sz w:val="18"/>
                <w:szCs w:val="18"/>
                <w:color w:val="auto"/>
              </w:rPr>
              <w:t>$</w:t>
            </w:r>
          </w:p>
        </w:tc>
        <w:tc>
          <w:tcPr>
            <w:tcW w:w="1200" w:type="dxa"/>
            <w:vAlign w:val="bottom"/>
            <w:tcBorders>
              <w:bottom w:val="single" w:sz="8" w:color="auto"/>
            </w:tcBorders>
          </w:tcPr>
          <w:p>
            <w:pPr>
              <w:jc w:val="right"/>
              <w:spacing w:after="0" w:line="210" w:lineRule="exact"/>
              <w:rPr>
                <w:sz w:val="20"/>
                <w:szCs w:val="20"/>
                <w:color w:val="auto"/>
              </w:rPr>
            </w:pPr>
            <w:r>
              <w:rPr>
                <w:rFonts w:ascii="Calibri" w:cs="Calibri" w:eastAsia="Calibri" w:hAnsi="Calibri"/>
                <w:sz w:val="18"/>
                <w:szCs w:val="18"/>
                <w:color w:val="auto"/>
              </w:rPr>
              <w:t>939</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2"/>
              <w:spacing w:after="0" w:line="210" w:lineRule="exact"/>
              <w:rPr>
                <w:sz w:val="20"/>
                <w:szCs w:val="20"/>
                <w:color w:val="auto"/>
              </w:rPr>
            </w:pPr>
            <w:r>
              <w:rPr>
                <w:rFonts w:ascii="Calibri" w:cs="Calibri" w:eastAsia="Calibri" w:hAnsi="Calibri"/>
                <w:sz w:val="18"/>
                <w:szCs w:val="18"/>
                <w:color w:val="auto"/>
                <w:w w:val="87"/>
              </w:rPr>
              <w:t>$</w:t>
            </w:r>
          </w:p>
        </w:tc>
        <w:tc>
          <w:tcPr>
            <w:tcW w:w="1080" w:type="dxa"/>
            <w:vAlign w:val="bottom"/>
            <w:tcBorders>
              <w:bottom w:val="single" w:sz="8" w:color="auto"/>
            </w:tcBorders>
          </w:tcPr>
          <w:p>
            <w:pPr>
              <w:jc w:val="right"/>
              <w:spacing w:after="0" w:line="210" w:lineRule="exact"/>
              <w:rPr>
                <w:sz w:val="20"/>
                <w:szCs w:val="20"/>
                <w:color w:val="auto"/>
              </w:rPr>
            </w:pPr>
            <w:r>
              <w:rPr>
                <w:rFonts w:ascii="Calibri" w:cs="Calibri" w:eastAsia="Calibri" w:hAnsi="Calibri"/>
                <w:sz w:val="18"/>
                <w:szCs w:val="18"/>
                <w:color w:val="auto"/>
              </w:rPr>
              <w:t>29</w:t>
            </w:r>
          </w:p>
        </w:tc>
        <w:tc>
          <w:tcPr>
            <w:tcW w:w="0" w:type="dxa"/>
            <w:vAlign w:val="bottom"/>
          </w:tcPr>
          <w:p>
            <w:pPr>
              <w:spacing w:after="0"/>
              <w:rPr>
                <w:sz w:val="1"/>
                <w:szCs w:val="1"/>
                <w:color w:val="auto"/>
              </w:rPr>
            </w:pPr>
          </w:p>
        </w:tc>
      </w:tr>
      <w:tr>
        <w:trPr>
          <w:trHeight w:val="20"/>
        </w:trPr>
        <w:tc>
          <w:tcPr>
            <w:tcW w:w="5300" w:type="dxa"/>
            <w:vAlign w:val="bottom"/>
          </w:tcPr>
          <w:p>
            <w:pPr>
              <w:spacing w:after="0" w:line="20" w:lineRule="exact"/>
              <w:rPr>
                <w:sz w:val="1"/>
                <w:szCs w:val="1"/>
                <w:color w:val="auto"/>
              </w:rPr>
            </w:pPr>
          </w:p>
        </w:tc>
        <w:tc>
          <w:tcPr>
            <w:tcW w:w="1460" w:type="dxa"/>
            <w:vAlign w:val="bottom"/>
            <w:vMerge w:val="restart"/>
          </w:tcPr>
          <w:p>
            <w:pPr>
              <w:jc w:val="right"/>
              <w:ind w:right="952"/>
              <w:spacing w:after="0"/>
              <w:rPr>
                <w:sz w:val="20"/>
                <w:szCs w:val="20"/>
                <w:color w:val="auto"/>
              </w:rPr>
            </w:pPr>
            <w:r>
              <w:rPr>
                <w:rFonts w:ascii="Calibri" w:cs="Calibri" w:eastAsia="Calibri" w:hAnsi="Calibri"/>
                <w:sz w:val="18"/>
                <w:szCs w:val="18"/>
                <w:color w:val="auto"/>
              </w:rPr>
              <w:t>79</w:t>
            </w:r>
          </w:p>
        </w:tc>
        <w:tc>
          <w:tcPr>
            <w:tcW w:w="8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6"/>
        </w:trPr>
        <w:tc>
          <w:tcPr>
            <w:tcW w:w="5300" w:type="dxa"/>
            <w:vAlign w:val="bottom"/>
          </w:tcPr>
          <w:p>
            <w:pPr>
              <w:spacing w:after="0"/>
              <w:rPr>
                <w:sz w:val="24"/>
                <w:szCs w:val="24"/>
                <w:color w:val="auto"/>
              </w:rPr>
            </w:pPr>
          </w:p>
        </w:tc>
        <w:tc>
          <w:tcPr>
            <w:tcW w:w="1460" w:type="dxa"/>
            <w:vAlign w:val="bottom"/>
            <w:vMerge w:val="continue"/>
          </w:tcPr>
          <w:p>
            <w:pPr>
              <w:spacing w:after="0"/>
              <w:rPr>
                <w:sz w:val="24"/>
                <w:szCs w:val="24"/>
                <w:color w:val="auto"/>
              </w:rPr>
            </w:pPr>
          </w:p>
        </w:tc>
        <w:tc>
          <w:tcPr>
            <w:tcW w:w="8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5300" w:type="dxa"/>
            <w:vAlign w:val="bottom"/>
            <w:tcBorders>
              <w:bottom w:val="single" w:sz="8" w:color="9A9A9A"/>
            </w:tcBorders>
          </w:tcPr>
          <w:p>
            <w:pPr>
              <w:spacing w:after="0"/>
              <w:rPr>
                <w:sz w:val="11"/>
                <w:szCs w:val="11"/>
                <w:color w:val="auto"/>
              </w:rPr>
            </w:pPr>
          </w:p>
        </w:tc>
        <w:tc>
          <w:tcPr>
            <w:tcW w:w="1460" w:type="dxa"/>
            <w:vAlign w:val="bottom"/>
            <w:tcBorders>
              <w:bottom w:val="single" w:sz="8" w:color="9A9A9A"/>
            </w:tcBorders>
          </w:tcPr>
          <w:p>
            <w:pPr>
              <w:spacing w:after="0"/>
              <w:rPr>
                <w:sz w:val="11"/>
                <w:szCs w:val="11"/>
                <w:color w:val="auto"/>
              </w:rPr>
            </w:pPr>
          </w:p>
        </w:tc>
        <w:tc>
          <w:tcPr>
            <w:tcW w:w="860" w:type="dxa"/>
            <w:vAlign w:val="bottom"/>
            <w:tcBorders>
              <w:bottom w:val="single" w:sz="8" w:color="9A9A9A"/>
            </w:tcBorders>
          </w:tcPr>
          <w:p>
            <w:pPr>
              <w:spacing w:after="0"/>
              <w:rPr>
                <w:sz w:val="11"/>
                <w:szCs w:val="11"/>
                <w:color w:val="auto"/>
              </w:rPr>
            </w:pPr>
          </w:p>
        </w:tc>
        <w:tc>
          <w:tcPr>
            <w:tcW w:w="560" w:type="dxa"/>
            <w:vAlign w:val="bottom"/>
            <w:tcBorders>
              <w:bottom w:val="single" w:sz="8" w:color="9A9A9A"/>
            </w:tcBorders>
          </w:tcPr>
          <w:p>
            <w:pPr>
              <w:spacing w:after="0"/>
              <w:rPr>
                <w:sz w:val="11"/>
                <w:szCs w:val="11"/>
                <w:color w:val="auto"/>
              </w:rPr>
            </w:pPr>
          </w:p>
        </w:tc>
        <w:tc>
          <w:tcPr>
            <w:tcW w:w="100" w:type="dxa"/>
            <w:vAlign w:val="bottom"/>
            <w:tcBorders>
              <w:bottom w:val="single" w:sz="8" w:color="9A9A9A"/>
            </w:tcBorders>
          </w:tcPr>
          <w:p>
            <w:pPr>
              <w:spacing w:after="0"/>
              <w:rPr>
                <w:sz w:val="11"/>
                <w:szCs w:val="11"/>
                <w:color w:val="auto"/>
              </w:rPr>
            </w:pPr>
          </w:p>
        </w:tc>
        <w:tc>
          <w:tcPr>
            <w:tcW w:w="240" w:type="dxa"/>
            <w:vAlign w:val="bottom"/>
            <w:tcBorders>
              <w:bottom w:val="single" w:sz="8" w:color="9A9A9A"/>
            </w:tcBorders>
          </w:tcPr>
          <w:p>
            <w:pPr>
              <w:spacing w:after="0"/>
              <w:rPr>
                <w:sz w:val="11"/>
                <w:szCs w:val="11"/>
                <w:color w:val="auto"/>
              </w:rPr>
            </w:pPr>
          </w:p>
        </w:tc>
        <w:tc>
          <w:tcPr>
            <w:tcW w:w="1200" w:type="dxa"/>
            <w:vAlign w:val="bottom"/>
            <w:tcBorders>
              <w:bottom w:val="single" w:sz="8" w:color="9A9A9A"/>
            </w:tcBorders>
          </w:tcPr>
          <w:p>
            <w:pPr>
              <w:spacing w:after="0"/>
              <w:rPr>
                <w:sz w:val="11"/>
                <w:szCs w:val="11"/>
                <w:color w:val="auto"/>
              </w:rPr>
            </w:pPr>
          </w:p>
        </w:tc>
        <w:tc>
          <w:tcPr>
            <w:tcW w:w="100" w:type="dxa"/>
            <w:vAlign w:val="bottom"/>
            <w:tcBorders>
              <w:bottom w:val="single" w:sz="8" w:color="9A9A9A"/>
            </w:tcBorders>
          </w:tcPr>
          <w:p>
            <w:pPr>
              <w:spacing w:after="0"/>
              <w:rPr>
                <w:sz w:val="11"/>
                <w:szCs w:val="11"/>
                <w:color w:val="auto"/>
              </w:rPr>
            </w:pPr>
          </w:p>
        </w:tc>
        <w:tc>
          <w:tcPr>
            <w:tcW w:w="340" w:type="dxa"/>
            <w:vAlign w:val="bottom"/>
            <w:tcBorders>
              <w:bottom w:val="single" w:sz="8" w:color="9A9A9A"/>
            </w:tcBorders>
          </w:tcPr>
          <w:p>
            <w:pPr>
              <w:spacing w:after="0"/>
              <w:rPr>
                <w:sz w:val="11"/>
                <w:szCs w:val="11"/>
                <w:color w:val="auto"/>
              </w:rPr>
            </w:pPr>
          </w:p>
        </w:tc>
        <w:tc>
          <w:tcPr>
            <w:tcW w:w="1080" w:type="dxa"/>
            <w:vAlign w:val="bottom"/>
            <w:tcBorders>
              <w:bottom w:val="single" w:sz="8" w:color="9A9A9A"/>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-28575</wp:posOffset>
            </wp:positionV>
            <wp:extent cx="33655" cy="4191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-28575</wp:posOffset>
            </wp:positionV>
            <wp:extent cx="33655" cy="4191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09" w:right="339" w:bottom="1440" w:gutter="0" w:footer="0" w:header="0"/>
        </w:sectPr>
      </w:pPr>
    </w:p>
    <w:bookmarkStart w:id="81" w:name="page82"/>
    <w:bookmarkEnd w:id="81"/>
    <w:p>
      <w:pPr>
        <w:spacing w:after="0"/>
        <w:rPr>
          <w:sz w:val="20"/>
          <w:szCs w:val="20"/>
          <w:color w:val="auto"/>
        </w:rPr>
      </w:pPr>
      <w:r>
        <w:rPr>
          <w:rFonts w:ascii="Calibri" w:cs="Calibri" w:eastAsia="Calibri" w:hAnsi="Calibri"/>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400"/>
        <w:spacing w:after="0"/>
        <w:rPr>
          <w:sz w:val="20"/>
          <w:szCs w:val="20"/>
          <w:color w:val="auto"/>
        </w:rPr>
      </w:pPr>
      <w:r>
        <w:rPr>
          <w:rFonts w:ascii="Calibri" w:cs="Calibri" w:eastAsia="Calibri" w:hAnsi="Calibri"/>
          <w:sz w:val="18"/>
          <w:szCs w:val="18"/>
          <w:color w:val="auto"/>
        </w:rPr>
        <w:t>The following is a reconciliaton of our efectve tax rate to the statutory federal tax rate:</w:t>
      </w:r>
    </w:p>
    <w:p>
      <w:pPr>
        <w:spacing w:after="0" w:line="136" w:lineRule="exact"/>
        <w:rPr>
          <w:sz w:val="20"/>
          <w:szCs w:val="20"/>
          <w:color w:val="auto"/>
        </w:rPr>
      </w:pPr>
    </w:p>
    <w:p>
      <w:pPr>
        <w:ind w:left="8580"/>
        <w:spacing w:after="0"/>
        <w:rPr>
          <w:sz w:val="20"/>
          <w:szCs w:val="20"/>
          <w:color w:val="auto"/>
        </w:rPr>
      </w:pPr>
      <w:r>
        <w:rPr>
          <w:rFonts w:ascii="Calibri" w:cs="Calibri" w:eastAsia="Calibri" w:hAnsi="Calibri"/>
          <w:sz w:val="14"/>
          <w:szCs w:val="14"/>
          <w:b w:val="1"/>
          <w:bCs w:val="1"/>
          <w:color w:val="auto"/>
        </w:rPr>
        <w:t>Fiscal Year</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6520" w:type="dxa"/>
            <w:vAlign w:val="bottom"/>
          </w:tcPr>
          <w:p>
            <w:pPr>
              <w:spacing w:after="0"/>
              <w:rPr>
                <w:sz w:val="15"/>
                <w:szCs w:val="15"/>
                <w:color w:val="auto"/>
              </w:rPr>
            </w:pPr>
          </w:p>
        </w:tc>
        <w:tc>
          <w:tcPr>
            <w:tcW w:w="920" w:type="dxa"/>
            <w:vAlign w:val="bottom"/>
            <w:tcBorders>
              <w:top w:val="single" w:sz="8" w:color="auto"/>
            </w:tcBorders>
          </w:tcPr>
          <w:p>
            <w:pPr>
              <w:jc w:val="right"/>
              <w:spacing w:after="0"/>
              <w:rPr>
                <w:sz w:val="20"/>
                <w:szCs w:val="20"/>
                <w:color w:val="auto"/>
              </w:rPr>
            </w:pPr>
            <w:r>
              <w:rPr>
                <w:rFonts w:ascii="Calibri" w:cs="Calibri" w:eastAsia="Calibri" w:hAnsi="Calibri"/>
                <w:sz w:val="14"/>
                <w:szCs w:val="14"/>
                <w:b w:val="1"/>
                <w:bCs w:val="1"/>
                <w:color w:val="auto"/>
              </w:rPr>
              <w:t>2023</w:t>
            </w:r>
          </w:p>
        </w:tc>
        <w:tc>
          <w:tcPr>
            <w:tcW w:w="1600" w:type="dxa"/>
            <w:vAlign w:val="bottom"/>
            <w:tcBorders>
              <w:top w:val="single" w:sz="8" w:color="auto"/>
            </w:tcBorders>
            <w:gridSpan w:val="3"/>
          </w:tcPr>
          <w:p>
            <w:pPr>
              <w:jc w:val="right"/>
              <w:ind w:right="20"/>
              <w:spacing w:after="0"/>
              <w:rPr>
                <w:sz w:val="20"/>
                <w:szCs w:val="20"/>
                <w:color w:val="auto"/>
              </w:rPr>
            </w:pPr>
            <w:r>
              <w:rPr>
                <w:rFonts w:ascii="Calibri" w:cs="Calibri" w:eastAsia="Calibri" w:hAnsi="Calibri"/>
                <w:sz w:val="14"/>
                <w:szCs w:val="14"/>
                <w:b w:val="1"/>
                <w:bCs w:val="1"/>
                <w:color w:val="auto"/>
              </w:rPr>
              <w:t>2022</w:t>
            </w:r>
          </w:p>
        </w:tc>
        <w:tc>
          <w:tcPr>
            <w:tcW w:w="60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500" w:type="dxa"/>
            <w:vAlign w:val="bottom"/>
            <w:tcBorders>
              <w:top w:val="single" w:sz="8" w:color="auto"/>
            </w:tcBorders>
          </w:tcPr>
          <w:p>
            <w:pPr>
              <w:jc w:val="right"/>
              <w:ind w:right="514"/>
              <w:spacing w:after="0"/>
              <w:rPr>
                <w:sz w:val="20"/>
                <w:szCs w:val="20"/>
                <w:color w:val="auto"/>
              </w:rPr>
            </w:pPr>
            <w:r>
              <w:rPr>
                <w:rFonts w:ascii="Calibri" w:cs="Calibri" w:eastAsia="Calibri" w:hAnsi="Calibri"/>
                <w:sz w:val="14"/>
                <w:szCs w:val="14"/>
                <w:b w:val="1"/>
                <w:bCs w:val="1"/>
                <w:color w:val="auto"/>
              </w:rPr>
              <w:t>2021</w:t>
            </w:r>
          </w:p>
        </w:tc>
      </w:tr>
      <w:tr>
        <w:trPr>
          <w:trHeight w:val="30"/>
        </w:trPr>
        <w:tc>
          <w:tcPr>
            <w:tcW w:w="65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18"/>
        </w:trPr>
        <w:tc>
          <w:tcPr>
            <w:tcW w:w="6520" w:type="dxa"/>
            <w:vAlign w:val="bottom"/>
            <w:shd w:val="clear" w:color="auto" w:fill="CCEEFF"/>
          </w:tcPr>
          <w:p>
            <w:pPr>
              <w:ind w:left="20"/>
              <w:spacing w:after="0" w:line="196" w:lineRule="exact"/>
              <w:rPr>
                <w:sz w:val="20"/>
                <w:szCs w:val="20"/>
                <w:color w:val="auto"/>
              </w:rPr>
            </w:pPr>
            <w:r>
              <w:rPr>
                <w:rFonts w:ascii="Calibri" w:cs="Calibri" w:eastAsia="Calibri" w:hAnsi="Calibri"/>
                <w:sz w:val="18"/>
                <w:szCs w:val="18"/>
                <w:color w:val="auto"/>
              </w:rPr>
              <w:t>Statutory tax rate</w:t>
            </w:r>
          </w:p>
        </w:tc>
        <w:tc>
          <w:tcPr>
            <w:tcW w:w="9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line="210" w:lineRule="exact"/>
              <w:rPr>
                <w:sz w:val="20"/>
                <w:szCs w:val="20"/>
                <w:color w:val="auto"/>
              </w:rPr>
            </w:pPr>
            <w:r>
              <w:rPr>
                <w:rFonts w:ascii="Calibri" w:cs="Calibri" w:eastAsia="Calibri" w:hAnsi="Calibri"/>
                <w:sz w:val="18"/>
                <w:szCs w:val="18"/>
                <w:color w:val="auto"/>
              </w:rPr>
              <w:t>21.0 %</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line="210" w:lineRule="exact"/>
              <w:rPr>
                <w:sz w:val="20"/>
                <w:szCs w:val="20"/>
                <w:color w:val="auto"/>
              </w:rPr>
            </w:pPr>
            <w:r>
              <w:rPr>
                <w:rFonts w:ascii="Calibri" w:cs="Calibri" w:eastAsia="Calibri" w:hAnsi="Calibri"/>
                <w:sz w:val="18"/>
                <w:szCs w:val="18"/>
                <w:color w:val="auto"/>
              </w:rPr>
              <w:t>21.0 %</w:t>
            </w:r>
          </w:p>
        </w:tc>
        <w:tc>
          <w:tcPr>
            <w:tcW w:w="10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line="210" w:lineRule="exact"/>
              <w:rPr>
                <w:sz w:val="20"/>
                <w:szCs w:val="20"/>
                <w:color w:val="auto"/>
              </w:rPr>
            </w:pPr>
            <w:r>
              <w:rPr>
                <w:rFonts w:ascii="Calibri" w:cs="Calibri" w:eastAsia="Calibri" w:hAnsi="Calibri"/>
                <w:sz w:val="18"/>
                <w:szCs w:val="18"/>
                <w:color w:val="auto"/>
              </w:rPr>
              <w:t>21.0 %</w:t>
            </w:r>
          </w:p>
        </w:tc>
      </w:tr>
      <w:tr>
        <w:trPr>
          <w:trHeight w:val="217"/>
        </w:trPr>
        <w:tc>
          <w:tcPr>
            <w:tcW w:w="7440" w:type="dxa"/>
            <w:vAlign w:val="bottom"/>
            <w:gridSpan w:val="2"/>
          </w:tcPr>
          <w:p>
            <w:pPr>
              <w:ind w:left="20"/>
              <w:spacing w:after="0" w:line="210" w:lineRule="exact"/>
              <w:rPr>
                <w:sz w:val="20"/>
                <w:szCs w:val="20"/>
                <w:color w:val="auto"/>
              </w:rPr>
            </w:pPr>
            <w:r>
              <w:rPr>
                <w:rFonts w:ascii="Calibri" w:cs="Calibri" w:eastAsia="Calibri" w:hAnsi="Calibri"/>
                <w:sz w:val="18"/>
                <w:szCs w:val="18"/>
                <w:color w:val="auto"/>
              </w:rPr>
              <w:t>State, net of federal beneft</w:t>
            </w:r>
          </w:p>
        </w:tc>
        <w:tc>
          <w:tcPr>
            <w:tcW w:w="1600" w:type="dxa"/>
            <w:vAlign w:val="bottom"/>
            <w:gridSpan w:val="3"/>
          </w:tcPr>
          <w:p>
            <w:pPr>
              <w:jc w:val="right"/>
              <w:ind w:right="1200"/>
              <w:spacing w:after="0" w:line="210" w:lineRule="exact"/>
              <w:rPr>
                <w:sz w:val="20"/>
                <w:szCs w:val="20"/>
                <w:color w:val="auto"/>
              </w:rPr>
            </w:pPr>
            <w:r>
              <w:rPr>
                <w:rFonts w:ascii="Calibri" w:cs="Calibri" w:eastAsia="Calibri" w:hAnsi="Calibri"/>
                <w:sz w:val="18"/>
                <w:szCs w:val="18"/>
                <w:color w:val="auto"/>
              </w:rPr>
              <w:t>—</w:t>
            </w:r>
          </w:p>
        </w:tc>
        <w:tc>
          <w:tcPr>
            <w:tcW w:w="600" w:type="dxa"/>
            <w:vAlign w:val="bottom"/>
          </w:tcPr>
          <w:p>
            <w:pPr>
              <w:jc w:val="right"/>
              <w:ind w:right="112"/>
              <w:spacing w:after="0" w:line="210" w:lineRule="exact"/>
              <w:rPr>
                <w:sz w:val="20"/>
                <w:szCs w:val="20"/>
                <w:color w:val="auto"/>
              </w:rPr>
            </w:pPr>
            <w:r>
              <w:rPr>
                <w:rFonts w:ascii="Calibri" w:cs="Calibri" w:eastAsia="Calibri" w:hAnsi="Calibri"/>
                <w:sz w:val="18"/>
                <w:szCs w:val="18"/>
                <w:color w:val="auto"/>
              </w:rPr>
              <w:t>0.2</w:t>
            </w:r>
          </w:p>
        </w:tc>
        <w:tc>
          <w:tcPr>
            <w:tcW w:w="100" w:type="dxa"/>
            <w:vAlign w:val="bottom"/>
          </w:tcPr>
          <w:p>
            <w:pPr>
              <w:spacing w:after="0"/>
              <w:rPr>
                <w:sz w:val="18"/>
                <w:szCs w:val="18"/>
                <w:color w:val="auto"/>
              </w:rPr>
            </w:pPr>
          </w:p>
        </w:tc>
        <w:tc>
          <w:tcPr>
            <w:tcW w:w="1500" w:type="dxa"/>
            <w:vAlign w:val="bottom"/>
          </w:tcPr>
          <w:p>
            <w:pPr>
              <w:jc w:val="right"/>
              <w:ind w:right="54"/>
              <w:spacing w:after="0" w:line="210" w:lineRule="exact"/>
              <w:rPr>
                <w:sz w:val="20"/>
                <w:szCs w:val="20"/>
                <w:color w:val="auto"/>
              </w:rPr>
            </w:pPr>
            <w:r>
              <w:rPr>
                <w:rFonts w:ascii="Calibri" w:cs="Calibri" w:eastAsia="Calibri" w:hAnsi="Calibri"/>
                <w:sz w:val="18"/>
                <w:szCs w:val="18"/>
                <w:color w:val="auto"/>
              </w:rPr>
              <w:t>(0.8)</w:t>
            </w:r>
          </w:p>
        </w:tc>
      </w:tr>
      <w:tr>
        <w:trPr>
          <w:trHeight w:val="232"/>
        </w:trPr>
        <w:tc>
          <w:tcPr>
            <w:tcW w:w="7440" w:type="dxa"/>
            <w:vAlign w:val="bottom"/>
            <w:gridSpan w:val="2"/>
            <w:shd w:val="clear" w:color="auto" w:fill="CCEEFF"/>
          </w:tcPr>
          <w:p>
            <w:pPr>
              <w:ind w:left="20"/>
              <w:spacing w:after="0" w:line="217" w:lineRule="exact"/>
              <w:rPr>
                <w:sz w:val="20"/>
                <w:szCs w:val="20"/>
                <w:color w:val="auto"/>
              </w:rPr>
            </w:pPr>
            <w:r>
              <w:rPr>
                <w:rFonts w:ascii="Calibri" w:cs="Calibri" w:eastAsia="Calibri" w:hAnsi="Calibri"/>
                <w:sz w:val="18"/>
                <w:szCs w:val="18"/>
                <w:color w:val="auto"/>
              </w:rPr>
              <w:t>Foreign income taxed at diferent rates</w:t>
            </w:r>
          </w:p>
        </w:tc>
        <w:tc>
          <w:tcPr>
            <w:tcW w:w="580" w:type="dxa"/>
            <w:vAlign w:val="bottom"/>
            <w:shd w:val="clear" w:color="auto" w:fill="CCEEFF"/>
          </w:tcPr>
          <w:p>
            <w:pPr>
              <w:jc w:val="right"/>
              <w:ind w:right="54"/>
              <w:spacing w:after="0" w:line="217" w:lineRule="exact"/>
              <w:rPr>
                <w:sz w:val="20"/>
                <w:szCs w:val="20"/>
                <w:color w:val="auto"/>
              </w:rPr>
            </w:pPr>
            <w:r>
              <w:rPr>
                <w:rFonts w:ascii="Calibri" w:cs="Calibri" w:eastAsia="Calibri" w:hAnsi="Calibri"/>
                <w:sz w:val="18"/>
                <w:szCs w:val="18"/>
                <w:color w:val="auto"/>
                <w:w w:val="97"/>
              </w:rPr>
              <w:t>(17.3)</w:t>
            </w: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600" w:type="dxa"/>
            <w:vAlign w:val="bottom"/>
            <w:shd w:val="clear" w:color="auto" w:fill="CCEEFF"/>
          </w:tcPr>
          <w:p>
            <w:pPr>
              <w:jc w:val="right"/>
              <w:ind w:right="72"/>
              <w:spacing w:after="0" w:line="217" w:lineRule="exact"/>
              <w:rPr>
                <w:sz w:val="20"/>
                <w:szCs w:val="20"/>
                <w:color w:val="auto"/>
              </w:rPr>
            </w:pPr>
            <w:r>
              <w:rPr>
                <w:rFonts w:ascii="Calibri" w:cs="Calibri" w:eastAsia="Calibri" w:hAnsi="Calibri"/>
                <w:sz w:val="18"/>
                <w:szCs w:val="18"/>
                <w:color w:val="auto"/>
                <w:w w:val="97"/>
              </w:rPr>
              <w:t>(19.1)</w:t>
            </w:r>
          </w:p>
        </w:tc>
        <w:tc>
          <w:tcPr>
            <w:tcW w:w="100" w:type="dxa"/>
            <w:vAlign w:val="bottom"/>
            <w:shd w:val="clear" w:color="auto" w:fill="CCEEFF"/>
          </w:tcPr>
          <w:p>
            <w:pPr>
              <w:spacing w:after="0"/>
              <w:rPr>
                <w:sz w:val="20"/>
                <w:szCs w:val="20"/>
                <w:color w:val="auto"/>
              </w:rPr>
            </w:pPr>
          </w:p>
        </w:tc>
        <w:tc>
          <w:tcPr>
            <w:tcW w:w="1500" w:type="dxa"/>
            <w:vAlign w:val="bottom"/>
            <w:shd w:val="clear" w:color="auto" w:fill="CCEEFF"/>
          </w:tcPr>
          <w:p>
            <w:pPr>
              <w:jc w:val="right"/>
              <w:ind w:right="54"/>
              <w:spacing w:after="0" w:line="217" w:lineRule="exact"/>
              <w:rPr>
                <w:sz w:val="20"/>
                <w:szCs w:val="20"/>
                <w:color w:val="auto"/>
              </w:rPr>
            </w:pPr>
            <w:r>
              <w:rPr>
                <w:rFonts w:ascii="Calibri" w:cs="Calibri" w:eastAsia="Calibri" w:hAnsi="Calibri"/>
                <w:sz w:val="18"/>
                <w:szCs w:val="18"/>
                <w:color w:val="auto"/>
              </w:rPr>
              <w:t>(22.8)</w:t>
            </w:r>
          </w:p>
        </w:tc>
      </w:tr>
      <w:tr>
        <w:trPr>
          <w:trHeight w:val="217"/>
        </w:trPr>
        <w:tc>
          <w:tcPr>
            <w:tcW w:w="7440" w:type="dxa"/>
            <w:vAlign w:val="bottom"/>
            <w:gridSpan w:val="2"/>
          </w:tcPr>
          <w:p>
            <w:pPr>
              <w:ind w:left="20"/>
              <w:spacing w:after="0" w:line="210" w:lineRule="exact"/>
              <w:rPr>
                <w:sz w:val="20"/>
                <w:szCs w:val="20"/>
                <w:color w:val="auto"/>
              </w:rPr>
            </w:pPr>
            <w:r>
              <w:rPr>
                <w:rFonts w:ascii="Calibri" w:cs="Calibri" w:eastAsia="Calibri" w:hAnsi="Calibri"/>
                <w:sz w:val="18"/>
                <w:szCs w:val="18"/>
                <w:color w:val="auto"/>
              </w:rPr>
              <w:t>Deemed inclusion of foreign earnings</w:t>
            </w:r>
          </w:p>
        </w:tc>
        <w:tc>
          <w:tcPr>
            <w:tcW w:w="580" w:type="dxa"/>
            <w:vAlign w:val="bottom"/>
          </w:tcPr>
          <w:p>
            <w:pPr>
              <w:jc w:val="right"/>
              <w:ind w:right="94"/>
              <w:spacing w:after="0" w:line="210" w:lineRule="exact"/>
              <w:rPr>
                <w:sz w:val="20"/>
                <w:szCs w:val="20"/>
                <w:color w:val="auto"/>
              </w:rPr>
            </w:pPr>
            <w:r>
              <w:rPr>
                <w:rFonts w:ascii="Calibri" w:cs="Calibri" w:eastAsia="Calibri" w:hAnsi="Calibri"/>
                <w:sz w:val="18"/>
                <w:szCs w:val="18"/>
                <w:color w:val="auto"/>
              </w:rPr>
              <w:t>9.9</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0" w:type="dxa"/>
            <w:vAlign w:val="bottom"/>
          </w:tcPr>
          <w:p>
            <w:pPr>
              <w:jc w:val="right"/>
              <w:ind w:right="112"/>
              <w:spacing w:after="0" w:line="210" w:lineRule="exact"/>
              <w:rPr>
                <w:sz w:val="20"/>
                <w:szCs w:val="20"/>
                <w:color w:val="auto"/>
              </w:rPr>
            </w:pPr>
            <w:r>
              <w:rPr>
                <w:rFonts w:ascii="Calibri" w:cs="Calibri" w:eastAsia="Calibri" w:hAnsi="Calibri"/>
                <w:sz w:val="18"/>
                <w:szCs w:val="18"/>
                <w:color w:val="auto"/>
              </w:rPr>
              <w:t>8.0</w:t>
            </w:r>
          </w:p>
        </w:tc>
        <w:tc>
          <w:tcPr>
            <w:tcW w:w="100" w:type="dxa"/>
            <w:vAlign w:val="bottom"/>
          </w:tcPr>
          <w:p>
            <w:pPr>
              <w:spacing w:after="0"/>
              <w:rPr>
                <w:sz w:val="18"/>
                <w:szCs w:val="18"/>
                <w:color w:val="auto"/>
              </w:rPr>
            </w:pPr>
          </w:p>
        </w:tc>
        <w:tc>
          <w:tcPr>
            <w:tcW w:w="1500" w:type="dxa"/>
            <w:vAlign w:val="bottom"/>
          </w:tcPr>
          <w:p>
            <w:pPr>
              <w:jc w:val="right"/>
              <w:ind w:right="94"/>
              <w:spacing w:after="0" w:line="210" w:lineRule="exact"/>
              <w:rPr>
                <w:sz w:val="20"/>
                <w:szCs w:val="20"/>
                <w:color w:val="auto"/>
              </w:rPr>
            </w:pPr>
            <w:r>
              <w:rPr>
                <w:rFonts w:ascii="Calibri" w:cs="Calibri" w:eastAsia="Calibri" w:hAnsi="Calibri"/>
                <w:sz w:val="18"/>
                <w:szCs w:val="18"/>
                <w:color w:val="auto"/>
              </w:rPr>
              <w:t>9.5</w:t>
            </w:r>
          </w:p>
        </w:tc>
      </w:tr>
      <w:tr>
        <w:trPr>
          <w:trHeight w:val="232"/>
        </w:trPr>
        <w:tc>
          <w:tcPr>
            <w:tcW w:w="7440" w:type="dxa"/>
            <w:vAlign w:val="bottom"/>
            <w:gridSpan w:val="2"/>
            <w:shd w:val="clear" w:color="auto" w:fill="CCEEFF"/>
          </w:tcPr>
          <w:p>
            <w:pPr>
              <w:ind w:left="20"/>
              <w:spacing w:after="0" w:line="217" w:lineRule="exact"/>
              <w:rPr>
                <w:sz w:val="20"/>
                <w:szCs w:val="20"/>
                <w:color w:val="auto"/>
              </w:rPr>
            </w:pPr>
            <w:r>
              <w:rPr>
                <w:rFonts w:ascii="Calibri" w:cs="Calibri" w:eastAsia="Calibri" w:hAnsi="Calibri"/>
                <w:sz w:val="18"/>
                <w:szCs w:val="18"/>
                <w:color w:val="auto"/>
              </w:rPr>
              <w:t>Foreign-derived intangible income deducton</w:t>
            </w:r>
          </w:p>
        </w:tc>
        <w:tc>
          <w:tcPr>
            <w:tcW w:w="1600" w:type="dxa"/>
            <w:vAlign w:val="bottom"/>
            <w:gridSpan w:val="3"/>
            <w:shd w:val="clear" w:color="auto" w:fill="CCEEFF"/>
          </w:tcPr>
          <w:p>
            <w:pPr>
              <w:jc w:val="right"/>
              <w:ind w:right="1200"/>
              <w:spacing w:after="0" w:line="217" w:lineRule="exact"/>
              <w:rPr>
                <w:sz w:val="20"/>
                <w:szCs w:val="20"/>
                <w:color w:val="auto"/>
              </w:rPr>
            </w:pPr>
            <w:r>
              <w:rPr>
                <w:rFonts w:ascii="Calibri" w:cs="Calibri" w:eastAsia="Calibri" w:hAnsi="Calibri"/>
                <w:sz w:val="18"/>
                <w:szCs w:val="18"/>
                <w:color w:val="auto"/>
              </w:rPr>
              <w:t>—</w:t>
            </w:r>
          </w:p>
        </w:tc>
        <w:tc>
          <w:tcPr>
            <w:tcW w:w="700" w:type="dxa"/>
            <w:vAlign w:val="bottom"/>
            <w:gridSpan w:val="2"/>
            <w:shd w:val="clear" w:color="auto" w:fill="CCEEFF"/>
          </w:tcPr>
          <w:p>
            <w:pPr>
              <w:jc w:val="right"/>
              <w:ind w:right="280"/>
              <w:spacing w:after="0" w:line="217" w:lineRule="exact"/>
              <w:rPr>
                <w:sz w:val="20"/>
                <w:szCs w:val="20"/>
                <w:color w:val="auto"/>
              </w:rPr>
            </w:pPr>
            <w:r>
              <w:rPr>
                <w:rFonts w:ascii="Calibri" w:cs="Calibri" w:eastAsia="Calibri" w:hAnsi="Calibri"/>
                <w:sz w:val="18"/>
                <w:szCs w:val="18"/>
                <w:color w:val="auto"/>
              </w:rPr>
              <w:t>—</w:t>
            </w:r>
          </w:p>
        </w:tc>
        <w:tc>
          <w:tcPr>
            <w:tcW w:w="1500" w:type="dxa"/>
            <w:vAlign w:val="bottom"/>
            <w:shd w:val="clear" w:color="auto" w:fill="CCEEFF"/>
          </w:tcPr>
          <w:p>
            <w:pPr>
              <w:jc w:val="right"/>
              <w:ind w:right="54"/>
              <w:spacing w:after="0" w:line="217" w:lineRule="exact"/>
              <w:rPr>
                <w:sz w:val="20"/>
                <w:szCs w:val="20"/>
                <w:color w:val="auto"/>
              </w:rPr>
            </w:pPr>
            <w:r>
              <w:rPr>
                <w:rFonts w:ascii="Calibri" w:cs="Calibri" w:eastAsia="Calibri" w:hAnsi="Calibri"/>
                <w:sz w:val="18"/>
                <w:szCs w:val="18"/>
                <w:color w:val="auto"/>
              </w:rPr>
              <w:t>(3.1)</w:t>
            </w:r>
          </w:p>
        </w:tc>
      </w:tr>
      <w:tr>
        <w:trPr>
          <w:trHeight w:val="217"/>
        </w:trPr>
        <w:tc>
          <w:tcPr>
            <w:tcW w:w="7440" w:type="dxa"/>
            <w:vAlign w:val="bottom"/>
            <w:gridSpan w:val="2"/>
          </w:tcPr>
          <w:p>
            <w:pPr>
              <w:ind w:left="20"/>
              <w:spacing w:after="0" w:line="210" w:lineRule="exact"/>
              <w:rPr>
                <w:sz w:val="20"/>
                <w:szCs w:val="20"/>
                <w:color w:val="auto"/>
              </w:rPr>
            </w:pPr>
            <w:r>
              <w:rPr>
                <w:rFonts w:ascii="Calibri" w:cs="Calibri" w:eastAsia="Calibri" w:hAnsi="Calibri"/>
                <w:sz w:val="18"/>
                <w:szCs w:val="18"/>
                <w:color w:val="auto"/>
              </w:rPr>
              <w:t>Uncertain tax benefts</w:t>
            </w:r>
          </w:p>
        </w:tc>
        <w:tc>
          <w:tcPr>
            <w:tcW w:w="580" w:type="dxa"/>
            <w:vAlign w:val="bottom"/>
          </w:tcPr>
          <w:p>
            <w:pPr>
              <w:jc w:val="right"/>
              <w:ind w:right="54"/>
              <w:spacing w:after="0" w:line="210" w:lineRule="exact"/>
              <w:rPr>
                <w:sz w:val="20"/>
                <w:szCs w:val="20"/>
                <w:color w:val="auto"/>
              </w:rPr>
            </w:pPr>
            <w:r>
              <w:rPr>
                <w:rFonts w:ascii="Calibri" w:cs="Calibri" w:eastAsia="Calibri" w:hAnsi="Calibri"/>
                <w:sz w:val="18"/>
                <w:szCs w:val="18"/>
                <w:color w:val="auto"/>
              </w:rPr>
              <w:t>(1.9)</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0" w:type="dxa"/>
            <w:vAlign w:val="bottom"/>
          </w:tcPr>
          <w:p>
            <w:pPr>
              <w:jc w:val="right"/>
              <w:ind w:right="112"/>
              <w:spacing w:after="0" w:line="210" w:lineRule="exact"/>
              <w:rPr>
                <w:sz w:val="20"/>
                <w:szCs w:val="20"/>
                <w:color w:val="auto"/>
              </w:rPr>
            </w:pPr>
            <w:r>
              <w:rPr>
                <w:rFonts w:ascii="Calibri" w:cs="Calibri" w:eastAsia="Calibri" w:hAnsi="Calibri"/>
                <w:sz w:val="18"/>
                <w:szCs w:val="18"/>
                <w:color w:val="auto"/>
              </w:rPr>
              <w:t>1.6</w:t>
            </w:r>
          </w:p>
        </w:tc>
        <w:tc>
          <w:tcPr>
            <w:tcW w:w="100" w:type="dxa"/>
            <w:vAlign w:val="bottom"/>
          </w:tcPr>
          <w:p>
            <w:pPr>
              <w:spacing w:after="0"/>
              <w:rPr>
                <w:sz w:val="18"/>
                <w:szCs w:val="18"/>
                <w:color w:val="auto"/>
              </w:rPr>
            </w:pPr>
          </w:p>
        </w:tc>
        <w:tc>
          <w:tcPr>
            <w:tcW w:w="1500" w:type="dxa"/>
            <w:vAlign w:val="bottom"/>
          </w:tcPr>
          <w:p>
            <w:pPr>
              <w:jc w:val="right"/>
              <w:ind w:right="94"/>
              <w:spacing w:after="0" w:line="210" w:lineRule="exact"/>
              <w:rPr>
                <w:sz w:val="20"/>
                <w:szCs w:val="20"/>
                <w:color w:val="auto"/>
              </w:rPr>
            </w:pPr>
            <w:r>
              <w:rPr>
                <w:rFonts w:ascii="Calibri" w:cs="Calibri" w:eastAsia="Calibri" w:hAnsi="Calibri"/>
                <w:sz w:val="18"/>
                <w:szCs w:val="18"/>
                <w:color w:val="auto"/>
              </w:rPr>
              <w:t>3.7</w:t>
            </w:r>
          </w:p>
        </w:tc>
      </w:tr>
      <w:tr>
        <w:trPr>
          <w:trHeight w:val="232"/>
        </w:trPr>
        <w:tc>
          <w:tcPr>
            <w:tcW w:w="7440" w:type="dxa"/>
            <w:vAlign w:val="bottom"/>
            <w:gridSpan w:val="2"/>
            <w:shd w:val="clear" w:color="auto" w:fill="CCEEFF"/>
          </w:tcPr>
          <w:p>
            <w:pPr>
              <w:ind w:left="20"/>
              <w:spacing w:after="0" w:line="217" w:lineRule="exact"/>
              <w:rPr>
                <w:sz w:val="20"/>
                <w:szCs w:val="20"/>
                <w:color w:val="auto"/>
              </w:rPr>
            </w:pPr>
            <w:r>
              <w:rPr>
                <w:rFonts w:ascii="Calibri" w:cs="Calibri" w:eastAsia="Calibri" w:hAnsi="Calibri"/>
                <w:sz w:val="18"/>
                <w:szCs w:val="18"/>
                <w:color w:val="auto"/>
              </w:rPr>
              <w:t>Excess tax benefts from stock-based compensaton</w:t>
            </w:r>
          </w:p>
        </w:tc>
        <w:tc>
          <w:tcPr>
            <w:tcW w:w="580" w:type="dxa"/>
            <w:vAlign w:val="bottom"/>
            <w:shd w:val="clear" w:color="auto" w:fill="CCEEFF"/>
          </w:tcPr>
          <w:p>
            <w:pPr>
              <w:jc w:val="right"/>
              <w:ind w:right="54"/>
              <w:spacing w:after="0" w:line="217" w:lineRule="exact"/>
              <w:rPr>
                <w:sz w:val="20"/>
                <w:szCs w:val="20"/>
                <w:color w:val="auto"/>
              </w:rPr>
            </w:pPr>
            <w:r>
              <w:rPr>
                <w:rFonts w:ascii="Calibri" w:cs="Calibri" w:eastAsia="Calibri" w:hAnsi="Calibri"/>
                <w:sz w:val="18"/>
                <w:szCs w:val="18"/>
                <w:color w:val="auto"/>
              </w:rPr>
              <w:t>(3.4)</w:t>
            </w: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600" w:type="dxa"/>
            <w:vAlign w:val="bottom"/>
            <w:shd w:val="clear" w:color="auto" w:fill="CCEEFF"/>
          </w:tcPr>
          <w:p>
            <w:pPr>
              <w:jc w:val="right"/>
              <w:ind w:right="72"/>
              <w:spacing w:after="0" w:line="217" w:lineRule="exact"/>
              <w:rPr>
                <w:sz w:val="20"/>
                <w:szCs w:val="20"/>
                <w:color w:val="auto"/>
              </w:rPr>
            </w:pPr>
            <w:r>
              <w:rPr>
                <w:rFonts w:ascii="Calibri" w:cs="Calibri" w:eastAsia="Calibri" w:hAnsi="Calibri"/>
                <w:sz w:val="18"/>
                <w:szCs w:val="18"/>
                <w:color w:val="auto"/>
              </w:rPr>
              <w:t>(3.0)</w:t>
            </w:r>
          </w:p>
        </w:tc>
        <w:tc>
          <w:tcPr>
            <w:tcW w:w="100" w:type="dxa"/>
            <w:vAlign w:val="bottom"/>
            <w:shd w:val="clear" w:color="auto" w:fill="CCEEFF"/>
          </w:tcPr>
          <w:p>
            <w:pPr>
              <w:spacing w:after="0"/>
              <w:rPr>
                <w:sz w:val="20"/>
                <w:szCs w:val="20"/>
                <w:color w:val="auto"/>
              </w:rPr>
            </w:pPr>
          </w:p>
        </w:tc>
        <w:tc>
          <w:tcPr>
            <w:tcW w:w="1500" w:type="dxa"/>
            <w:vAlign w:val="bottom"/>
            <w:shd w:val="clear" w:color="auto" w:fill="CCEEFF"/>
          </w:tcPr>
          <w:p>
            <w:pPr>
              <w:jc w:val="right"/>
              <w:ind w:right="54"/>
              <w:spacing w:after="0" w:line="217" w:lineRule="exact"/>
              <w:rPr>
                <w:sz w:val="20"/>
                <w:szCs w:val="20"/>
                <w:color w:val="auto"/>
              </w:rPr>
            </w:pPr>
            <w:r>
              <w:rPr>
                <w:rFonts w:ascii="Calibri" w:cs="Calibri" w:eastAsia="Calibri" w:hAnsi="Calibri"/>
                <w:sz w:val="18"/>
                <w:szCs w:val="18"/>
                <w:color w:val="auto"/>
              </w:rPr>
              <w:t>(4.6)</w:t>
            </w:r>
          </w:p>
        </w:tc>
      </w:tr>
      <w:tr>
        <w:trPr>
          <w:trHeight w:val="217"/>
        </w:trPr>
        <w:tc>
          <w:tcPr>
            <w:tcW w:w="7440" w:type="dxa"/>
            <w:vAlign w:val="bottom"/>
            <w:gridSpan w:val="2"/>
          </w:tcPr>
          <w:p>
            <w:pPr>
              <w:ind w:left="20"/>
              <w:spacing w:after="0" w:line="210" w:lineRule="exact"/>
              <w:rPr>
                <w:sz w:val="20"/>
                <w:szCs w:val="20"/>
                <w:color w:val="auto"/>
              </w:rPr>
            </w:pPr>
            <w:r>
              <w:rPr>
                <w:rFonts w:ascii="Calibri" w:cs="Calibri" w:eastAsia="Calibri" w:hAnsi="Calibri"/>
                <w:sz w:val="18"/>
                <w:szCs w:val="18"/>
                <w:color w:val="auto"/>
              </w:rPr>
              <w:t>Research and development credit</w:t>
            </w:r>
          </w:p>
        </w:tc>
        <w:tc>
          <w:tcPr>
            <w:tcW w:w="580" w:type="dxa"/>
            <w:vAlign w:val="bottom"/>
          </w:tcPr>
          <w:p>
            <w:pPr>
              <w:jc w:val="right"/>
              <w:ind w:right="54"/>
              <w:spacing w:after="0" w:line="210" w:lineRule="exact"/>
              <w:rPr>
                <w:sz w:val="20"/>
                <w:szCs w:val="20"/>
                <w:color w:val="auto"/>
              </w:rPr>
            </w:pPr>
            <w:r>
              <w:rPr>
                <w:rFonts w:ascii="Calibri" w:cs="Calibri" w:eastAsia="Calibri" w:hAnsi="Calibri"/>
                <w:sz w:val="18"/>
                <w:szCs w:val="18"/>
                <w:color w:val="auto"/>
              </w:rPr>
              <w:t>(1.8)</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0" w:type="dxa"/>
            <w:vAlign w:val="bottom"/>
          </w:tcPr>
          <w:p>
            <w:pPr>
              <w:jc w:val="right"/>
              <w:ind w:right="72"/>
              <w:spacing w:after="0" w:line="210" w:lineRule="exact"/>
              <w:rPr>
                <w:sz w:val="20"/>
                <w:szCs w:val="20"/>
                <w:color w:val="auto"/>
              </w:rPr>
            </w:pPr>
            <w:r>
              <w:rPr>
                <w:rFonts w:ascii="Calibri" w:cs="Calibri" w:eastAsia="Calibri" w:hAnsi="Calibri"/>
                <w:sz w:val="18"/>
                <w:szCs w:val="18"/>
                <w:color w:val="auto"/>
              </w:rPr>
              <w:t>(1.4)</w:t>
            </w:r>
          </w:p>
        </w:tc>
        <w:tc>
          <w:tcPr>
            <w:tcW w:w="100" w:type="dxa"/>
            <w:vAlign w:val="bottom"/>
          </w:tcPr>
          <w:p>
            <w:pPr>
              <w:spacing w:after="0"/>
              <w:rPr>
                <w:sz w:val="18"/>
                <w:szCs w:val="18"/>
                <w:color w:val="auto"/>
              </w:rPr>
            </w:pPr>
          </w:p>
        </w:tc>
        <w:tc>
          <w:tcPr>
            <w:tcW w:w="1500" w:type="dxa"/>
            <w:vAlign w:val="bottom"/>
          </w:tcPr>
          <w:p>
            <w:pPr>
              <w:jc w:val="right"/>
              <w:ind w:right="54"/>
              <w:spacing w:after="0" w:line="210" w:lineRule="exact"/>
              <w:rPr>
                <w:sz w:val="20"/>
                <w:szCs w:val="20"/>
                <w:color w:val="auto"/>
              </w:rPr>
            </w:pPr>
            <w:r>
              <w:rPr>
                <w:rFonts w:ascii="Calibri" w:cs="Calibri" w:eastAsia="Calibri" w:hAnsi="Calibri"/>
                <w:sz w:val="18"/>
                <w:szCs w:val="18"/>
                <w:color w:val="auto"/>
              </w:rPr>
              <w:t>(2.3)</w:t>
            </w:r>
          </w:p>
        </w:tc>
      </w:tr>
      <w:tr>
        <w:trPr>
          <w:trHeight w:val="225"/>
        </w:trPr>
        <w:tc>
          <w:tcPr>
            <w:tcW w:w="6520" w:type="dxa"/>
            <w:vAlign w:val="bottom"/>
            <w:shd w:val="clear" w:color="auto" w:fill="CCEEFF"/>
          </w:tcPr>
          <w:p>
            <w:pPr>
              <w:ind w:left="20"/>
              <w:spacing w:after="0" w:line="217" w:lineRule="exact"/>
              <w:rPr>
                <w:sz w:val="20"/>
                <w:szCs w:val="20"/>
                <w:color w:val="auto"/>
              </w:rPr>
            </w:pPr>
            <w:r>
              <w:rPr>
                <w:rFonts w:ascii="Calibri" w:cs="Calibri" w:eastAsia="Calibri" w:hAnsi="Calibri"/>
                <w:sz w:val="18"/>
                <w:szCs w:val="18"/>
                <w:color w:val="auto"/>
              </w:rPr>
              <w:t>Other, net</w:t>
            </w:r>
          </w:p>
        </w:tc>
        <w:tc>
          <w:tcPr>
            <w:tcW w:w="92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ind w:right="94"/>
              <w:spacing w:after="0" w:line="217" w:lineRule="exact"/>
              <w:rPr>
                <w:sz w:val="20"/>
                <w:szCs w:val="20"/>
                <w:color w:val="auto"/>
              </w:rPr>
            </w:pPr>
            <w:r>
              <w:rPr>
                <w:rFonts w:ascii="Calibri" w:cs="Calibri" w:eastAsia="Calibri" w:hAnsi="Calibri"/>
                <w:sz w:val="18"/>
                <w:szCs w:val="18"/>
                <w:color w:val="auto"/>
              </w:rPr>
              <w:t>0.2</w:t>
            </w:r>
          </w:p>
        </w:tc>
        <w:tc>
          <w:tcPr>
            <w:tcW w:w="100" w:type="dxa"/>
            <w:vAlign w:val="bottom"/>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ind w:right="112"/>
              <w:spacing w:after="0" w:line="217" w:lineRule="exact"/>
              <w:rPr>
                <w:sz w:val="20"/>
                <w:szCs w:val="20"/>
                <w:color w:val="auto"/>
              </w:rPr>
            </w:pPr>
            <w:r>
              <w:rPr>
                <w:rFonts w:ascii="Calibri" w:cs="Calibri" w:eastAsia="Calibri" w:hAnsi="Calibri"/>
                <w:sz w:val="18"/>
                <w:szCs w:val="18"/>
                <w:color w:val="auto"/>
              </w:rPr>
              <w:t>0.2</w:t>
            </w:r>
          </w:p>
        </w:tc>
        <w:tc>
          <w:tcPr>
            <w:tcW w:w="100" w:type="dxa"/>
            <w:vAlign w:val="bottom"/>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ind w:right="54"/>
              <w:spacing w:after="0" w:line="217" w:lineRule="exact"/>
              <w:rPr>
                <w:sz w:val="20"/>
                <w:szCs w:val="20"/>
                <w:color w:val="auto"/>
              </w:rPr>
            </w:pPr>
            <w:r>
              <w:rPr>
                <w:rFonts w:ascii="Calibri" w:cs="Calibri" w:eastAsia="Calibri" w:hAnsi="Calibri"/>
                <w:sz w:val="18"/>
                <w:szCs w:val="18"/>
                <w:color w:val="auto"/>
              </w:rPr>
              <w:t>(0.2)</w:t>
            </w:r>
          </w:p>
        </w:tc>
      </w:tr>
      <w:tr>
        <w:trPr>
          <w:trHeight w:val="224"/>
        </w:trPr>
        <w:tc>
          <w:tcPr>
            <w:tcW w:w="7440" w:type="dxa"/>
            <w:vAlign w:val="bottom"/>
            <w:gridSpan w:val="2"/>
          </w:tcPr>
          <w:p>
            <w:pPr>
              <w:ind w:left="220"/>
              <w:spacing w:after="0"/>
              <w:rPr>
                <w:sz w:val="20"/>
                <w:szCs w:val="20"/>
                <w:color w:val="auto"/>
              </w:rPr>
            </w:pPr>
            <w:r>
              <w:rPr>
                <w:rFonts w:ascii="Calibri" w:cs="Calibri" w:eastAsia="Calibri" w:hAnsi="Calibri"/>
                <w:sz w:val="18"/>
                <w:szCs w:val="18"/>
                <w:color w:val="auto"/>
              </w:rPr>
              <w:t>Efectve tax rate on income before income taxes</w:t>
            </w:r>
          </w:p>
        </w:tc>
        <w:tc>
          <w:tcPr>
            <w:tcW w:w="580" w:type="dxa"/>
            <w:vAlign w:val="bottom"/>
          </w:tcPr>
          <w:p>
            <w:pPr>
              <w:jc w:val="right"/>
              <w:spacing w:after="0" w:line="210" w:lineRule="exact"/>
              <w:rPr>
                <w:sz w:val="20"/>
                <w:szCs w:val="20"/>
                <w:color w:val="auto"/>
              </w:rPr>
            </w:pPr>
            <w:r>
              <w:rPr>
                <w:rFonts w:ascii="Calibri" w:cs="Calibri" w:eastAsia="Calibri" w:hAnsi="Calibri"/>
                <w:sz w:val="18"/>
                <w:szCs w:val="18"/>
                <w:color w:val="auto"/>
              </w:rPr>
              <w:t>6.7 %</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00" w:type="dxa"/>
            <w:vAlign w:val="bottom"/>
          </w:tcPr>
          <w:p>
            <w:pPr>
              <w:jc w:val="right"/>
              <w:spacing w:after="0" w:line="210" w:lineRule="exact"/>
              <w:rPr>
                <w:sz w:val="20"/>
                <w:szCs w:val="20"/>
                <w:color w:val="auto"/>
              </w:rPr>
            </w:pPr>
            <w:r>
              <w:rPr>
                <w:rFonts w:ascii="Calibri" w:cs="Calibri" w:eastAsia="Calibri" w:hAnsi="Calibri"/>
                <w:sz w:val="18"/>
                <w:szCs w:val="18"/>
                <w:color w:val="auto"/>
              </w:rPr>
              <w:t>7.5 %</w:t>
            </w:r>
          </w:p>
        </w:tc>
        <w:tc>
          <w:tcPr>
            <w:tcW w:w="100" w:type="dxa"/>
            <w:vAlign w:val="bottom"/>
          </w:tcPr>
          <w:p>
            <w:pPr>
              <w:spacing w:after="0"/>
              <w:rPr>
                <w:sz w:val="19"/>
                <w:szCs w:val="19"/>
                <w:color w:val="auto"/>
              </w:rPr>
            </w:pPr>
          </w:p>
        </w:tc>
        <w:tc>
          <w:tcPr>
            <w:tcW w:w="1500" w:type="dxa"/>
            <w:vAlign w:val="bottom"/>
          </w:tcPr>
          <w:p>
            <w:pPr>
              <w:jc w:val="right"/>
              <w:spacing w:after="0" w:line="210" w:lineRule="exact"/>
              <w:rPr>
                <w:sz w:val="20"/>
                <w:szCs w:val="20"/>
                <w:color w:val="auto"/>
              </w:rPr>
            </w:pPr>
            <w:r>
              <w:rPr>
                <w:rFonts w:ascii="Calibri" w:cs="Calibri" w:eastAsia="Calibri" w:hAnsi="Calibri"/>
                <w:sz w:val="18"/>
                <w:szCs w:val="18"/>
                <w:color w:val="auto"/>
              </w:rPr>
              <w:t>0.4 %</w:t>
            </w:r>
          </w:p>
        </w:tc>
      </w:tr>
      <w:tr>
        <w:trPr>
          <w:trHeight w:val="20"/>
        </w:trPr>
        <w:tc>
          <w:tcPr>
            <w:tcW w:w="65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r>
    </w:tbl>
    <w:p>
      <w:pPr>
        <w:spacing w:after="0" w:line="177" w:lineRule="exact"/>
        <w:rPr>
          <w:sz w:val="20"/>
          <w:szCs w:val="20"/>
          <w:color w:val="auto"/>
        </w:rPr>
      </w:pPr>
    </w:p>
    <w:p>
      <w:pPr>
        <w:ind w:firstLine="396"/>
        <w:spacing w:after="0" w:line="230" w:lineRule="auto"/>
        <w:rPr>
          <w:sz w:val="20"/>
          <w:szCs w:val="20"/>
          <w:color w:val="auto"/>
        </w:rPr>
      </w:pPr>
      <w:r>
        <w:rPr>
          <w:rFonts w:ascii="Calibri" w:cs="Calibri" w:eastAsia="Calibri" w:hAnsi="Calibri"/>
          <w:sz w:val="18"/>
          <w:szCs w:val="18"/>
          <w:color w:val="auto"/>
        </w:rPr>
        <w:t>The increase in provision for income taxes in fscal year 2023 compared to fscal year 2022 was primarily due to higher income before income taxes, partally ofset by an increase in the recogniton of uncertain tax benefts as a result of lapses of statutes of limitatons. The increase in provision for income taxes in fscal year 2022 compared to fscal year 2021 was primarily due to higher income before income taxes.</w:t>
      </w:r>
    </w:p>
    <w:p>
      <w:pPr>
        <w:spacing w:after="0" w:line="108" w:lineRule="exact"/>
        <w:rPr>
          <w:sz w:val="20"/>
          <w:szCs w:val="20"/>
          <w:color w:val="auto"/>
        </w:rPr>
      </w:pPr>
    </w:p>
    <w:p>
      <w:pPr>
        <w:ind w:right="120" w:firstLine="396"/>
        <w:spacing w:after="0" w:line="244" w:lineRule="auto"/>
        <w:rPr>
          <w:sz w:val="20"/>
          <w:szCs w:val="20"/>
          <w:color w:val="auto"/>
        </w:rPr>
      </w:pPr>
      <w:r>
        <w:rPr>
          <w:rFonts w:ascii="Calibri" w:cs="Calibri" w:eastAsia="Calibri" w:hAnsi="Calibri"/>
          <w:sz w:val="17"/>
          <w:szCs w:val="17"/>
          <w:color w:val="262626"/>
        </w:rPr>
        <w:t xml:space="preserve">We derive the efectve tax rate beneft atributed to foreign income taxed at diferent rates primarily from our operatons in Singapore and Malaysia. </w:t>
      </w:r>
      <w:r>
        <w:rPr>
          <w:rFonts w:ascii="Calibri" w:cs="Calibri" w:eastAsia="Calibri" w:hAnsi="Calibri"/>
          <w:sz w:val="17"/>
          <w:szCs w:val="17"/>
          <w:color w:val="000000"/>
        </w:rPr>
        <w:t>Our</w:t>
      </w:r>
      <w:r>
        <w:rPr>
          <w:rFonts w:ascii="Calibri" w:cs="Calibri" w:eastAsia="Calibri" w:hAnsi="Calibri"/>
          <w:sz w:val="17"/>
          <w:szCs w:val="17"/>
          <w:color w:val="262626"/>
        </w:rPr>
        <w:t xml:space="preserve"> </w:t>
      </w:r>
      <w:r>
        <w:rPr>
          <w:rFonts w:ascii="Calibri" w:cs="Calibri" w:eastAsia="Calibri" w:hAnsi="Calibri"/>
          <w:sz w:val="17"/>
          <w:szCs w:val="17"/>
          <w:color w:val="000000"/>
        </w:rPr>
        <w:t>tax incentves from the Singapore Economic Development Board provide that any qualifying income earned in Singapore is subject to tax incentves or reduced rates of Singapore income tax, subject to our compliance with the conditons specifed in these incentves and legislatve developments. These Singapore tax incentves are expected to expire in November 2025. We have also obtained a tax holiday from our qualifying income earned in Malaysia, which is scheduled to expire in fscal year 2028. The tax holiday that we negotated in Malaysia is also subject to our compliance with various operatng and other conditons. Before taking into consideraton the efects of the U.S. Tax Cuts and Jobs Act and other indirect tax impacts, the efect of these tax incentves and tax holiday decreased the provision for income taxes by approximately $2,104 million, $1,821 million and $1,156 million for fscal years 2023, 2022 and 2021, respectvely.</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9" w:right="339" w:bottom="1440" w:gutter="0" w:footer="0" w:header="0"/>
        </w:sectPr>
      </w:pPr>
    </w:p>
    <w:bookmarkStart w:id="82" w:name="page83"/>
    <w:bookmarkEnd w:id="82"/>
    <w:p>
      <w:pPr>
        <w:spacing w:after="0"/>
        <w:rPr>
          <w:sz w:val="20"/>
          <w:szCs w:val="20"/>
          <w:color w:val="auto"/>
        </w:rPr>
      </w:pPr>
      <w:r>
        <w:rPr>
          <w:rFonts w:ascii="Calibri" w:cs="Calibri" w:eastAsia="Calibri" w:hAnsi="Calibri"/>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400"/>
        <w:spacing w:after="0"/>
        <w:rPr>
          <w:sz w:val="20"/>
          <w:szCs w:val="20"/>
          <w:color w:val="auto"/>
        </w:rPr>
      </w:pPr>
      <w:r>
        <w:rPr>
          <w:rFonts w:ascii="Calibri" w:cs="Calibri" w:eastAsia="Calibri" w:hAnsi="Calibri"/>
          <w:sz w:val="18"/>
          <w:szCs w:val="18"/>
          <w:color w:val="auto"/>
        </w:rPr>
        <w:t>Signifcant components of our deferred tax assets and liabilites consisted of the following:</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00" w:type="dxa"/>
            <w:vAlign w:val="bottom"/>
            <w:gridSpan w:val="2"/>
          </w:tcPr>
          <w:p>
            <w:pPr>
              <w:ind w:left="140"/>
              <w:spacing w:after="0"/>
              <w:rPr>
                <w:sz w:val="20"/>
                <w:szCs w:val="20"/>
                <w:color w:val="auto"/>
              </w:rPr>
            </w:pPr>
            <w:r>
              <w:rPr>
                <w:rFonts w:ascii="Calibri" w:cs="Calibri" w:eastAsia="Calibri" w:hAnsi="Calibri"/>
                <w:sz w:val="14"/>
                <w:szCs w:val="14"/>
                <w:b w:val="1"/>
                <w:bCs w:val="1"/>
                <w:color w:val="auto"/>
              </w:rPr>
              <w:t>October 29,</w:t>
            </w:r>
          </w:p>
        </w:tc>
        <w:tc>
          <w:tcPr>
            <w:tcW w:w="320" w:type="dxa"/>
            <w:vAlign w:val="bottom"/>
          </w:tcPr>
          <w:p>
            <w:pPr>
              <w:spacing w:after="0"/>
              <w:rPr>
                <w:sz w:val="14"/>
                <w:szCs w:val="14"/>
                <w:color w:val="auto"/>
              </w:rPr>
            </w:pPr>
          </w:p>
        </w:tc>
        <w:tc>
          <w:tcPr>
            <w:tcW w:w="1100" w:type="dxa"/>
            <w:vAlign w:val="bottom"/>
          </w:tcPr>
          <w:p>
            <w:pPr>
              <w:jc w:val="right"/>
              <w:ind w:right="274"/>
              <w:spacing w:after="0"/>
              <w:rPr>
                <w:sz w:val="20"/>
                <w:szCs w:val="20"/>
                <w:color w:val="auto"/>
              </w:rPr>
            </w:pPr>
            <w:r>
              <w:rPr>
                <w:rFonts w:ascii="Calibri" w:cs="Calibri" w:eastAsia="Calibri" w:hAnsi="Calibri"/>
                <w:sz w:val="14"/>
                <w:szCs w:val="14"/>
                <w:b w:val="1"/>
                <w:bCs w:val="1"/>
                <w:color w:val="auto"/>
              </w:rPr>
              <w:t>October 30,</w:t>
            </w:r>
          </w:p>
        </w:tc>
      </w:tr>
      <w:tr>
        <w:trPr>
          <w:trHeight w:val="168"/>
        </w:trPr>
        <w:tc>
          <w:tcPr>
            <w:tcW w:w="8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tcPr>
          <w:p>
            <w:pPr>
              <w:jc w:val="right"/>
              <w:ind w:right="495"/>
              <w:spacing w:after="0" w:line="168" w:lineRule="exact"/>
              <w:rPr>
                <w:sz w:val="20"/>
                <w:szCs w:val="20"/>
                <w:color w:val="auto"/>
              </w:rPr>
            </w:pPr>
            <w:r>
              <w:rPr>
                <w:rFonts w:ascii="Calibri" w:cs="Calibri" w:eastAsia="Calibri" w:hAnsi="Calibri"/>
                <w:sz w:val="14"/>
                <w:szCs w:val="14"/>
                <w:b w:val="1"/>
                <w:bCs w:val="1"/>
                <w:color w:val="auto"/>
              </w:rPr>
              <w:t>2023</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jc w:val="right"/>
              <w:ind w:right="474"/>
              <w:spacing w:after="0" w:line="168" w:lineRule="exact"/>
              <w:rPr>
                <w:sz w:val="20"/>
                <w:szCs w:val="20"/>
                <w:color w:val="auto"/>
              </w:rPr>
            </w:pPr>
            <w:r>
              <w:rPr>
                <w:rFonts w:ascii="Calibri" w:cs="Calibri" w:eastAsia="Calibri" w:hAnsi="Calibri"/>
                <w:sz w:val="14"/>
                <w:szCs w:val="14"/>
                <w:b w:val="1"/>
                <w:bCs w:val="1"/>
                <w:color w:val="auto"/>
              </w:rPr>
              <w:t>2022</w:t>
            </w:r>
          </w:p>
        </w:tc>
      </w:tr>
      <w:tr>
        <w:trPr>
          <w:trHeight w:val="32"/>
        </w:trPr>
        <w:tc>
          <w:tcPr>
            <w:tcW w:w="82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86"/>
        </w:trPr>
        <w:tc>
          <w:tcPr>
            <w:tcW w:w="8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20" w:type="dxa"/>
            <w:vAlign w:val="bottom"/>
            <w:gridSpan w:val="3"/>
          </w:tcPr>
          <w:p>
            <w:pPr>
              <w:jc w:val="right"/>
              <w:spacing w:after="0"/>
              <w:rPr>
                <w:sz w:val="20"/>
                <w:szCs w:val="20"/>
                <w:color w:val="auto"/>
              </w:rPr>
            </w:pPr>
            <w:r>
              <w:rPr>
                <w:rFonts w:ascii="Calibri" w:cs="Calibri" w:eastAsia="Calibri" w:hAnsi="Calibri"/>
                <w:sz w:val="14"/>
                <w:szCs w:val="14"/>
                <w:b w:val="1"/>
                <w:bCs w:val="1"/>
                <w:color w:val="auto"/>
              </w:rPr>
              <w:t>(In millions)</w:t>
            </w:r>
          </w:p>
        </w:tc>
        <w:tc>
          <w:tcPr>
            <w:tcW w:w="1100" w:type="dxa"/>
            <w:vAlign w:val="bottom"/>
          </w:tcPr>
          <w:p>
            <w:pPr>
              <w:spacing w:after="0"/>
              <w:rPr>
                <w:sz w:val="16"/>
                <w:szCs w:val="16"/>
                <w:color w:val="auto"/>
              </w:rPr>
            </w:pPr>
          </w:p>
        </w:tc>
      </w:tr>
      <w:tr>
        <w:trPr>
          <w:trHeight w:val="248"/>
        </w:trPr>
        <w:tc>
          <w:tcPr>
            <w:tcW w:w="8280" w:type="dxa"/>
            <w:vAlign w:val="bottom"/>
          </w:tcPr>
          <w:p>
            <w:pPr>
              <w:ind w:left="20"/>
              <w:spacing w:after="0"/>
              <w:rPr>
                <w:sz w:val="20"/>
                <w:szCs w:val="20"/>
                <w:color w:val="auto"/>
              </w:rPr>
            </w:pPr>
            <w:r>
              <w:rPr>
                <w:rFonts w:ascii="Calibri" w:cs="Calibri" w:eastAsia="Calibri" w:hAnsi="Calibri"/>
                <w:sz w:val="18"/>
                <w:szCs w:val="18"/>
                <w:b w:val="1"/>
                <w:bCs w:val="1"/>
                <w:color w:val="auto"/>
              </w:rPr>
              <w:t>Deferred income tax assets:</w:t>
            </w:r>
          </w:p>
        </w:tc>
        <w:tc>
          <w:tcPr>
            <w:tcW w:w="2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2"/>
        </w:trPr>
        <w:tc>
          <w:tcPr>
            <w:tcW w:w="8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24"/>
        </w:trPr>
        <w:tc>
          <w:tcPr>
            <w:tcW w:w="8280" w:type="dxa"/>
            <w:vAlign w:val="bottom"/>
            <w:shd w:val="clear" w:color="auto" w:fill="CCEEFF"/>
          </w:tcPr>
          <w:p>
            <w:pPr>
              <w:ind w:left="140"/>
              <w:spacing w:after="0" w:line="210" w:lineRule="exact"/>
              <w:rPr>
                <w:sz w:val="20"/>
                <w:szCs w:val="20"/>
                <w:color w:val="auto"/>
              </w:rPr>
            </w:pPr>
            <w:r>
              <w:rPr>
                <w:rFonts w:ascii="Calibri" w:cs="Calibri" w:eastAsia="Calibri" w:hAnsi="Calibri"/>
                <w:sz w:val="18"/>
                <w:szCs w:val="18"/>
                <w:color w:val="auto"/>
              </w:rPr>
              <w:t>Net operatng loss, credit and other carryforwards</w:t>
            </w:r>
          </w:p>
        </w:tc>
        <w:tc>
          <w:tcPr>
            <w:tcW w:w="240" w:type="dxa"/>
            <w:vAlign w:val="bottom"/>
            <w:shd w:val="clear" w:color="auto" w:fill="CCEEFF"/>
          </w:tcPr>
          <w:p>
            <w:pPr>
              <w:jc w:val="right"/>
              <w:ind w:right="32"/>
              <w:spacing w:after="0" w:line="210" w:lineRule="exact"/>
              <w:rPr>
                <w:sz w:val="20"/>
                <w:szCs w:val="20"/>
                <w:color w:val="auto"/>
              </w:rPr>
            </w:pPr>
            <w:r>
              <w:rPr>
                <w:rFonts w:ascii="Calibri" w:cs="Calibri" w:eastAsia="Calibri" w:hAnsi="Calibri"/>
                <w:sz w:val="18"/>
                <w:szCs w:val="18"/>
                <w:color w:val="auto"/>
              </w:rPr>
              <w:t>$</w:t>
            </w:r>
          </w:p>
        </w:tc>
        <w:tc>
          <w:tcPr>
            <w:tcW w:w="1200" w:type="dxa"/>
            <w:vAlign w:val="bottom"/>
            <w:shd w:val="clear" w:color="auto" w:fill="CCEEFF"/>
          </w:tcPr>
          <w:p>
            <w:pPr>
              <w:jc w:val="right"/>
              <w:spacing w:after="0" w:line="210" w:lineRule="exact"/>
              <w:rPr>
                <w:sz w:val="20"/>
                <w:szCs w:val="20"/>
                <w:color w:val="auto"/>
              </w:rPr>
            </w:pPr>
            <w:r>
              <w:rPr>
                <w:rFonts w:ascii="Calibri" w:cs="Calibri" w:eastAsia="Calibri" w:hAnsi="Calibri"/>
                <w:sz w:val="18"/>
                <w:szCs w:val="18"/>
                <w:color w:val="auto"/>
              </w:rPr>
              <w:t>1,809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2"/>
              <w:spacing w:after="0" w:line="210" w:lineRule="exact"/>
              <w:rPr>
                <w:sz w:val="20"/>
                <w:szCs w:val="20"/>
                <w:color w:val="auto"/>
              </w:rPr>
            </w:pPr>
            <w:r>
              <w:rPr>
                <w:rFonts w:ascii="Calibri" w:cs="Calibri" w:eastAsia="Calibri" w:hAnsi="Calibri"/>
                <w:sz w:val="18"/>
                <w:szCs w:val="18"/>
                <w:color w:val="auto"/>
                <w:w w:val="87"/>
              </w:rPr>
              <w:t>$</w:t>
            </w:r>
          </w:p>
        </w:tc>
        <w:tc>
          <w:tcPr>
            <w:tcW w:w="1100" w:type="dxa"/>
            <w:vAlign w:val="bottom"/>
            <w:shd w:val="clear" w:color="auto" w:fill="CCEEFF"/>
          </w:tcPr>
          <w:p>
            <w:pPr>
              <w:jc w:val="right"/>
              <w:spacing w:after="0" w:line="210" w:lineRule="exact"/>
              <w:rPr>
                <w:sz w:val="20"/>
                <w:szCs w:val="20"/>
                <w:color w:val="auto"/>
              </w:rPr>
            </w:pPr>
            <w:r>
              <w:rPr>
                <w:rFonts w:ascii="Calibri" w:cs="Calibri" w:eastAsia="Calibri" w:hAnsi="Calibri"/>
                <w:sz w:val="18"/>
                <w:szCs w:val="18"/>
                <w:color w:val="auto"/>
              </w:rPr>
              <w:t>1,808</w:t>
            </w:r>
          </w:p>
        </w:tc>
      </w:tr>
      <w:tr>
        <w:trPr>
          <w:trHeight w:val="217"/>
        </w:trPr>
        <w:tc>
          <w:tcPr>
            <w:tcW w:w="8280" w:type="dxa"/>
            <w:vAlign w:val="bottom"/>
          </w:tcPr>
          <w:p>
            <w:pPr>
              <w:ind w:left="140"/>
              <w:spacing w:after="0" w:line="210" w:lineRule="exact"/>
              <w:rPr>
                <w:sz w:val="20"/>
                <w:szCs w:val="20"/>
                <w:color w:val="auto"/>
              </w:rPr>
            </w:pPr>
            <w:r>
              <w:rPr>
                <w:rFonts w:ascii="Calibri" w:cs="Calibri" w:eastAsia="Calibri" w:hAnsi="Calibri"/>
                <w:sz w:val="18"/>
                <w:szCs w:val="18"/>
                <w:color w:val="auto"/>
              </w:rPr>
              <w:t>Capitalized research and development</w:t>
            </w:r>
          </w:p>
        </w:tc>
        <w:tc>
          <w:tcPr>
            <w:tcW w:w="240" w:type="dxa"/>
            <w:vAlign w:val="bottom"/>
          </w:tcPr>
          <w:p>
            <w:pPr>
              <w:spacing w:after="0"/>
              <w:rPr>
                <w:sz w:val="18"/>
                <w:szCs w:val="18"/>
                <w:color w:val="auto"/>
              </w:rPr>
            </w:pPr>
          </w:p>
        </w:tc>
        <w:tc>
          <w:tcPr>
            <w:tcW w:w="1200" w:type="dxa"/>
            <w:vAlign w:val="bottom"/>
          </w:tcPr>
          <w:p>
            <w:pPr>
              <w:jc w:val="right"/>
              <w:spacing w:after="0" w:line="210" w:lineRule="exact"/>
              <w:rPr>
                <w:sz w:val="20"/>
                <w:szCs w:val="20"/>
                <w:color w:val="auto"/>
              </w:rPr>
            </w:pPr>
            <w:r>
              <w:rPr>
                <w:rFonts w:ascii="Calibri" w:cs="Calibri" w:eastAsia="Calibri" w:hAnsi="Calibri"/>
                <w:sz w:val="18"/>
                <w:szCs w:val="18"/>
                <w:color w:val="auto"/>
              </w:rPr>
              <w:t>275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line="210" w:lineRule="exact"/>
              <w:rPr>
                <w:sz w:val="20"/>
                <w:szCs w:val="20"/>
                <w:color w:val="auto"/>
              </w:rPr>
            </w:pPr>
            <w:r>
              <w:rPr>
                <w:rFonts w:ascii="Calibri" w:cs="Calibri" w:eastAsia="Calibri" w:hAnsi="Calibri"/>
                <w:sz w:val="18"/>
                <w:szCs w:val="18"/>
                <w:color w:val="auto"/>
              </w:rPr>
              <w:t>—</w:t>
            </w:r>
          </w:p>
        </w:tc>
      </w:tr>
      <w:tr>
        <w:trPr>
          <w:trHeight w:val="232"/>
        </w:trPr>
        <w:tc>
          <w:tcPr>
            <w:tcW w:w="8280" w:type="dxa"/>
            <w:vAlign w:val="bottom"/>
            <w:shd w:val="clear" w:color="auto" w:fill="CCEEFF"/>
          </w:tcPr>
          <w:p>
            <w:pPr>
              <w:ind w:left="140"/>
              <w:spacing w:after="0" w:line="217" w:lineRule="exact"/>
              <w:rPr>
                <w:sz w:val="20"/>
                <w:szCs w:val="20"/>
                <w:color w:val="auto"/>
              </w:rPr>
            </w:pPr>
            <w:r>
              <w:rPr>
                <w:rFonts w:ascii="Calibri" w:cs="Calibri" w:eastAsia="Calibri" w:hAnsi="Calibri"/>
                <w:sz w:val="18"/>
                <w:szCs w:val="18"/>
                <w:color w:val="auto"/>
              </w:rPr>
              <w:t>Deferred revenue</w:t>
            </w:r>
          </w:p>
        </w:tc>
        <w:tc>
          <w:tcPr>
            <w:tcW w:w="24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line="217" w:lineRule="exact"/>
              <w:rPr>
                <w:sz w:val="20"/>
                <w:szCs w:val="20"/>
                <w:color w:val="auto"/>
              </w:rPr>
            </w:pPr>
            <w:r>
              <w:rPr>
                <w:rFonts w:ascii="Calibri" w:cs="Calibri" w:eastAsia="Calibri" w:hAnsi="Calibri"/>
                <w:sz w:val="18"/>
                <w:szCs w:val="18"/>
                <w:color w:val="auto"/>
              </w:rPr>
              <w:t>208</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line="217" w:lineRule="exact"/>
              <w:rPr>
                <w:sz w:val="20"/>
                <w:szCs w:val="20"/>
                <w:color w:val="auto"/>
              </w:rPr>
            </w:pPr>
            <w:r>
              <w:rPr>
                <w:rFonts w:ascii="Calibri" w:cs="Calibri" w:eastAsia="Calibri" w:hAnsi="Calibri"/>
                <w:sz w:val="18"/>
                <w:szCs w:val="18"/>
                <w:color w:val="auto"/>
              </w:rPr>
              <w:t>645</w:t>
            </w:r>
          </w:p>
        </w:tc>
      </w:tr>
      <w:tr>
        <w:trPr>
          <w:trHeight w:val="217"/>
        </w:trPr>
        <w:tc>
          <w:tcPr>
            <w:tcW w:w="8280" w:type="dxa"/>
            <w:vAlign w:val="bottom"/>
          </w:tcPr>
          <w:p>
            <w:pPr>
              <w:ind w:left="140"/>
              <w:spacing w:after="0" w:line="210" w:lineRule="exact"/>
              <w:rPr>
                <w:sz w:val="20"/>
                <w:szCs w:val="20"/>
                <w:color w:val="auto"/>
              </w:rPr>
            </w:pPr>
            <w:r>
              <w:rPr>
                <w:rFonts w:ascii="Calibri" w:cs="Calibri" w:eastAsia="Calibri" w:hAnsi="Calibri"/>
                <w:sz w:val="18"/>
                <w:szCs w:val="18"/>
                <w:color w:val="auto"/>
              </w:rPr>
              <w:t>Employee stock awards</w:t>
            </w:r>
          </w:p>
        </w:tc>
        <w:tc>
          <w:tcPr>
            <w:tcW w:w="240" w:type="dxa"/>
            <w:vAlign w:val="bottom"/>
          </w:tcPr>
          <w:p>
            <w:pPr>
              <w:spacing w:after="0"/>
              <w:rPr>
                <w:sz w:val="18"/>
                <w:szCs w:val="18"/>
                <w:color w:val="auto"/>
              </w:rPr>
            </w:pPr>
          </w:p>
        </w:tc>
        <w:tc>
          <w:tcPr>
            <w:tcW w:w="1200" w:type="dxa"/>
            <w:vAlign w:val="bottom"/>
          </w:tcPr>
          <w:p>
            <w:pPr>
              <w:jc w:val="right"/>
              <w:spacing w:after="0" w:line="210" w:lineRule="exact"/>
              <w:rPr>
                <w:sz w:val="20"/>
                <w:szCs w:val="20"/>
                <w:color w:val="auto"/>
              </w:rPr>
            </w:pPr>
            <w:r>
              <w:rPr>
                <w:rFonts w:ascii="Calibri" w:cs="Calibri" w:eastAsia="Calibri" w:hAnsi="Calibri"/>
                <w:sz w:val="18"/>
                <w:szCs w:val="18"/>
                <w:color w:val="auto"/>
              </w:rPr>
              <w:t>190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line="210" w:lineRule="exact"/>
              <w:rPr>
                <w:sz w:val="20"/>
                <w:szCs w:val="20"/>
                <w:color w:val="auto"/>
              </w:rPr>
            </w:pPr>
            <w:r>
              <w:rPr>
                <w:rFonts w:ascii="Calibri" w:cs="Calibri" w:eastAsia="Calibri" w:hAnsi="Calibri"/>
                <w:sz w:val="18"/>
                <w:szCs w:val="18"/>
                <w:color w:val="auto"/>
              </w:rPr>
              <w:t>183</w:t>
            </w:r>
          </w:p>
        </w:tc>
      </w:tr>
      <w:tr>
        <w:trPr>
          <w:trHeight w:val="232"/>
        </w:trPr>
        <w:tc>
          <w:tcPr>
            <w:tcW w:w="8280" w:type="dxa"/>
            <w:vAlign w:val="bottom"/>
            <w:shd w:val="clear" w:color="auto" w:fill="CCEEFF"/>
          </w:tcPr>
          <w:p>
            <w:pPr>
              <w:ind w:left="140"/>
              <w:spacing w:after="0" w:line="217" w:lineRule="exact"/>
              <w:rPr>
                <w:sz w:val="20"/>
                <w:szCs w:val="20"/>
                <w:color w:val="auto"/>
              </w:rPr>
            </w:pPr>
            <w:r>
              <w:rPr>
                <w:rFonts w:ascii="Calibri" w:cs="Calibri" w:eastAsia="Calibri" w:hAnsi="Calibri"/>
                <w:sz w:val="18"/>
                <w:szCs w:val="18"/>
                <w:color w:val="auto"/>
              </w:rPr>
              <w:t>Depreciaton and amortzaton</w:t>
            </w:r>
          </w:p>
        </w:tc>
        <w:tc>
          <w:tcPr>
            <w:tcW w:w="24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line="217" w:lineRule="exact"/>
              <w:rPr>
                <w:sz w:val="20"/>
                <w:szCs w:val="20"/>
                <w:color w:val="auto"/>
              </w:rPr>
            </w:pPr>
            <w:r>
              <w:rPr>
                <w:rFonts w:ascii="Calibri" w:cs="Calibri" w:eastAsia="Calibri" w:hAnsi="Calibri"/>
                <w:sz w:val="18"/>
                <w:szCs w:val="18"/>
                <w:color w:val="auto"/>
              </w:rPr>
              <w:t>223</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line="217" w:lineRule="exact"/>
              <w:rPr>
                <w:sz w:val="20"/>
                <w:szCs w:val="20"/>
                <w:color w:val="auto"/>
              </w:rPr>
            </w:pPr>
            <w:r>
              <w:rPr>
                <w:rFonts w:ascii="Calibri" w:cs="Calibri" w:eastAsia="Calibri" w:hAnsi="Calibri"/>
                <w:sz w:val="18"/>
                <w:szCs w:val="18"/>
                <w:color w:val="auto"/>
              </w:rPr>
              <w:t>156</w:t>
            </w:r>
          </w:p>
        </w:tc>
      </w:tr>
      <w:tr>
        <w:trPr>
          <w:trHeight w:val="218"/>
        </w:trPr>
        <w:tc>
          <w:tcPr>
            <w:tcW w:w="8280" w:type="dxa"/>
            <w:vAlign w:val="bottom"/>
            <w:tcBorders>
              <w:bottom w:val="single" w:sz="8" w:color="CCEEFF"/>
            </w:tcBorders>
          </w:tcPr>
          <w:p>
            <w:pPr>
              <w:ind w:left="140"/>
              <w:spacing w:after="0" w:line="210" w:lineRule="exact"/>
              <w:rPr>
                <w:sz w:val="20"/>
                <w:szCs w:val="20"/>
                <w:color w:val="auto"/>
              </w:rPr>
            </w:pPr>
            <w:r>
              <w:rPr>
                <w:rFonts w:ascii="Calibri" w:cs="Calibri" w:eastAsia="Calibri" w:hAnsi="Calibri"/>
                <w:sz w:val="18"/>
                <w:szCs w:val="18"/>
                <w:color w:val="auto"/>
              </w:rPr>
              <w:t>Other deferred income tax assets</w:t>
            </w:r>
          </w:p>
        </w:tc>
        <w:tc>
          <w:tcPr>
            <w:tcW w:w="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line="210" w:lineRule="exact"/>
              <w:rPr>
                <w:sz w:val="20"/>
                <w:szCs w:val="20"/>
                <w:color w:val="auto"/>
              </w:rPr>
            </w:pPr>
            <w:r>
              <w:rPr>
                <w:rFonts w:ascii="Calibri" w:cs="Calibri" w:eastAsia="Calibri" w:hAnsi="Calibri"/>
                <w:sz w:val="18"/>
                <w:szCs w:val="18"/>
                <w:color w:val="auto"/>
              </w:rPr>
              <w:t>329</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line="210" w:lineRule="exact"/>
              <w:rPr>
                <w:sz w:val="20"/>
                <w:szCs w:val="20"/>
                <w:color w:val="auto"/>
              </w:rPr>
            </w:pPr>
            <w:r>
              <w:rPr>
                <w:rFonts w:ascii="Calibri" w:cs="Calibri" w:eastAsia="Calibri" w:hAnsi="Calibri"/>
                <w:sz w:val="18"/>
                <w:szCs w:val="18"/>
                <w:color w:val="auto"/>
              </w:rPr>
              <w:t>343</w:t>
            </w:r>
          </w:p>
        </w:tc>
      </w:tr>
      <w:tr>
        <w:trPr>
          <w:trHeight w:val="224"/>
        </w:trPr>
        <w:tc>
          <w:tcPr>
            <w:tcW w:w="8280" w:type="dxa"/>
            <w:vAlign w:val="bottom"/>
            <w:shd w:val="clear" w:color="auto" w:fill="CCEEFF"/>
          </w:tcPr>
          <w:p>
            <w:pPr>
              <w:ind w:left="220"/>
              <w:spacing w:after="0" w:line="203" w:lineRule="exact"/>
              <w:rPr>
                <w:sz w:val="20"/>
                <w:szCs w:val="20"/>
                <w:color w:val="auto"/>
              </w:rPr>
            </w:pPr>
            <w:r>
              <w:rPr>
                <w:rFonts w:ascii="Calibri" w:cs="Calibri" w:eastAsia="Calibri" w:hAnsi="Calibri"/>
                <w:sz w:val="18"/>
                <w:szCs w:val="18"/>
                <w:color w:val="auto"/>
              </w:rPr>
              <w:t>Gross deferred income tax assets</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line="210" w:lineRule="exact"/>
              <w:rPr>
                <w:sz w:val="20"/>
                <w:szCs w:val="20"/>
                <w:color w:val="auto"/>
              </w:rPr>
            </w:pPr>
            <w:r>
              <w:rPr>
                <w:rFonts w:ascii="Calibri" w:cs="Calibri" w:eastAsia="Calibri" w:hAnsi="Calibri"/>
                <w:sz w:val="18"/>
                <w:szCs w:val="18"/>
                <w:color w:val="auto"/>
              </w:rPr>
              <w:t>3,034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line="210" w:lineRule="exact"/>
              <w:rPr>
                <w:sz w:val="20"/>
                <w:szCs w:val="20"/>
                <w:color w:val="auto"/>
              </w:rPr>
            </w:pPr>
            <w:r>
              <w:rPr>
                <w:rFonts w:ascii="Calibri" w:cs="Calibri" w:eastAsia="Calibri" w:hAnsi="Calibri"/>
                <w:sz w:val="18"/>
                <w:szCs w:val="18"/>
                <w:color w:val="auto"/>
              </w:rPr>
              <w:t>3,135</w:t>
            </w:r>
          </w:p>
        </w:tc>
      </w:tr>
      <w:tr>
        <w:trPr>
          <w:trHeight w:val="218"/>
        </w:trPr>
        <w:tc>
          <w:tcPr>
            <w:tcW w:w="8280" w:type="dxa"/>
            <w:vAlign w:val="bottom"/>
            <w:tcBorders>
              <w:bottom w:val="single" w:sz="8" w:color="CCEEFF"/>
            </w:tcBorders>
          </w:tcPr>
          <w:p>
            <w:pPr>
              <w:ind w:left="140"/>
              <w:spacing w:after="0" w:line="210" w:lineRule="exact"/>
              <w:rPr>
                <w:sz w:val="20"/>
                <w:szCs w:val="20"/>
                <w:color w:val="auto"/>
              </w:rPr>
            </w:pPr>
            <w:r>
              <w:rPr>
                <w:rFonts w:ascii="Calibri" w:cs="Calibri" w:eastAsia="Calibri" w:hAnsi="Calibri"/>
                <w:sz w:val="18"/>
                <w:szCs w:val="18"/>
                <w:color w:val="auto"/>
              </w:rPr>
              <w:t>Less: valuaton allowance</w:t>
            </w:r>
          </w:p>
        </w:tc>
        <w:tc>
          <w:tcPr>
            <w:tcW w:w="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line="210" w:lineRule="exact"/>
              <w:rPr>
                <w:sz w:val="20"/>
                <w:szCs w:val="20"/>
                <w:color w:val="auto"/>
              </w:rPr>
            </w:pPr>
            <w:r>
              <w:rPr>
                <w:rFonts w:ascii="Calibri" w:cs="Calibri" w:eastAsia="Calibri" w:hAnsi="Calibri"/>
                <w:sz w:val="18"/>
                <w:szCs w:val="18"/>
                <w:color w:val="auto"/>
              </w:rPr>
              <w:t>(1,789)</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line="210" w:lineRule="exact"/>
              <w:rPr>
                <w:sz w:val="20"/>
                <w:szCs w:val="20"/>
                <w:color w:val="auto"/>
              </w:rPr>
            </w:pPr>
            <w:r>
              <w:rPr>
                <w:rFonts w:ascii="Calibri" w:cs="Calibri" w:eastAsia="Calibri" w:hAnsi="Calibri"/>
                <w:sz w:val="18"/>
                <w:szCs w:val="18"/>
                <w:color w:val="auto"/>
              </w:rPr>
              <w:t>(1,777)</w:t>
            </w:r>
          </w:p>
        </w:tc>
      </w:tr>
      <w:tr>
        <w:trPr>
          <w:trHeight w:val="224"/>
        </w:trPr>
        <w:tc>
          <w:tcPr>
            <w:tcW w:w="8280" w:type="dxa"/>
            <w:vAlign w:val="bottom"/>
            <w:shd w:val="clear" w:color="auto" w:fill="CCEEFF"/>
          </w:tcPr>
          <w:p>
            <w:pPr>
              <w:ind w:left="220"/>
              <w:spacing w:after="0" w:line="203" w:lineRule="exact"/>
              <w:rPr>
                <w:sz w:val="20"/>
                <w:szCs w:val="20"/>
                <w:color w:val="auto"/>
              </w:rPr>
            </w:pPr>
            <w:r>
              <w:rPr>
                <w:rFonts w:ascii="Calibri" w:cs="Calibri" w:eastAsia="Calibri" w:hAnsi="Calibri"/>
                <w:sz w:val="18"/>
                <w:szCs w:val="18"/>
                <w:color w:val="auto"/>
              </w:rPr>
              <w:t>Deferred income tax assets</w:t>
            </w: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line="210" w:lineRule="exact"/>
              <w:rPr>
                <w:sz w:val="20"/>
                <w:szCs w:val="20"/>
                <w:color w:val="auto"/>
              </w:rPr>
            </w:pPr>
            <w:r>
              <w:rPr>
                <w:rFonts w:ascii="Calibri" w:cs="Calibri" w:eastAsia="Calibri" w:hAnsi="Calibri"/>
                <w:sz w:val="18"/>
                <w:szCs w:val="18"/>
                <w:color w:val="auto"/>
              </w:rPr>
              <w:t>1,245</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line="210" w:lineRule="exact"/>
              <w:rPr>
                <w:sz w:val="20"/>
                <w:szCs w:val="20"/>
                <w:color w:val="auto"/>
              </w:rPr>
            </w:pPr>
            <w:r>
              <w:rPr>
                <w:rFonts w:ascii="Calibri" w:cs="Calibri" w:eastAsia="Calibri" w:hAnsi="Calibri"/>
                <w:sz w:val="18"/>
                <w:szCs w:val="18"/>
                <w:color w:val="auto"/>
              </w:rPr>
              <w:t>1,358</w:t>
            </w:r>
          </w:p>
        </w:tc>
      </w:tr>
      <w:tr>
        <w:trPr>
          <w:trHeight w:val="197"/>
        </w:trPr>
        <w:tc>
          <w:tcPr>
            <w:tcW w:w="8280" w:type="dxa"/>
            <w:vAlign w:val="bottom"/>
          </w:tcPr>
          <w:p>
            <w:pPr>
              <w:ind w:left="20"/>
              <w:spacing w:after="0" w:line="190" w:lineRule="exact"/>
              <w:rPr>
                <w:sz w:val="20"/>
                <w:szCs w:val="20"/>
                <w:color w:val="auto"/>
              </w:rPr>
            </w:pPr>
            <w:r>
              <w:rPr>
                <w:rFonts w:ascii="Calibri" w:cs="Calibri" w:eastAsia="Calibri" w:hAnsi="Calibri"/>
                <w:sz w:val="18"/>
                <w:szCs w:val="18"/>
                <w:b w:val="1"/>
                <w:bCs w:val="1"/>
                <w:color w:val="auto"/>
              </w:rPr>
              <w:t>Deferred income tax liabilites:</w:t>
            </w:r>
          </w:p>
        </w:tc>
        <w:tc>
          <w:tcPr>
            <w:tcW w:w="2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32"/>
        </w:trPr>
        <w:tc>
          <w:tcPr>
            <w:tcW w:w="8280" w:type="dxa"/>
            <w:vAlign w:val="bottom"/>
            <w:shd w:val="clear" w:color="auto" w:fill="CCEEFF"/>
          </w:tcPr>
          <w:p>
            <w:pPr>
              <w:ind w:left="140"/>
              <w:spacing w:after="0" w:line="217" w:lineRule="exact"/>
              <w:rPr>
                <w:sz w:val="20"/>
                <w:szCs w:val="20"/>
                <w:color w:val="auto"/>
              </w:rPr>
            </w:pPr>
            <w:r>
              <w:rPr>
                <w:rFonts w:ascii="Calibri" w:cs="Calibri" w:eastAsia="Calibri" w:hAnsi="Calibri"/>
                <w:sz w:val="18"/>
                <w:szCs w:val="18"/>
                <w:color w:val="auto"/>
              </w:rPr>
              <w:t>Depreciaton and amortzaton</w:t>
            </w:r>
          </w:p>
        </w:tc>
        <w:tc>
          <w:tcPr>
            <w:tcW w:w="24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line="217" w:lineRule="exact"/>
              <w:rPr>
                <w:sz w:val="20"/>
                <w:szCs w:val="20"/>
                <w:color w:val="auto"/>
              </w:rPr>
            </w:pPr>
            <w:r>
              <w:rPr>
                <w:rFonts w:ascii="Calibri" w:cs="Calibri" w:eastAsia="Calibri" w:hAnsi="Calibri"/>
                <w:sz w:val="18"/>
                <w:szCs w:val="18"/>
                <w:color w:val="auto"/>
              </w:rPr>
              <w:t>97</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line="217" w:lineRule="exact"/>
              <w:rPr>
                <w:sz w:val="20"/>
                <w:szCs w:val="20"/>
                <w:color w:val="auto"/>
              </w:rPr>
            </w:pPr>
            <w:r>
              <w:rPr>
                <w:rFonts w:ascii="Calibri" w:cs="Calibri" w:eastAsia="Calibri" w:hAnsi="Calibri"/>
                <w:sz w:val="18"/>
                <w:szCs w:val="18"/>
                <w:color w:val="auto"/>
              </w:rPr>
              <w:t>341</w:t>
            </w:r>
          </w:p>
        </w:tc>
      </w:tr>
      <w:tr>
        <w:trPr>
          <w:trHeight w:val="217"/>
        </w:trPr>
        <w:tc>
          <w:tcPr>
            <w:tcW w:w="8280" w:type="dxa"/>
            <w:vAlign w:val="bottom"/>
          </w:tcPr>
          <w:p>
            <w:pPr>
              <w:ind w:left="140"/>
              <w:spacing w:after="0" w:line="210" w:lineRule="exact"/>
              <w:rPr>
                <w:sz w:val="20"/>
                <w:szCs w:val="20"/>
                <w:color w:val="auto"/>
              </w:rPr>
            </w:pPr>
            <w:r>
              <w:rPr>
                <w:rFonts w:ascii="Calibri" w:cs="Calibri" w:eastAsia="Calibri" w:hAnsi="Calibri"/>
                <w:sz w:val="18"/>
                <w:szCs w:val="18"/>
                <w:color w:val="auto"/>
              </w:rPr>
              <w:t>Unamortzed debt discount and issuance costs</w:t>
            </w:r>
          </w:p>
        </w:tc>
        <w:tc>
          <w:tcPr>
            <w:tcW w:w="240" w:type="dxa"/>
            <w:vAlign w:val="bottom"/>
          </w:tcPr>
          <w:p>
            <w:pPr>
              <w:spacing w:after="0"/>
              <w:rPr>
                <w:sz w:val="18"/>
                <w:szCs w:val="18"/>
                <w:color w:val="auto"/>
              </w:rPr>
            </w:pPr>
          </w:p>
        </w:tc>
        <w:tc>
          <w:tcPr>
            <w:tcW w:w="1200" w:type="dxa"/>
            <w:vAlign w:val="bottom"/>
          </w:tcPr>
          <w:p>
            <w:pPr>
              <w:jc w:val="right"/>
              <w:spacing w:after="0" w:line="210" w:lineRule="exact"/>
              <w:rPr>
                <w:sz w:val="20"/>
                <w:szCs w:val="20"/>
                <w:color w:val="auto"/>
              </w:rPr>
            </w:pPr>
            <w:r>
              <w:rPr>
                <w:rFonts w:ascii="Calibri" w:cs="Calibri" w:eastAsia="Calibri" w:hAnsi="Calibri"/>
                <w:sz w:val="18"/>
                <w:szCs w:val="18"/>
                <w:color w:val="auto"/>
              </w:rPr>
              <w:t>302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line="210" w:lineRule="exact"/>
              <w:rPr>
                <w:sz w:val="20"/>
                <w:szCs w:val="20"/>
                <w:color w:val="auto"/>
              </w:rPr>
            </w:pPr>
            <w:r>
              <w:rPr>
                <w:rFonts w:ascii="Calibri" w:cs="Calibri" w:eastAsia="Calibri" w:hAnsi="Calibri"/>
                <w:sz w:val="18"/>
                <w:szCs w:val="18"/>
                <w:color w:val="auto"/>
              </w:rPr>
              <w:t>322</w:t>
            </w:r>
          </w:p>
        </w:tc>
      </w:tr>
      <w:tr>
        <w:trPr>
          <w:trHeight w:val="232"/>
        </w:trPr>
        <w:tc>
          <w:tcPr>
            <w:tcW w:w="8280" w:type="dxa"/>
            <w:vAlign w:val="bottom"/>
            <w:shd w:val="clear" w:color="auto" w:fill="CCEEFF"/>
          </w:tcPr>
          <w:p>
            <w:pPr>
              <w:ind w:left="140"/>
              <w:spacing w:after="0" w:line="217" w:lineRule="exact"/>
              <w:rPr>
                <w:sz w:val="20"/>
                <w:szCs w:val="20"/>
                <w:color w:val="auto"/>
              </w:rPr>
            </w:pPr>
            <w:r>
              <w:rPr>
                <w:rFonts w:ascii="Calibri" w:cs="Calibri" w:eastAsia="Calibri" w:hAnsi="Calibri"/>
                <w:sz w:val="18"/>
                <w:szCs w:val="18"/>
                <w:color w:val="auto"/>
              </w:rPr>
              <w:t>Foreign earnings not indefnitely reinvested</w:t>
            </w:r>
          </w:p>
        </w:tc>
        <w:tc>
          <w:tcPr>
            <w:tcW w:w="24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line="217" w:lineRule="exact"/>
              <w:rPr>
                <w:sz w:val="20"/>
                <w:szCs w:val="20"/>
                <w:color w:val="auto"/>
              </w:rPr>
            </w:pPr>
            <w:r>
              <w:rPr>
                <w:rFonts w:ascii="Calibri" w:cs="Calibri" w:eastAsia="Calibri" w:hAnsi="Calibri"/>
                <w:sz w:val="18"/>
                <w:szCs w:val="18"/>
                <w:color w:val="auto"/>
              </w:rPr>
              <w:t>86</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line="217" w:lineRule="exact"/>
              <w:rPr>
                <w:sz w:val="20"/>
                <w:szCs w:val="20"/>
                <w:color w:val="auto"/>
              </w:rPr>
            </w:pPr>
            <w:r>
              <w:rPr>
                <w:rFonts w:ascii="Calibri" w:cs="Calibri" w:eastAsia="Calibri" w:hAnsi="Calibri"/>
                <w:sz w:val="18"/>
                <w:szCs w:val="18"/>
                <w:color w:val="auto"/>
              </w:rPr>
              <w:t>86</w:t>
            </w:r>
          </w:p>
        </w:tc>
      </w:tr>
      <w:tr>
        <w:trPr>
          <w:trHeight w:val="218"/>
        </w:trPr>
        <w:tc>
          <w:tcPr>
            <w:tcW w:w="8280" w:type="dxa"/>
            <w:vAlign w:val="bottom"/>
            <w:tcBorders>
              <w:bottom w:val="single" w:sz="8" w:color="CCEEFF"/>
            </w:tcBorders>
          </w:tcPr>
          <w:p>
            <w:pPr>
              <w:ind w:left="140"/>
              <w:spacing w:after="0" w:line="210" w:lineRule="exact"/>
              <w:rPr>
                <w:sz w:val="20"/>
                <w:szCs w:val="20"/>
                <w:color w:val="auto"/>
              </w:rPr>
            </w:pPr>
            <w:r>
              <w:rPr>
                <w:rFonts w:ascii="Calibri" w:cs="Calibri" w:eastAsia="Calibri" w:hAnsi="Calibri"/>
                <w:sz w:val="18"/>
                <w:szCs w:val="18"/>
                <w:color w:val="auto"/>
              </w:rPr>
              <w:t>Other deferred income tax liabilites</w:t>
            </w:r>
          </w:p>
        </w:tc>
        <w:tc>
          <w:tcPr>
            <w:tcW w:w="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line="210" w:lineRule="exact"/>
              <w:rPr>
                <w:sz w:val="20"/>
                <w:szCs w:val="20"/>
                <w:color w:val="auto"/>
              </w:rPr>
            </w:pPr>
            <w:r>
              <w:rPr>
                <w:rFonts w:ascii="Calibri" w:cs="Calibri" w:eastAsia="Calibri" w:hAnsi="Calibri"/>
                <w:sz w:val="18"/>
                <w:szCs w:val="18"/>
                <w:color w:val="auto"/>
              </w:rPr>
              <w:t>62</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line="210" w:lineRule="exact"/>
              <w:rPr>
                <w:sz w:val="20"/>
                <w:szCs w:val="20"/>
                <w:color w:val="auto"/>
              </w:rPr>
            </w:pPr>
            <w:r>
              <w:rPr>
                <w:rFonts w:ascii="Calibri" w:cs="Calibri" w:eastAsia="Calibri" w:hAnsi="Calibri"/>
                <w:sz w:val="18"/>
                <w:szCs w:val="18"/>
                <w:color w:val="auto"/>
              </w:rPr>
              <w:t>36</w:t>
            </w:r>
          </w:p>
        </w:tc>
      </w:tr>
      <w:tr>
        <w:trPr>
          <w:trHeight w:val="218"/>
        </w:trPr>
        <w:tc>
          <w:tcPr>
            <w:tcW w:w="8280" w:type="dxa"/>
            <w:vAlign w:val="bottom"/>
            <w:shd w:val="clear" w:color="auto" w:fill="CCEEFF"/>
          </w:tcPr>
          <w:p>
            <w:pPr>
              <w:ind w:left="220"/>
              <w:spacing w:after="0" w:line="203" w:lineRule="exact"/>
              <w:rPr>
                <w:sz w:val="20"/>
                <w:szCs w:val="20"/>
                <w:color w:val="auto"/>
              </w:rPr>
            </w:pPr>
            <w:r>
              <w:rPr>
                <w:rFonts w:ascii="Calibri" w:cs="Calibri" w:eastAsia="Calibri" w:hAnsi="Calibri"/>
                <w:sz w:val="18"/>
                <w:szCs w:val="18"/>
                <w:color w:val="auto"/>
              </w:rPr>
              <w:t>Deferred income tax liabilites</w:t>
            </w:r>
          </w:p>
        </w:tc>
        <w:tc>
          <w:tcPr>
            <w:tcW w:w="2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line="210" w:lineRule="exact"/>
              <w:rPr>
                <w:sz w:val="20"/>
                <w:szCs w:val="20"/>
                <w:color w:val="auto"/>
              </w:rPr>
            </w:pPr>
            <w:r>
              <w:rPr>
                <w:rFonts w:ascii="Calibri" w:cs="Calibri" w:eastAsia="Calibri" w:hAnsi="Calibri"/>
                <w:sz w:val="18"/>
                <w:szCs w:val="18"/>
                <w:color w:val="auto"/>
              </w:rPr>
              <w:t>547</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line="210" w:lineRule="exact"/>
              <w:rPr>
                <w:sz w:val="20"/>
                <w:szCs w:val="20"/>
                <w:color w:val="auto"/>
              </w:rPr>
            </w:pPr>
            <w:r>
              <w:rPr>
                <w:rFonts w:ascii="Calibri" w:cs="Calibri" w:eastAsia="Calibri" w:hAnsi="Calibri"/>
                <w:sz w:val="18"/>
                <w:szCs w:val="18"/>
                <w:color w:val="auto"/>
              </w:rPr>
              <w:t>785</w:t>
            </w:r>
          </w:p>
        </w:tc>
      </w:tr>
      <w:tr>
        <w:trPr>
          <w:trHeight w:val="251"/>
        </w:trPr>
        <w:tc>
          <w:tcPr>
            <w:tcW w:w="828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spacing w:after="0"/>
              <w:rPr>
                <w:sz w:val="21"/>
                <w:szCs w:val="21"/>
                <w:color w:val="auto"/>
              </w:rPr>
            </w:pPr>
          </w:p>
        </w:tc>
      </w:tr>
      <w:tr>
        <w:trPr>
          <w:trHeight w:val="243"/>
        </w:trPr>
        <w:tc>
          <w:tcPr>
            <w:tcW w:w="8280" w:type="dxa"/>
            <w:vAlign w:val="bottom"/>
            <w:tcBorders>
              <w:bottom w:val="single" w:sz="8" w:color="CCEEFF"/>
            </w:tcBorders>
            <w:shd w:val="clear" w:color="auto" w:fill="CCEEFF"/>
          </w:tcPr>
          <w:p>
            <w:pPr>
              <w:ind w:left="220"/>
              <w:spacing w:after="0" w:line="217" w:lineRule="exact"/>
              <w:rPr>
                <w:sz w:val="20"/>
                <w:szCs w:val="20"/>
                <w:color w:val="auto"/>
              </w:rPr>
            </w:pPr>
            <w:r>
              <w:rPr>
                <w:rFonts w:ascii="Calibri" w:cs="Calibri" w:eastAsia="Calibri" w:hAnsi="Calibri"/>
                <w:sz w:val="18"/>
                <w:szCs w:val="18"/>
                <w:color w:val="auto"/>
              </w:rPr>
              <w:t>Net deferred income tax assets</w:t>
            </w:r>
          </w:p>
        </w:tc>
        <w:tc>
          <w:tcPr>
            <w:tcW w:w="240" w:type="dxa"/>
            <w:vAlign w:val="bottom"/>
            <w:tcBorders>
              <w:bottom w:val="single" w:sz="8" w:color="auto"/>
            </w:tcBorders>
            <w:shd w:val="clear" w:color="auto" w:fill="CCEEFF"/>
          </w:tcPr>
          <w:p>
            <w:pPr>
              <w:jc w:val="right"/>
              <w:ind w:right="32"/>
              <w:spacing w:after="0" w:line="210" w:lineRule="exact"/>
              <w:rPr>
                <w:sz w:val="20"/>
                <w:szCs w:val="20"/>
                <w:color w:val="auto"/>
              </w:rPr>
            </w:pPr>
            <w:r>
              <w:rPr>
                <w:rFonts w:ascii="Calibri" w:cs="Calibri" w:eastAsia="Calibri" w:hAnsi="Calibri"/>
                <w:sz w:val="18"/>
                <w:szCs w:val="18"/>
                <w:color w:val="auto"/>
              </w:rPr>
              <w:t>$</w:t>
            </w:r>
          </w:p>
        </w:tc>
        <w:tc>
          <w:tcPr>
            <w:tcW w:w="1200" w:type="dxa"/>
            <w:vAlign w:val="bottom"/>
            <w:tcBorders>
              <w:bottom w:val="single" w:sz="8" w:color="auto"/>
            </w:tcBorders>
            <w:shd w:val="clear" w:color="auto" w:fill="CCEEFF"/>
          </w:tcPr>
          <w:p>
            <w:pPr>
              <w:jc w:val="right"/>
              <w:spacing w:after="0" w:line="210" w:lineRule="exact"/>
              <w:rPr>
                <w:sz w:val="20"/>
                <w:szCs w:val="20"/>
                <w:color w:val="auto"/>
              </w:rPr>
            </w:pPr>
            <w:r>
              <w:rPr>
                <w:rFonts w:ascii="Calibri" w:cs="Calibri" w:eastAsia="Calibri" w:hAnsi="Calibri"/>
                <w:sz w:val="18"/>
                <w:szCs w:val="18"/>
                <w:color w:val="auto"/>
              </w:rPr>
              <w:t>698</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2"/>
              <w:spacing w:after="0" w:line="210" w:lineRule="exact"/>
              <w:rPr>
                <w:sz w:val="20"/>
                <w:szCs w:val="20"/>
                <w:color w:val="auto"/>
              </w:rPr>
            </w:pPr>
            <w:r>
              <w:rPr>
                <w:rFonts w:ascii="Calibri" w:cs="Calibri" w:eastAsia="Calibri" w:hAnsi="Calibri"/>
                <w:sz w:val="18"/>
                <w:szCs w:val="18"/>
                <w:color w:val="auto"/>
                <w:w w:val="87"/>
              </w:rPr>
              <w:t>$</w:t>
            </w:r>
          </w:p>
        </w:tc>
        <w:tc>
          <w:tcPr>
            <w:tcW w:w="1100" w:type="dxa"/>
            <w:vAlign w:val="bottom"/>
            <w:tcBorders>
              <w:bottom w:val="single" w:sz="8" w:color="auto"/>
            </w:tcBorders>
            <w:shd w:val="clear" w:color="auto" w:fill="CCEEFF"/>
          </w:tcPr>
          <w:p>
            <w:pPr>
              <w:jc w:val="right"/>
              <w:spacing w:after="0" w:line="210" w:lineRule="exact"/>
              <w:rPr>
                <w:sz w:val="20"/>
                <w:szCs w:val="20"/>
                <w:color w:val="auto"/>
              </w:rPr>
            </w:pPr>
            <w:r>
              <w:rPr>
                <w:rFonts w:ascii="Calibri" w:cs="Calibri" w:eastAsia="Calibri" w:hAnsi="Calibri"/>
                <w:sz w:val="18"/>
                <w:szCs w:val="18"/>
                <w:color w:val="auto"/>
              </w:rPr>
              <w:t>573</w:t>
            </w: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177" w:lineRule="exact"/>
        <w:rPr>
          <w:sz w:val="20"/>
          <w:szCs w:val="20"/>
          <w:color w:val="auto"/>
        </w:rPr>
      </w:pPr>
    </w:p>
    <w:p>
      <w:pPr>
        <w:ind w:right="260" w:firstLine="396"/>
        <w:spacing w:after="0" w:line="247" w:lineRule="auto"/>
        <w:rPr>
          <w:sz w:val="20"/>
          <w:szCs w:val="20"/>
          <w:color w:val="auto"/>
        </w:rPr>
      </w:pPr>
      <w:r>
        <w:rPr>
          <w:rFonts w:ascii="Calibri" w:cs="Calibri" w:eastAsia="Calibri" w:hAnsi="Calibri"/>
          <w:sz w:val="17"/>
          <w:szCs w:val="17"/>
          <w:color w:val="auto"/>
        </w:rPr>
        <w:t>The 2017 Tax Act amended Internal Revenue Code Secton 174 to require businesses to capitalize and amortze research and development expenses and became efectve in our fscal year 2023. In fscal year 2023, we recorded a deferred tax asset of $275 million for capitalized research and development.</w:t>
      </w:r>
    </w:p>
    <w:p>
      <w:pPr>
        <w:spacing w:after="0" w:line="101" w:lineRule="exact"/>
        <w:rPr>
          <w:sz w:val="20"/>
          <w:szCs w:val="20"/>
          <w:color w:val="auto"/>
        </w:rPr>
      </w:pPr>
    </w:p>
    <w:p>
      <w:pPr>
        <w:ind w:right="80" w:firstLine="396"/>
        <w:spacing w:after="0" w:line="247" w:lineRule="auto"/>
        <w:rPr>
          <w:sz w:val="20"/>
          <w:szCs w:val="20"/>
          <w:color w:val="auto"/>
        </w:rPr>
      </w:pPr>
      <w:r>
        <w:rPr>
          <w:rFonts w:ascii="Calibri" w:cs="Calibri" w:eastAsia="Calibri" w:hAnsi="Calibri"/>
          <w:sz w:val="17"/>
          <w:szCs w:val="17"/>
          <w:color w:val="auto"/>
        </w:rPr>
        <w:t>We contnue to indefnitely reinvest $1,963 million of certain accumulated foreign earnings. The unrecognized deferred income tax liability related to these earnings is estmated to be $206 million. All other current and future earnings of all our foreign subsidiaries are not considered permanently reinvested.</w:t>
      </w:r>
    </w:p>
    <w:p>
      <w:pPr>
        <w:spacing w:after="0" w:line="101" w:lineRule="exact"/>
        <w:rPr>
          <w:sz w:val="20"/>
          <w:szCs w:val="20"/>
          <w:color w:val="auto"/>
        </w:rPr>
      </w:pPr>
    </w:p>
    <w:p>
      <w:pPr>
        <w:ind w:right="140" w:firstLine="436"/>
        <w:spacing w:after="0" w:line="230" w:lineRule="auto"/>
        <w:rPr>
          <w:sz w:val="20"/>
          <w:szCs w:val="20"/>
          <w:color w:val="auto"/>
        </w:rPr>
      </w:pPr>
      <w:r>
        <w:rPr>
          <w:rFonts w:ascii="Calibri" w:cs="Calibri" w:eastAsia="Calibri" w:hAnsi="Calibri"/>
          <w:sz w:val="18"/>
          <w:szCs w:val="18"/>
          <w:color w:val="auto"/>
        </w:rPr>
        <w:t>As of October 29, 2023, we had tax efected U.S. state net operatng loss (“NOL”) carryforwards of $136 million and foreign NOL carryforwards of $128 million. The state and foreign NOL carryforwards expire in various years beginning in fscal years 2024 and 2025, respectvely. We had $1,462 million of state research and development tax credits which begin to expire in fscal year 2024. We have provided a valuaton allowance on substantally all state tax credits and state and foreign net operatng loss carryforwards as we do not expect them to be realized.</w:t>
      </w: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9" w:right="339" w:bottom="1440" w:gutter="0" w:footer="0" w:header="0"/>
        </w:sectPr>
      </w:pPr>
    </w:p>
    <w:bookmarkStart w:id="83" w:name="page84"/>
    <w:bookmarkEnd w:id="83"/>
    <w:p>
      <w:pPr>
        <w:spacing w:after="0"/>
        <w:rPr>
          <w:sz w:val="20"/>
          <w:szCs w:val="20"/>
          <w:color w:val="auto"/>
        </w:rPr>
      </w:pPr>
      <w:r>
        <w:rPr>
          <w:rFonts w:ascii="Calibri" w:cs="Calibri" w:eastAsia="Calibri" w:hAnsi="Calibri"/>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Uncertain Tax Positons</w:t>
      </w:r>
    </w:p>
    <w:p>
      <w:pPr>
        <w:spacing w:after="0" w:line="97" w:lineRule="exact"/>
        <w:rPr>
          <w:sz w:val="20"/>
          <w:szCs w:val="20"/>
          <w:color w:val="auto"/>
        </w:rPr>
      </w:pPr>
    </w:p>
    <w:p>
      <w:pPr>
        <w:ind w:left="400"/>
        <w:spacing w:after="0"/>
        <w:rPr>
          <w:sz w:val="20"/>
          <w:szCs w:val="20"/>
          <w:color w:val="auto"/>
        </w:rPr>
      </w:pPr>
      <w:r>
        <w:rPr>
          <w:rFonts w:ascii="Calibri" w:cs="Calibri" w:eastAsia="Calibri" w:hAnsi="Calibri"/>
          <w:sz w:val="18"/>
          <w:szCs w:val="18"/>
          <w:color w:val="auto"/>
        </w:rPr>
        <w:t>The following table reconciles the beginning and ending balance of gross unrecognized tax benefts: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7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00" w:type="dxa"/>
            <w:vAlign w:val="bottom"/>
            <w:gridSpan w:val="2"/>
          </w:tcPr>
          <w:p>
            <w:pPr>
              <w:jc w:val="center"/>
              <w:ind w:right="340"/>
              <w:spacing w:after="0"/>
              <w:rPr>
                <w:sz w:val="20"/>
                <w:szCs w:val="20"/>
                <w:color w:val="auto"/>
              </w:rPr>
            </w:pPr>
            <w:r>
              <w:rPr>
                <w:rFonts w:ascii="Calibri" w:cs="Calibri" w:eastAsia="Calibri" w:hAnsi="Calibri"/>
                <w:sz w:val="14"/>
                <w:szCs w:val="14"/>
                <w:b w:val="1"/>
                <w:bCs w:val="1"/>
                <w:color w:val="auto"/>
                <w:w w:val="98"/>
              </w:rPr>
              <w:t>Fiscal Year</w:t>
            </w:r>
          </w:p>
        </w:tc>
        <w:tc>
          <w:tcPr>
            <w:tcW w:w="34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45"/>
        </w:trPr>
        <w:tc>
          <w:tcPr>
            <w:tcW w:w="6760" w:type="dxa"/>
            <w:vAlign w:val="bottom"/>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r>
      <w:tr>
        <w:trPr>
          <w:trHeight w:val="161"/>
        </w:trPr>
        <w:tc>
          <w:tcPr>
            <w:tcW w:w="6760" w:type="dxa"/>
            <w:vAlign w:val="bottom"/>
          </w:tcPr>
          <w:p>
            <w:pPr>
              <w:spacing w:after="0"/>
              <w:rPr>
                <w:sz w:val="13"/>
                <w:szCs w:val="13"/>
                <w:color w:val="auto"/>
              </w:rPr>
            </w:pPr>
          </w:p>
        </w:tc>
        <w:tc>
          <w:tcPr>
            <w:tcW w:w="900" w:type="dxa"/>
            <w:vAlign w:val="bottom"/>
          </w:tcPr>
          <w:p>
            <w:pPr>
              <w:jc w:val="right"/>
              <w:spacing w:after="0" w:line="161" w:lineRule="exact"/>
              <w:rPr>
                <w:sz w:val="20"/>
                <w:szCs w:val="20"/>
                <w:color w:val="auto"/>
              </w:rPr>
            </w:pPr>
            <w:r>
              <w:rPr>
                <w:rFonts w:ascii="Calibri" w:cs="Calibri" w:eastAsia="Calibri" w:hAnsi="Calibri"/>
                <w:sz w:val="14"/>
                <w:szCs w:val="14"/>
                <w:b w:val="1"/>
                <w:bCs w:val="1"/>
                <w:color w:val="auto"/>
              </w:rPr>
              <w:t>2023</w:t>
            </w: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0" w:type="dxa"/>
            <w:vAlign w:val="bottom"/>
          </w:tcPr>
          <w:p>
            <w:pPr>
              <w:jc w:val="center"/>
              <w:ind w:right="157"/>
              <w:spacing w:after="0" w:line="161" w:lineRule="exact"/>
              <w:rPr>
                <w:sz w:val="20"/>
                <w:szCs w:val="20"/>
                <w:color w:val="auto"/>
              </w:rPr>
            </w:pPr>
            <w:r>
              <w:rPr>
                <w:rFonts w:ascii="Calibri" w:cs="Calibri" w:eastAsia="Calibri" w:hAnsi="Calibri"/>
                <w:sz w:val="14"/>
                <w:szCs w:val="14"/>
                <w:b w:val="1"/>
                <w:bCs w:val="1"/>
                <w:color w:val="auto"/>
                <w:w w:val="98"/>
              </w:rPr>
              <w:t>2022</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80" w:type="dxa"/>
            <w:vAlign w:val="bottom"/>
          </w:tcPr>
          <w:p>
            <w:pPr>
              <w:jc w:val="right"/>
              <w:ind w:right="474"/>
              <w:spacing w:after="0" w:line="161" w:lineRule="exact"/>
              <w:rPr>
                <w:sz w:val="20"/>
                <w:szCs w:val="20"/>
                <w:color w:val="auto"/>
              </w:rPr>
            </w:pPr>
            <w:r>
              <w:rPr>
                <w:rFonts w:ascii="Calibri" w:cs="Calibri" w:eastAsia="Calibri" w:hAnsi="Calibri"/>
                <w:sz w:val="14"/>
                <w:szCs w:val="14"/>
                <w:b w:val="1"/>
                <w:bCs w:val="1"/>
                <w:color w:val="auto"/>
              </w:rPr>
              <w:t>2021</w:t>
            </w:r>
          </w:p>
        </w:tc>
      </w:tr>
      <w:tr>
        <w:trPr>
          <w:trHeight w:val="30"/>
        </w:trPr>
        <w:tc>
          <w:tcPr>
            <w:tcW w:w="676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86"/>
        </w:trPr>
        <w:tc>
          <w:tcPr>
            <w:tcW w:w="67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00" w:type="dxa"/>
            <w:vAlign w:val="bottom"/>
            <w:gridSpan w:val="2"/>
          </w:tcPr>
          <w:p>
            <w:pPr>
              <w:jc w:val="center"/>
              <w:ind w:right="340"/>
              <w:spacing w:after="0"/>
              <w:rPr>
                <w:sz w:val="20"/>
                <w:szCs w:val="20"/>
                <w:color w:val="auto"/>
              </w:rPr>
            </w:pPr>
            <w:r>
              <w:rPr>
                <w:rFonts w:ascii="Calibri" w:cs="Calibri" w:eastAsia="Calibri" w:hAnsi="Calibri"/>
                <w:sz w:val="14"/>
                <w:szCs w:val="14"/>
                <w:b w:val="1"/>
                <w:bCs w:val="1"/>
                <w:color w:val="auto"/>
                <w:w w:val="98"/>
              </w:rPr>
              <w:t>(In millions)</w:t>
            </w: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45"/>
        </w:trPr>
        <w:tc>
          <w:tcPr>
            <w:tcW w:w="6760" w:type="dxa"/>
            <w:vAlign w:val="bottom"/>
          </w:tcPr>
          <w:p>
            <w:pPr>
              <w:spacing w:after="0"/>
              <w:rPr>
                <w:sz w:val="3"/>
                <w:szCs w:val="3"/>
                <w:color w:val="auto"/>
              </w:rPr>
            </w:pPr>
          </w:p>
        </w:tc>
        <w:tc>
          <w:tcPr>
            <w:tcW w:w="9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80" w:type="dxa"/>
            <w:vAlign w:val="bottom"/>
          </w:tcPr>
          <w:p>
            <w:pPr>
              <w:spacing w:after="0"/>
              <w:rPr>
                <w:sz w:val="3"/>
                <w:szCs w:val="3"/>
                <w:color w:val="auto"/>
              </w:rPr>
            </w:pPr>
          </w:p>
        </w:tc>
      </w:tr>
      <w:tr>
        <w:trPr>
          <w:trHeight w:val="224"/>
        </w:trPr>
        <w:tc>
          <w:tcPr>
            <w:tcW w:w="6760" w:type="dxa"/>
            <w:vAlign w:val="bottom"/>
            <w:shd w:val="clear" w:color="auto" w:fill="CCEEFF"/>
          </w:tcPr>
          <w:p>
            <w:pPr>
              <w:ind w:left="20"/>
              <w:spacing w:after="0" w:line="210" w:lineRule="exact"/>
              <w:rPr>
                <w:sz w:val="20"/>
                <w:szCs w:val="20"/>
                <w:color w:val="auto"/>
              </w:rPr>
            </w:pPr>
            <w:r>
              <w:rPr>
                <w:rFonts w:ascii="Calibri" w:cs="Calibri" w:eastAsia="Calibri" w:hAnsi="Calibri"/>
                <w:sz w:val="18"/>
                <w:szCs w:val="18"/>
                <w:color w:val="auto"/>
              </w:rPr>
              <w:t>Beginning balance</w:t>
            </w:r>
          </w:p>
        </w:tc>
        <w:tc>
          <w:tcPr>
            <w:tcW w:w="900" w:type="dxa"/>
            <w:vAlign w:val="bottom"/>
            <w:shd w:val="clear" w:color="auto" w:fill="CCEEFF"/>
          </w:tcPr>
          <w:p>
            <w:pPr>
              <w:jc w:val="right"/>
              <w:ind w:right="718"/>
              <w:spacing w:after="0" w:line="210" w:lineRule="exact"/>
              <w:rPr>
                <w:sz w:val="20"/>
                <w:szCs w:val="20"/>
                <w:color w:val="auto"/>
              </w:rPr>
            </w:pPr>
            <w:r>
              <w:rPr>
                <w:rFonts w:ascii="Calibri" w:cs="Calibri" w:eastAsia="Calibri" w:hAnsi="Calibri"/>
                <w:sz w:val="18"/>
                <w:szCs w:val="18"/>
                <w:color w:val="auto"/>
                <w:w w:val="87"/>
              </w:rPr>
              <w:t>$</w:t>
            </w:r>
          </w:p>
        </w:tc>
        <w:tc>
          <w:tcPr>
            <w:tcW w:w="520" w:type="dxa"/>
            <w:vAlign w:val="bottom"/>
            <w:shd w:val="clear" w:color="auto" w:fill="CCEEFF"/>
          </w:tcPr>
          <w:p>
            <w:pPr>
              <w:jc w:val="right"/>
              <w:spacing w:after="0" w:line="210" w:lineRule="exact"/>
              <w:rPr>
                <w:sz w:val="20"/>
                <w:szCs w:val="20"/>
                <w:color w:val="auto"/>
              </w:rPr>
            </w:pPr>
            <w:r>
              <w:rPr>
                <w:rFonts w:ascii="Calibri" w:cs="Calibri" w:eastAsia="Calibri" w:hAnsi="Calibri"/>
                <w:sz w:val="18"/>
                <w:szCs w:val="18"/>
                <w:color w:val="auto"/>
              </w:rPr>
              <w:t>5,117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2"/>
              <w:spacing w:after="0" w:line="210" w:lineRule="exact"/>
              <w:rPr>
                <w:sz w:val="20"/>
                <w:szCs w:val="20"/>
                <w:color w:val="auto"/>
              </w:rPr>
            </w:pPr>
            <w:r>
              <w:rPr>
                <w:rFonts w:ascii="Calibri" w:cs="Calibri" w:eastAsia="Calibri" w:hAnsi="Calibri"/>
                <w:sz w:val="18"/>
                <w:szCs w:val="18"/>
                <w:color w:val="auto"/>
              </w:rPr>
              <w:t>$</w:t>
            </w:r>
          </w:p>
        </w:tc>
        <w:tc>
          <w:tcPr>
            <w:tcW w:w="1200" w:type="dxa"/>
            <w:vAlign w:val="bottom"/>
            <w:shd w:val="clear" w:color="auto" w:fill="CCEEFF"/>
          </w:tcPr>
          <w:p>
            <w:pPr>
              <w:jc w:val="right"/>
              <w:spacing w:after="0" w:line="210" w:lineRule="exact"/>
              <w:rPr>
                <w:sz w:val="20"/>
                <w:szCs w:val="20"/>
                <w:color w:val="auto"/>
              </w:rPr>
            </w:pPr>
            <w:r>
              <w:rPr>
                <w:rFonts w:ascii="Calibri" w:cs="Calibri" w:eastAsia="Calibri" w:hAnsi="Calibri"/>
                <w:sz w:val="18"/>
                <w:szCs w:val="18"/>
                <w:color w:val="auto"/>
              </w:rPr>
              <w:t>5,030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2"/>
              <w:spacing w:after="0" w:line="210" w:lineRule="exact"/>
              <w:rPr>
                <w:sz w:val="20"/>
                <w:szCs w:val="20"/>
                <w:color w:val="auto"/>
              </w:rPr>
            </w:pPr>
            <w:r>
              <w:rPr>
                <w:rFonts w:ascii="Calibri" w:cs="Calibri" w:eastAsia="Calibri" w:hAnsi="Calibri"/>
                <w:sz w:val="18"/>
                <w:szCs w:val="18"/>
                <w:color w:val="auto"/>
                <w:w w:val="87"/>
              </w:rPr>
              <w:t>$</w:t>
            </w:r>
          </w:p>
        </w:tc>
        <w:tc>
          <w:tcPr>
            <w:tcW w:w="1080" w:type="dxa"/>
            <w:vAlign w:val="bottom"/>
            <w:shd w:val="clear" w:color="auto" w:fill="CCEEFF"/>
          </w:tcPr>
          <w:p>
            <w:pPr>
              <w:jc w:val="right"/>
              <w:spacing w:after="0" w:line="210" w:lineRule="exact"/>
              <w:rPr>
                <w:sz w:val="20"/>
                <w:szCs w:val="20"/>
                <w:color w:val="auto"/>
              </w:rPr>
            </w:pPr>
            <w:r>
              <w:rPr>
                <w:rFonts w:ascii="Calibri" w:cs="Calibri" w:eastAsia="Calibri" w:hAnsi="Calibri"/>
                <w:sz w:val="18"/>
                <w:szCs w:val="18"/>
                <w:color w:val="auto"/>
              </w:rPr>
              <w:t>4,748</w:t>
            </w:r>
          </w:p>
        </w:tc>
      </w:tr>
      <w:tr>
        <w:trPr>
          <w:trHeight w:val="217"/>
        </w:trPr>
        <w:tc>
          <w:tcPr>
            <w:tcW w:w="6760" w:type="dxa"/>
            <w:vAlign w:val="bottom"/>
          </w:tcPr>
          <w:p>
            <w:pPr>
              <w:ind w:left="140"/>
              <w:spacing w:after="0" w:line="210" w:lineRule="exact"/>
              <w:rPr>
                <w:sz w:val="20"/>
                <w:szCs w:val="20"/>
                <w:color w:val="auto"/>
              </w:rPr>
            </w:pPr>
            <w:r>
              <w:rPr>
                <w:rFonts w:ascii="Calibri" w:cs="Calibri" w:eastAsia="Calibri" w:hAnsi="Calibri"/>
                <w:sz w:val="18"/>
                <w:szCs w:val="18"/>
                <w:color w:val="auto"/>
              </w:rPr>
              <w:t>Lapses of statutes of limitatons</w:t>
            </w:r>
          </w:p>
        </w:tc>
        <w:tc>
          <w:tcPr>
            <w:tcW w:w="900" w:type="dxa"/>
            <w:vAlign w:val="bottom"/>
          </w:tcPr>
          <w:p>
            <w:pPr>
              <w:spacing w:after="0"/>
              <w:rPr>
                <w:sz w:val="18"/>
                <w:szCs w:val="18"/>
                <w:color w:val="auto"/>
              </w:rPr>
            </w:pPr>
          </w:p>
        </w:tc>
        <w:tc>
          <w:tcPr>
            <w:tcW w:w="520" w:type="dxa"/>
            <w:vAlign w:val="bottom"/>
          </w:tcPr>
          <w:p>
            <w:pPr>
              <w:jc w:val="right"/>
              <w:spacing w:after="0" w:line="210" w:lineRule="exact"/>
              <w:rPr>
                <w:sz w:val="20"/>
                <w:szCs w:val="20"/>
                <w:color w:val="auto"/>
              </w:rPr>
            </w:pPr>
            <w:r>
              <w:rPr>
                <w:rFonts w:ascii="Calibri" w:cs="Calibri" w:eastAsia="Calibri" w:hAnsi="Calibri"/>
                <w:sz w:val="18"/>
                <w:szCs w:val="18"/>
                <w:color w:val="auto"/>
              </w:rPr>
              <w:t>(634)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jc w:val="right"/>
              <w:spacing w:after="0" w:line="210" w:lineRule="exact"/>
              <w:rPr>
                <w:sz w:val="20"/>
                <w:szCs w:val="20"/>
                <w:color w:val="auto"/>
              </w:rPr>
            </w:pPr>
            <w:r>
              <w:rPr>
                <w:rFonts w:ascii="Calibri" w:cs="Calibri" w:eastAsia="Calibri" w:hAnsi="Calibri"/>
                <w:sz w:val="18"/>
                <w:szCs w:val="18"/>
                <w:color w:val="auto"/>
              </w:rPr>
              <w:t>(50)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line="210" w:lineRule="exact"/>
              <w:rPr>
                <w:sz w:val="20"/>
                <w:szCs w:val="20"/>
                <w:color w:val="auto"/>
              </w:rPr>
            </w:pPr>
            <w:r>
              <w:rPr>
                <w:rFonts w:ascii="Calibri" w:cs="Calibri" w:eastAsia="Calibri" w:hAnsi="Calibri"/>
                <w:sz w:val="18"/>
                <w:szCs w:val="18"/>
                <w:color w:val="auto"/>
              </w:rPr>
              <w:t>(58)</w:t>
            </w:r>
          </w:p>
        </w:tc>
      </w:tr>
      <w:tr>
        <w:trPr>
          <w:trHeight w:val="232"/>
        </w:trPr>
        <w:tc>
          <w:tcPr>
            <w:tcW w:w="6760" w:type="dxa"/>
            <w:vAlign w:val="bottom"/>
            <w:shd w:val="clear" w:color="auto" w:fill="CCEEFF"/>
          </w:tcPr>
          <w:p>
            <w:pPr>
              <w:ind w:left="140"/>
              <w:spacing w:after="0" w:line="217" w:lineRule="exact"/>
              <w:rPr>
                <w:sz w:val="20"/>
                <w:szCs w:val="20"/>
                <w:color w:val="auto"/>
              </w:rPr>
            </w:pPr>
            <w:r>
              <w:rPr>
                <w:rFonts w:ascii="Calibri" w:cs="Calibri" w:eastAsia="Calibri" w:hAnsi="Calibri"/>
                <w:sz w:val="18"/>
                <w:szCs w:val="18"/>
                <w:color w:val="auto"/>
              </w:rPr>
              <w:t>Increases in balances related to tax positons taken during prior periods</w:t>
            </w:r>
          </w:p>
        </w:tc>
        <w:tc>
          <w:tcPr>
            <w:tcW w:w="900" w:type="dxa"/>
            <w:vAlign w:val="bottom"/>
            <w:shd w:val="clear" w:color="auto" w:fill="CCEEFF"/>
          </w:tcPr>
          <w:p>
            <w:pPr>
              <w:spacing w:after="0"/>
              <w:rPr>
                <w:sz w:val="20"/>
                <w:szCs w:val="20"/>
                <w:color w:val="auto"/>
              </w:rPr>
            </w:pPr>
          </w:p>
        </w:tc>
        <w:tc>
          <w:tcPr>
            <w:tcW w:w="520" w:type="dxa"/>
            <w:vAlign w:val="bottom"/>
            <w:shd w:val="clear" w:color="auto" w:fill="CCEEFF"/>
          </w:tcPr>
          <w:p>
            <w:pPr>
              <w:jc w:val="right"/>
              <w:spacing w:after="0" w:line="217" w:lineRule="exact"/>
              <w:rPr>
                <w:sz w:val="20"/>
                <w:szCs w:val="20"/>
                <w:color w:val="auto"/>
              </w:rPr>
            </w:pPr>
            <w:r>
              <w:rPr>
                <w:rFonts w:ascii="Calibri" w:cs="Calibri" w:eastAsia="Calibri" w:hAnsi="Calibri"/>
                <w:sz w:val="18"/>
                <w:szCs w:val="18"/>
                <w:color w:val="auto"/>
              </w:rPr>
              <w:t>26</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180"/>
              <w:spacing w:after="0" w:line="217" w:lineRule="exact"/>
              <w:rPr>
                <w:sz w:val="20"/>
                <w:szCs w:val="20"/>
                <w:color w:val="auto"/>
              </w:rPr>
            </w:pPr>
            <w:r>
              <w:rPr>
                <w:rFonts w:ascii="Calibri" w:cs="Calibri" w:eastAsia="Calibri" w:hAnsi="Calibri"/>
                <w:sz w:val="18"/>
                <w:szCs w:val="18"/>
                <w:color w:val="auto"/>
              </w:rPr>
              <w:t>—</w:t>
            </w:r>
          </w:p>
        </w:tc>
        <w:tc>
          <w:tcPr>
            <w:tcW w:w="34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line="217" w:lineRule="exact"/>
              <w:rPr>
                <w:sz w:val="20"/>
                <w:szCs w:val="20"/>
                <w:color w:val="auto"/>
              </w:rPr>
            </w:pPr>
            <w:r>
              <w:rPr>
                <w:rFonts w:ascii="Calibri" w:cs="Calibri" w:eastAsia="Calibri" w:hAnsi="Calibri"/>
                <w:sz w:val="18"/>
                <w:szCs w:val="18"/>
                <w:color w:val="auto"/>
              </w:rPr>
              <w:t>41</w:t>
            </w:r>
          </w:p>
        </w:tc>
      </w:tr>
      <w:tr>
        <w:trPr>
          <w:trHeight w:val="217"/>
        </w:trPr>
        <w:tc>
          <w:tcPr>
            <w:tcW w:w="6760" w:type="dxa"/>
            <w:vAlign w:val="bottom"/>
          </w:tcPr>
          <w:p>
            <w:pPr>
              <w:ind w:left="140"/>
              <w:spacing w:after="0" w:line="210" w:lineRule="exact"/>
              <w:rPr>
                <w:sz w:val="20"/>
                <w:szCs w:val="20"/>
                <w:color w:val="auto"/>
              </w:rPr>
            </w:pPr>
            <w:r>
              <w:rPr>
                <w:rFonts w:ascii="Calibri" w:cs="Calibri" w:eastAsia="Calibri" w:hAnsi="Calibri"/>
                <w:sz w:val="18"/>
                <w:szCs w:val="18"/>
                <w:color w:val="auto"/>
              </w:rPr>
              <w:t>Decreases in balances related to tax positons taken during prior periods</w:t>
            </w:r>
          </w:p>
        </w:tc>
        <w:tc>
          <w:tcPr>
            <w:tcW w:w="900" w:type="dxa"/>
            <w:vAlign w:val="bottom"/>
          </w:tcPr>
          <w:p>
            <w:pPr>
              <w:spacing w:after="0"/>
              <w:rPr>
                <w:sz w:val="18"/>
                <w:szCs w:val="18"/>
                <w:color w:val="auto"/>
              </w:rPr>
            </w:pPr>
          </w:p>
        </w:tc>
        <w:tc>
          <w:tcPr>
            <w:tcW w:w="520" w:type="dxa"/>
            <w:vAlign w:val="bottom"/>
          </w:tcPr>
          <w:p>
            <w:pPr>
              <w:jc w:val="right"/>
              <w:spacing w:after="0" w:line="210" w:lineRule="exact"/>
              <w:rPr>
                <w:sz w:val="20"/>
                <w:szCs w:val="20"/>
                <w:color w:val="auto"/>
              </w:rPr>
            </w:pPr>
            <w:r>
              <w:rPr>
                <w:rFonts w:ascii="Calibri" w:cs="Calibri" w:eastAsia="Calibri" w:hAnsi="Calibri"/>
                <w:sz w:val="18"/>
                <w:szCs w:val="18"/>
                <w:color w:val="auto"/>
              </w:rPr>
              <w:t>(13)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jc w:val="right"/>
              <w:spacing w:after="0" w:line="210" w:lineRule="exact"/>
              <w:rPr>
                <w:sz w:val="20"/>
                <w:szCs w:val="20"/>
                <w:color w:val="auto"/>
              </w:rPr>
            </w:pPr>
            <w:r>
              <w:rPr>
                <w:rFonts w:ascii="Calibri" w:cs="Calibri" w:eastAsia="Calibri" w:hAnsi="Calibri"/>
                <w:sz w:val="18"/>
                <w:szCs w:val="18"/>
                <w:color w:val="auto"/>
              </w:rPr>
              <w:t>(113)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line="210" w:lineRule="exact"/>
              <w:rPr>
                <w:sz w:val="20"/>
                <w:szCs w:val="20"/>
                <w:color w:val="auto"/>
              </w:rPr>
            </w:pPr>
            <w:r>
              <w:rPr>
                <w:rFonts w:ascii="Calibri" w:cs="Calibri" w:eastAsia="Calibri" w:hAnsi="Calibri"/>
                <w:sz w:val="18"/>
                <w:szCs w:val="18"/>
                <w:color w:val="auto"/>
              </w:rPr>
              <w:t>—</w:t>
            </w:r>
          </w:p>
        </w:tc>
      </w:tr>
      <w:tr>
        <w:trPr>
          <w:trHeight w:val="232"/>
        </w:trPr>
        <w:tc>
          <w:tcPr>
            <w:tcW w:w="6760" w:type="dxa"/>
            <w:vAlign w:val="bottom"/>
            <w:shd w:val="clear" w:color="auto" w:fill="CCEEFF"/>
          </w:tcPr>
          <w:p>
            <w:pPr>
              <w:ind w:left="140"/>
              <w:spacing w:after="0" w:line="217" w:lineRule="exact"/>
              <w:rPr>
                <w:sz w:val="20"/>
                <w:szCs w:val="20"/>
                <w:color w:val="auto"/>
              </w:rPr>
            </w:pPr>
            <w:r>
              <w:rPr>
                <w:rFonts w:ascii="Calibri" w:cs="Calibri" w:eastAsia="Calibri" w:hAnsi="Calibri"/>
                <w:sz w:val="18"/>
                <w:szCs w:val="18"/>
                <w:color w:val="auto"/>
              </w:rPr>
              <w:t>Increases in balances related to tax positons taken during current period</w:t>
            </w:r>
          </w:p>
        </w:tc>
        <w:tc>
          <w:tcPr>
            <w:tcW w:w="900" w:type="dxa"/>
            <w:vAlign w:val="bottom"/>
            <w:shd w:val="clear" w:color="auto" w:fill="CCEEFF"/>
          </w:tcPr>
          <w:p>
            <w:pPr>
              <w:spacing w:after="0"/>
              <w:rPr>
                <w:sz w:val="20"/>
                <w:szCs w:val="20"/>
                <w:color w:val="auto"/>
              </w:rPr>
            </w:pPr>
          </w:p>
        </w:tc>
        <w:tc>
          <w:tcPr>
            <w:tcW w:w="520" w:type="dxa"/>
            <w:vAlign w:val="bottom"/>
            <w:shd w:val="clear" w:color="auto" w:fill="CCEEFF"/>
          </w:tcPr>
          <w:p>
            <w:pPr>
              <w:jc w:val="right"/>
              <w:spacing w:after="0" w:line="217" w:lineRule="exact"/>
              <w:rPr>
                <w:sz w:val="20"/>
                <w:szCs w:val="20"/>
                <w:color w:val="auto"/>
              </w:rPr>
            </w:pPr>
            <w:r>
              <w:rPr>
                <w:rFonts w:ascii="Calibri" w:cs="Calibri" w:eastAsia="Calibri" w:hAnsi="Calibri"/>
                <w:sz w:val="18"/>
                <w:szCs w:val="18"/>
                <w:color w:val="auto"/>
              </w:rPr>
              <w:t>170</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line="217" w:lineRule="exact"/>
              <w:rPr>
                <w:sz w:val="20"/>
                <w:szCs w:val="20"/>
                <w:color w:val="auto"/>
              </w:rPr>
            </w:pPr>
            <w:r>
              <w:rPr>
                <w:rFonts w:ascii="Calibri" w:cs="Calibri" w:eastAsia="Calibri" w:hAnsi="Calibri"/>
                <w:sz w:val="18"/>
                <w:szCs w:val="18"/>
                <w:color w:val="auto"/>
              </w:rPr>
              <w:t>288</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line="217" w:lineRule="exact"/>
              <w:rPr>
                <w:sz w:val="20"/>
                <w:szCs w:val="20"/>
                <w:color w:val="auto"/>
              </w:rPr>
            </w:pPr>
            <w:r>
              <w:rPr>
                <w:rFonts w:ascii="Calibri" w:cs="Calibri" w:eastAsia="Calibri" w:hAnsi="Calibri"/>
                <w:sz w:val="18"/>
                <w:szCs w:val="18"/>
                <w:color w:val="auto"/>
              </w:rPr>
              <w:t>337</w:t>
            </w:r>
          </w:p>
        </w:tc>
      </w:tr>
      <w:tr>
        <w:trPr>
          <w:trHeight w:val="218"/>
        </w:trPr>
        <w:tc>
          <w:tcPr>
            <w:tcW w:w="6760" w:type="dxa"/>
            <w:vAlign w:val="bottom"/>
            <w:tcBorders>
              <w:bottom w:val="single" w:sz="8" w:color="CCEEFF"/>
            </w:tcBorders>
          </w:tcPr>
          <w:p>
            <w:pPr>
              <w:ind w:left="140"/>
              <w:spacing w:after="0" w:line="210" w:lineRule="exact"/>
              <w:rPr>
                <w:sz w:val="20"/>
                <w:szCs w:val="20"/>
                <w:color w:val="auto"/>
              </w:rPr>
            </w:pPr>
            <w:r>
              <w:rPr>
                <w:rFonts w:ascii="Calibri" w:cs="Calibri" w:eastAsia="Calibri" w:hAnsi="Calibri"/>
                <w:sz w:val="18"/>
                <w:szCs w:val="18"/>
                <w:color w:val="auto"/>
              </w:rPr>
              <w:t>Decreases in balances related to setlements with taxing authorites</w:t>
            </w:r>
          </w:p>
        </w:tc>
        <w:tc>
          <w:tcPr>
            <w:tcW w:w="9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line="210" w:lineRule="exact"/>
              <w:rPr>
                <w:sz w:val="20"/>
                <w:szCs w:val="20"/>
                <w:color w:val="auto"/>
              </w:rPr>
            </w:pPr>
            <w:r>
              <w:rPr>
                <w:rFonts w:ascii="Calibri" w:cs="Calibri" w:eastAsia="Calibri" w:hAnsi="Calibri"/>
                <w:sz w:val="18"/>
                <w:szCs w:val="18"/>
                <w:color w:val="auto"/>
              </w:rPr>
              <w:t>(11)</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line="210" w:lineRule="exact"/>
              <w:rPr>
                <w:sz w:val="20"/>
                <w:szCs w:val="20"/>
                <w:color w:val="auto"/>
              </w:rPr>
            </w:pPr>
            <w:r>
              <w:rPr>
                <w:rFonts w:ascii="Calibri" w:cs="Calibri" w:eastAsia="Calibri" w:hAnsi="Calibri"/>
                <w:sz w:val="18"/>
                <w:szCs w:val="18"/>
                <w:color w:val="auto"/>
              </w:rPr>
              <w:t>(38)</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line="210" w:lineRule="exact"/>
              <w:rPr>
                <w:sz w:val="20"/>
                <w:szCs w:val="20"/>
                <w:color w:val="auto"/>
              </w:rPr>
            </w:pPr>
            <w:r>
              <w:rPr>
                <w:rFonts w:ascii="Calibri" w:cs="Calibri" w:eastAsia="Calibri" w:hAnsi="Calibri"/>
                <w:sz w:val="18"/>
                <w:szCs w:val="18"/>
                <w:color w:val="auto"/>
              </w:rPr>
              <w:t>(38)</w:t>
            </w:r>
          </w:p>
        </w:tc>
      </w:tr>
      <w:tr>
        <w:trPr>
          <w:trHeight w:val="249"/>
        </w:trPr>
        <w:tc>
          <w:tcPr>
            <w:tcW w:w="6760" w:type="dxa"/>
            <w:vAlign w:val="bottom"/>
            <w:tcBorders>
              <w:bottom w:val="single" w:sz="8" w:color="CCEEFF"/>
            </w:tcBorders>
            <w:shd w:val="clear" w:color="auto" w:fill="CCEEFF"/>
          </w:tcPr>
          <w:p>
            <w:pPr>
              <w:ind w:left="20"/>
              <w:spacing w:after="0"/>
              <w:rPr>
                <w:sz w:val="20"/>
                <w:szCs w:val="20"/>
                <w:color w:val="auto"/>
              </w:rPr>
            </w:pPr>
            <w:r>
              <w:rPr>
                <w:rFonts w:ascii="Calibri" w:cs="Calibri" w:eastAsia="Calibri" w:hAnsi="Calibri"/>
                <w:sz w:val="18"/>
                <w:szCs w:val="18"/>
                <w:color w:val="auto"/>
              </w:rPr>
              <w:t>Ending balance</w:t>
            </w:r>
          </w:p>
        </w:tc>
        <w:tc>
          <w:tcPr>
            <w:tcW w:w="900" w:type="dxa"/>
            <w:vAlign w:val="bottom"/>
            <w:tcBorders>
              <w:bottom w:val="single" w:sz="8" w:color="auto"/>
            </w:tcBorders>
            <w:shd w:val="clear" w:color="auto" w:fill="CCEEFF"/>
          </w:tcPr>
          <w:p>
            <w:pPr>
              <w:jc w:val="right"/>
              <w:ind w:right="718"/>
              <w:spacing w:after="0" w:line="210" w:lineRule="exact"/>
              <w:rPr>
                <w:sz w:val="20"/>
                <w:szCs w:val="20"/>
                <w:color w:val="auto"/>
              </w:rPr>
            </w:pPr>
            <w:r>
              <w:rPr>
                <w:rFonts w:ascii="Calibri" w:cs="Calibri" w:eastAsia="Calibri" w:hAnsi="Calibri"/>
                <w:sz w:val="18"/>
                <w:szCs w:val="18"/>
                <w:color w:val="auto"/>
                <w:w w:val="87"/>
              </w:rPr>
              <w:t>$</w:t>
            </w:r>
          </w:p>
        </w:tc>
        <w:tc>
          <w:tcPr>
            <w:tcW w:w="520" w:type="dxa"/>
            <w:vAlign w:val="bottom"/>
            <w:tcBorders>
              <w:bottom w:val="single" w:sz="8" w:color="auto"/>
            </w:tcBorders>
            <w:shd w:val="clear" w:color="auto" w:fill="CCEEFF"/>
          </w:tcPr>
          <w:p>
            <w:pPr>
              <w:jc w:val="right"/>
              <w:spacing w:after="0" w:line="210" w:lineRule="exact"/>
              <w:rPr>
                <w:sz w:val="20"/>
                <w:szCs w:val="20"/>
                <w:color w:val="auto"/>
              </w:rPr>
            </w:pPr>
            <w:r>
              <w:rPr>
                <w:rFonts w:ascii="Calibri" w:cs="Calibri" w:eastAsia="Calibri" w:hAnsi="Calibri"/>
                <w:sz w:val="18"/>
                <w:szCs w:val="18"/>
                <w:color w:val="auto"/>
              </w:rPr>
              <w:t>4,655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2"/>
              <w:spacing w:after="0" w:line="210" w:lineRule="exact"/>
              <w:rPr>
                <w:sz w:val="20"/>
                <w:szCs w:val="20"/>
                <w:color w:val="auto"/>
              </w:rPr>
            </w:pPr>
            <w:r>
              <w:rPr>
                <w:rFonts w:ascii="Calibri" w:cs="Calibri" w:eastAsia="Calibri" w:hAnsi="Calibri"/>
                <w:sz w:val="18"/>
                <w:szCs w:val="18"/>
                <w:color w:val="auto"/>
              </w:rPr>
              <w:t>$</w:t>
            </w:r>
          </w:p>
        </w:tc>
        <w:tc>
          <w:tcPr>
            <w:tcW w:w="1200" w:type="dxa"/>
            <w:vAlign w:val="bottom"/>
            <w:tcBorders>
              <w:bottom w:val="single" w:sz="8" w:color="auto"/>
            </w:tcBorders>
            <w:shd w:val="clear" w:color="auto" w:fill="CCEEFF"/>
          </w:tcPr>
          <w:p>
            <w:pPr>
              <w:jc w:val="right"/>
              <w:spacing w:after="0" w:line="210" w:lineRule="exact"/>
              <w:rPr>
                <w:sz w:val="20"/>
                <w:szCs w:val="20"/>
                <w:color w:val="auto"/>
              </w:rPr>
            </w:pPr>
            <w:r>
              <w:rPr>
                <w:rFonts w:ascii="Calibri" w:cs="Calibri" w:eastAsia="Calibri" w:hAnsi="Calibri"/>
                <w:sz w:val="18"/>
                <w:szCs w:val="18"/>
                <w:color w:val="auto"/>
              </w:rPr>
              <w:t>5,117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2"/>
              <w:spacing w:after="0" w:line="210" w:lineRule="exact"/>
              <w:rPr>
                <w:sz w:val="20"/>
                <w:szCs w:val="20"/>
                <w:color w:val="auto"/>
              </w:rPr>
            </w:pPr>
            <w:r>
              <w:rPr>
                <w:rFonts w:ascii="Calibri" w:cs="Calibri" w:eastAsia="Calibri" w:hAnsi="Calibri"/>
                <w:sz w:val="18"/>
                <w:szCs w:val="18"/>
                <w:color w:val="auto"/>
                <w:w w:val="87"/>
              </w:rPr>
              <w:t>$</w:t>
            </w:r>
          </w:p>
        </w:tc>
        <w:tc>
          <w:tcPr>
            <w:tcW w:w="1080" w:type="dxa"/>
            <w:vAlign w:val="bottom"/>
            <w:tcBorders>
              <w:bottom w:val="single" w:sz="8" w:color="auto"/>
            </w:tcBorders>
            <w:shd w:val="clear" w:color="auto" w:fill="CCEEFF"/>
          </w:tcPr>
          <w:p>
            <w:pPr>
              <w:jc w:val="right"/>
              <w:spacing w:after="0" w:line="210" w:lineRule="exact"/>
              <w:rPr>
                <w:sz w:val="20"/>
                <w:szCs w:val="20"/>
                <w:color w:val="auto"/>
              </w:rPr>
            </w:pPr>
            <w:r>
              <w:rPr>
                <w:rFonts w:ascii="Calibri" w:cs="Calibri" w:eastAsia="Calibri" w:hAnsi="Calibri"/>
                <w:sz w:val="18"/>
                <w:szCs w:val="18"/>
                <w:color w:val="auto"/>
              </w:rPr>
              <w:t>5,030</w:t>
            </w: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168" w:lineRule="exact"/>
        <w:rPr>
          <w:sz w:val="20"/>
          <w:szCs w:val="20"/>
          <w:color w:val="auto"/>
        </w:rPr>
      </w:pPr>
    </w:p>
    <w:p>
      <w:pPr>
        <w:ind w:left="400"/>
        <w:spacing w:after="0"/>
        <w:rPr>
          <w:sz w:val="20"/>
          <w:szCs w:val="20"/>
          <w:color w:val="auto"/>
        </w:rPr>
      </w:pPr>
      <w:r>
        <w:rPr>
          <w:rFonts w:ascii="Calibri" w:cs="Calibri" w:eastAsia="Calibri" w:hAnsi="Calibri"/>
          <w:sz w:val="18"/>
          <w:szCs w:val="18"/>
          <w:color w:val="auto"/>
        </w:rPr>
        <w:t>We recognize interest and penaltes related to unrecognized tax benefts within the provision for income taxes. Accrued interest and penaltes were</w:t>
      </w:r>
    </w:p>
    <w:p>
      <w:pPr>
        <w:spacing w:after="0" w:line="230" w:lineRule="auto"/>
        <w:rPr>
          <w:sz w:val="20"/>
          <w:szCs w:val="20"/>
          <w:color w:val="auto"/>
        </w:rPr>
      </w:pPr>
      <w:r>
        <w:rPr>
          <w:rFonts w:ascii="Calibri" w:cs="Calibri" w:eastAsia="Calibri" w:hAnsi="Calibri"/>
          <w:sz w:val="18"/>
          <w:szCs w:val="18"/>
          <w:color w:val="auto"/>
        </w:rPr>
        <w:t>included within other long-term liabilites. During fscal years 2023, 2022 and 2021, we recognized interest and penaltes of $22 million, $25 million and</w:t>
      </w:r>
    </w:p>
    <w:p>
      <w:pPr>
        <w:spacing w:after="0" w:line="231" w:lineRule="auto"/>
        <w:rPr>
          <w:sz w:val="20"/>
          <w:szCs w:val="20"/>
          <w:color w:val="auto"/>
        </w:rPr>
      </w:pPr>
      <w:r>
        <w:rPr>
          <w:rFonts w:ascii="Calibri" w:cs="Calibri" w:eastAsia="Calibri" w:hAnsi="Calibri"/>
          <w:sz w:val="18"/>
          <w:szCs w:val="18"/>
          <w:color w:val="auto"/>
        </w:rPr>
        <w:t>$46 million respectvely, within the provision for income taxes. As of October 29, 2023 and October 30, 2022, the combined amount of cumulatve accrued</w:t>
      </w:r>
    </w:p>
    <w:p>
      <w:pPr>
        <w:spacing w:after="0" w:line="231" w:lineRule="auto"/>
        <w:rPr>
          <w:sz w:val="20"/>
          <w:szCs w:val="20"/>
          <w:color w:val="auto"/>
        </w:rPr>
      </w:pPr>
      <w:r>
        <w:rPr>
          <w:rFonts w:ascii="Calibri" w:cs="Calibri" w:eastAsia="Calibri" w:hAnsi="Calibri"/>
          <w:sz w:val="18"/>
          <w:szCs w:val="18"/>
          <w:color w:val="auto"/>
        </w:rPr>
        <w:t>interest and penaltes was approximately $389 million and $411 million, respectvely.</w:t>
      </w:r>
    </w:p>
    <w:p>
      <w:pPr>
        <w:spacing w:after="0" w:line="107" w:lineRule="exact"/>
        <w:rPr>
          <w:sz w:val="20"/>
          <w:szCs w:val="20"/>
          <w:color w:val="auto"/>
        </w:rPr>
      </w:pPr>
    </w:p>
    <w:p>
      <w:pPr>
        <w:ind w:right="120" w:firstLine="396"/>
        <w:spacing w:after="0" w:line="230" w:lineRule="auto"/>
        <w:rPr>
          <w:sz w:val="20"/>
          <w:szCs w:val="20"/>
          <w:color w:val="auto"/>
        </w:rPr>
      </w:pPr>
      <w:r>
        <w:rPr>
          <w:rFonts w:ascii="Calibri" w:cs="Calibri" w:eastAsia="Calibri" w:hAnsi="Calibri"/>
          <w:sz w:val="18"/>
          <w:szCs w:val="18"/>
          <w:color w:val="auto"/>
        </w:rPr>
        <w:t>As of October 29, 2023 and October 30, 2022, approximately $5,044 million and $5,528 million, respectvely, of the unrecognized tax benefts and accrued interest and penaltes would, if recognized, beneft our efectve income tax rate. We are subject to U.S. income tax examinaton for fscal years 2018 and later. Certain of our acquired companies are subject to tax examinatons in major jurisdictons outside of the U.S. for fscal years 2008 and later. It is possible that our existng unrecognized tax benefts may change up to $499 million as a result of lapses of the statute of limitatons for certain audit periods and/or audit examinatons expected to be completed within the next 12 months.</w:t>
      </w:r>
    </w:p>
    <w:p>
      <w:pPr>
        <w:spacing w:after="0" w:line="99"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12. Segment Informaton</w:t>
      </w:r>
    </w:p>
    <w:p>
      <w:pPr>
        <w:spacing w:after="0" w:line="97"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Reportable Segments</w:t>
      </w:r>
    </w:p>
    <w:p>
      <w:pPr>
        <w:spacing w:after="0" w:line="107" w:lineRule="exact"/>
        <w:rPr>
          <w:sz w:val="20"/>
          <w:szCs w:val="20"/>
          <w:color w:val="auto"/>
        </w:rPr>
      </w:pPr>
    </w:p>
    <w:p>
      <w:pPr>
        <w:ind w:right="20" w:firstLine="396"/>
        <w:spacing w:after="0" w:line="245" w:lineRule="auto"/>
        <w:rPr>
          <w:sz w:val="20"/>
          <w:szCs w:val="20"/>
          <w:color w:val="auto"/>
        </w:rPr>
      </w:pPr>
      <w:r>
        <w:rPr>
          <w:rFonts w:ascii="Calibri" w:cs="Calibri" w:eastAsia="Calibri" w:hAnsi="Calibri"/>
          <w:sz w:val="17"/>
          <w:szCs w:val="17"/>
          <w:color w:val="auto"/>
        </w:rPr>
        <w:t>We have two reportable segments: semiconductor solutons and infrastructure sofware. Each segment has separate fnancial informaton that is utlized on a regular basis by the CODM in determining how to allocate resources and evaluate performance. The reportable segments are determined based on several factors including, but not limited to, customer base, homogeneity of products, technology, delivery channels and similar economic characteristcs.</w:t>
      </w:r>
    </w:p>
    <w:p>
      <w:pPr>
        <w:spacing w:after="0" w:line="104" w:lineRule="exact"/>
        <w:rPr>
          <w:sz w:val="20"/>
          <w:szCs w:val="20"/>
          <w:color w:val="auto"/>
        </w:rPr>
      </w:pPr>
    </w:p>
    <w:p>
      <w:pPr>
        <w:ind w:right="20" w:firstLine="396"/>
        <w:spacing w:after="0" w:line="230" w:lineRule="auto"/>
        <w:rPr>
          <w:sz w:val="20"/>
          <w:szCs w:val="20"/>
          <w:color w:val="auto"/>
        </w:rPr>
      </w:pPr>
      <w:r>
        <w:rPr>
          <w:rFonts w:ascii="Calibri" w:cs="Calibri" w:eastAsia="Calibri" w:hAnsi="Calibri"/>
          <w:sz w:val="18"/>
          <w:szCs w:val="18"/>
          <w:i w:val="1"/>
          <w:iCs w:val="1"/>
          <w:color w:val="auto"/>
        </w:rPr>
        <w:t>Semiconductor solutons</w:t>
      </w:r>
      <w:r>
        <w:rPr>
          <w:rFonts w:ascii="Calibri" w:cs="Calibri" w:eastAsia="Calibri" w:hAnsi="Calibri"/>
          <w:sz w:val="18"/>
          <w:szCs w:val="18"/>
          <w:color w:val="auto"/>
        </w:rPr>
        <w:t>. We provide semiconductor solutons for managing the movement of data in data center, service provider, and enterprise</w:t>
      </w:r>
      <w:r>
        <w:rPr>
          <w:rFonts w:ascii="Calibri" w:cs="Calibri" w:eastAsia="Calibri" w:hAnsi="Calibri"/>
          <w:sz w:val="18"/>
          <w:szCs w:val="18"/>
          <w:i w:val="1"/>
          <w:iCs w:val="1"/>
          <w:color w:val="auto"/>
        </w:rPr>
        <w:t xml:space="preserve"> </w:t>
      </w:r>
      <w:r>
        <w:rPr>
          <w:rFonts w:ascii="Calibri" w:cs="Calibri" w:eastAsia="Calibri" w:hAnsi="Calibri"/>
          <w:sz w:val="18"/>
          <w:szCs w:val="18"/>
          <w:color w:val="auto"/>
        </w:rPr>
        <w:t>networking applicatons. We provide a broad variety of radio frequency semiconductor devices, wireless connectvity solutons, custom touch controllers, and inductve charging solutons for mobile applicatons. We also provide semiconductor solutons for enabling the set-top box and broadband access markets and for enabling secure movement of digital data to and from host machines, such as servers, personal computers and storage systems, to the underlying storage devices, such as hard disk drives and solid state drives. We also provide a broad variety of products for the general industrial and automotve markets. Our semiconductor solutons segment also includes our IP licensing.</w:t>
      </w:r>
    </w:p>
    <w:p>
      <w:pPr>
        <w:spacing w:after="0" w:line="110" w:lineRule="exact"/>
        <w:rPr>
          <w:sz w:val="20"/>
          <w:szCs w:val="20"/>
          <w:color w:val="auto"/>
        </w:rPr>
      </w:pPr>
    </w:p>
    <w:p>
      <w:pPr>
        <w:ind w:right="160" w:firstLine="396"/>
        <w:spacing w:after="0" w:line="230" w:lineRule="auto"/>
        <w:rPr>
          <w:sz w:val="20"/>
          <w:szCs w:val="20"/>
          <w:color w:val="auto"/>
        </w:rPr>
      </w:pPr>
      <w:r>
        <w:rPr>
          <w:rFonts w:ascii="Calibri" w:cs="Calibri" w:eastAsia="Calibri" w:hAnsi="Calibri"/>
          <w:sz w:val="18"/>
          <w:szCs w:val="18"/>
          <w:i w:val="1"/>
          <w:iCs w:val="1"/>
          <w:color w:val="auto"/>
        </w:rPr>
        <w:t xml:space="preserve">Infrastructure sofware. </w:t>
      </w:r>
      <w:r>
        <w:rPr>
          <w:rFonts w:ascii="Calibri" w:cs="Calibri" w:eastAsia="Calibri" w:hAnsi="Calibri"/>
          <w:sz w:val="18"/>
          <w:szCs w:val="18"/>
          <w:color w:val="auto"/>
        </w:rPr>
        <w:t>We provide a portolio of sofware solutons that enables customers to plan, develop, automate, manage and secure applicatons</w:t>
      </w:r>
      <w:r>
        <w:rPr>
          <w:rFonts w:ascii="Calibri" w:cs="Calibri" w:eastAsia="Calibri" w:hAnsi="Calibri"/>
          <w:sz w:val="18"/>
          <w:szCs w:val="18"/>
          <w:i w:val="1"/>
          <w:iCs w:val="1"/>
          <w:color w:val="auto"/>
        </w:rPr>
        <w:t xml:space="preserve"> </w:t>
      </w:r>
      <w:r>
        <w:rPr>
          <w:rFonts w:ascii="Calibri" w:cs="Calibri" w:eastAsia="Calibri" w:hAnsi="Calibri"/>
          <w:sz w:val="18"/>
          <w:szCs w:val="18"/>
          <w:color w:val="auto"/>
        </w:rPr>
        <w:t>across mainframe, distributed, mobile and cloud platorms. Our portolio of infrastructure and security sofware is designed to modernize, optmize, and secure the most complex hybrid environments, enabling scalability, agility, automaton, insights, resiliency and security. We also ofer mission critcal FC SAN products and related sofware.</w:t>
      </w:r>
    </w:p>
    <w:p>
      <w:pPr>
        <w:spacing w:after="0" w:line="108" w:lineRule="exact"/>
        <w:rPr>
          <w:sz w:val="20"/>
          <w:szCs w:val="20"/>
          <w:color w:val="auto"/>
        </w:rPr>
      </w:pPr>
    </w:p>
    <w:p>
      <w:pPr>
        <w:ind w:right="180" w:firstLine="396"/>
        <w:spacing w:after="0" w:line="230" w:lineRule="auto"/>
        <w:rPr>
          <w:sz w:val="20"/>
          <w:szCs w:val="20"/>
          <w:color w:val="auto"/>
        </w:rPr>
      </w:pPr>
      <w:r>
        <w:rPr>
          <w:rFonts w:ascii="Calibri" w:cs="Calibri" w:eastAsia="Calibri" w:hAnsi="Calibri"/>
          <w:sz w:val="18"/>
          <w:szCs w:val="18"/>
          <w:color w:val="auto"/>
        </w:rPr>
        <w:t>Our CODM assesses the performance of each segment and allocates resources to each segment based on net revenue and operatng results and does not evaluate each segment using discrete asset informaton. Operatng results by segment include items that are directly atributable to each segment and also include shared expenses such as marketng, general and administratve actvites, facilites and informaton technology (“IT”) expenses. Shared expenses are primarily allocated based on revenue and headcount.</w:t>
      </w: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9" w:right="339" w:bottom="1440" w:gutter="0" w:footer="0" w:header="0"/>
        </w:sectPr>
      </w:pPr>
    </w:p>
    <w:bookmarkStart w:id="84" w:name="page85"/>
    <w:bookmarkEnd w:id="84"/>
    <w:p>
      <w:pPr>
        <w:spacing w:after="0"/>
        <w:rPr>
          <w:sz w:val="20"/>
          <w:szCs w:val="20"/>
          <w:color w:val="auto"/>
        </w:rPr>
      </w:pPr>
      <w:r>
        <w:rPr>
          <w:rFonts w:ascii="Calibri" w:cs="Calibri" w:eastAsia="Calibri" w:hAnsi="Calibri"/>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Unallocated Expenses</w:t>
      </w:r>
    </w:p>
    <w:p>
      <w:pPr>
        <w:spacing w:after="0" w:line="107" w:lineRule="exact"/>
        <w:rPr>
          <w:sz w:val="20"/>
          <w:szCs w:val="20"/>
          <w:color w:val="auto"/>
        </w:rPr>
      </w:pPr>
    </w:p>
    <w:p>
      <w:pPr>
        <w:jc w:val="both"/>
        <w:ind w:right="260" w:firstLine="396"/>
        <w:spacing w:after="0" w:line="230" w:lineRule="auto"/>
        <w:rPr>
          <w:sz w:val="20"/>
          <w:szCs w:val="20"/>
          <w:color w:val="auto"/>
        </w:rPr>
      </w:pPr>
      <w:r>
        <w:rPr>
          <w:rFonts w:ascii="Calibri" w:cs="Calibri" w:eastAsia="Calibri" w:hAnsi="Calibri"/>
          <w:sz w:val="18"/>
          <w:szCs w:val="18"/>
          <w:color w:val="auto"/>
        </w:rPr>
        <w:t>Unallocated expenses include amortzaton of acquisiton-related intangible assets, stock-based compensaton expense, restructuring and other charges, acquisiton-related costs, and other costs, which are not used in evaluatng the results of, or in allocatng resources to, our segments. Acquisiton-related costs include transacton costs and any costs directly related to the acquisiton and integraton of acquired businesses.</w:t>
      </w:r>
    </w:p>
    <w:p>
      <w:pPr>
        <w:spacing w:after="0" w:line="108" w:lineRule="exact"/>
        <w:rPr>
          <w:sz w:val="20"/>
          <w:szCs w:val="20"/>
          <w:color w:val="auto"/>
        </w:rPr>
      </w:pPr>
    </w:p>
    <w:p>
      <w:pPr>
        <w:jc w:val="both"/>
        <w:ind w:right="160" w:firstLine="396"/>
        <w:spacing w:after="0" w:line="230" w:lineRule="auto"/>
        <w:rPr>
          <w:sz w:val="20"/>
          <w:szCs w:val="20"/>
          <w:color w:val="auto"/>
        </w:rPr>
      </w:pPr>
      <w:r>
        <w:rPr>
          <w:rFonts w:ascii="Calibri" w:cs="Calibri" w:eastAsia="Calibri" w:hAnsi="Calibri"/>
          <w:sz w:val="18"/>
          <w:szCs w:val="18"/>
          <w:color w:val="auto"/>
        </w:rPr>
        <w:t>Depreciaton expense directly atributable to each reportable segment is included in the operatng results of each segment. However, the CODM does not evaluate depreciaton expense by operatng segment and, therefore, it is not separately presented. There was no inter-segment revenue for any of the periods presented. The accountng policies of the segments are the same as those described in the summary of signifcant accountng policies.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7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00" w:type="dxa"/>
            <w:vAlign w:val="bottom"/>
            <w:gridSpan w:val="2"/>
          </w:tcPr>
          <w:p>
            <w:pPr>
              <w:jc w:val="center"/>
              <w:ind w:right="340"/>
              <w:spacing w:after="0"/>
              <w:rPr>
                <w:sz w:val="20"/>
                <w:szCs w:val="20"/>
                <w:color w:val="auto"/>
              </w:rPr>
            </w:pPr>
            <w:r>
              <w:rPr>
                <w:rFonts w:ascii="Calibri" w:cs="Calibri" w:eastAsia="Calibri" w:hAnsi="Calibri"/>
                <w:sz w:val="14"/>
                <w:szCs w:val="14"/>
                <w:b w:val="1"/>
                <w:bCs w:val="1"/>
                <w:color w:val="auto"/>
                <w:w w:val="98"/>
              </w:rPr>
              <w:t>Fiscal Year</w:t>
            </w:r>
          </w:p>
        </w:tc>
        <w:tc>
          <w:tcPr>
            <w:tcW w:w="3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6760" w:type="dxa"/>
            <w:vAlign w:val="bottom"/>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1"/>
        </w:trPr>
        <w:tc>
          <w:tcPr>
            <w:tcW w:w="6760" w:type="dxa"/>
            <w:vAlign w:val="bottom"/>
          </w:tcPr>
          <w:p>
            <w:pPr>
              <w:spacing w:after="0"/>
              <w:rPr>
                <w:sz w:val="13"/>
                <w:szCs w:val="13"/>
                <w:color w:val="auto"/>
              </w:rPr>
            </w:pPr>
          </w:p>
        </w:tc>
        <w:tc>
          <w:tcPr>
            <w:tcW w:w="860" w:type="dxa"/>
            <w:vAlign w:val="bottom"/>
          </w:tcPr>
          <w:p>
            <w:pPr>
              <w:jc w:val="right"/>
              <w:spacing w:after="0" w:line="161" w:lineRule="exact"/>
              <w:rPr>
                <w:sz w:val="20"/>
                <w:szCs w:val="20"/>
                <w:color w:val="auto"/>
              </w:rPr>
            </w:pPr>
            <w:r>
              <w:rPr>
                <w:rFonts w:ascii="Calibri" w:cs="Calibri" w:eastAsia="Calibri" w:hAnsi="Calibri"/>
                <w:sz w:val="14"/>
                <w:szCs w:val="14"/>
                <w:b w:val="1"/>
                <w:bCs w:val="1"/>
                <w:color w:val="auto"/>
              </w:rPr>
              <w:t>2023</w:t>
            </w: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0" w:type="dxa"/>
            <w:vAlign w:val="bottom"/>
          </w:tcPr>
          <w:p>
            <w:pPr>
              <w:jc w:val="center"/>
              <w:ind w:right="157"/>
              <w:spacing w:after="0" w:line="161" w:lineRule="exact"/>
              <w:rPr>
                <w:sz w:val="20"/>
                <w:szCs w:val="20"/>
                <w:color w:val="auto"/>
              </w:rPr>
            </w:pPr>
            <w:r>
              <w:rPr>
                <w:rFonts w:ascii="Calibri" w:cs="Calibri" w:eastAsia="Calibri" w:hAnsi="Calibri"/>
                <w:sz w:val="14"/>
                <w:szCs w:val="14"/>
                <w:b w:val="1"/>
                <w:bCs w:val="1"/>
                <w:color w:val="auto"/>
                <w:w w:val="98"/>
              </w:rPr>
              <w:t>2022</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80" w:type="dxa"/>
            <w:vAlign w:val="bottom"/>
          </w:tcPr>
          <w:p>
            <w:pPr>
              <w:jc w:val="right"/>
              <w:ind w:right="474"/>
              <w:spacing w:after="0" w:line="161" w:lineRule="exact"/>
              <w:rPr>
                <w:sz w:val="20"/>
                <w:szCs w:val="20"/>
                <w:color w:val="auto"/>
              </w:rPr>
            </w:pPr>
            <w:r>
              <w:rPr>
                <w:rFonts w:ascii="Calibri" w:cs="Calibri" w:eastAsia="Calibri" w:hAnsi="Calibri"/>
                <w:sz w:val="14"/>
                <w:szCs w:val="14"/>
                <w:b w:val="1"/>
                <w:bCs w:val="1"/>
                <w:color w:val="auto"/>
              </w:rPr>
              <w:t>2021</w:t>
            </w:r>
          </w:p>
        </w:tc>
        <w:tc>
          <w:tcPr>
            <w:tcW w:w="0" w:type="dxa"/>
            <w:vAlign w:val="bottom"/>
          </w:tcPr>
          <w:p>
            <w:pPr>
              <w:spacing w:after="0"/>
              <w:rPr>
                <w:sz w:val="1"/>
                <w:szCs w:val="1"/>
                <w:color w:val="auto"/>
              </w:rPr>
            </w:pPr>
          </w:p>
        </w:tc>
      </w:tr>
      <w:tr>
        <w:trPr>
          <w:trHeight w:val="30"/>
        </w:trPr>
        <w:tc>
          <w:tcPr>
            <w:tcW w:w="676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67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00" w:type="dxa"/>
            <w:vAlign w:val="bottom"/>
            <w:gridSpan w:val="2"/>
          </w:tcPr>
          <w:p>
            <w:pPr>
              <w:jc w:val="center"/>
              <w:ind w:right="340"/>
              <w:spacing w:after="0"/>
              <w:rPr>
                <w:sz w:val="20"/>
                <w:szCs w:val="20"/>
                <w:color w:val="auto"/>
              </w:rPr>
            </w:pPr>
            <w:r>
              <w:rPr>
                <w:rFonts w:ascii="Calibri" w:cs="Calibri" w:eastAsia="Calibri" w:hAnsi="Calibri"/>
                <w:sz w:val="14"/>
                <w:szCs w:val="14"/>
                <w:b w:val="1"/>
                <w:bCs w:val="1"/>
                <w:color w:val="auto"/>
                <w:w w:val="98"/>
              </w:rPr>
              <w:t>(In millions)</w:t>
            </w: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8"/>
        </w:trPr>
        <w:tc>
          <w:tcPr>
            <w:tcW w:w="6760" w:type="dxa"/>
            <w:vAlign w:val="bottom"/>
          </w:tcPr>
          <w:p>
            <w:pPr>
              <w:ind w:left="20"/>
              <w:spacing w:after="0"/>
              <w:rPr>
                <w:sz w:val="20"/>
                <w:szCs w:val="20"/>
                <w:color w:val="auto"/>
              </w:rPr>
            </w:pPr>
            <w:r>
              <w:rPr>
                <w:rFonts w:ascii="Calibri" w:cs="Calibri" w:eastAsia="Calibri" w:hAnsi="Calibri"/>
                <w:sz w:val="18"/>
                <w:szCs w:val="18"/>
                <w:b w:val="1"/>
                <w:bCs w:val="1"/>
                <w:color w:val="auto"/>
              </w:rPr>
              <w:t>Net revenue:</w:t>
            </w:r>
          </w:p>
        </w:tc>
        <w:tc>
          <w:tcPr>
            <w:tcW w:w="8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
        </w:trPr>
        <w:tc>
          <w:tcPr>
            <w:tcW w:w="67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760" w:type="dxa"/>
            <w:vAlign w:val="bottom"/>
            <w:shd w:val="clear" w:color="auto" w:fill="CCEEFF"/>
          </w:tcPr>
          <w:p>
            <w:pPr>
              <w:ind w:left="140"/>
              <w:spacing w:after="0" w:line="210" w:lineRule="exact"/>
              <w:rPr>
                <w:sz w:val="20"/>
                <w:szCs w:val="20"/>
                <w:color w:val="auto"/>
              </w:rPr>
            </w:pPr>
            <w:r>
              <w:rPr>
                <w:rFonts w:ascii="Calibri" w:cs="Calibri" w:eastAsia="Calibri" w:hAnsi="Calibri"/>
                <w:sz w:val="18"/>
                <w:szCs w:val="18"/>
                <w:color w:val="auto"/>
              </w:rPr>
              <w:t>Semiconductor solutons</w:t>
            </w:r>
          </w:p>
        </w:tc>
        <w:tc>
          <w:tcPr>
            <w:tcW w:w="860" w:type="dxa"/>
            <w:vAlign w:val="bottom"/>
            <w:shd w:val="clear" w:color="auto" w:fill="CCEEFF"/>
          </w:tcPr>
          <w:p>
            <w:pPr>
              <w:jc w:val="right"/>
              <w:ind w:right="676"/>
              <w:spacing w:after="0" w:line="210" w:lineRule="exact"/>
              <w:rPr>
                <w:sz w:val="20"/>
                <w:szCs w:val="20"/>
                <w:color w:val="auto"/>
              </w:rPr>
            </w:pPr>
            <w:r>
              <w:rPr>
                <w:rFonts w:ascii="Calibri" w:cs="Calibri" w:eastAsia="Calibri" w:hAnsi="Calibri"/>
                <w:sz w:val="18"/>
                <w:szCs w:val="18"/>
                <w:color w:val="auto"/>
                <w:w w:val="87"/>
              </w:rPr>
              <w:t>$</w:t>
            </w:r>
          </w:p>
        </w:tc>
        <w:tc>
          <w:tcPr>
            <w:tcW w:w="560" w:type="dxa"/>
            <w:vAlign w:val="bottom"/>
            <w:shd w:val="clear" w:color="auto" w:fill="CCEEFF"/>
          </w:tcPr>
          <w:p>
            <w:pPr>
              <w:jc w:val="right"/>
              <w:spacing w:after="0" w:line="210" w:lineRule="exact"/>
              <w:rPr>
                <w:sz w:val="20"/>
                <w:szCs w:val="20"/>
                <w:color w:val="auto"/>
              </w:rPr>
            </w:pPr>
            <w:r>
              <w:rPr>
                <w:rFonts w:ascii="Calibri" w:cs="Calibri" w:eastAsia="Calibri" w:hAnsi="Calibri"/>
                <w:sz w:val="18"/>
                <w:szCs w:val="18"/>
                <w:color w:val="auto"/>
                <w:w w:val="95"/>
              </w:rPr>
              <w:t>28,182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2"/>
              <w:spacing w:after="0" w:line="210" w:lineRule="exact"/>
              <w:rPr>
                <w:sz w:val="20"/>
                <w:szCs w:val="20"/>
                <w:color w:val="auto"/>
              </w:rPr>
            </w:pPr>
            <w:r>
              <w:rPr>
                <w:rFonts w:ascii="Calibri" w:cs="Calibri" w:eastAsia="Calibri" w:hAnsi="Calibri"/>
                <w:sz w:val="18"/>
                <w:szCs w:val="18"/>
                <w:color w:val="auto"/>
              </w:rPr>
              <w:t>$</w:t>
            </w:r>
          </w:p>
        </w:tc>
        <w:tc>
          <w:tcPr>
            <w:tcW w:w="1200" w:type="dxa"/>
            <w:vAlign w:val="bottom"/>
            <w:shd w:val="clear" w:color="auto" w:fill="CCEEFF"/>
          </w:tcPr>
          <w:p>
            <w:pPr>
              <w:jc w:val="right"/>
              <w:spacing w:after="0" w:line="210" w:lineRule="exact"/>
              <w:rPr>
                <w:sz w:val="20"/>
                <w:szCs w:val="20"/>
                <w:color w:val="auto"/>
              </w:rPr>
            </w:pPr>
            <w:r>
              <w:rPr>
                <w:rFonts w:ascii="Calibri" w:cs="Calibri" w:eastAsia="Calibri" w:hAnsi="Calibri"/>
                <w:sz w:val="18"/>
                <w:szCs w:val="18"/>
                <w:color w:val="auto"/>
              </w:rPr>
              <w:t>25,818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2"/>
              <w:spacing w:after="0" w:line="210" w:lineRule="exact"/>
              <w:rPr>
                <w:sz w:val="20"/>
                <w:szCs w:val="20"/>
                <w:color w:val="auto"/>
              </w:rPr>
            </w:pPr>
            <w:r>
              <w:rPr>
                <w:rFonts w:ascii="Calibri" w:cs="Calibri" w:eastAsia="Calibri" w:hAnsi="Calibri"/>
                <w:sz w:val="18"/>
                <w:szCs w:val="18"/>
                <w:color w:val="auto"/>
                <w:w w:val="87"/>
              </w:rPr>
              <w:t>$</w:t>
            </w:r>
          </w:p>
        </w:tc>
        <w:tc>
          <w:tcPr>
            <w:tcW w:w="1080" w:type="dxa"/>
            <w:vAlign w:val="bottom"/>
            <w:shd w:val="clear" w:color="auto" w:fill="CCEEFF"/>
          </w:tcPr>
          <w:p>
            <w:pPr>
              <w:jc w:val="right"/>
              <w:spacing w:after="0" w:line="210" w:lineRule="exact"/>
              <w:rPr>
                <w:sz w:val="20"/>
                <w:szCs w:val="20"/>
                <w:color w:val="auto"/>
              </w:rPr>
            </w:pPr>
            <w:r>
              <w:rPr>
                <w:rFonts w:ascii="Calibri" w:cs="Calibri" w:eastAsia="Calibri" w:hAnsi="Calibri"/>
                <w:sz w:val="18"/>
                <w:szCs w:val="18"/>
                <w:color w:val="auto"/>
              </w:rPr>
              <w:t>20,383</w:t>
            </w:r>
          </w:p>
        </w:tc>
        <w:tc>
          <w:tcPr>
            <w:tcW w:w="0" w:type="dxa"/>
            <w:vAlign w:val="bottom"/>
          </w:tcPr>
          <w:p>
            <w:pPr>
              <w:spacing w:after="0"/>
              <w:rPr>
                <w:sz w:val="1"/>
                <w:szCs w:val="1"/>
                <w:color w:val="auto"/>
              </w:rPr>
            </w:pPr>
          </w:p>
        </w:tc>
      </w:tr>
      <w:tr>
        <w:trPr>
          <w:trHeight w:val="218"/>
        </w:trPr>
        <w:tc>
          <w:tcPr>
            <w:tcW w:w="6760" w:type="dxa"/>
            <w:vAlign w:val="bottom"/>
            <w:tcBorders>
              <w:bottom w:val="single" w:sz="8" w:color="CCEEFF"/>
            </w:tcBorders>
          </w:tcPr>
          <w:p>
            <w:pPr>
              <w:ind w:left="140"/>
              <w:spacing w:after="0" w:line="210" w:lineRule="exact"/>
              <w:rPr>
                <w:sz w:val="20"/>
                <w:szCs w:val="20"/>
                <w:color w:val="auto"/>
              </w:rPr>
            </w:pPr>
            <w:r>
              <w:rPr>
                <w:rFonts w:ascii="Calibri" w:cs="Calibri" w:eastAsia="Calibri" w:hAnsi="Calibri"/>
                <w:sz w:val="18"/>
                <w:szCs w:val="18"/>
                <w:color w:val="auto"/>
              </w:rPr>
              <w:t>Infrastructure sofware</w:t>
            </w:r>
          </w:p>
        </w:tc>
        <w:tc>
          <w:tcPr>
            <w:tcW w:w="8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line="210" w:lineRule="exact"/>
              <w:rPr>
                <w:sz w:val="20"/>
                <w:szCs w:val="20"/>
                <w:color w:val="auto"/>
              </w:rPr>
            </w:pPr>
            <w:r>
              <w:rPr>
                <w:rFonts w:ascii="Calibri" w:cs="Calibri" w:eastAsia="Calibri" w:hAnsi="Calibri"/>
                <w:sz w:val="18"/>
                <w:szCs w:val="18"/>
                <w:color w:val="auto"/>
              </w:rPr>
              <w:t>7,637</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line="210" w:lineRule="exact"/>
              <w:rPr>
                <w:sz w:val="20"/>
                <w:szCs w:val="20"/>
                <w:color w:val="auto"/>
              </w:rPr>
            </w:pPr>
            <w:r>
              <w:rPr>
                <w:rFonts w:ascii="Calibri" w:cs="Calibri" w:eastAsia="Calibri" w:hAnsi="Calibri"/>
                <w:sz w:val="18"/>
                <w:szCs w:val="18"/>
                <w:color w:val="auto"/>
              </w:rPr>
              <w:t>7,385</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line="210" w:lineRule="exact"/>
              <w:rPr>
                <w:sz w:val="20"/>
                <w:szCs w:val="20"/>
                <w:color w:val="auto"/>
              </w:rPr>
            </w:pPr>
            <w:r>
              <w:rPr>
                <w:rFonts w:ascii="Calibri" w:cs="Calibri" w:eastAsia="Calibri" w:hAnsi="Calibri"/>
                <w:sz w:val="18"/>
                <w:szCs w:val="18"/>
                <w:color w:val="auto"/>
              </w:rPr>
              <w:t>7,067</w:t>
            </w:r>
          </w:p>
        </w:tc>
        <w:tc>
          <w:tcPr>
            <w:tcW w:w="0" w:type="dxa"/>
            <w:vAlign w:val="bottom"/>
          </w:tcPr>
          <w:p>
            <w:pPr>
              <w:spacing w:after="0"/>
              <w:rPr>
                <w:sz w:val="1"/>
                <w:szCs w:val="1"/>
                <w:color w:val="auto"/>
              </w:rPr>
            </w:pPr>
          </w:p>
        </w:tc>
      </w:tr>
      <w:tr>
        <w:trPr>
          <w:trHeight w:val="249"/>
        </w:trPr>
        <w:tc>
          <w:tcPr>
            <w:tcW w:w="6760" w:type="dxa"/>
            <w:vAlign w:val="bottom"/>
            <w:tcBorders>
              <w:bottom w:val="single" w:sz="8" w:color="CCEEFF"/>
            </w:tcBorders>
            <w:shd w:val="clear" w:color="auto" w:fill="CCEEFF"/>
          </w:tcPr>
          <w:p>
            <w:pPr>
              <w:ind w:left="220"/>
              <w:spacing w:after="0"/>
              <w:rPr>
                <w:sz w:val="20"/>
                <w:szCs w:val="20"/>
                <w:color w:val="auto"/>
              </w:rPr>
            </w:pPr>
            <w:r>
              <w:rPr>
                <w:rFonts w:ascii="Calibri" w:cs="Calibri" w:eastAsia="Calibri" w:hAnsi="Calibri"/>
                <w:sz w:val="18"/>
                <w:szCs w:val="18"/>
                <w:color w:val="auto"/>
              </w:rPr>
              <w:t>Total net revenue</w:t>
            </w:r>
          </w:p>
        </w:tc>
        <w:tc>
          <w:tcPr>
            <w:tcW w:w="860" w:type="dxa"/>
            <w:vAlign w:val="bottom"/>
            <w:tcBorders>
              <w:bottom w:val="single" w:sz="8" w:color="auto"/>
            </w:tcBorders>
            <w:shd w:val="clear" w:color="auto" w:fill="CCEEFF"/>
          </w:tcPr>
          <w:p>
            <w:pPr>
              <w:jc w:val="right"/>
              <w:ind w:right="676"/>
              <w:spacing w:after="0" w:line="210" w:lineRule="exact"/>
              <w:rPr>
                <w:sz w:val="20"/>
                <w:szCs w:val="20"/>
                <w:color w:val="auto"/>
              </w:rPr>
            </w:pPr>
            <w:r>
              <w:rPr>
                <w:rFonts w:ascii="Calibri" w:cs="Calibri" w:eastAsia="Calibri" w:hAnsi="Calibri"/>
                <w:sz w:val="18"/>
                <w:szCs w:val="18"/>
                <w:color w:val="auto"/>
                <w:w w:val="87"/>
              </w:rPr>
              <w:t>$</w:t>
            </w:r>
          </w:p>
        </w:tc>
        <w:tc>
          <w:tcPr>
            <w:tcW w:w="560" w:type="dxa"/>
            <w:vAlign w:val="bottom"/>
            <w:tcBorders>
              <w:bottom w:val="single" w:sz="8" w:color="auto"/>
            </w:tcBorders>
            <w:shd w:val="clear" w:color="auto" w:fill="CCEEFF"/>
          </w:tcPr>
          <w:p>
            <w:pPr>
              <w:jc w:val="right"/>
              <w:spacing w:after="0" w:line="210" w:lineRule="exact"/>
              <w:rPr>
                <w:sz w:val="20"/>
                <w:szCs w:val="20"/>
                <w:color w:val="auto"/>
              </w:rPr>
            </w:pPr>
            <w:r>
              <w:rPr>
                <w:rFonts w:ascii="Calibri" w:cs="Calibri" w:eastAsia="Calibri" w:hAnsi="Calibri"/>
                <w:sz w:val="18"/>
                <w:szCs w:val="18"/>
                <w:color w:val="auto"/>
                <w:w w:val="95"/>
              </w:rPr>
              <w:t>35,819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2"/>
              <w:spacing w:after="0" w:line="210" w:lineRule="exact"/>
              <w:rPr>
                <w:sz w:val="20"/>
                <w:szCs w:val="20"/>
                <w:color w:val="auto"/>
              </w:rPr>
            </w:pPr>
            <w:r>
              <w:rPr>
                <w:rFonts w:ascii="Calibri" w:cs="Calibri" w:eastAsia="Calibri" w:hAnsi="Calibri"/>
                <w:sz w:val="18"/>
                <w:szCs w:val="18"/>
                <w:color w:val="auto"/>
              </w:rPr>
              <w:t>$</w:t>
            </w:r>
          </w:p>
        </w:tc>
        <w:tc>
          <w:tcPr>
            <w:tcW w:w="1200" w:type="dxa"/>
            <w:vAlign w:val="bottom"/>
            <w:tcBorders>
              <w:bottom w:val="single" w:sz="8" w:color="auto"/>
            </w:tcBorders>
            <w:shd w:val="clear" w:color="auto" w:fill="CCEEFF"/>
          </w:tcPr>
          <w:p>
            <w:pPr>
              <w:jc w:val="right"/>
              <w:spacing w:after="0" w:line="210" w:lineRule="exact"/>
              <w:rPr>
                <w:sz w:val="20"/>
                <w:szCs w:val="20"/>
                <w:color w:val="auto"/>
              </w:rPr>
            </w:pPr>
            <w:r>
              <w:rPr>
                <w:rFonts w:ascii="Calibri" w:cs="Calibri" w:eastAsia="Calibri" w:hAnsi="Calibri"/>
                <w:sz w:val="18"/>
                <w:szCs w:val="18"/>
                <w:color w:val="auto"/>
              </w:rPr>
              <w:t>33,203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2"/>
              <w:spacing w:after="0" w:line="210" w:lineRule="exact"/>
              <w:rPr>
                <w:sz w:val="20"/>
                <w:szCs w:val="20"/>
                <w:color w:val="auto"/>
              </w:rPr>
            </w:pPr>
            <w:r>
              <w:rPr>
                <w:rFonts w:ascii="Calibri" w:cs="Calibri" w:eastAsia="Calibri" w:hAnsi="Calibri"/>
                <w:sz w:val="18"/>
                <w:szCs w:val="18"/>
                <w:color w:val="auto"/>
                <w:w w:val="87"/>
              </w:rPr>
              <w:t>$</w:t>
            </w:r>
          </w:p>
        </w:tc>
        <w:tc>
          <w:tcPr>
            <w:tcW w:w="1080" w:type="dxa"/>
            <w:vAlign w:val="bottom"/>
            <w:tcBorders>
              <w:bottom w:val="single" w:sz="8" w:color="auto"/>
            </w:tcBorders>
            <w:shd w:val="clear" w:color="auto" w:fill="CCEEFF"/>
          </w:tcPr>
          <w:p>
            <w:pPr>
              <w:jc w:val="right"/>
              <w:spacing w:after="0" w:line="210" w:lineRule="exact"/>
              <w:rPr>
                <w:sz w:val="20"/>
                <w:szCs w:val="20"/>
                <w:color w:val="auto"/>
              </w:rPr>
            </w:pPr>
            <w:r>
              <w:rPr>
                <w:rFonts w:ascii="Calibri" w:cs="Calibri" w:eastAsia="Calibri" w:hAnsi="Calibri"/>
                <w:sz w:val="18"/>
                <w:szCs w:val="18"/>
                <w:color w:val="auto"/>
              </w:rPr>
              <w:t>27,450</w:t>
            </w:r>
          </w:p>
        </w:tc>
        <w:tc>
          <w:tcPr>
            <w:tcW w:w="0" w:type="dxa"/>
            <w:vAlign w:val="bottom"/>
          </w:tcPr>
          <w:p>
            <w:pPr>
              <w:spacing w:after="0"/>
              <w:rPr>
                <w:sz w:val="1"/>
                <w:szCs w:val="1"/>
                <w:color w:val="auto"/>
              </w:rPr>
            </w:pPr>
          </w:p>
        </w:tc>
      </w:tr>
      <w:tr>
        <w:trPr>
          <w:trHeight w:val="20"/>
        </w:trPr>
        <w:tc>
          <w:tcPr>
            <w:tcW w:w="6760" w:type="dxa"/>
            <w:vAlign w:val="bottom"/>
            <w:tcBorders>
              <w:top w:val="single" w:sz="8" w:color="CCEEFF"/>
              <w:bottom w:val="single" w:sz="8" w:color="CCEEFF"/>
            </w:tcBorders>
            <w:vMerge w:val="restart"/>
          </w:tcPr>
          <w:p>
            <w:pPr>
              <w:ind w:left="20"/>
              <w:spacing w:after="0"/>
              <w:rPr>
                <w:sz w:val="20"/>
                <w:szCs w:val="20"/>
                <w:color w:val="auto"/>
              </w:rPr>
            </w:pPr>
            <w:r>
              <w:rPr>
                <w:rFonts w:ascii="Calibri" w:cs="Calibri" w:eastAsia="Calibri" w:hAnsi="Calibri"/>
                <w:sz w:val="18"/>
                <w:szCs w:val="18"/>
                <w:b w:val="1"/>
                <w:bCs w:val="1"/>
                <w:color w:val="auto"/>
              </w:rPr>
              <w:t>Operatng income:</w:t>
            </w: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760" w:type="dxa"/>
            <w:vAlign w:val="bottom"/>
            <w:vMerge w:val="continue"/>
          </w:tcPr>
          <w:p>
            <w:pPr>
              <w:spacing w:after="0"/>
              <w:rPr>
                <w:sz w:val="24"/>
                <w:szCs w:val="24"/>
                <w:color w:val="auto"/>
              </w:rPr>
            </w:pPr>
          </w:p>
        </w:tc>
        <w:tc>
          <w:tcPr>
            <w:tcW w:w="8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
        </w:trPr>
        <w:tc>
          <w:tcPr>
            <w:tcW w:w="67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760" w:type="dxa"/>
            <w:vAlign w:val="bottom"/>
            <w:shd w:val="clear" w:color="auto" w:fill="CCEEFF"/>
          </w:tcPr>
          <w:p>
            <w:pPr>
              <w:ind w:left="140"/>
              <w:spacing w:after="0" w:line="210" w:lineRule="exact"/>
              <w:rPr>
                <w:sz w:val="20"/>
                <w:szCs w:val="20"/>
                <w:color w:val="auto"/>
              </w:rPr>
            </w:pPr>
            <w:r>
              <w:rPr>
                <w:rFonts w:ascii="Calibri" w:cs="Calibri" w:eastAsia="Calibri" w:hAnsi="Calibri"/>
                <w:sz w:val="18"/>
                <w:szCs w:val="18"/>
                <w:color w:val="auto"/>
              </w:rPr>
              <w:t>Semiconductor solutons</w:t>
            </w:r>
          </w:p>
        </w:tc>
        <w:tc>
          <w:tcPr>
            <w:tcW w:w="860" w:type="dxa"/>
            <w:vAlign w:val="bottom"/>
            <w:shd w:val="clear" w:color="auto" w:fill="CCEEFF"/>
          </w:tcPr>
          <w:p>
            <w:pPr>
              <w:jc w:val="right"/>
              <w:ind w:right="676"/>
              <w:spacing w:after="0" w:line="210" w:lineRule="exact"/>
              <w:rPr>
                <w:sz w:val="20"/>
                <w:szCs w:val="20"/>
                <w:color w:val="auto"/>
              </w:rPr>
            </w:pPr>
            <w:r>
              <w:rPr>
                <w:rFonts w:ascii="Calibri" w:cs="Calibri" w:eastAsia="Calibri" w:hAnsi="Calibri"/>
                <w:sz w:val="18"/>
                <w:szCs w:val="18"/>
                <w:color w:val="auto"/>
                <w:w w:val="87"/>
              </w:rPr>
              <w:t>$</w:t>
            </w:r>
          </w:p>
        </w:tc>
        <w:tc>
          <w:tcPr>
            <w:tcW w:w="560" w:type="dxa"/>
            <w:vAlign w:val="bottom"/>
            <w:shd w:val="clear" w:color="auto" w:fill="CCEEFF"/>
          </w:tcPr>
          <w:p>
            <w:pPr>
              <w:jc w:val="right"/>
              <w:spacing w:after="0" w:line="210" w:lineRule="exact"/>
              <w:rPr>
                <w:sz w:val="20"/>
                <w:szCs w:val="20"/>
                <w:color w:val="auto"/>
              </w:rPr>
            </w:pPr>
            <w:r>
              <w:rPr>
                <w:rFonts w:ascii="Calibri" w:cs="Calibri" w:eastAsia="Calibri" w:hAnsi="Calibri"/>
                <w:sz w:val="18"/>
                <w:szCs w:val="18"/>
                <w:color w:val="auto"/>
                <w:w w:val="95"/>
              </w:rPr>
              <w:t>16,486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2"/>
              <w:spacing w:after="0" w:line="210" w:lineRule="exact"/>
              <w:rPr>
                <w:sz w:val="20"/>
                <w:szCs w:val="20"/>
                <w:color w:val="auto"/>
              </w:rPr>
            </w:pPr>
            <w:r>
              <w:rPr>
                <w:rFonts w:ascii="Calibri" w:cs="Calibri" w:eastAsia="Calibri" w:hAnsi="Calibri"/>
                <w:sz w:val="18"/>
                <w:szCs w:val="18"/>
                <w:color w:val="auto"/>
              </w:rPr>
              <w:t>$</w:t>
            </w:r>
          </w:p>
        </w:tc>
        <w:tc>
          <w:tcPr>
            <w:tcW w:w="1200" w:type="dxa"/>
            <w:vAlign w:val="bottom"/>
            <w:shd w:val="clear" w:color="auto" w:fill="CCEEFF"/>
          </w:tcPr>
          <w:p>
            <w:pPr>
              <w:jc w:val="right"/>
              <w:spacing w:after="0" w:line="210" w:lineRule="exact"/>
              <w:rPr>
                <w:sz w:val="20"/>
                <w:szCs w:val="20"/>
                <w:color w:val="auto"/>
              </w:rPr>
            </w:pPr>
            <w:r>
              <w:rPr>
                <w:rFonts w:ascii="Calibri" w:cs="Calibri" w:eastAsia="Calibri" w:hAnsi="Calibri"/>
                <w:sz w:val="18"/>
                <w:szCs w:val="18"/>
                <w:color w:val="auto"/>
              </w:rPr>
              <w:t>15,075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2"/>
              <w:spacing w:after="0" w:line="210" w:lineRule="exact"/>
              <w:rPr>
                <w:sz w:val="20"/>
                <w:szCs w:val="20"/>
                <w:color w:val="auto"/>
              </w:rPr>
            </w:pPr>
            <w:r>
              <w:rPr>
                <w:rFonts w:ascii="Calibri" w:cs="Calibri" w:eastAsia="Calibri" w:hAnsi="Calibri"/>
                <w:sz w:val="18"/>
                <w:szCs w:val="18"/>
                <w:color w:val="auto"/>
                <w:w w:val="87"/>
              </w:rPr>
              <w:t>$</w:t>
            </w:r>
          </w:p>
        </w:tc>
        <w:tc>
          <w:tcPr>
            <w:tcW w:w="1080" w:type="dxa"/>
            <w:vAlign w:val="bottom"/>
            <w:shd w:val="clear" w:color="auto" w:fill="CCEEFF"/>
          </w:tcPr>
          <w:p>
            <w:pPr>
              <w:jc w:val="right"/>
              <w:spacing w:after="0" w:line="210" w:lineRule="exact"/>
              <w:rPr>
                <w:sz w:val="20"/>
                <w:szCs w:val="20"/>
                <w:color w:val="auto"/>
              </w:rPr>
            </w:pPr>
            <w:r>
              <w:rPr>
                <w:rFonts w:ascii="Calibri" w:cs="Calibri" w:eastAsia="Calibri" w:hAnsi="Calibri"/>
                <w:sz w:val="18"/>
                <w:szCs w:val="18"/>
                <w:color w:val="auto"/>
              </w:rPr>
              <w:t>10,976</w:t>
            </w:r>
          </w:p>
        </w:tc>
        <w:tc>
          <w:tcPr>
            <w:tcW w:w="0" w:type="dxa"/>
            <w:vAlign w:val="bottom"/>
          </w:tcPr>
          <w:p>
            <w:pPr>
              <w:spacing w:after="0"/>
              <w:rPr>
                <w:sz w:val="1"/>
                <w:szCs w:val="1"/>
                <w:color w:val="auto"/>
              </w:rPr>
            </w:pPr>
          </w:p>
        </w:tc>
      </w:tr>
      <w:tr>
        <w:trPr>
          <w:trHeight w:val="217"/>
        </w:trPr>
        <w:tc>
          <w:tcPr>
            <w:tcW w:w="6760" w:type="dxa"/>
            <w:vAlign w:val="bottom"/>
          </w:tcPr>
          <w:p>
            <w:pPr>
              <w:ind w:left="140"/>
              <w:spacing w:after="0" w:line="210" w:lineRule="exact"/>
              <w:rPr>
                <w:sz w:val="20"/>
                <w:szCs w:val="20"/>
                <w:color w:val="auto"/>
              </w:rPr>
            </w:pPr>
            <w:r>
              <w:rPr>
                <w:rFonts w:ascii="Calibri" w:cs="Calibri" w:eastAsia="Calibri" w:hAnsi="Calibri"/>
                <w:sz w:val="18"/>
                <w:szCs w:val="18"/>
                <w:color w:val="auto"/>
              </w:rPr>
              <w:t>Infrastructure sofware</w:t>
            </w:r>
          </w:p>
        </w:tc>
        <w:tc>
          <w:tcPr>
            <w:tcW w:w="860" w:type="dxa"/>
            <w:vAlign w:val="bottom"/>
          </w:tcPr>
          <w:p>
            <w:pPr>
              <w:spacing w:after="0"/>
              <w:rPr>
                <w:sz w:val="18"/>
                <w:szCs w:val="18"/>
                <w:color w:val="auto"/>
              </w:rPr>
            </w:pPr>
          </w:p>
        </w:tc>
        <w:tc>
          <w:tcPr>
            <w:tcW w:w="560" w:type="dxa"/>
            <w:vAlign w:val="bottom"/>
          </w:tcPr>
          <w:p>
            <w:pPr>
              <w:jc w:val="right"/>
              <w:spacing w:after="0" w:line="210" w:lineRule="exact"/>
              <w:rPr>
                <w:sz w:val="20"/>
                <w:szCs w:val="20"/>
                <w:color w:val="auto"/>
              </w:rPr>
            </w:pPr>
            <w:r>
              <w:rPr>
                <w:rFonts w:ascii="Calibri" w:cs="Calibri" w:eastAsia="Calibri" w:hAnsi="Calibri"/>
                <w:sz w:val="18"/>
                <w:szCs w:val="18"/>
                <w:color w:val="auto"/>
              </w:rPr>
              <w:t>5,639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jc w:val="right"/>
              <w:spacing w:after="0" w:line="210" w:lineRule="exact"/>
              <w:rPr>
                <w:sz w:val="20"/>
                <w:szCs w:val="20"/>
                <w:color w:val="auto"/>
              </w:rPr>
            </w:pPr>
            <w:r>
              <w:rPr>
                <w:rFonts w:ascii="Calibri" w:cs="Calibri" w:eastAsia="Calibri" w:hAnsi="Calibri"/>
                <w:sz w:val="18"/>
                <w:szCs w:val="18"/>
                <w:color w:val="auto"/>
              </w:rPr>
              <w:t>5,219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line="210" w:lineRule="exact"/>
              <w:rPr>
                <w:sz w:val="20"/>
                <w:szCs w:val="20"/>
                <w:color w:val="auto"/>
              </w:rPr>
            </w:pPr>
            <w:r>
              <w:rPr>
                <w:rFonts w:ascii="Calibri" w:cs="Calibri" w:eastAsia="Calibri" w:hAnsi="Calibri"/>
                <w:sz w:val="18"/>
                <w:szCs w:val="18"/>
                <w:color w:val="auto"/>
              </w:rPr>
              <w:t>4,936</w:t>
            </w:r>
          </w:p>
        </w:tc>
        <w:tc>
          <w:tcPr>
            <w:tcW w:w="0" w:type="dxa"/>
            <w:vAlign w:val="bottom"/>
          </w:tcPr>
          <w:p>
            <w:pPr>
              <w:spacing w:after="0"/>
              <w:rPr>
                <w:sz w:val="1"/>
                <w:szCs w:val="1"/>
                <w:color w:val="auto"/>
              </w:rPr>
            </w:pPr>
          </w:p>
        </w:tc>
      </w:tr>
      <w:tr>
        <w:trPr>
          <w:trHeight w:val="225"/>
        </w:trPr>
        <w:tc>
          <w:tcPr>
            <w:tcW w:w="6760" w:type="dxa"/>
            <w:vAlign w:val="bottom"/>
            <w:shd w:val="clear" w:color="auto" w:fill="CCEEFF"/>
          </w:tcPr>
          <w:p>
            <w:pPr>
              <w:ind w:left="140"/>
              <w:spacing w:after="0" w:line="217" w:lineRule="exact"/>
              <w:rPr>
                <w:sz w:val="20"/>
                <w:szCs w:val="20"/>
                <w:color w:val="auto"/>
              </w:rPr>
            </w:pPr>
            <w:r>
              <w:rPr>
                <w:rFonts w:ascii="Calibri" w:cs="Calibri" w:eastAsia="Calibri" w:hAnsi="Calibri"/>
                <w:sz w:val="18"/>
                <w:szCs w:val="18"/>
                <w:color w:val="auto"/>
              </w:rPr>
              <w:t>Unallocated expenses</w:t>
            </w:r>
          </w:p>
        </w:tc>
        <w:tc>
          <w:tcPr>
            <w:tcW w:w="86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line="217" w:lineRule="exact"/>
              <w:rPr>
                <w:sz w:val="20"/>
                <w:szCs w:val="20"/>
                <w:color w:val="auto"/>
              </w:rPr>
            </w:pPr>
            <w:r>
              <w:rPr>
                <w:rFonts w:ascii="Calibri" w:cs="Calibri" w:eastAsia="Calibri" w:hAnsi="Calibri"/>
                <w:sz w:val="18"/>
                <w:szCs w:val="18"/>
                <w:color w:val="auto"/>
              </w:rPr>
              <w:t>(5,918)</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line="217" w:lineRule="exact"/>
              <w:rPr>
                <w:sz w:val="20"/>
                <w:szCs w:val="20"/>
                <w:color w:val="auto"/>
              </w:rPr>
            </w:pPr>
            <w:r>
              <w:rPr>
                <w:rFonts w:ascii="Calibri" w:cs="Calibri" w:eastAsia="Calibri" w:hAnsi="Calibri"/>
                <w:sz w:val="18"/>
                <w:szCs w:val="18"/>
                <w:color w:val="auto"/>
              </w:rPr>
              <w:t>(6,069)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line="217" w:lineRule="exact"/>
              <w:rPr>
                <w:sz w:val="20"/>
                <w:szCs w:val="20"/>
                <w:color w:val="auto"/>
              </w:rPr>
            </w:pPr>
            <w:r>
              <w:rPr>
                <w:rFonts w:ascii="Calibri" w:cs="Calibri" w:eastAsia="Calibri" w:hAnsi="Calibri"/>
                <w:sz w:val="18"/>
                <w:szCs w:val="18"/>
                <w:color w:val="auto"/>
              </w:rPr>
              <w:t>(7,393)</w:t>
            </w:r>
          </w:p>
        </w:tc>
        <w:tc>
          <w:tcPr>
            <w:tcW w:w="0" w:type="dxa"/>
            <w:vAlign w:val="bottom"/>
          </w:tcPr>
          <w:p>
            <w:pPr>
              <w:spacing w:after="0"/>
              <w:rPr>
                <w:sz w:val="1"/>
                <w:szCs w:val="1"/>
                <w:color w:val="auto"/>
              </w:rPr>
            </w:pPr>
          </w:p>
        </w:tc>
      </w:tr>
      <w:tr>
        <w:trPr>
          <w:trHeight w:val="224"/>
        </w:trPr>
        <w:tc>
          <w:tcPr>
            <w:tcW w:w="6760" w:type="dxa"/>
            <w:vAlign w:val="bottom"/>
          </w:tcPr>
          <w:p>
            <w:pPr>
              <w:ind w:left="220"/>
              <w:spacing w:after="0"/>
              <w:rPr>
                <w:sz w:val="20"/>
                <w:szCs w:val="20"/>
                <w:color w:val="auto"/>
              </w:rPr>
            </w:pPr>
            <w:r>
              <w:rPr>
                <w:rFonts w:ascii="Calibri" w:cs="Calibri" w:eastAsia="Calibri" w:hAnsi="Calibri"/>
                <w:sz w:val="18"/>
                <w:szCs w:val="18"/>
                <w:color w:val="auto"/>
              </w:rPr>
              <w:t>Total operatng income</w:t>
            </w:r>
          </w:p>
        </w:tc>
        <w:tc>
          <w:tcPr>
            <w:tcW w:w="860" w:type="dxa"/>
            <w:vAlign w:val="bottom"/>
            <w:tcBorders>
              <w:bottom w:val="single" w:sz="8" w:color="auto"/>
            </w:tcBorders>
          </w:tcPr>
          <w:p>
            <w:pPr>
              <w:jc w:val="right"/>
              <w:ind w:right="676"/>
              <w:spacing w:after="0" w:line="210" w:lineRule="exact"/>
              <w:rPr>
                <w:sz w:val="20"/>
                <w:szCs w:val="20"/>
                <w:color w:val="auto"/>
              </w:rPr>
            </w:pPr>
            <w:r>
              <w:rPr>
                <w:rFonts w:ascii="Calibri" w:cs="Calibri" w:eastAsia="Calibri" w:hAnsi="Calibri"/>
                <w:sz w:val="18"/>
                <w:szCs w:val="18"/>
                <w:color w:val="auto"/>
                <w:w w:val="87"/>
              </w:rPr>
              <w:t>$</w:t>
            </w:r>
          </w:p>
        </w:tc>
        <w:tc>
          <w:tcPr>
            <w:tcW w:w="560" w:type="dxa"/>
            <w:vAlign w:val="bottom"/>
            <w:tcBorders>
              <w:bottom w:val="single" w:sz="8" w:color="auto"/>
            </w:tcBorders>
          </w:tcPr>
          <w:p>
            <w:pPr>
              <w:jc w:val="right"/>
              <w:spacing w:after="0" w:line="210" w:lineRule="exact"/>
              <w:rPr>
                <w:sz w:val="20"/>
                <w:szCs w:val="20"/>
                <w:color w:val="auto"/>
              </w:rPr>
            </w:pPr>
            <w:r>
              <w:rPr>
                <w:rFonts w:ascii="Calibri" w:cs="Calibri" w:eastAsia="Calibri" w:hAnsi="Calibri"/>
                <w:sz w:val="18"/>
                <w:szCs w:val="18"/>
                <w:color w:val="auto"/>
                <w:w w:val="95"/>
              </w:rPr>
              <w:t>16,207</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2"/>
              <w:spacing w:after="0" w:line="210" w:lineRule="exact"/>
              <w:rPr>
                <w:sz w:val="20"/>
                <w:szCs w:val="20"/>
                <w:color w:val="auto"/>
              </w:rPr>
            </w:pPr>
            <w:r>
              <w:rPr>
                <w:rFonts w:ascii="Calibri" w:cs="Calibri" w:eastAsia="Calibri" w:hAnsi="Calibri"/>
                <w:sz w:val="18"/>
                <w:szCs w:val="18"/>
                <w:color w:val="auto"/>
              </w:rPr>
              <w:t>$</w:t>
            </w:r>
          </w:p>
        </w:tc>
        <w:tc>
          <w:tcPr>
            <w:tcW w:w="1200" w:type="dxa"/>
            <w:vAlign w:val="bottom"/>
            <w:tcBorders>
              <w:bottom w:val="single" w:sz="8" w:color="auto"/>
            </w:tcBorders>
          </w:tcPr>
          <w:p>
            <w:pPr>
              <w:jc w:val="right"/>
              <w:spacing w:after="0" w:line="210" w:lineRule="exact"/>
              <w:rPr>
                <w:sz w:val="20"/>
                <w:szCs w:val="20"/>
                <w:color w:val="auto"/>
              </w:rPr>
            </w:pPr>
            <w:r>
              <w:rPr>
                <w:rFonts w:ascii="Calibri" w:cs="Calibri" w:eastAsia="Calibri" w:hAnsi="Calibri"/>
                <w:sz w:val="18"/>
                <w:szCs w:val="18"/>
                <w:color w:val="auto"/>
              </w:rPr>
              <w:t>14,225</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2"/>
              <w:spacing w:after="0" w:line="210" w:lineRule="exact"/>
              <w:rPr>
                <w:sz w:val="20"/>
                <w:szCs w:val="20"/>
                <w:color w:val="auto"/>
              </w:rPr>
            </w:pPr>
            <w:r>
              <w:rPr>
                <w:rFonts w:ascii="Calibri" w:cs="Calibri" w:eastAsia="Calibri" w:hAnsi="Calibri"/>
                <w:sz w:val="18"/>
                <w:szCs w:val="18"/>
                <w:color w:val="auto"/>
                <w:w w:val="87"/>
              </w:rPr>
              <w:t>$</w:t>
            </w:r>
          </w:p>
        </w:tc>
        <w:tc>
          <w:tcPr>
            <w:tcW w:w="1080" w:type="dxa"/>
            <w:vAlign w:val="bottom"/>
            <w:tcBorders>
              <w:bottom w:val="single" w:sz="8" w:color="auto"/>
            </w:tcBorders>
          </w:tcPr>
          <w:p>
            <w:pPr>
              <w:jc w:val="right"/>
              <w:spacing w:after="0" w:line="210" w:lineRule="exact"/>
              <w:rPr>
                <w:sz w:val="20"/>
                <w:szCs w:val="20"/>
                <w:color w:val="auto"/>
              </w:rPr>
            </w:pPr>
            <w:r>
              <w:rPr>
                <w:rFonts w:ascii="Calibri" w:cs="Calibri" w:eastAsia="Calibri" w:hAnsi="Calibri"/>
                <w:sz w:val="18"/>
                <w:szCs w:val="18"/>
                <w:color w:val="auto"/>
              </w:rPr>
              <w:t>8,519</w:t>
            </w:r>
          </w:p>
        </w:tc>
        <w:tc>
          <w:tcPr>
            <w:tcW w:w="0" w:type="dxa"/>
            <w:vAlign w:val="bottom"/>
          </w:tcPr>
          <w:p>
            <w:pPr>
              <w:spacing w:after="0"/>
              <w:rPr>
                <w:sz w:val="1"/>
                <w:szCs w:val="1"/>
                <w:color w:val="auto"/>
              </w:rPr>
            </w:pPr>
          </w:p>
        </w:tc>
      </w:tr>
      <w:tr>
        <w:trPr>
          <w:trHeight w:val="20"/>
        </w:trPr>
        <w:tc>
          <w:tcPr>
            <w:tcW w:w="67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8"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Geographic Informaton</w:t>
      </w:r>
    </w:p>
    <w:p>
      <w:pPr>
        <w:spacing w:after="0" w:line="107" w:lineRule="exact"/>
        <w:rPr>
          <w:sz w:val="20"/>
          <w:szCs w:val="20"/>
          <w:color w:val="auto"/>
        </w:rPr>
      </w:pPr>
    </w:p>
    <w:p>
      <w:pPr>
        <w:ind w:left="400"/>
        <w:spacing w:after="0"/>
        <w:rPr>
          <w:sz w:val="20"/>
          <w:szCs w:val="20"/>
          <w:color w:val="auto"/>
        </w:rPr>
      </w:pPr>
      <w:r>
        <w:rPr>
          <w:rFonts w:ascii="Calibri" w:cs="Calibri" w:eastAsia="Calibri" w:hAnsi="Calibri"/>
          <w:sz w:val="17"/>
          <w:szCs w:val="17"/>
          <w:color w:val="auto"/>
        </w:rPr>
        <w:t>Net revenue by country is based primarily on the geographic shipment or delivery locaton as specifed by the distributors, OEMs, contract manufacturers,</w:t>
      </w:r>
    </w:p>
    <w:p>
      <w:pPr>
        <w:spacing w:after="0" w:line="4" w:lineRule="exact"/>
        <w:rPr>
          <w:sz w:val="20"/>
          <w:szCs w:val="20"/>
          <w:color w:val="auto"/>
        </w:rPr>
      </w:pPr>
    </w:p>
    <w:p>
      <w:pPr>
        <w:spacing w:after="0"/>
        <w:rPr>
          <w:sz w:val="20"/>
          <w:szCs w:val="20"/>
          <w:color w:val="auto"/>
        </w:rPr>
      </w:pPr>
      <w:r>
        <w:rPr>
          <w:rFonts w:ascii="Calibri" w:cs="Calibri" w:eastAsia="Calibri" w:hAnsi="Calibri"/>
          <w:sz w:val="17"/>
          <w:szCs w:val="17"/>
          <w:color w:val="auto"/>
        </w:rPr>
        <w:t>channel partners, or sofware customers who purchased our products or services. For the majority of our products, ttle and control transfer to our customers in</w:t>
      </w:r>
    </w:p>
    <w:p>
      <w:pPr>
        <w:spacing w:after="0" w:line="4" w:lineRule="exact"/>
        <w:rPr>
          <w:sz w:val="20"/>
          <w:szCs w:val="20"/>
          <w:color w:val="auto"/>
        </w:rPr>
      </w:pPr>
    </w:p>
    <w:p>
      <w:pPr>
        <w:spacing w:after="0"/>
        <w:rPr>
          <w:sz w:val="20"/>
          <w:szCs w:val="20"/>
          <w:color w:val="auto"/>
        </w:rPr>
      </w:pPr>
      <w:r>
        <w:rPr>
          <w:rFonts w:ascii="Calibri" w:cs="Calibri" w:eastAsia="Calibri" w:hAnsi="Calibri"/>
          <w:sz w:val="17"/>
          <w:szCs w:val="17"/>
          <w:color w:val="auto"/>
        </w:rPr>
        <w:t>Penang, Malaysia. The products are then transported to the customer specifc locatons. Net revenue from the United States for fscal years 2023, 2022 and 2021</w:t>
      </w:r>
    </w:p>
    <w:p>
      <w:pPr>
        <w:spacing w:after="0" w:line="4" w:lineRule="exact"/>
        <w:rPr>
          <w:sz w:val="20"/>
          <w:szCs w:val="20"/>
          <w:color w:val="auto"/>
        </w:rPr>
      </w:pPr>
    </w:p>
    <w:p>
      <w:pPr>
        <w:spacing w:after="0"/>
        <w:rPr>
          <w:sz w:val="20"/>
          <w:szCs w:val="20"/>
          <w:color w:val="auto"/>
        </w:rPr>
      </w:pPr>
      <w:r>
        <w:rPr>
          <w:rFonts w:ascii="Calibri" w:cs="Calibri" w:eastAsia="Calibri" w:hAnsi="Calibri"/>
          <w:sz w:val="17"/>
          <w:szCs w:val="17"/>
          <w:color w:val="auto"/>
        </w:rPr>
        <w:t>was $6,975 million, $5,915 million and $5,285 million, respectvely. Net revenue from China (including Hong Kong) for fscal years 2023, 2022 and 2021 was</w:t>
      </w:r>
    </w:p>
    <w:p>
      <w:pPr>
        <w:spacing w:after="0" w:line="4" w:lineRule="exact"/>
        <w:rPr>
          <w:sz w:val="20"/>
          <w:szCs w:val="20"/>
          <w:color w:val="auto"/>
        </w:rPr>
      </w:pPr>
    </w:p>
    <w:p>
      <w:pPr>
        <w:spacing w:after="0"/>
        <w:rPr>
          <w:sz w:val="20"/>
          <w:szCs w:val="20"/>
          <w:color w:val="auto"/>
        </w:rPr>
      </w:pPr>
      <w:r>
        <w:rPr>
          <w:rFonts w:ascii="Calibri" w:cs="Calibri" w:eastAsia="Calibri" w:hAnsi="Calibri"/>
          <w:sz w:val="17"/>
          <w:szCs w:val="17"/>
          <w:color w:val="auto"/>
        </w:rPr>
        <w:t>$11,533 million, $11,637 million and $9,752 million, respectvely. Net revenue from Singapore for fscal years 2023, 2022 and 2021 was $4,479 million, $4,003</w:t>
      </w:r>
    </w:p>
    <w:p>
      <w:pPr>
        <w:spacing w:after="0" w:line="4" w:lineRule="exact"/>
        <w:rPr>
          <w:sz w:val="20"/>
          <w:szCs w:val="20"/>
          <w:color w:val="auto"/>
        </w:rPr>
      </w:pPr>
    </w:p>
    <w:p>
      <w:pPr>
        <w:spacing w:after="0"/>
        <w:rPr>
          <w:sz w:val="20"/>
          <w:szCs w:val="20"/>
          <w:color w:val="auto"/>
        </w:rPr>
      </w:pPr>
      <w:r>
        <w:rPr>
          <w:rFonts w:ascii="Calibri" w:cs="Calibri" w:eastAsia="Calibri" w:hAnsi="Calibri"/>
          <w:sz w:val="17"/>
          <w:szCs w:val="17"/>
          <w:color w:val="auto"/>
        </w:rPr>
        <w:t>million and $2,754 million, respectvely. Net revenue from other foreign countries for fscal years 2023, 2022 and 2021 was $12,832 million, $11,648 million and</w:t>
      </w:r>
    </w:p>
    <w:p>
      <w:pPr>
        <w:spacing w:after="0" w:line="4" w:lineRule="exact"/>
        <w:rPr>
          <w:sz w:val="20"/>
          <w:szCs w:val="20"/>
          <w:color w:val="auto"/>
        </w:rPr>
      </w:pPr>
    </w:p>
    <w:p>
      <w:pPr>
        <w:spacing w:after="0"/>
        <w:rPr>
          <w:sz w:val="20"/>
          <w:szCs w:val="20"/>
          <w:color w:val="auto"/>
        </w:rPr>
      </w:pPr>
      <w:r>
        <w:rPr>
          <w:rFonts w:ascii="Calibri" w:cs="Calibri" w:eastAsia="Calibri" w:hAnsi="Calibri"/>
          <w:sz w:val="17"/>
          <w:szCs w:val="17"/>
          <w:color w:val="auto"/>
        </w:rPr>
        <w:t>$9,659 million, respectvely. These geographic delivery locatons are not necessarily indicatve of the geographic locaton of our end customers or the country in</w:t>
      </w:r>
    </w:p>
    <w:p>
      <w:pPr>
        <w:spacing w:after="0" w:line="233" w:lineRule="auto"/>
        <w:rPr>
          <w:sz w:val="20"/>
          <w:szCs w:val="20"/>
          <w:color w:val="auto"/>
        </w:rPr>
      </w:pPr>
      <w:r>
        <w:rPr>
          <w:rFonts w:ascii="Calibri" w:cs="Calibri" w:eastAsia="Calibri" w:hAnsi="Calibri"/>
          <w:sz w:val="18"/>
          <w:szCs w:val="18"/>
          <w:color w:val="auto"/>
        </w:rPr>
        <w:t>which our end customers sell devices containing our products. For example, we believe a substantal porton of our products shipped or delivered to China</w:t>
      </w:r>
    </w:p>
    <w:p>
      <w:pPr>
        <w:spacing w:after="0" w:line="231" w:lineRule="auto"/>
        <w:rPr>
          <w:sz w:val="20"/>
          <w:szCs w:val="20"/>
          <w:color w:val="auto"/>
        </w:rPr>
      </w:pPr>
      <w:r>
        <w:rPr>
          <w:rFonts w:ascii="Calibri" w:cs="Calibri" w:eastAsia="Calibri" w:hAnsi="Calibri"/>
          <w:sz w:val="18"/>
          <w:szCs w:val="18"/>
          <w:color w:val="auto"/>
        </w:rPr>
        <w:t>(including Hong Kong) is included in devices sold by our end customers in the United States and Europe.</w:t>
      </w:r>
    </w:p>
    <w:p>
      <w:pPr>
        <w:spacing w:after="0" w:line="200" w:lineRule="exact"/>
        <w:rPr>
          <w:sz w:val="20"/>
          <w:szCs w:val="20"/>
          <w:color w:val="auto"/>
        </w:rPr>
      </w:pPr>
    </w:p>
    <w:p>
      <w:pPr>
        <w:spacing w:after="0" w:line="333"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9" w:right="339" w:bottom="1440" w:gutter="0" w:footer="0" w:header="0"/>
        </w:sectPr>
      </w:pPr>
    </w:p>
    <w:bookmarkStart w:id="85" w:name="page86"/>
    <w:bookmarkEnd w:id="85"/>
    <w:p>
      <w:pPr>
        <w:spacing w:after="0"/>
        <w:rPr>
          <w:sz w:val="20"/>
          <w:szCs w:val="20"/>
          <w:color w:val="auto"/>
        </w:rPr>
      </w:pPr>
      <w:r>
        <w:rPr>
          <w:rFonts w:ascii="Calibri" w:cs="Calibri" w:eastAsia="Calibri" w:hAnsi="Calibri"/>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400"/>
        <w:spacing w:after="0"/>
        <w:rPr>
          <w:sz w:val="20"/>
          <w:szCs w:val="20"/>
          <w:color w:val="auto"/>
        </w:rPr>
      </w:pPr>
      <w:r>
        <w:rPr>
          <w:rFonts w:ascii="Calibri" w:cs="Calibri" w:eastAsia="Calibri" w:hAnsi="Calibri"/>
          <w:sz w:val="18"/>
          <w:szCs w:val="18"/>
          <w:color w:val="auto"/>
        </w:rPr>
        <w:t>Long-lived assets include property, plant and equipment and are based on the physical locaton of the assets.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00" w:type="dxa"/>
            <w:vAlign w:val="bottom"/>
            <w:gridSpan w:val="2"/>
          </w:tcPr>
          <w:p>
            <w:pPr>
              <w:ind w:left="140"/>
              <w:spacing w:after="0"/>
              <w:rPr>
                <w:sz w:val="20"/>
                <w:szCs w:val="20"/>
                <w:color w:val="auto"/>
              </w:rPr>
            </w:pPr>
            <w:r>
              <w:rPr>
                <w:rFonts w:ascii="Calibri" w:cs="Calibri" w:eastAsia="Calibri" w:hAnsi="Calibri"/>
                <w:sz w:val="14"/>
                <w:szCs w:val="14"/>
                <w:b w:val="1"/>
                <w:bCs w:val="1"/>
                <w:color w:val="auto"/>
              </w:rPr>
              <w:t>October 29,</w:t>
            </w:r>
          </w:p>
        </w:tc>
        <w:tc>
          <w:tcPr>
            <w:tcW w:w="320" w:type="dxa"/>
            <w:vAlign w:val="bottom"/>
          </w:tcPr>
          <w:p>
            <w:pPr>
              <w:spacing w:after="0"/>
              <w:rPr>
                <w:sz w:val="14"/>
                <w:szCs w:val="14"/>
                <w:color w:val="auto"/>
              </w:rPr>
            </w:pPr>
          </w:p>
        </w:tc>
        <w:tc>
          <w:tcPr>
            <w:tcW w:w="1100" w:type="dxa"/>
            <w:vAlign w:val="bottom"/>
          </w:tcPr>
          <w:p>
            <w:pPr>
              <w:jc w:val="right"/>
              <w:ind w:right="278"/>
              <w:spacing w:after="0"/>
              <w:rPr>
                <w:sz w:val="20"/>
                <w:szCs w:val="20"/>
                <w:color w:val="auto"/>
              </w:rPr>
            </w:pPr>
            <w:r>
              <w:rPr>
                <w:rFonts w:ascii="Calibri" w:cs="Calibri" w:eastAsia="Calibri" w:hAnsi="Calibri"/>
                <w:sz w:val="14"/>
                <w:szCs w:val="14"/>
                <w:b w:val="1"/>
                <w:bCs w:val="1"/>
                <w:color w:val="auto"/>
              </w:rPr>
              <w:t>October 30,</w:t>
            </w:r>
          </w:p>
        </w:tc>
      </w:tr>
      <w:tr>
        <w:trPr>
          <w:trHeight w:val="168"/>
        </w:trPr>
        <w:tc>
          <w:tcPr>
            <w:tcW w:w="8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tcPr>
          <w:p>
            <w:pPr>
              <w:jc w:val="right"/>
              <w:ind w:right="500"/>
              <w:spacing w:after="0" w:line="168" w:lineRule="exact"/>
              <w:rPr>
                <w:sz w:val="20"/>
                <w:szCs w:val="20"/>
                <w:color w:val="auto"/>
              </w:rPr>
            </w:pPr>
            <w:r>
              <w:rPr>
                <w:rFonts w:ascii="Calibri" w:cs="Calibri" w:eastAsia="Calibri" w:hAnsi="Calibri"/>
                <w:sz w:val="14"/>
                <w:szCs w:val="14"/>
                <w:b w:val="1"/>
                <w:bCs w:val="1"/>
                <w:color w:val="auto"/>
              </w:rPr>
              <w:t>2023</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jc w:val="right"/>
              <w:ind w:right="478"/>
              <w:spacing w:after="0" w:line="168" w:lineRule="exact"/>
              <w:rPr>
                <w:sz w:val="20"/>
                <w:szCs w:val="20"/>
                <w:color w:val="auto"/>
              </w:rPr>
            </w:pPr>
            <w:r>
              <w:rPr>
                <w:rFonts w:ascii="Calibri" w:cs="Calibri" w:eastAsia="Calibri" w:hAnsi="Calibri"/>
                <w:sz w:val="14"/>
                <w:szCs w:val="14"/>
                <w:b w:val="1"/>
                <w:bCs w:val="1"/>
                <w:color w:val="auto"/>
              </w:rPr>
              <w:t>2022</w:t>
            </w:r>
          </w:p>
        </w:tc>
      </w:tr>
      <w:tr>
        <w:trPr>
          <w:trHeight w:val="32"/>
        </w:trPr>
        <w:tc>
          <w:tcPr>
            <w:tcW w:w="82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86"/>
        </w:trPr>
        <w:tc>
          <w:tcPr>
            <w:tcW w:w="8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20" w:type="dxa"/>
            <w:vAlign w:val="bottom"/>
            <w:gridSpan w:val="3"/>
          </w:tcPr>
          <w:p>
            <w:pPr>
              <w:jc w:val="right"/>
              <w:spacing w:after="0"/>
              <w:rPr>
                <w:sz w:val="20"/>
                <w:szCs w:val="20"/>
                <w:color w:val="auto"/>
              </w:rPr>
            </w:pPr>
            <w:r>
              <w:rPr>
                <w:rFonts w:ascii="Calibri" w:cs="Calibri" w:eastAsia="Calibri" w:hAnsi="Calibri"/>
                <w:sz w:val="14"/>
                <w:szCs w:val="14"/>
                <w:b w:val="1"/>
                <w:bCs w:val="1"/>
                <w:color w:val="auto"/>
              </w:rPr>
              <w:t>(In millions)</w:t>
            </w:r>
          </w:p>
        </w:tc>
        <w:tc>
          <w:tcPr>
            <w:tcW w:w="1100" w:type="dxa"/>
            <w:vAlign w:val="bottom"/>
          </w:tcPr>
          <w:p>
            <w:pPr>
              <w:spacing w:after="0"/>
              <w:rPr>
                <w:sz w:val="16"/>
                <w:szCs w:val="16"/>
                <w:color w:val="auto"/>
              </w:rPr>
            </w:pPr>
          </w:p>
        </w:tc>
      </w:tr>
      <w:tr>
        <w:trPr>
          <w:trHeight w:val="248"/>
        </w:trPr>
        <w:tc>
          <w:tcPr>
            <w:tcW w:w="8280" w:type="dxa"/>
            <w:vAlign w:val="bottom"/>
          </w:tcPr>
          <w:p>
            <w:pPr>
              <w:ind w:left="20"/>
              <w:spacing w:after="0"/>
              <w:rPr>
                <w:sz w:val="20"/>
                <w:szCs w:val="20"/>
                <w:color w:val="auto"/>
              </w:rPr>
            </w:pPr>
            <w:r>
              <w:rPr>
                <w:rFonts w:ascii="Calibri" w:cs="Calibri" w:eastAsia="Calibri" w:hAnsi="Calibri"/>
                <w:sz w:val="18"/>
                <w:szCs w:val="18"/>
                <w:b w:val="1"/>
                <w:bCs w:val="1"/>
                <w:color w:val="auto"/>
              </w:rPr>
              <w:t>Long-lived assets:</w:t>
            </w:r>
          </w:p>
        </w:tc>
        <w:tc>
          <w:tcPr>
            <w:tcW w:w="2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2"/>
        </w:trPr>
        <w:tc>
          <w:tcPr>
            <w:tcW w:w="8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24"/>
        </w:trPr>
        <w:tc>
          <w:tcPr>
            <w:tcW w:w="8280" w:type="dxa"/>
            <w:vAlign w:val="bottom"/>
            <w:shd w:val="clear" w:color="auto" w:fill="CCEEFF"/>
          </w:tcPr>
          <w:p>
            <w:pPr>
              <w:ind w:left="140"/>
              <w:spacing w:after="0" w:line="210" w:lineRule="exact"/>
              <w:rPr>
                <w:sz w:val="20"/>
                <w:szCs w:val="20"/>
                <w:color w:val="auto"/>
              </w:rPr>
            </w:pPr>
            <w:r>
              <w:rPr>
                <w:rFonts w:ascii="Calibri" w:cs="Calibri" w:eastAsia="Calibri" w:hAnsi="Calibri"/>
                <w:sz w:val="18"/>
                <w:szCs w:val="18"/>
                <w:color w:val="auto"/>
              </w:rPr>
              <w:t>United States</w:t>
            </w:r>
          </w:p>
        </w:tc>
        <w:tc>
          <w:tcPr>
            <w:tcW w:w="240" w:type="dxa"/>
            <w:vAlign w:val="bottom"/>
            <w:shd w:val="clear" w:color="auto" w:fill="CCEEFF"/>
          </w:tcPr>
          <w:p>
            <w:pPr>
              <w:jc w:val="right"/>
              <w:ind w:right="32"/>
              <w:spacing w:after="0" w:line="210" w:lineRule="exact"/>
              <w:rPr>
                <w:sz w:val="20"/>
                <w:szCs w:val="20"/>
                <w:color w:val="auto"/>
              </w:rPr>
            </w:pPr>
            <w:r>
              <w:rPr>
                <w:rFonts w:ascii="Calibri" w:cs="Calibri" w:eastAsia="Calibri" w:hAnsi="Calibri"/>
                <w:sz w:val="18"/>
                <w:szCs w:val="18"/>
                <w:color w:val="auto"/>
              </w:rPr>
              <w:t>$</w:t>
            </w:r>
          </w:p>
        </w:tc>
        <w:tc>
          <w:tcPr>
            <w:tcW w:w="1200" w:type="dxa"/>
            <w:vAlign w:val="bottom"/>
            <w:shd w:val="clear" w:color="auto" w:fill="CCEEFF"/>
          </w:tcPr>
          <w:p>
            <w:pPr>
              <w:jc w:val="right"/>
              <w:spacing w:after="0" w:line="210" w:lineRule="exact"/>
              <w:rPr>
                <w:sz w:val="20"/>
                <w:szCs w:val="20"/>
                <w:color w:val="auto"/>
              </w:rPr>
            </w:pPr>
            <w:r>
              <w:rPr>
                <w:rFonts w:ascii="Calibri" w:cs="Calibri" w:eastAsia="Calibri" w:hAnsi="Calibri"/>
                <w:sz w:val="18"/>
                <w:szCs w:val="18"/>
                <w:color w:val="auto"/>
              </w:rPr>
              <w:t>1,371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2"/>
              <w:spacing w:after="0" w:line="210" w:lineRule="exact"/>
              <w:rPr>
                <w:sz w:val="20"/>
                <w:szCs w:val="20"/>
                <w:color w:val="auto"/>
              </w:rPr>
            </w:pPr>
            <w:r>
              <w:rPr>
                <w:rFonts w:ascii="Calibri" w:cs="Calibri" w:eastAsia="Calibri" w:hAnsi="Calibri"/>
                <w:sz w:val="18"/>
                <w:szCs w:val="18"/>
                <w:color w:val="auto"/>
                <w:w w:val="87"/>
              </w:rPr>
              <w:t>$</w:t>
            </w:r>
          </w:p>
        </w:tc>
        <w:tc>
          <w:tcPr>
            <w:tcW w:w="1100" w:type="dxa"/>
            <w:vAlign w:val="bottom"/>
            <w:shd w:val="clear" w:color="auto" w:fill="CCEEFF"/>
          </w:tcPr>
          <w:p>
            <w:pPr>
              <w:jc w:val="right"/>
              <w:spacing w:after="0" w:line="210" w:lineRule="exact"/>
              <w:rPr>
                <w:sz w:val="20"/>
                <w:szCs w:val="20"/>
                <w:color w:val="auto"/>
              </w:rPr>
            </w:pPr>
            <w:r>
              <w:rPr>
                <w:rFonts w:ascii="Calibri" w:cs="Calibri" w:eastAsia="Calibri" w:hAnsi="Calibri"/>
                <w:sz w:val="18"/>
                <w:szCs w:val="18"/>
                <w:color w:val="auto"/>
              </w:rPr>
              <w:t>1,441</w:t>
            </w:r>
          </w:p>
        </w:tc>
      </w:tr>
      <w:tr>
        <w:trPr>
          <w:trHeight w:val="217"/>
        </w:trPr>
        <w:tc>
          <w:tcPr>
            <w:tcW w:w="8280" w:type="dxa"/>
            <w:vAlign w:val="bottom"/>
          </w:tcPr>
          <w:p>
            <w:pPr>
              <w:ind w:left="140"/>
              <w:spacing w:after="0" w:line="210" w:lineRule="exact"/>
              <w:rPr>
                <w:sz w:val="20"/>
                <w:szCs w:val="20"/>
                <w:color w:val="auto"/>
              </w:rPr>
            </w:pPr>
            <w:r>
              <w:rPr>
                <w:rFonts w:ascii="Calibri" w:cs="Calibri" w:eastAsia="Calibri" w:hAnsi="Calibri"/>
                <w:sz w:val="18"/>
                <w:szCs w:val="18"/>
                <w:color w:val="auto"/>
              </w:rPr>
              <w:t>Taiwan</w:t>
            </w:r>
          </w:p>
        </w:tc>
        <w:tc>
          <w:tcPr>
            <w:tcW w:w="240" w:type="dxa"/>
            <w:vAlign w:val="bottom"/>
          </w:tcPr>
          <w:p>
            <w:pPr>
              <w:spacing w:after="0"/>
              <w:rPr>
                <w:sz w:val="18"/>
                <w:szCs w:val="18"/>
                <w:color w:val="auto"/>
              </w:rPr>
            </w:pPr>
          </w:p>
        </w:tc>
        <w:tc>
          <w:tcPr>
            <w:tcW w:w="1200" w:type="dxa"/>
            <w:vAlign w:val="bottom"/>
          </w:tcPr>
          <w:p>
            <w:pPr>
              <w:jc w:val="right"/>
              <w:spacing w:after="0" w:line="210" w:lineRule="exact"/>
              <w:rPr>
                <w:sz w:val="20"/>
                <w:szCs w:val="20"/>
                <w:color w:val="auto"/>
              </w:rPr>
            </w:pPr>
            <w:r>
              <w:rPr>
                <w:rFonts w:ascii="Calibri" w:cs="Calibri" w:eastAsia="Calibri" w:hAnsi="Calibri"/>
                <w:sz w:val="18"/>
                <w:szCs w:val="18"/>
                <w:color w:val="auto"/>
              </w:rPr>
              <w:t>341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line="210" w:lineRule="exact"/>
              <w:rPr>
                <w:sz w:val="20"/>
                <w:szCs w:val="20"/>
                <w:color w:val="auto"/>
              </w:rPr>
            </w:pPr>
            <w:r>
              <w:rPr>
                <w:rFonts w:ascii="Calibri" w:cs="Calibri" w:eastAsia="Calibri" w:hAnsi="Calibri"/>
                <w:sz w:val="18"/>
                <w:szCs w:val="18"/>
                <w:color w:val="auto"/>
              </w:rPr>
              <w:t>318</w:t>
            </w:r>
          </w:p>
        </w:tc>
      </w:tr>
      <w:tr>
        <w:trPr>
          <w:trHeight w:val="225"/>
        </w:trPr>
        <w:tc>
          <w:tcPr>
            <w:tcW w:w="8280" w:type="dxa"/>
            <w:vAlign w:val="bottom"/>
            <w:shd w:val="clear" w:color="auto" w:fill="CCEEFF"/>
          </w:tcPr>
          <w:p>
            <w:pPr>
              <w:ind w:left="140"/>
              <w:spacing w:after="0" w:line="217" w:lineRule="exact"/>
              <w:rPr>
                <w:sz w:val="20"/>
                <w:szCs w:val="20"/>
                <w:color w:val="auto"/>
              </w:rPr>
            </w:pPr>
            <w:r>
              <w:rPr>
                <w:rFonts w:ascii="Calibri" w:cs="Calibri" w:eastAsia="Calibri" w:hAnsi="Calibri"/>
                <w:sz w:val="18"/>
                <w:szCs w:val="18"/>
                <w:color w:val="auto"/>
              </w:rPr>
              <w:t>Other</w:t>
            </w: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line="217" w:lineRule="exact"/>
              <w:rPr>
                <w:sz w:val="20"/>
                <w:szCs w:val="20"/>
                <w:color w:val="auto"/>
              </w:rPr>
            </w:pPr>
            <w:r>
              <w:rPr>
                <w:rFonts w:ascii="Calibri" w:cs="Calibri" w:eastAsia="Calibri" w:hAnsi="Calibri"/>
                <w:sz w:val="18"/>
                <w:szCs w:val="18"/>
                <w:color w:val="auto"/>
              </w:rPr>
              <w:t>442</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line="217" w:lineRule="exact"/>
              <w:rPr>
                <w:sz w:val="20"/>
                <w:szCs w:val="20"/>
                <w:color w:val="auto"/>
              </w:rPr>
            </w:pPr>
            <w:r>
              <w:rPr>
                <w:rFonts w:ascii="Calibri" w:cs="Calibri" w:eastAsia="Calibri" w:hAnsi="Calibri"/>
                <w:sz w:val="18"/>
                <w:szCs w:val="18"/>
                <w:color w:val="auto"/>
              </w:rPr>
              <w:t>464</w:t>
            </w:r>
          </w:p>
        </w:tc>
      </w:tr>
      <w:tr>
        <w:trPr>
          <w:trHeight w:val="224"/>
        </w:trPr>
        <w:tc>
          <w:tcPr>
            <w:tcW w:w="8280" w:type="dxa"/>
            <w:vAlign w:val="bottom"/>
          </w:tcPr>
          <w:p>
            <w:pPr>
              <w:ind w:left="220"/>
              <w:spacing w:after="0"/>
              <w:rPr>
                <w:sz w:val="20"/>
                <w:szCs w:val="20"/>
                <w:color w:val="auto"/>
              </w:rPr>
            </w:pPr>
            <w:r>
              <w:rPr>
                <w:rFonts w:ascii="Calibri" w:cs="Calibri" w:eastAsia="Calibri" w:hAnsi="Calibri"/>
                <w:sz w:val="18"/>
                <w:szCs w:val="18"/>
                <w:color w:val="auto"/>
              </w:rPr>
              <w:t>Total long-lived assets</w:t>
            </w:r>
          </w:p>
        </w:tc>
        <w:tc>
          <w:tcPr>
            <w:tcW w:w="240" w:type="dxa"/>
            <w:vAlign w:val="bottom"/>
            <w:tcBorders>
              <w:bottom w:val="single" w:sz="8" w:color="auto"/>
            </w:tcBorders>
          </w:tcPr>
          <w:p>
            <w:pPr>
              <w:jc w:val="right"/>
              <w:ind w:right="32"/>
              <w:spacing w:after="0" w:line="210" w:lineRule="exact"/>
              <w:rPr>
                <w:sz w:val="20"/>
                <w:szCs w:val="20"/>
                <w:color w:val="auto"/>
              </w:rPr>
            </w:pPr>
            <w:r>
              <w:rPr>
                <w:rFonts w:ascii="Calibri" w:cs="Calibri" w:eastAsia="Calibri" w:hAnsi="Calibri"/>
                <w:sz w:val="18"/>
                <w:szCs w:val="18"/>
                <w:color w:val="auto"/>
              </w:rPr>
              <w:t>$</w:t>
            </w:r>
          </w:p>
        </w:tc>
        <w:tc>
          <w:tcPr>
            <w:tcW w:w="1200" w:type="dxa"/>
            <w:vAlign w:val="bottom"/>
            <w:tcBorders>
              <w:bottom w:val="single" w:sz="8" w:color="auto"/>
            </w:tcBorders>
          </w:tcPr>
          <w:p>
            <w:pPr>
              <w:jc w:val="right"/>
              <w:spacing w:after="0" w:line="210" w:lineRule="exact"/>
              <w:rPr>
                <w:sz w:val="20"/>
                <w:szCs w:val="20"/>
                <w:color w:val="auto"/>
              </w:rPr>
            </w:pPr>
            <w:r>
              <w:rPr>
                <w:rFonts w:ascii="Calibri" w:cs="Calibri" w:eastAsia="Calibri" w:hAnsi="Calibri"/>
                <w:sz w:val="18"/>
                <w:szCs w:val="18"/>
                <w:color w:val="auto"/>
              </w:rPr>
              <w:t>2,154</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2"/>
              <w:spacing w:after="0" w:line="210" w:lineRule="exact"/>
              <w:rPr>
                <w:sz w:val="20"/>
                <w:szCs w:val="20"/>
                <w:color w:val="auto"/>
              </w:rPr>
            </w:pPr>
            <w:r>
              <w:rPr>
                <w:rFonts w:ascii="Calibri" w:cs="Calibri" w:eastAsia="Calibri" w:hAnsi="Calibri"/>
                <w:sz w:val="18"/>
                <w:szCs w:val="18"/>
                <w:color w:val="auto"/>
                <w:w w:val="87"/>
              </w:rPr>
              <w:t>$</w:t>
            </w:r>
          </w:p>
        </w:tc>
        <w:tc>
          <w:tcPr>
            <w:tcW w:w="1100" w:type="dxa"/>
            <w:vAlign w:val="bottom"/>
            <w:tcBorders>
              <w:bottom w:val="single" w:sz="8" w:color="auto"/>
            </w:tcBorders>
          </w:tcPr>
          <w:p>
            <w:pPr>
              <w:jc w:val="right"/>
              <w:spacing w:after="0" w:line="210" w:lineRule="exact"/>
              <w:rPr>
                <w:sz w:val="20"/>
                <w:szCs w:val="20"/>
                <w:color w:val="auto"/>
              </w:rPr>
            </w:pPr>
            <w:r>
              <w:rPr>
                <w:rFonts w:ascii="Calibri" w:cs="Calibri" w:eastAsia="Calibri" w:hAnsi="Calibri"/>
                <w:sz w:val="18"/>
                <w:szCs w:val="18"/>
                <w:color w:val="auto"/>
              </w:rPr>
              <w:t>2,223</w:t>
            </w:r>
          </w:p>
        </w:tc>
      </w:tr>
      <w:tr>
        <w:trPr>
          <w:trHeight w:val="20"/>
        </w:trPr>
        <w:tc>
          <w:tcPr>
            <w:tcW w:w="8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68"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Signifcant Customer Informaton</w:t>
      </w:r>
    </w:p>
    <w:p>
      <w:pPr>
        <w:spacing w:after="0" w:line="107" w:lineRule="exact"/>
        <w:rPr>
          <w:sz w:val="20"/>
          <w:szCs w:val="20"/>
          <w:color w:val="auto"/>
        </w:rPr>
      </w:pPr>
    </w:p>
    <w:p>
      <w:pPr>
        <w:jc w:val="both"/>
        <w:ind w:right="40" w:firstLine="396"/>
        <w:spacing w:after="0" w:line="230" w:lineRule="auto"/>
        <w:rPr>
          <w:sz w:val="20"/>
          <w:szCs w:val="20"/>
          <w:color w:val="auto"/>
        </w:rPr>
      </w:pPr>
      <w:r>
        <w:rPr>
          <w:rFonts w:ascii="Calibri" w:cs="Calibri" w:eastAsia="Calibri" w:hAnsi="Calibri"/>
          <w:sz w:val="18"/>
          <w:szCs w:val="18"/>
          <w:color w:val="auto"/>
        </w:rPr>
        <w:t>We sell our products through our direct sales force and a select network of distributors and channel partners globally. One customer accounted for 21% of our net accounts receivable balance as of October 29, 2023. Two customers accounted for 15% and 11% of our net accounts receivable balance as of October 30, 2022. During fscal years 2023, 2022 and 2021, one customer accounted for 21%, 20% and 18% of our net revenue, respectvely. Revenue from this customer was included in our semiconductor solutons segment.</w:t>
      </w:r>
    </w:p>
    <w:p>
      <w:pPr>
        <w:spacing w:after="0" w:line="99"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13. Commitments and Contngencies</w:t>
      </w:r>
    </w:p>
    <w:p>
      <w:pPr>
        <w:spacing w:after="0" w:line="97"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Commitments</w:t>
      </w:r>
    </w:p>
    <w:p>
      <w:pPr>
        <w:spacing w:after="0" w:line="97" w:lineRule="exact"/>
        <w:rPr>
          <w:sz w:val="20"/>
          <w:szCs w:val="20"/>
          <w:color w:val="auto"/>
        </w:rPr>
      </w:pPr>
    </w:p>
    <w:p>
      <w:pPr>
        <w:ind w:left="400"/>
        <w:spacing w:after="0"/>
        <w:rPr>
          <w:sz w:val="20"/>
          <w:szCs w:val="20"/>
          <w:color w:val="auto"/>
        </w:rPr>
      </w:pPr>
      <w:r>
        <w:rPr>
          <w:rFonts w:ascii="Calibri" w:cs="Calibri" w:eastAsia="Calibri" w:hAnsi="Calibri"/>
          <w:sz w:val="18"/>
          <w:szCs w:val="18"/>
          <w:color w:val="auto"/>
        </w:rPr>
        <w:t>The following table summarizes contractual obligatons and commitments as of October 29, 2023:</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020" w:type="dxa"/>
            <w:vAlign w:val="bottom"/>
            <w:vMerge w:val="restart"/>
          </w:tcPr>
          <w:p>
            <w:pPr>
              <w:ind w:left="20"/>
              <w:spacing w:after="0"/>
              <w:rPr>
                <w:sz w:val="20"/>
                <w:szCs w:val="20"/>
                <w:color w:val="auto"/>
              </w:rPr>
            </w:pPr>
            <w:r>
              <w:rPr>
                <w:rFonts w:ascii="Calibri" w:cs="Calibri" w:eastAsia="Calibri" w:hAnsi="Calibri"/>
                <w:sz w:val="18"/>
                <w:szCs w:val="18"/>
                <w:b w:val="1"/>
                <w:bCs w:val="1"/>
                <w:color w:val="auto"/>
              </w:rPr>
              <w:t>Fiscal Year:</w:t>
            </w:r>
          </w:p>
        </w:tc>
        <w:tc>
          <w:tcPr>
            <w:tcW w:w="6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00" w:type="dxa"/>
            <w:vAlign w:val="bottom"/>
          </w:tcPr>
          <w:p>
            <w:pPr>
              <w:jc w:val="right"/>
              <w:ind w:right="176"/>
              <w:spacing w:after="0"/>
              <w:rPr>
                <w:sz w:val="20"/>
                <w:szCs w:val="20"/>
                <w:color w:val="auto"/>
              </w:rPr>
            </w:pPr>
            <w:r>
              <w:rPr>
                <w:rFonts w:ascii="Calibri" w:cs="Calibri" w:eastAsia="Calibri" w:hAnsi="Calibri"/>
                <w:sz w:val="14"/>
                <w:szCs w:val="14"/>
                <w:b w:val="1"/>
                <w:bCs w:val="1"/>
                <w:color w:val="auto"/>
                <w:w w:val="97"/>
              </w:rPr>
              <w:t>Other Contractual</w:t>
            </w:r>
          </w:p>
        </w:tc>
        <w:tc>
          <w:tcPr>
            <w:tcW w:w="0" w:type="dxa"/>
            <w:vAlign w:val="bottom"/>
          </w:tcPr>
          <w:p>
            <w:pPr>
              <w:spacing w:after="0"/>
              <w:rPr>
                <w:sz w:val="1"/>
                <w:szCs w:val="1"/>
                <w:color w:val="auto"/>
              </w:rPr>
            </w:pPr>
          </w:p>
        </w:tc>
      </w:tr>
      <w:tr>
        <w:trPr>
          <w:trHeight w:val="189"/>
        </w:trPr>
        <w:tc>
          <w:tcPr>
            <w:tcW w:w="8020" w:type="dxa"/>
            <w:vAlign w:val="bottom"/>
            <w:vMerge w:val="continue"/>
          </w:tcPr>
          <w:p>
            <w:pPr>
              <w:spacing w:after="0"/>
              <w:rPr>
                <w:sz w:val="16"/>
                <w:szCs w:val="16"/>
                <w:color w:val="auto"/>
              </w:rPr>
            </w:pPr>
          </w:p>
        </w:tc>
        <w:tc>
          <w:tcPr>
            <w:tcW w:w="1660" w:type="dxa"/>
            <w:vAlign w:val="bottom"/>
            <w:gridSpan w:val="3"/>
          </w:tcPr>
          <w:p>
            <w:pPr>
              <w:ind w:left="80"/>
              <w:spacing w:after="0" w:line="168" w:lineRule="exact"/>
              <w:rPr>
                <w:sz w:val="20"/>
                <w:szCs w:val="20"/>
                <w:color w:val="auto"/>
              </w:rPr>
            </w:pPr>
            <w:r>
              <w:rPr>
                <w:rFonts w:ascii="Calibri" w:cs="Calibri" w:eastAsia="Calibri" w:hAnsi="Calibri"/>
                <w:sz w:val="14"/>
                <w:szCs w:val="14"/>
                <w:b w:val="1"/>
                <w:bCs w:val="1"/>
                <w:color w:val="auto"/>
              </w:rPr>
              <w:t>Purchase Commitments</w:t>
            </w:r>
          </w:p>
        </w:tc>
        <w:tc>
          <w:tcPr>
            <w:tcW w:w="260" w:type="dxa"/>
            <w:vAlign w:val="bottom"/>
          </w:tcPr>
          <w:p>
            <w:pPr>
              <w:spacing w:after="0"/>
              <w:rPr>
                <w:sz w:val="16"/>
                <w:szCs w:val="16"/>
                <w:color w:val="auto"/>
              </w:rPr>
            </w:pPr>
          </w:p>
        </w:tc>
        <w:tc>
          <w:tcPr>
            <w:tcW w:w="1300" w:type="dxa"/>
            <w:vAlign w:val="bottom"/>
          </w:tcPr>
          <w:p>
            <w:pPr>
              <w:jc w:val="right"/>
              <w:ind w:right="276"/>
              <w:spacing w:after="0" w:line="168" w:lineRule="exact"/>
              <w:rPr>
                <w:sz w:val="20"/>
                <w:szCs w:val="20"/>
                <w:color w:val="auto"/>
              </w:rPr>
            </w:pPr>
            <w:r>
              <w:rPr>
                <w:rFonts w:ascii="Calibri" w:cs="Calibri" w:eastAsia="Calibri" w:hAnsi="Calibri"/>
                <w:sz w:val="14"/>
                <w:szCs w:val="14"/>
                <w:b w:val="1"/>
                <w:bCs w:val="1"/>
                <w:color w:val="auto"/>
              </w:rPr>
              <w:t>Commitments</w:t>
            </w:r>
          </w:p>
        </w:tc>
        <w:tc>
          <w:tcPr>
            <w:tcW w:w="0" w:type="dxa"/>
            <w:vAlign w:val="bottom"/>
          </w:tcPr>
          <w:p>
            <w:pPr>
              <w:spacing w:after="0"/>
              <w:rPr>
                <w:sz w:val="1"/>
                <w:szCs w:val="1"/>
                <w:color w:val="auto"/>
              </w:rPr>
            </w:pPr>
          </w:p>
        </w:tc>
      </w:tr>
      <w:tr>
        <w:trPr>
          <w:trHeight w:val="22"/>
        </w:trPr>
        <w:tc>
          <w:tcPr>
            <w:tcW w:w="80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80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60" w:type="dxa"/>
            <w:vAlign w:val="bottom"/>
            <w:gridSpan w:val="3"/>
          </w:tcPr>
          <w:p>
            <w:pPr>
              <w:jc w:val="right"/>
              <w:spacing w:after="0" w:line="168" w:lineRule="exact"/>
              <w:rPr>
                <w:sz w:val="20"/>
                <w:szCs w:val="20"/>
                <w:color w:val="auto"/>
              </w:rPr>
            </w:pPr>
            <w:r>
              <w:rPr>
                <w:rFonts w:ascii="Calibri" w:cs="Calibri" w:eastAsia="Calibri" w:hAnsi="Calibri"/>
                <w:sz w:val="14"/>
                <w:szCs w:val="14"/>
                <w:b w:val="1"/>
                <w:bCs w:val="1"/>
                <w:color w:val="auto"/>
              </w:rPr>
              <w:t>(In millions)</w:t>
            </w: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3"/>
        </w:trPr>
        <w:tc>
          <w:tcPr>
            <w:tcW w:w="8020" w:type="dxa"/>
            <w:vAlign w:val="bottom"/>
            <w:shd w:val="clear" w:color="auto" w:fill="CCEEFF"/>
          </w:tcPr>
          <w:p>
            <w:pPr>
              <w:ind w:left="20"/>
              <w:spacing w:after="0" w:line="218" w:lineRule="exact"/>
              <w:rPr>
                <w:sz w:val="20"/>
                <w:szCs w:val="20"/>
                <w:color w:val="auto"/>
              </w:rPr>
            </w:pPr>
            <w:r>
              <w:rPr>
                <w:rFonts w:ascii="Calibri" w:cs="Calibri" w:eastAsia="Calibri" w:hAnsi="Calibri"/>
                <w:sz w:val="18"/>
                <w:szCs w:val="18"/>
                <w:color w:val="auto"/>
              </w:rPr>
              <w:t>2024</w:t>
            </w:r>
          </w:p>
        </w:tc>
        <w:tc>
          <w:tcPr>
            <w:tcW w:w="660" w:type="dxa"/>
            <w:vAlign w:val="bottom"/>
            <w:shd w:val="clear" w:color="auto" w:fill="CCEEFF"/>
          </w:tcPr>
          <w:p>
            <w:pPr>
              <w:jc w:val="right"/>
              <w:ind w:right="478"/>
              <w:spacing w:after="0" w:line="218" w:lineRule="exact"/>
              <w:rPr>
                <w:sz w:val="20"/>
                <w:szCs w:val="20"/>
                <w:color w:val="auto"/>
              </w:rPr>
            </w:pPr>
            <w:r>
              <w:rPr>
                <w:rFonts w:ascii="Calibri" w:cs="Calibri" w:eastAsia="Calibri" w:hAnsi="Calibri"/>
                <w:sz w:val="18"/>
                <w:szCs w:val="18"/>
                <w:color w:val="auto"/>
                <w:w w:val="87"/>
              </w:rPr>
              <w:t>$</w:t>
            </w:r>
          </w:p>
        </w:tc>
        <w:tc>
          <w:tcPr>
            <w:tcW w:w="900" w:type="dxa"/>
            <w:vAlign w:val="bottom"/>
            <w:shd w:val="clear" w:color="auto" w:fill="CCEEFF"/>
          </w:tcPr>
          <w:p>
            <w:pPr>
              <w:jc w:val="right"/>
              <w:spacing w:after="0" w:line="218" w:lineRule="exact"/>
              <w:rPr>
                <w:sz w:val="20"/>
                <w:szCs w:val="20"/>
                <w:color w:val="auto"/>
              </w:rPr>
            </w:pPr>
            <w:r>
              <w:rPr>
                <w:rFonts w:ascii="Calibri" w:cs="Calibri" w:eastAsia="Calibri" w:hAnsi="Calibri"/>
                <w:sz w:val="18"/>
                <w:szCs w:val="18"/>
                <w:color w:val="auto"/>
              </w:rPr>
              <w:t>254</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52"/>
              <w:spacing w:after="0" w:line="218" w:lineRule="exact"/>
              <w:rPr>
                <w:sz w:val="20"/>
                <w:szCs w:val="20"/>
                <w:color w:val="auto"/>
              </w:rPr>
            </w:pPr>
            <w:r>
              <w:rPr>
                <w:rFonts w:ascii="Calibri" w:cs="Calibri" w:eastAsia="Calibri" w:hAnsi="Calibri"/>
                <w:sz w:val="18"/>
                <w:szCs w:val="18"/>
                <w:color w:val="auto"/>
              </w:rPr>
              <w:t>$</w:t>
            </w:r>
          </w:p>
        </w:tc>
        <w:tc>
          <w:tcPr>
            <w:tcW w:w="1300" w:type="dxa"/>
            <w:vAlign w:val="bottom"/>
            <w:shd w:val="clear" w:color="auto" w:fill="CCEEFF"/>
          </w:tcPr>
          <w:p>
            <w:pPr>
              <w:jc w:val="right"/>
              <w:spacing w:after="0" w:line="218" w:lineRule="exact"/>
              <w:rPr>
                <w:sz w:val="20"/>
                <w:szCs w:val="20"/>
                <w:color w:val="auto"/>
              </w:rPr>
            </w:pPr>
            <w:r>
              <w:rPr>
                <w:rFonts w:ascii="Calibri" w:cs="Calibri" w:eastAsia="Calibri" w:hAnsi="Calibri"/>
                <w:sz w:val="18"/>
                <w:szCs w:val="18"/>
                <w:color w:val="auto"/>
              </w:rPr>
              <w:t>328</w:t>
            </w:r>
          </w:p>
        </w:tc>
        <w:tc>
          <w:tcPr>
            <w:tcW w:w="0" w:type="dxa"/>
            <w:vAlign w:val="bottom"/>
          </w:tcPr>
          <w:p>
            <w:pPr>
              <w:spacing w:after="0"/>
              <w:rPr>
                <w:sz w:val="1"/>
                <w:szCs w:val="1"/>
                <w:color w:val="auto"/>
              </w:rPr>
            </w:pPr>
          </w:p>
        </w:tc>
      </w:tr>
      <w:tr>
        <w:trPr>
          <w:trHeight w:val="217"/>
        </w:trPr>
        <w:tc>
          <w:tcPr>
            <w:tcW w:w="8020" w:type="dxa"/>
            <w:vAlign w:val="bottom"/>
          </w:tcPr>
          <w:p>
            <w:pPr>
              <w:ind w:left="20"/>
              <w:spacing w:after="0" w:line="210" w:lineRule="exact"/>
              <w:rPr>
                <w:sz w:val="20"/>
                <w:szCs w:val="20"/>
                <w:color w:val="auto"/>
              </w:rPr>
            </w:pPr>
            <w:r>
              <w:rPr>
                <w:rFonts w:ascii="Calibri" w:cs="Calibri" w:eastAsia="Calibri" w:hAnsi="Calibri"/>
                <w:sz w:val="18"/>
                <w:szCs w:val="18"/>
                <w:color w:val="auto"/>
              </w:rPr>
              <w:t>2025</w:t>
            </w:r>
          </w:p>
        </w:tc>
        <w:tc>
          <w:tcPr>
            <w:tcW w:w="660" w:type="dxa"/>
            <w:vAlign w:val="bottom"/>
          </w:tcPr>
          <w:p>
            <w:pPr>
              <w:spacing w:after="0"/>
              <w:rPr>
                <w:sz w:val="18"/>
                <w:szCs w:val="18"/>
                <w:color w:val="auto"/>
              </w:rPr>
            </w:pPr>
          </w:p>
        </w:tc>
        <w:tc>
          <w:tcPr>
            <w:tcW w:w="900" w:type="dxa"/>
            <w:vAlign w:val="bottom"/>
          </w:tcPr>
          <w:p>
            <w:pPr>
              <w:jc w:val="right"/>
              <w:spacing w:after="0" w:line="210" w:lineRule="exact"/>
              <w:rPr>
                <w:sz w:val="20"/>
                <w:szCs w:val="20"/>
                <w:color w:val="auto"/>
              </w:rPr>
            </w:pPr>
            <w:r>
              <w:rPr>
                <w:rFonts w:ascii="Calibri" w:cs="Calibri" w:eastAsia="Calibri" w:hAnsi="Calibri"/>
                <w:sz w:val="18"/>
                <w:szCs w:val="18"/>
                <w:color w:val="auto"/>
              </w:rPr>
              <w:t>168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jc w:val="right"/>
              <w:spacing w:after="0" w:line="210" w:lineRule="exact"/>
              <w:rPr>
                <w:sz w:val="20"/>
                <w:szCs w:val="20"/>
                <w:color w:val="auto"/>
              </w:rPr>
            </w:pPr>
            <w:r>
              <w:rPr>
                <w:rFonts w:ascii="Calibri" w:cs="Calibri" w:eastAsia="Calibri" w:hAnsi="Calibri"/>
                <w:sz w:val="18"/>
                <w:szCs w:val="18"/>
                <w:color w:val="auto"/>
              </w:rPr>
              <w:t>269</w:t>
            </w:r>
          </w:p>
        </w:tc>
        <w:tc>
          <w:tcPr>
            <w:tcW w:w="0" w:type="dxa"/>
            <w:vAlign w:val="bottom"/>
          </w:tcPr>
          <w:p>
            <w:pPr>
              <w:spacing w:after="0"/>
              <w:rPr>
                <w:sz w:val="1"/>
                <w:szCs w:val="1"/>
                <w:color w:val="auto"/>
              </w:rPr>
            </w:pPr>
          </w:p>
        </w:tc>
      </w:tr>
      <w:tr>
        <w:trPr>
          <w:trHeight w:val="232"/>
        </w:trPr>
        <w:tc>
          <w:tcPr>
            <w:tcW w:w="8020" w:type="dxa"/>
            <w:vAlign w:val="bottom"/>
            <w:shd w:val="clear" w:color="auto" w:fill="CCEEFF"/>
          </w:tcPr>
          <w:p>
            <w:pPr>
              <w:ind w:left="20"/>
              <w:spacing w:after="0" w:line="217" w:lineRule="exact"/>
              <w:rPr>
                <w:sz w:val="20"/>
                <w:szCs w:val="20"/>
                <w:color w:val="auto"/>
              </w:rPr>
            </w:pPr>
            <w:r>
              <w:rPr>
                <w:rFonts w:ascii="Calibri" w:cs="Calibri" w:eastAsia="Calibri" w:hAnsi="Calibri"/>
                <w:sz w:val="18"/>
                <w:szCs w:val="18"/>
                <w:color w:val="auto"/>
              </w:rPr>
              <w:t>2026</w:t>
            </w:r>
          </w:p>
        </w:tc>
        <w:tc>
          <w:tcPr>
            <w:tcW w:w="66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line="217" w:lineRule="exact"/>
              <w:rPr>
                <w:sz w:val="20"/>
                <w:szCs w:val="20"/>
                <w:color w:val="auto"/>
              </w:rPr>
            </w:pPr>
            <w:r>
              <w:rPr>
                <w:rFonts w:ascii="Calibri" w:cs="Calibri" w:eastAsia="Calibri" w:hAnsi="Calibri"/>
                <w:sz w:val="18"/>
                <w:szCs w:val="18"/>
                <w:color w:val="auto"/>
              </w:rPr>
              <w:t>11</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line="217" w:lineRule="exact"/>
              <w:rPr>
                <w:sz w:val="20"/>
                <w:szCs w:val="20"/>
                <w:color w:val="auto"/>
              </w:rPr>
            </w:pPr>
            <w:r>
              <w:rPr>
                <w:rFonts w:ascii="Calibri" w:cs="Calibri" w:eastAsia="Calibri" w:hAnsi="Calibri"/>
                <w:sz w:val="18"/>
                <w:szCs w:val="18"/>
                <w:color w:val="auto"/>
              </w:rPr>
              <w:t>278</w:t>
            </w:r>
          </w:p>
        </w:tc>
        <w:tc>
          <w:tcPr>
            <w:tcW w:w="0" w:type="dxa"/>
            <w:vAlign w:val="bottom"/>
          </w:tcPr>
          <w:p>
            <w:pPr>
              <w:spacing w:after="0"/>
              <w:rPr>
                <w:sz w:val="1"/>
                <w:szCs w:val="1"/>
                <w:color w:val="auto"/>
              </w:rPr>
            </w:pPr>
          </w:p>
        </w:tc>
      </w:tr>
      <w:tr>
        <w:trPr>
          <w:trHeight w:val="217"/>
        </w:trPr>
        <w:tc>
          <w:tcPr>
            <w:tcW w:w="8020" w:type="dxa"/>
            <w:vAlign w:val="bottom"/>
          </w:tcPr>
          <w:p>
            <w:pPr>
              <w:ind w:left="20"/>
              <w:spacing w:after="0" w:line="210" w:lineRule="exact"/>
              <w:rPr>
                <w:sz w:val="20"/>
                <w:szCs w:val="20"/>
                <w:color w:val="auto"/>
              </w:rPr>
            </w:pPr>
            <w:r>
              <w:rPr>
                <w:rFonts w:ascii="Calibri" w:cs="Calibri" w:eastAsia="Calibri" w:hAnsi="Calibri"/>
                <w:sz w:val="18"/>
                <w:szCs w:val="18"/>
                <w:color w:val="auto"/>
              </w:rPr>
              <w:t>2027</w:t>
            </w:r>
          </w:p>
        </w:tc>
        <w:tc>
          <w:tcPr>
            <w:tcW w:w="660" w:type="dxa"/>
            <w:vAlign w:val="bottom"/>
          </w:tcPr>
          <w:p>
            <w:pPr>
              <w:spacing w:after="0"/>
              <w:rPr>
                <w:sz w:val="18"/>
                <w:szCs w:val="18"/>
                <w:color w:val="auto"/>
              </w:rPr>
            </w:pPr>
          </w:p>
        </w:tc>
        <w:tc>
          <w:tcPr>
            <w:tcW w:w="900" w:type="dxa"/>
            <w:vAlign w:val="bottom"/>
          </w:tcPr>
          <w:p>
            <w:pPr>
              <w:jc w:val="right"/>
              <w:spacing w:after="0" w:line="210" w:lineRule="exact"/>
              <w:rPr>
                <w:sz w:val="20"/>
                <w:szCs w:val="20"/>
                <w:color w:val="auto"/>
              </w:rPr>
            </w:pPr>
            <w:r>
              <w:rPr>
                <w:rFonts w:ascii="Calibri" w:cs="Calibri" w:eastAsia="Calibri" w:hAnsi="Calibri"/>
                <w:sz w:val="18"/>
                <w:szCs w:val="18"/>
                <w:color w:val="auto"/>
              </w:rPr>
              <w:t>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jc w:val="right"/>
              <w:spacing w:after="0" w:line="210" w:lineRule="exact"/>
              <w:rPr>
                <w:sz w:val="20"/>
                <w:szCs w:val="20"/>
                <w:color w:val="auto"/>
              </w:rPr>
            </w:pPr>
            <w:r>
              <w:rPr>
                <w:rFonts w:ascii="Calibri" w:cs="Calibri" w:eastAsia="Calibri" w:hAnsi="Calibri"/>
                <w:sz w:val="18"/>
                <w:szCs w:val="18"/>
                <w:color w:val="auto"/>
              </w:rPr>
              <w:t>219</w:t>
            </w:r>
          </w:p>
        </w:tc>
        <w:tc>
          <w:tcPr>
            <w:tcW w:w="0" w:type="dxa"/>
            <w:vAlign w:val="bottom"/>
          </w:tcPr>
          <w:p>
            <w:pPr>
              <w:spacing w:after="0"/>
              <w:rPr>
                <w:sz w:val="1"/>
                <w:szCs w:val="1"/>
                <w:color w:val="auto"/>
              </w:rPr>
            </w:pPr>
          </w:p>
        </w:tc>
      </w:tr>
      <w:tr>
        <w:trPr>
          <w:trHeight w:val="232"/>
        </w:trPr>
        <w:tc>
          <w:tcPr>
            <w:tcW w:w="8020" w:type="dxa"/>
            <w:vAlign w:val="bottom"/>
            <w:shd w:val="clear" w:color="auto" w:fill="CCEEFF"/>
          </w:tcPr>
          <w:p>
            <w:pPr>
              <w:ind w:left="20"/>
              <w:spacing w:after="0" w:line="217" w:lineRule="exact"/>
              <w:rPr>
                <w:sz w:val="20"/>
                <w:szCs w:val="20"/>
                <w:color w:val="auto"/>
              </w:rPr>
            </w:pPr>
            <w:r>
              <w:rPr>
                <w:rFonts w:ascii="Calibri" w:cs="Calibri" w:eastAsia="Calibri" w:hAnsi="Calibri"/>
                <w:sz w:val="18"/>
                <w:szCs w:val="18"/>
                <w:color w:val="auto"/>
              </w:rPr>
              <w:t>2028</w:t>
            </w:r>
          </w:p>
        </w:tc>
        <w:tc>
          <w:tcPr>
            <w:tcW w:w="66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line="217" w:lineRule="exact"/>
              <w:rPr>
                <w:sz w:val="20"/>
                <w:szCs w:val="20"/>
                <w:color w:val="auto"/>
              </w:rPr>
            </w:pPr>
            <w:r>
              <w:rPr>
                <w:rFonts w:ascii="Calibri" w:cs="Calibri" w:eastAsia="Calibri" w:hAnsi="Calibri"/>
                <w:sz w:val="18"/>
                <w:szCs w:val="18"/>
                <w:color w:val="auto"/>
              </w:rPr>
              <w:t>7</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line="217" w:lineRule="exact"/>
              <w:rPr>
                <w:sz w:val="20"/>
                <w:szCs w:val="20"/>
                <w:color w:val="auto"/>
              </w:rPr>
            </w:pPr>
            <w:r>
              <w:rPr>
                <w:rFonts w:ascii="Calibri" w:cs="Calibri" w:eastAsia="Calibri" w:hAnsi="Calibri"/>
                <w:sz w:val="18"/>
                <w:szCs w:val="18"/>
                <w:color w:val="auto"/>
              </w:rPr>
              <w:t>176</w:t>
            </w:r>
          </w:p>
        </w:tc>
        <w:tc>
          <w:tcPr>
            <w:tcW w:w="0" w:type="dxa"/>
            <w:vAlign w:val="bottom"/>
          </w:tcPr>
          <w:p>
            <w:pPr>
              <w:spacing w:after="0"/>
              <w:rPr>
                <w:sz w:val="1"/>
                <w:szCs w:val="1"/>
                <w:color w:val="auto"/>
              </w:rPr>
            </w:pPr>
          </w:p>
        </w:tc>
      </w:tr>
      <w:tr>
        <w:trPr>
          <w:trHeight w:val="218"/>
        </w:trPr>
        <w:tc>
          <w:tcPr>
            <w:tcW w:w="8020" w:type="dxa"/>
            <w:vAlign w:val="bottom"/>
          </w:tcPr>
          <w:p>
            <w:pPr>
              <w:ind w:left="20"/>
              <w:spacing w:after="0" w:line="210" w:lineRule="exact"/>
              <w:rPr>
                <w:sz w:val="20"/>
                <w:szCs w:val="20"/>
                <w:color w:val="auto"/>
              </w:rPr>
            </w:pPr>
            <w:r>
              <w:rPr>
                <w:rFonts w:ascii="Calibri" w:cs="Calibri" w:eastAsia="Calibri" w:hAnsi="Calibri"/>
                <w:sz w:val="18"/>
                <w:szCs w:val="18"/>
                <w:color w:val="auto"/>
              </w:rPr>
              <w:t>Thereafer</w:t>
            </w:r>
          </w:p>
        </w:tc>
        <w:tc>
          <w:tcPr>
            <w:tcW w:w="660" w:type="dxa"/>
            <w:vAlign w:val="bottom"/>
          </w:tcPr>
          <w:p>
            <w:pPr>
              <w:spacing w:after="0"/>
              <w:rPr>
                <w:sz w:val="18"/>
                <w:szCs w:val="18"/>
                <w:color w:val="auto"/>
              </w:rPr>
            </w:pPr>
          </w:p>
        </w:tc>
        <w:tc>
          <w:tcPr>
            <w:tcW w:w="1000" w:type="dxa"/>
            <w:vAlign w:val="bottom"/>
            <w:gridSpan w:val="2"/>
          </w:tcPr>
          <w:p>
            <w:pPr>
              <w:jc w:val="right"/>
              <w:ind w:right="160"/>
              <w:spacing w:after="0" w:line="210" w:lineRule="exact"/>
              <w:rPr>
                <w:sz w:val="20"/>
                <w:szCs w:val="20"/>
                <w:color w:val="auto"/>
              </w:rPr>
            </w:pPr>
            <w:r>
              <w:rPr>
                <w:rFonts w:ascii="Calibri" w:cs="Calibri" w:eastAsia="Calibri" w:hAnsi="Calibri"/>
                <w:sz w:val="18"/>
                <w:szCs w:val="18"/>
                <w:color w:val="auto"/>
              </w:rPr>
              <w:t>—</w:t>
            </w:r>
          </w:p>
        </w:tc>
        <w:tc>
          <w:tcPr>
            <w:tcW w:w="260" w:type="dxa"/>
            <w:vAlign w:val="bottom"/>
          </w:tcPr>
          <w:p>
            <w:pPr>
              <w:spacing w:after="0"/>
              <w:rPr>
                <w:sz w:val="18"/>
                <w:szCs w:val="18"/>
                <w:color w:val="auto"/>
              </w:rPr>
            </w:pPr>
          </w:p>
        </w:tc>
        <w:tc>
          <w:tcPr>
            <w:tcW w:w="1300" w:type="dxa"/>
            <w:vAlign w:val="bottom"/>
          </w:tcPr>
          <w:p>
            <w:pPr>
              <w:jc w:val="right"/>
              <w:spacing w:after="0" w:line="210" w:lineRule="exact"/>
              <w:rPr>
                <w:sz w:val="20"/>
                <w:szCs w:val="20"/>
                <w:color w:val="auto"/>
              </w:rPr>
            </w:pPr>
            <w:r>
              <w:rPr>
                <w:rFonts w:ascii="Calibri" w:cs="Calibri" w:eastAsia="Calibri" w:hAnsi="Calibri"/>
                <w:sz w:val="18"/>
                <w:szCs w:val="18"/>
                <w:color w:val="auto"/>
              </w:rPr>
              <w:t>341</w:t>
            </w:r>
          </w:p>
        </w:tc>
        <w:tc>
          <w:tcPr>
            <w:tcW w:w="0" w:type="dxa"/>
            <w:vAlign w:val="bottom"/>
          </w:tcPr>
          <w:p>
            <w:pPr>
              <w:spacing w:after="0"/>
              <w:rPr>
                <w:sz w:val="1"/>
                <w:szCs w:val="1"/>
                <w:color w:val="auto"/>
              </w:rPr>
            </w:pPr>
          </w:p>
        </w:tc>
      </w:tr>
      <w:tr>
        <w:trPr>
          <w:trHeight w:val="249"/>
        </w:trPr>
        <w:tc>
          <w:tcPr>
            <w:tcW w:w="802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Calibri" w:cs="Calibri" w:eastAsia="Calibri" w:hAnsi="Calibri"/>
                <w:sz w:val="18"/>
                <w:szCs w:val="18"/>
                <w:color w:val="auto"/>
              </w:rPr>
              <w:t>Total</w:t>
            </w:r>
          </w:p>
        </w:tc>
        <w:tc>
          <w:tcPr>
            <w:tcW w:w="660" w:type="dxa"/>
            <w:vAlign w:val="bottom"/>
            <w:tcBorders>
              <w:top w:val="single" w:sz="8" w:color="auto"/>
              <w:bottom w:val="single" w:sz="8" w:color="auto"/>
            </w:tcBorders>
            <w:shd w:val="clear" w:color="auto" w:fill="CCEEFF"/>
          </w:tcPr>
          <w:p>
            <w:pPr>
              <w:jc w:val="right"/>
              <w:ind w:right="478"/>
              <w:spacing w:after="0" w:line="210" w:lineRule="exact"/>
              <w:rPr>
                <w:sz w:val="20"/>
                <w:szCs w:val="20"/>
                <w:color w:val="auto"/>
              </w:rPr>
            </w:pPr>
            <w:r>
              <w:rPr>
                <w:rFonts w:ascii="Calibri" w:cs="Calibri" w:eastAsia="Calibri" w:hAnsi="Calibri"/>
                <w:sz w:val="18"/>
                <w:szCs w:val="18"/>
                <w:color w:val="auto"/>
                <w:w w:val="87"/>
              </w:rPr>
              <w:t>$</w:t>
            </w:r>
          </w:p>
        </w:tc>
        <w:tc>
          <w:tcPr>
            <w:tcW w:w="900" w:type="dxa"/>
            <w:vAlign w:val="bottom"/>
            <w:tcBorders>
              <w:top w:val="single" w:sz="8" w:color="auto"/>
              <w:bottom w:val="single" w:sz="8" w:color="auto"/>
            </w:tcBorders>
            <w:shd w:val="clear" w:color="auto" w:fill="CCEEFF"/>
          </w:tcPr>
          <w:p>
            <w:pPr>
              <w:jc w:val="right"/>
              <w:spacing w:after="0" w:line="210" w:lineRule="exact"/>
              <w:rPr>
                <w:sz w:val="20"/>
                <w:szCs w:val="20"/>
                <w:color w:val="auto"/>
              </w:rPr>
            </w:pPr>
            <w:r>
              <w:rPr>
                <w:rFonts w:ascii="Calibri" w:cs="Calibri" w:eastAsia="Calibri" w:hAnsi="Calibri"/>
                <w:sz w:val="18"/>
                <w:szCs w:val="18"/>
                <w:color w:val="auto"/>
              </w:rPr>
              <w:t>447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52"/>
              <w:spacing w:after="0" w:line="210" w:lineRule="exact"/>
              <w:rPr>
                <w:sz w:val="20"/>
                <w:szCs w:val="20"/>
                <w:color w:val="auto"/>
              </w:rPr>
            </w:pPr>
            <w:r>
              <w:rPr>
                <w:rFonts w:ascii="Calibri" w:cs="Calibri" w:eastAsia="Calibri" w:hAnsi="Calibri"/>
                <w:sz w:val="18"/>
                <w:szCs w:val="18"/>
                <w:color w:val="auto"/>
              </w:rPr>
              <w:t>$</w:t>
            </w:r>
          </w:p>
        </w:tc>
        <w:tc>
          <w:tcPr>
            <w:tcW w:w="1300" w:type="dxa"/>
            <w:vAlign w:val="bottom"/>
            <w:tcBorders>
              <w:top w:val="single" w:sz="8" w:color="auto"/>
              <w:bottom w:val="single" w:sz="8" w:color="auto"/>
            </w:tcBorders>
            <w:shd w:val="clear" w:color="auto" w:fill="CCEEFF"/>
          </w:tcPr>
          <w:p>
            <w:pPr>
              <w:jc w:val="right"/>
              <w:spacing w:after="0" w:line="210" w:lineRule="exact"/>
              <w:rPr>
                <w:sz w:val="20"/>
                <w:szCs w:val="20"/>
                <w:color w:val="auto"/>
              </w:rPr>
            </w:pPr>
            <w:r>
              <w:rPr>
                <w:rFonts w:ascii="Calibri" w:cs="Calibri" w:eastAsia="Calibri" w:hAnsi="Calibri"/>
                <w:sz w:val="18"/>
                <w:szCs w:val="18"/>
                <w:color w:val="auto"/>
              </w:rPr>
              <w:t>1,611</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4" w:lineRule="exact"/>
        <w:rPr>
          <w:sz w:val="20"/>
          <w:szCs w:val="20"/>
          <w:color w:val="auto"/>
        </w:rPr>
      </w:pPr>
    </w:p>
    <w:p>
      <w:pPr>
        <w:ind w:right="140" w:firstLine="396"/>
        <w:spacing w:after="0" w:line="230" w:lineRule="auto"/>
        <w:rPr>
          <w:sz w:val="20"/>
          <w:szCs w:val="20"/>
          <w:color w:val="auto"/>
        </w:rPr>
      </w:pPr>
      <w:r>
        <w:rPr>
          <w:rFonts w:ascii="Calibri" w:cs="Calibri" w:eastAsia="Calibri" w:hAnsi="Calibri"/>
          <w:sz w:val="18"/>
          <w:szCs w:val="18"/>
          <w:i w:val="1"/>
          <w:iCs w:val="1"/>
          <w:color w:val="auto"/>
        </w:rPr>
        <w:t xml:space="preserve">Purchase Commitments. </w:t>
      </w:r>
      <w:r>
        <w:rPr>
          <w:rFonts w:ascii="Calibri" w:cs="Calibri" w:eastAsia="Calibri" w:hAnsi="Calibri"/>
          <w:sz w:val="18"/>
          <w:szCs w:val="18"/>
          <w:color w:val="auto"/>
        </w:rPr>
        <w:t>Represent unconditonal purchase obligatons to purchase goods or services, primarily inventory, that are enforceable and legally</w:t>
      </w:r>
      <w:r>
        <w:rPr>
          <w:rFonts w:ascii="Calibri" w:cs="Calibri" w:eastAsia="Calibri" w:hAnsi="Calibri"/>
          <w:sz w:val="18"/>
          <w:szCs w:val="18"/>
          <w:i w:val="1"/>
          <w:iCs w:val="1"/>
          <w:color w:val="auto"/>
        </w:rPr>
        <w:t xml:space="preserve"> </w:t>
      </w:r>
      <w:r>
        <w:rPr>
          <w:rFonts w:ascii="Calibri" w:cs="Calibri" w:eastAsia="Calibri" w:hAnsi="Calibri"/>
          <w:sz w:val="18"/>
          <w:szCs w:val="18"/>
          <w:color w:val="auto"/>
        </w:rPr>
        <w:t>binding on us and specify all signifcant terms, including fxed or minimum quanttes to be purchased, price provisions, and the approximate tming of the transacton. Purchase obligatons exclude agreements that are cancelable without penalty and unconditonal purchase obligatons with a remaining term of one year or less.</w:t>
      </w:r>
    </w:p>
    <w:p>
      <w:pPr>
        <w:spacing w:after="0" w:line="99" w:lineRule="exact"/>
        <w:rPr>
          <w:sz w:val="20"/>
          <w:szCs w:val="20"/>
          <w:color w:val="auto"/>
        </w:rPr>
      </w:pPr>
    </w:p>
    <w:p>
      <w:pPr>
        <w:ind w:left="400"/>
        <w:spacing w:after="0"/>
        <w:rPr>
          <w:sz w:val="20"/>
          <w:szCs w:val="20"/>
          <w:color w:val="auto"/>
        </w:rPr>
      </w:pPr>
      <w:r>
        <w:rPr>
          <w:rFonts w:ascii="Calibri" w:cs="Calibri" w:eastAsia="Calibri" w:hAnsi="Calibri"/>
          <w:sz w:val="18"/>
          <w:szCs w:val="18"/>
          <w:i w:val="1"/>
          <w:iCs w:val="1"/>
          <w:color w:val="auto"/>
        </w:rPr>
        <w:t xml:space="preserve">Other Contractual Commitments. </w:t>
      </w:r>
      <w:r>
        <w:rPr>
          <w:rFonts w:ascii="Calibri" w:cs="Calibri" w:eastAsia="Calibri" w:hAnsi="Calibri"/>
          <w:sz w:val="18"/>
          <w:szCs w:val="18"/>
          <w:color w:val="auto"/>
        </w:rPr>
        <w:t>Represent amounts payable pursuant to agreements related to IT and other service agreements.</w:t>
      </w:r>
    </w:p>
    <w:p>
      <w:pPr>
        <w:spacing w:after="0" w:line="107" w:lineRule="exact"/>
        <w:rPr>
          <w:sz w:val="20"/>
          <w:szCs w:val="20"/>
          <w:color w:val="auto"/>
        </w:rPr>
      </w:pPr>
    </w:p>
    <w:p>
      <w:pPr>
        <w:jc w:val="both"/>
        <w:ind w:right="200" w:firstLine="396"/>
        <w:spacing w:after="0" w:line="230" w:lineRule="auto"/>
        <w:rPr>
          <w:sz w:val="20"/>
          <w:szCs w:val="20"/>
          <w:color w:val="auto"/>
        </w:rPr>
      </w:pPr>
      <w:r>
        <w:rPr>
          <w:rFonts w:ascii="Calibri" w:cs="Calibri" w:eastAsia="Calibri" w:hAnsi="Calibri"/>
          <w:sz w:val="18"/>
          <w:szCs w:val="18"/>
          <w:color w:val="auto"/>
        </w:rPr>
        <w:t>Due to the inherent uncertainty with respect to the tming of future cash outlows associated with our unrecognized tax benefts at October 29, 2023, we are unable to reliably estmate the tming of cash setlement with the respectve taxing authorites. Therefore, $2,792 million of unrecognized tax benefts and accrued interest and penaltes as of October 29, 2023 have been excluded from the table above.</w:t>
      </w:r>
    </w:p>
    <w:p>
      <w:pPr>
        <w:spacing w:after="0" w:line="98"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Contngencies</w:t>
      </w:r>
    </w:p>
    <w:p>
      <w:pPr>
        <w:spacing w:after="0" w:line="107" w:lineRule="exact"/>
        <w:rPr>
          <w:sz w:val="20"/>
          <w:szCs w:val="20"/>
          <w:color w:val="auto"/>
        </w:rPr>
      </w:pPr>
    </w:p>
    <w:p>
      <w:pPr>
        <w:ind w:right="80" w:firstLine="396"/>
        <w:spacing w:after="0" w:line="230" w:lineRule="auto"/>
        <w:rPr>
          <w:sz w:val="20"/>
          <w:szCs w:val="20"/>
          <w:color w:val="auto"/>
        </w:rPr>
      </w:pPr>
      <w:r>
        <w:rPr>
          <w:rFonts w:ascii="Calibri" w:cs="Calibri" w:eastAsia="Calibri" w:hAnsi="Calibri"/>
          <w:sz w:val="18"/>
          <w:szCs w:val="18"/>
          <w:color w:val="auto"/>
        </w:rPr>
        <w:t>From tme to tme, we are involved in litgaton that we believe is of the type common to companies engaged in our lines of business, including commercial disputes, employment issues, tax disputes and disputes involving claims by third partes that our actvites infringe their patent, copyright, trademark or other IP rights, as well as regulatory investgatons or inquiries. Legal proceedings and regulatory investgatons or inquiries are ofen complex, may require the expenditure of signifcant funds and other resources, and the outcomes of such proceedings are inherently uncertain, with material adverse outcomes possible. IP property claims generally involve the demand by a third-party that we cease the manufacture, use or sale of the allegedly infringing products, processes or technologies and/or pay substantal damages or royaltes for past, present and future use of the allegedly infringing IP. Claims that our products or processes infringe or misappropriate any</w:t>
      </w: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9" w:right="339" w:bottom="1440" w:gutter="0" w:footer="0" w:header="0"/>
        </w:sectPr>
      </w:pPr>
    </w:p>
    <w:bookmarkStart w:id="86" w:name="page87"/>
    <w:bookmarkEnd w:id="86"/>
    <w:p>
      <w:pPr>
        <w:spacing w:after="0"/>
        <w:rPr>
          <w:sz w:val="20"/>
          <w:szCs w:val="20"/>
          <w:color w:val="auto"/>
        </w:rPr>
      </w:pPr>
      <w:r>
        <w:rPr>
          <w:rFonts w:ascii="Calibri" w:cs="Calibri" w:eastAsia="Calibri" w:hAnsi="Calibri"/>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right="160"/>
        <w:spacing w:after="0" w:line="230" w:lineRule="auto"/>
        <w:rPr>
          <w:sz w:val="20"/>
          <w:szCs w:val="20"/>
          <w:color w:val="auto"/>
        </w:rPr>
      </w:pPr>
      <w:r>
        <w:rPr>
          <w:rFonts w:ascii="Calibri" w:cs="Calibri" w:eastAsia="Calibri" w:hAnsi="Calibri"/>
          <w:sz w:val="18"/>
          <w:szCs w:val="18"/>
          <w:color w:val="auto"/>
        </w:rPr>
        <w:t>third-party IP rights (including claims arising through our contractual indemnifcaton of our customers) ofen involve highly complex, technical issues, the outcome of which is inherently uncertain. Moreover, from tme to tme, we pursue litgaton to assert our IP rights. Regardless of the merit or resoluton of any such litgaton, complex IP litgaton is generally costly and diverts the eforts and atenton of our management and technical personnel.</w:t>
      </w:r>
    </w:p>
    <w:p>
      <w:pPr>
        <w:spacing w:after="0" w:line="98" w:lineRule="exact"/>
        <w:rPr>
          <w:sz w:val="20"/>
          <w:szCs w:val="20"/>
          <w:color w:val="auto"/>
        </w:rPr>
      </w:pPr>
    </w:p>
    <w:p>
      <w:pPr>
        <w:ind w:left="400"/>
        <w:spacing w:after="0"/>
        <w:rPr>
          <w:sz w:val="20"/>
          <w:szCs w:val="20"/>
          <w:color w:val="auto"/>
        </w:rPr>
      </w:pPr>
      <w:r>
        <w:rPr>
          <w:rFonts w:ascii="Calibri" w:cs="Calibri" w:eastAsia="Calibri" w:hAnsi="Calibri"/>
          <w:sz w:val="18"/>
          <w:szCs w:val="18"/>
          <w:b w:val="1"/>
          <w:bCs w:val="1"/>
          <w:i w:val="1"/>
          <w:iCs w:val="1"/>
          <w:color w:val="auto"/>
        </w:rPr>
        <w:t>Lawsuits Relatng to California Insttute of Technology</w:t>
      </w:r>
    </w:p>
    <w:p>
      <w:pPr>
        <w:spacing w:after="0" w:line="107" w:lineRule="exact"/>
        <w:rPr>
          <w:sz w:val="20"/>
          <w:szCs w:val="20"/>
          <w:color w:val="auto"/>
        </w:rPr>
      </w:pPr>
    </w:p>
    <w:p>
      <w:pPr>
        <w:ind w:right="40" w:firstLine="396"/>
        <w:spacing w:after="0" w:line="244" w:lineRule="auto"/>
        <w:rPr>
          <w:sz w:val="20"/>
          <w:szCs w:val="20"/>
          <w:color w:val="auto"/>
        </w:rPr>
      </w:pPr>
      <w:r>
        <w:rPr>
          <w:rFonts w:ascii="Calibri" w:cs="Calibri" w:eastAsia="Calibri" w:hAnsi="Calibri"/>
          <w:sz w:val="17"/>
          <w:szCs w:val="17"/>
          <w:color w:val="auto"/>
        </w:rPr>
        <w:t>California Insttute of Technology ("Caltech") fled a complaint against Broadcom and Apple Inc. on May 26, 2016 in the United States District Court for the Central District of California (the “U.S. Central District Court”), and an amended complaint adding Cypress Semiconductor Corporaton as a defendant on August 15, 2016. The amended complaint alleged that chips that support certain error correcton codes as specifed in IEEE Standards 802.11n and 802.11ac willfully infringed four patents related to error correcton coding: U.S. Patent Nos. 7,116,710; 7,421,032; 7,916,781; and 8,284,833 (“’833 patent”). Prior to trial, Caltech dismissed its claims against Cypress and withdrew its infringement allegatons as to ‘833 patent. The complaint sought a preliminary and permanent injuncton, damages, pre- and post-judgment interest, as well as atorneys’ fees, costs, and expenses. The trial was held in January 2020, and on January 29, 2020, the jury issued its verdict fnding infringement and awarding Caltech past damages of $270.2 million from Broadcom and $837.8 million from Apple, for which Apple is seeking indemnifcaton from Broadcom. On August 3, 2020, the U.S. Central District Court issued its judgment, awarding Caltech past damages in the amounts awarded by the jury, as well as pre- and post-judgment interest. Additonally, the U.S. Central District Court awarded Caltech an unspecifed amount of ongoing royaltes to be determined afer the antcipated appeals process is resolved. Neither the jury nor the U.S. Central District Court found willful infringement, which if it had, could have resulted in enhanced damages up to three tmes the amount awarded. Broadcom and Apple appealed to the United States Court of Appeals for the Federal Circuit (the “Federal Circuit Court”). In February 2022, the Federal Circuit Court afrmed infringement of two patents, both of which expired in August 2020, but it did not address all issues and ordered a new trial on damages and on the infringement of the 7,916,781 patent, which also expired in August 2020. In May 2022, the Federal Circuit Court denied the petton for rehearing fled by Broadcom and Apple, and remanded the case to the U.S. Central District Court. Subsequently, Caltech withdrew its infringement allegatons as to the 7,916,781 patent. In September 2023, we entered into a setlement and patent license agreement with Caltech pursuant to which we agreed to pay an aggregate of $160 million over fve years and the case was dismissed with prejudice.</w:t>
      </w:r>
    </w:p>
    <w:p>
      <w:pPr>
        <w:spacing w:after="0" w:line="101" w:lineRule="exact"/>
        <w:rPr>
          <w:sz w:val="20"/>
          <w:szCs w:val="20"/>
          <w:color w:val="auto"/>
        </w:rPr>
      </w:pPr>
    </w:p>
    <w:p>
      <w:pPr>
        <w:ind w:left="400"/>
        <w:spacing w:after="0"/>
        <w:rPr>
          <w:sz w:val="20"/>
          <w:szCs w:val="20"/>
          <w:color w:val="auto"/>
        </w:rPr>
      </w:pPr>
      <w:r>
        <w:rPr>
          <w:rFonts w:ascii="Calibri" w:cs="Calibri" w:eastAsia="Calibri" w:hAnsi="Calibri"/>
          <w:sz w:val="18"/>
          <w:szCs w:val="18"/>
          <w:b w:val="1"/>
          <w:bCs w:val="1"/>
          <w:i w:val="1"/>
          <w:iCs w:val="1"/>
          <w:color w:val="auto"/>
        </w:rPr>
        <w:t>Other Maters</w:t>
      </w:r>
    </w:p>
    <w:p>
      <w:pPr>
        <w:spacing w:after="0" w:line="97" w:lineRule="exact"/>
        <w:rPr>
          <w:sz w:val="20"/>
          <w:szCs w:val="20"/>
          <w:color w:val="auto"/>
        </w:rPr>
      </w:pPr>
    </w:p>
    <w:p>
      <w:pPr>
        <w:ind w:left="400"/>
        <w:spacing w:after="0"/>
        <w:rPr>
          <w:sz w:val="20"/>
          <w:szCs w:val="20"/>
          <w:color w:val="auto"/>
        </w:rPr>
      </w:pPr>
      <w:r>
        <w:rPr>
          <w:rFonts w:ascii="Calibri" w:cs="Calibri" w:eastAsia="Calibri" w:hAnsi="Calibri"/>
          <w:sz w:val="18"/>
          <w:szCs w:val="18"/>
          <w:color w:val="auto"/>
        </w:rPr>
        <w:t>In additon to the maters discussed above, we are currently engaged in a number of legal actons in the ordinary course of our business.</w:t>
      </w:r>
    </w:p>
    <w:p>
      <w:pPr>
        <w:spacing w:after="0" w:line="97"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Contngency Assessment</w:t>
      </w:r>
    </w:p>
    <w:p>
      <w:pPr>
        <w:spacing w:after="0" w:line="107" w:lineRule="exact"/>
        <w:rPr>
          <w:sz w:val="20"/>
          <w:szCs w:val="20"/>
          <w:color w:val="auto"/>
        </w:rPr>
      </w:pPr>
    </w:p>
    <w:p>
      <w:pPr>
        <w:ind w:right="20" w:firstLine="396"/>
        <w:spacing w:after="0" w:line="230" w:lineRule="auto"/>
        <w:rPr>
          <w:sz w:val="20"/>
          <w:szCs w:val="20"/>
          <w:color w:val="auto"/>
        </w:rPr>
      </w:pPr>
      <w:r>
        <w:rPr>
          <w:rFonts w:ascii="Calibri" w:cs="Calibri" w:eastAsia="Calibri" w:hAnsi="Calibri"/>
          <w:sz w:val="18"/>
          <w:szCs w:val="18"/>
          <w:color w:val="auto"/>
        </w:rPr>
        <w:t>We do not believe, based on currently available facts and circumstances, that the fnal outcome of any pending legal proceedings or ongoing regulatory investgatons, taken individually or as a whole, will have a material adverse efect on our consolidated fnancial statements. However, lawsuits may involve complex questons of fact and law and may require the expenditure of signifcant funds and other resources to defend. The results of litgaton or regulatory investgatons are inherently uncertain, and material adverse outcomes are possible. From tme to tme, we may enter into confdental discussions regarding the potental setlement of such lawsuits. Any setlement of pending litgaton could require us to incur substantal costs and other ongoing expenses, such as future royalty payments in the case of an IP dispute.</w:t>
      </w:r>
    </w:p>
    <w:p>
      <w:pPr>
        <w:spacing w:after="0" w:line="110" w:lineRule="exact"/>
        <w:rPr>
          <w:sz w:val="20"/>
          <w:szCs w:val="20"/>
          <w:color w:val="auto"/>
        </w:rPr>
      </w:pPr>
    </w:p>
    <w:p>
      <w:pPr>
        <w:ind w:right="40" w:firstLine="396"/>
        <w:spacing w:after="0" w:line="230" w:lineRule="auto"/>
        <w:rPr>
          <w:sz w:val="20"/>
          <w:szCs w:val="20"/>
          <w:color w:val="auto"/>
        </w:rPr>
      </w:pPr>
      <w:r>
        <w:rPr>
          <w:rFonts w:ascii="Calibri" w:cs="Calibri" w:eastAsia="Calibri" w:hAnsi="Calibri"/>
          <w:sz w:val="18"/>
          <w:szCs w:val="18"/>
          <w:color w:val="auto"/>
        </w:rPr>
        <w:t>During the periods presented, no material amounts have been accrued or disclosed in the accompanying consolidated fnancial statements with respect to loss contngencies associated with any other legal proceedings or regulatory investgatons, as potental losses for such maters are not considered probable and ranges of losses are not reasonably estmable. These maters are subject to many uncertaintes and the ultmate outcomes are not predictable. There can be no assurances that the actual amounts required to satsfy any liabilites arising from the maters described above will not have a material adverse efect on our consolidated fnancial statements.</w:t>
      </w:r>
    </w:p>
    <w:p>
      <w:pPr>
        <w:spacing w:after="0" w:line="99"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Other Indemnifcatons</w:t>
      </w:r>
    </w:p>
    <w:p>
      <w:pPr>
        <w:spacing w:after="0" w:line="107" w:lineRule="exact"/>
        <w:rPr>
          <w:sz w:val="20"/>
          <w:szCs w:val="20"/>
          <w:color w:val="auto"/>
        </w:rPr>
      </w:pPr>
    </w:p>
    <w:p>
      <w:pPr>
        <w:ind w:firstLine="396"/>
        <w:spacing w:after="0" w:line="230" w:lineRule="auto"/>
        <w:rPr>
          <w:sz w:val="20"/>
          <w:szCs w:val="20"/>
          <w:color w:val="auto"/>
        </w:rPr>
      </w:pPr>
      <w:r>
        <w:rPr>
          <w:rFonts w:ascii="Calibri" w:cs="Calibri" w:eastAsia="Calibri" w:hAnsi="Calibri"/>
          <w:sz w:val="18"/>
          <w:szCs w:val="18"/>
          <w:color w:val="auto"/>
        </w:rPr>
        <w:t>As is customary in our industry and as provided for in local law in the U.S. and other jurisdictons, many of our standard contracts provide remedies to our customers and others with whom we enter into contracts, such as defense, setlement, or payment of judgment for IP claims related to the use of our products. From tme to tme, we indemnify customers, as well as our suppliers, contractors, lessors, lessees, companies that purchase our businesses or assets and others with whom we enter into contracts, against combinatons of loss, expense, or liability arising from various triggering events related to the sale and the use of our products, the use of their goods and services, the use of facilites and state of our owned facilites, the state of the assets and businesses that we sell and other maters covered by such contracts, usually up to a specifed maximum amount. In additon, from tme to tme we also provide protecton to these partes against claims related to undiscovered liabilites, additonal product liabilites or environmental obligatons. In our experience, claims made under such indemnifcatons are rare and the associated estmated fair value of the liability is not material.</w:t>
      </w:r>
    </w:p>
    <w:p>
      <w:pPr>
        <w:spacing w:after="0" w:line="200" w:lineRule="exact"/>
        <w:rPr>
          <w:sz w:val="20"/>
          <w:szCs w:val="20"/>
          <w:color w:val="auto"/>
        </w:rPr>
      </w:pPr>
    </w:p>
    <w:p>
      <w:pPr>
        <w:spacing w:after="0" w:line="337" w:lineRule="exact"/>
        <w:rPr>
          <w:sz w:val="20"/>
          <w:szCs w:val="20"/>
          <w:color w:val="auto"/>
        </w:rPr>
      </w:pPr>
    </w:p>
    <w:p>
      <w:pPr>
        <w:jc w:val="center"/>
        <w:ind w:right="-79"/>
        <w:spacing w:after="0"/>
        <w:rPr>
          <w:sz w:val="20"/>
          <w:szCs w:val="20"/>
          <w:color w:val="auto"/>
        </w:rPr>
      </w:pPr>
      <w:r>
        <w:rPr>
          <w:rFonts w:ascii="Calibri" w:cs="Calibri" w:eastAsia="Calibri" w:hAnsi="Calibri"/>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180"/>
          </w:cols>
          <w:pgMar w:left="320" w:top="109" w:right="399" w:bottom="1440" w:gutter="0" w:footer="0" w:header="0"/>
        </w:sectPr>
      </w:pPr>
    </w:p>
    <w:bookmarkStart w:id="87" w:name="page88"/>
    <w:bookmarkEnd w:id="87"/>
    <w:p>
      <w:pPr>
        <w:spacing w:after="0"/>
        <w:rPr>
          <w:sz w:val="20"/>
          <w:szCs w:val="20"/>
          <w:color w:val="auto"/>
        </w:rPr>
      </w:pPr>
      <w:r>
        <w:rPr>
          <w:rFonts w:ascii="Calibri" w:cs="Calibri" w:eastAsia="Calibri" w:hAnsi="Calibri"/>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14. Restructuring and Other Charges</w:t>
      </w:r>
    </w:p>
    <w:p>
      <w:pPr>
        <w:spacing w:after="0" w:line="97"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Restructuring Charges</w:t>
      </w:r>
    </w:p>
    <w:p>
      <w:pPr>
        <w:spacing w:after="0" w:line="107" w:lineRule="exact"/>
        <w:rPr>
          <w:sz w:val="20"/>
          <w:szCs w:val="20"/>
          <w:color w:val="auto"/>
        </w:rPr>
      </w:pPr>
    </w:p>
    <w:p>
      <w:pPr>
        <w:jc w:val="both"/>
        <w:ind w:right="220" w:firstLine="396"/>
        <w:spacing w:after="0" w:line="230" w:lineRule="auto"/>
        <w:rPr>
          <w:sz w:val="20"/>
          <w:szCs w:val="20"/>
          <w:color w:val="auto"/>
        </w:rPr>
      </w:pPr>
      <w:r>
        <w:rPr>
          <w:rFonts w:ascii="Calibri" w:cs="Calibri" w:eastAsia="Calibri" w:hAnsi="Calibri"/>
          <w:sz w:val="18"/>
          <w:szCs w:val="18"/>
          <w:color w:val="auto"/>
        </w:rPr>
        <w:t>From tme to tme, we initate cost reducton actvites to integrate acquired businesses, align our workforce with strategic business actvites, or improve efciencies in our operatons. We recognized charges of $36 million</w:t>
      </w:r>
      <w:r>
        <w:rPr>
          <w:rFonts w:ascii="Calibri" w:cs="Calibri" w:eastAsia="Calibri" w:hAnsi="Calibri"/>
          <w:sz w:val="18"/>
          <w:szCs w:val="18"/>
          <w:color w:val="242424"/>
        </w:rPr>
        <w:t>,</w:t>
      </w:r>
      <w:r>
        <w:rPr>
          <w:rFonts w:ascii="Calibri" w:cs="Calibri" w:eastAsia="Calibri" w:hAnsi="Calibri"/>
          <w:sz w:val="18"/>
          <w:szCs w:val="18"/>
          <w:color w:val="auto"/>
        </w:rPr>
        <w:t xml:space="preserve"> $55 million and $149 million during fscal years 2023, 2022 and 2021, respectvely. These charges were primarily recognized in operatng expenses.</w:t>
      </w:r>
    </w:p>
    <w:p>
      <w:pPr>
        <w:spacing w:after="0" w:line="98" w:lineRule="exact"/>
        <w:rPr>
          <w:sz w:val="20"/>
          <w:szCs w:val="20"/>
          <w:color w:val="auto"/>
        </w:rPr>
      </w:pPr>
    </w:p>
    <w:p>
      <w:pPr>
        <w:ind w:left="400"/>
        <w:spacing w:after="0"/>
        <w:rPr>
          <w:sz w:val="20"/>
          <w:szCs w:val="20"/>
          <w:color w:val="auto"/>
        </w:rPr>
      </w:pPr>
      <w:r>
        <w:rPr>
          <w:rFonts w:ascii="Calibri" w:cs="Calibri" w:eastAsia="Calibri" w:hAnsi="Calibri"/>
          <w:sz w:val="18"/>
          <w:szCs w:val="18"/>
          <w:color w:val="auto"/>
        </w:rPr>
        <w:t>The following table summarizes the signifcant actvites within, and components of, the restructuring liabilites: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tcPr>
          <w:p>
            <w:pPr>
              <w:jc w:val="center"/>
              <w:ind w:right="260"/>
              <w:spacing w:after="0"/>
              <w:rPr>
                <w:sz w:val="20"/>
                <w:szCs w:val="20"/>
                <w:color w:val="auto"/>
              </w:rPr>
            </w:pPr>
            <w:r>
              <w:rPr>
                <w:rFonts w:ascii="Calibri" w:cs="Calibri" w:eastAsia="Calibri" w:hAnsi="Calibri"/>
                <w:sz w:val="14"/>
                <w:szCs w:val="14"/>
                <w:b w:val="1"/>
                <w:bCs w:val="1"/>
                <w:color w:val="auto"/>
              </w:rPr>
              <w:t>Employee</w:t>
            </w: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7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gridSpan w:val="2"/>
          </w:tcPr>
          <w:p>
            <w:pPr>
              <w:jc w:val="center"/>
              <w:ind w:right="260"/>
              <w:spacing w:after="0" w:line="134" w:lineRule="exact"/>
              <w:rPr>
                <w:sz w:val="20"/>
                <w:szCs w:val="20"/>
                <w:color w:val="auto"/>
              </w:rPr>
            </w:pPr>
            <w:r>
              <w:rPr>
                <w:rFonts w:ascii="Calibri" w:cs="Calibri" w:eastAsia="Calibri" w:hAnsi="Calibri"/>
                <w:sz w:val="14"/>
                <w:szCs w:val="14"/>
                <w:b w:val="1"/>
                <w:bCs w:val="1"/>
                <w:color w:val="auto"/>
              </w:rPr>
              <w:t>Terminaton</w:t>
            </w:r>
          </w:p>
        </w:tc>
        <w:tc>
          <w:tcPr>
            <w:tcW w:w="1120" w:type="dxa"/>
            <w:vAlign w:val="bottom"/>
            <w:gridSpan w:val="3"/>
            <w:vMerge w:val="restart"/>
          </w:tcPr>
          <w:p>
            <w:pPr>
              <w:jc w:val="center"/>
              <w:ind w:right="100"/>
              <w:spacing w:after="0"/>
              <w:rPr>
                <w:sz w:val="20"/>
                <w:szCs w:val="20"/>
                <w:color w:val="auto"/>
              </w:rPr>
            </w:pPr>
            <w:r>
              <w:rPr>
                <w:rFonts w:ascii="Calibri" w:cs="Calibri" w:eastAsia="Calibri" w:hAnsi="Calibri"/>
                <w:sz w:val="14"/>
                <w:szCs w:val="14"/>
                <w:b w:val="1"/>
                <w:bCs w:val="1"/>
                <w:color w:val="auto"/>
              </w:rPr>
              <w:t>Other Exit Costs</w:t>
            </w:r>
          </w:p>
        </w:tc>
        <w:tc>
          <w:tcPr>
            <w:tcW w:w="260" w:type="dxa"/>
            <w:vAlign w:val="bottom"/>
          </w:tcPr>
          <w:p>
            <w:pPr>
              <w:spacing w:after="0"/>
              <w:rPr>
                <w:sz w:val="11"/>
                <w:szCs w:val="11"/>
                <w:color w:val="auto"/>
              </w:rPr>
            </w:pPr>
          </w:p>
        </w:tc>
        <w:tc>
          <w:tcPr>
            <w:tcW w:w="820" w:type="dxa"/>
            <w:vAlign w:val="bottom"/>
            <w:vMerge w:val="restart"/>
          </w:tcPr>
          <w:p>
            <w:pPr>
              <w:jc w:val="right"/>
              <w:ind w:right="314"/>
              <w:spacing w:after="0"/>
              <w:rPr>
                <w:sz w:val="20"/>
                <w:szCs w:val="20"/>
                <w:color w:val="auto"/>
              </w:rPr>
            </w:pPr>
            <w:r>
              <w:rPr>
                <w:rFonts w:ascii="Calibri" w:cs="Calibri" w:eastAsia="Calibri" w:hAnsi="Calibri"/>
                <w:sz w:val="14"/>
                <w:szCs w:val="14"/>
                <w:b w:val="1"/>
                <w:bCs w:val="1"/>
                <w:color w:val="auto"/>
              </w:rPr>
              <w:t>Total</w:t>
            </w:r>
          </w:p>
        </w:tc>
        <w:tc>
          <w:tcPr>
            <w:tcW w:w="0" w:type="dxa"/>
            <w:vAlign w:val="bottom"/>
          </w:tcPr>
          <w:p>
            <w:pPr>
              <w:spacing w:after="0"/>
              <w:rPr>
                <w:sz w:val="1"/>
                <w:szCs w:val="1"/>
                <w:color w:val="auto"/>
              </w:rPr>
            </w:pPr>
          </w:p>
        </w:tc>
      </w:tr>
      <w:tr>
        <w:trPr>
          <w:trHeight w:val="168"/>
        </w:trPr>
        <w:tc>
          <w:tcPr>
            <w:tcW w:w="7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tcPr>
          <w:p>
            <w:pPr>
              <w:jc w:val="center"/>
              <w:ind w:right="260"/>
              <w:spacing w:after="0" w:line="168" w:lineRule="exact"/>
              <w:rPr>
                <w:sz w:val="20"/>
                <w:szCs w:val="20"/>
                <w:color w:val="auto"/>
              </w:rPr>
            </w:pPr>
            <w:r>
              <w:rPr>
                <w:rFonts w:ascii="Calibri" w:cs="Calibri" w:eastAsia="Calibri" w:hAnsi="Calibri"/>
                <w:sz w:val="14"/>
                <w:szCs w:val="14"/>
                <w:b w:val="1"/>
                <w:bCs w:val="1"/>
                <w:color w:val="auto"/>
                <w:w w:val="96"/>
              </w:rPr>
              <w:t>Costs</w:t>
            </w:r>
          </w:p>
        </w:tc>
        <w:tc>
          <w:tcPr>
            <w:tcW w:w="1120" w:type="dxa"/>
            <w:vAlign w:val="bottom"/>
            <w:gridSpan w:val="3"/>
            <w:vMerge w:val="continue"/>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788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7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gridSpan w:val="2"/>
          </w:tcPr>
          <w:p>
            <w:pPr>
              <w:jc w:val="center"/>
              <w:ind w:right="200"/>
              <w:spacing w:after="0"/>
              <w:rPr>
                <w:sz w:val="20"/>
                <w:szCs w:val="20"/>
                <w:color w:val="auto"/>
              </w:rPr>
            </w:pPr>
            <w:r>
              <w:rPr>
                <w:rFonts w:ascii="Calibri" w:cs="Calibri" w:eastAsia="Calibri" w:hAnsi="Calibri"/>
                <w:sz w:val="14"/>
                <w:szCs w:val="14"/>
                <w:b w:val="1"/>
                <w:bCs w:val="1"/>
                <w:color w:val="auto"/>
              </w:rPr>
              <w:t>(In millions)</w:t>
            </w:r>
          </w:p>
        </w:tc>
        <w:tc>
          <w:tcPr>
            <w:tcW w:w="2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78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4"/>
        </w:trPr>
        <w:tc>
          <w:tcPr>
            <w:tcW w:w="7880" w:type="dxa"/>
            <w:vAlign w:val="bottom"/>
            <w:shd w:val="clear" w:color="auto" w:fill="CCEEFF"/>
          </w:tcPr>
          <w:p>
            <w:pPr>
              <w:ind w:left="20"/>
              <w:spacing w:after="0" w:line="210" w:lineRule="exact"/>
              <w:rPr>
                <w:sz w:val="20"/>
                <w:szCs w:val="20"/>
                <w:color w:val="auto"/>
              </w:rPr>
            </w:pPr>
            <w:r>
              <w:rPr>
                <w:rFonts w:ascii="Calibri" w:cs="Calibri" w:eastAsia="Calibri" w:hAnsi="Calibri"/>
                <w:sz w:val="18"/>
                <w:szCs w:val="18"/>
                <w:color w:val="auto"/>
              </w:rPr>
              <w:t>Balance as of November 1, 2020</w:t>
            </w:r>
          </w:p>
        </w:tc>
        <w:tc>
          <w:tcPr>
            <w:tcW w:w="140" w:type="dxa"/>
            <w:vAlign w:val="bottom"/>
            <w:shd w:val="clear" w:color="auto" w:fill="CCEEFF"/>
          </w:tcPr>
          <w:p>
            <w:pPr>
              <w:jc w:val="right"/>
              <w:spacing w:after="0" w:line="210" w:lineRule="exact"/>
              <w:rPr>
                <w:sz w:val="20"/>
                <w:szCs w:val="20"/>
                <w:color w:val="auto"/>
              </w:rPr>
            </w:pPr>
            <w:r>
              <w:rPr>
                <w:rFonts w:ascii="Calibri" w:cs="Calibri" w:eastAsia="Calibri" w:hAnsi="Calibri"/>
                <w:sz w:val="18"/>
                <w:szCs w:val="18"/>
                <w:color w:val="auto"/>
                <w:w w:val="87"/>
              </w:rPr>
              <w:t>$</w:t>
            </w:r>
          </w:p>
        </w:tc>
        <w:tc>
          <w:tcPr>
            <w:tcW w:w="880" w:type="dxa"/>
            <w:vAlign w:val="bottom"/>
            <w:shd w:val="clear" w:color="auto" w:fill="CCEEFF"/>
          </w:tcPr>
          <w:p>
            <w:pPr>
              <w:jc w:val="right"/>
              <w:spacing w:after="0" w:line="210" w:lineRule="exact"/>
              <w:rPr>
                <w:sz w:val="20"/>
                <w:szCs w:val="20"/>
                <w:color w:val="auto"/>
              </w:rPr>
            </w:pPr>
            <w:r>
              <w:rPr>
                <w:rFonts w:ascii="Calibri" w:cs="Calibri" w:eastAsia="Calibri" w:hAnsi="Calibri"/>
                <w:sz w:val="18"/>
                <w:szCs w:val="18"/>
                <w:color w:val="auto"/>
              </w:rPr>
              <w:t>34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line="210" w:lineRule="exact"/>
              <w:rPr>
                <w:sz w:val="20"/>
                <w:szCs w:val="20"/>
                <w:color w:val="auto"/>
              </w:rPr>
            </w:pPr>
            <w:r>
              <w:rPr>
                <w:rFonts w:ascii="Calibri" w:cs="Calibri" w:eastAsia="Calibri" w:hAnsi="Calibri"/>
                <w:sz w:val="18"/>
                <w:szCs w:val="18"/>
                <w:color w:val="auto"/>
                <w:w w:val="87"/>
              </w:rPr>
              <w:t>$</w:t>
            </w:r>
          </w:p>
        </w:tc>
        <w:tc>
          <w:tcPr>
            <w:tcW w:w="980" w:type="dxa"/>
            <w:vAlign w:val="bottom"/>
            <w:gridSpan w:val="2"/>
            <w:shd w:val="clear" w:color="auto" w:fill="CCEEFF"/>
          </w:tcPr>
          <w:p>
            <w:pPr>
              <w:jc w:val="right"/>
              <w:ind w:right="160"/>
              <w:spacing w:after="0" w:line="210" w:lineRule="exact"/>
              <w:rPr>
                <w:sz w:val="20"/>
                <w:szCs w:val="20"/>
                <w:color w:val="auto"/>
              </w:rPr>
            </w:pPr>
            <w:r>
              <w:rPr>
                <w:rFonts w:ascii="Calibri" w:cs="Calibri" w:eastAsia="Calibri" w:hAnsi="Calibri"/>
                <w:sz w:val="18"/>
                <w:szCs w:val="18"/>
                <w:color w:val="auto"/>
              </w:rPr>
              <w:t>—</w:t>
            </w:r>
          </w:p>
        </w:tc>
        <w:tc>
          <w:tcPr>
            <w:tcW w:w="260" w:type="dxa"/>
            <w:vAlign w:val="bottom"/>
            <w:shd w:val="clear" w:color="auto" w:fill="CCEEFF"/>
          </w:tcPr>
          <w:p>
            <w:pPr>
              <w:jc w:val="right"/>
              <w:ind w:right="52"/>
              <w:spacing w:after="0" w:line="210" w:lineRule="exact"/>
              <w:rPr>
                <w:sz w:val="20"/>
                <w:szCs w:val="20"/>
                <w:color w:val="auto"/>
              </w:rPr>
            </w:pPr>
            <w:r>
              <w:rPr>
                <w:rFonts w:ascii="Calibri" w:cs="Calibri" w:eastAsia="Calibri" w:hAnsi="Calibri"/>
                <w:sz w:val="18"/>
                <w:szCs w:val="18"/>
                <w:color w:val="auto"/>
              </w:rPr>
              <w:t>$</w:t>
            </w:r>
          </w:p>
        </w:tc>
        <w:tc>
          <w:tcPr>
            <w:tcW w:w="820" w:type="dxa"/>
            <w:vAlign w:val="bottom"/>
            <w:shd w:val="clear" w:color="auto" w:fill="CCEEFF"/>
          </w:tcPr>
          <w:p>
            <w:pPr>
              <w:jc w:val="right"/>
              <w:spacing w:after="0" w:line="210" w:lineRule="exact"/>
              <w:rPr>
                <w:sz w:val="20"/>
                <w:szCs w:val="20"/>
                <w:color w:val="auto"/>
              </w:rPr>
            </w:pPr>
            <w:r>
              <w:rPr>
                <w:rFonts w:ascii="Calibri" w:cs="Calibri" w:eastAsia="Calibri" w:hAnsi="Calibri"/>
                <w:sz w:val="18"/>
                <w:szCs w:val="18"/>
                <w:color w:val="auto"/>
              </w:rPr>
              <w:t>34</w:t>
            </w:r>
          </w:p>
        </w:tc>
        <w:tc>
          <w:tcPr>
            <w:tcW w:w="0" w:type="dxa"/>
            <w:vAlign w:val="bottom"/>
          </w:tcPr>
          <w:p>
            <w:pPr>
              <w:spacing w:after="0"/>
              <w:rPr>
                <w:sz w:val="1"/>
                <w:szCs w:val="1"/>
                <w:color w:val="auto"/>
              </w:rPr>
            </w:pPr>
          </w:p>
        </w:tc>
      </w:tr>
      <w:tr>
        <w:trPr>
          <w:trHeight w:val="217"/>
        </w:trPr>
        <w:tc>
          <w:tcPr>
            <w:tcW w:w="7880" w:type="dxa"/>
            <w:vAlign w:val="bottom"/>
          </w:tcPr>
          <w:p>
            <w:pPr>
              <w:ind w:left="120"/>
              <w:spacing w:after="0" w:line="210" w:lineRule="exact"/>
              <w:rPr>
                <w:sz w:val="20"/>
                <w:szCs w:val="20"/>
                <w:color w:val="auto"/>
              </w:rPr>
            </w:pPr>
            <w:r>
              <w:rPr>
                <w:rFonts w:ascii="Calibri" w:cs="Calibri" w:eastAsia="Calibri" w:hAnsi="Calibri"/>
                <w:sz w:val="18"/>
                <w:szCs w:val="18"/>
                <w:color w:val="auto"/>
              </w:rPr>
              <w:t>Restructuring charges</w:t>
            </w:r>
          </w:p>
        </w:tc>
        <w:tc>
          <w:tcPr>
            <w:tcW w:w="140" w:type="dxa"/>
            <w:vAlign w:val="bottom"/>
          </w:tcPr>
          <w:p>
            <w:pPr>
              <w:spacing w:after="0"/>
              <w:rPr>
                <w:sz w:val="18"/>
                <w:szCs w:val="18"/>
                <w:color w:val="auto"/>
              </w:rPr>
            </w:pPr>
          </w:p>
        </w:tc>
        <w:tc>
          <w:tcPr>
            <w:tcW w:w="880" w:type="dxa"/>
            <w:vAlign w:val="bottom"/>
          </w:tcPr>
          <w:p>
            <w:pPr>
              <w:jc w:val="right"/>
              <w:spacing w:after="0" w:line="210" w:lineRule="exact"/>
              <w:rPr>
                <w:sz w:val="20"/>
                <w:szCs w:val="20"/>
                <w:color w:val="auto"/>
              </w:rPr>
            </w:pPr>
            <w:r>
              <w:rPr>
                <w:rFonts w:ascii="Calibri" w:cs="Calibri" w:eastAsia="Calibri" w:hAnsi="Calibri"/>
                <w:sz w:val="18"/>
                <w:szCs w:val="18"/>
                <w:color w:val="auto"/>
              </w:rPr>
              <w:t>100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line="210" w:lineRule="exact"/>
              <w:rPr>
                <w:sz w:val="20"/>
                <w:szCs w:val="20"/>
                <w:color w:val="auto"/>
              </w:rPr>
            </w:pPr>
            <w:r>
              <w:rPr>
                <w:rFonts w:ascii="Calibri" w:cs="Calibri" w:eastAsia="Calibri" w:hAnsi="Calibri"/>
                <w:sz w:val="18"/>
                <w:szCs w:val="18"/>
                <w:color w:val="auto"/>
              </w:rPr>
              <w:t>13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spacing w:after="0" w:line="210" w:lineRule="exact"/>
              <w:rPr>
                <w:sz w:val="20"/>
                <w:szCs w:val="20"/>
                <w:color w:val="auto"/>
              </w:rPr>
            </w:pPr>
            <w:r>
              <w:rPr>
                <w:rFonts w:ascii="Calibri" w:cs="Calibri" w:eastAsia="Calibri" w:hAnsi="Calibri"/>
                <w:sz w:val="18"/>
                <w:szCs w:val="18"/>
                <w:color w:val="auto"/>
              </w:rPr>
              <w:t>113</w:t>
            </w:r>
          </w:p>
        </w:tc>
        <w:tc>
          <w:tcPr>
            <w:tcW w:w="0" w:type="dxa"/>
            <w:vAlign w:val="bottom"/>
          </w:tcPr>
          <w:p>
            <w:pPr>
              <w:spacing w:after="0"/>
              <w:rPr>
                <w:sz w:val="1"/>
                <w:szCs w:val="1"/>
                <w:color w:val="auto"/>
              </w:rPr>
            </w:pPr>
          </w:p>
        </w:tc>
      </w:tr>
      <w:tr>
        <w:trPr>
          <w:trHeight w:val="232"/>
        </w:trPr>
        <w:tc>
          <w:tcPr>
            <w:tcW w:w="7880" w:type="dxa"/>
            <w:vAlign w:val="bottom"/>
            <w:shd w:val="clear" w:color="auto" w:fill="CCEEFF"/>
          </w:tcPr>
          <w:p>
            <w:pPr>
              <w:ind w:left="140"/>
              <w:spacing w:after="0" w:line="217" w:lineRule="exact"/>
              <w:rPr>
                <w:sz w:val="20"/>
                <w:szCs w:val="20"/>
                <w:color w:val="auto"/>
              </w:rPr>
            </w:pPr>
            <w:r>
              <w:rPr>
                <w:rFonts w:ascii="Calibri" w:cs="Calibri" w:eastAsia="Calibri" w:hAnsi="Calibri"/>
                <w:sz w:val="18"/>
                <w:szCs w:val="18"/>
                <w:color w:val="auto"/>
              </w:rPr>
              <w:t>Utlizaton</w:t>
            </w:r>
          </w:p>
        </w:tc>
        <w:tc>
          <w:tcPr>
            <w:tcW w:w="14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line="217" w:lineRule="exact"/>
              <w:rPr>
                <w:sz w:val="20"/>
                <w:szCs w:val="20"/>
                <w:color w:val="auto"/>
              </w:rPr>
            </w:pPr>
            <w:r>
              <w:rPr>
                <w:rFonts w:ascii="Calibri" w:cs="Calibri" w:eastAsia="Calibri" w:hAnsi="Calibri"/>
                <w:sz w:val="18"/>
                <w:szCs w:val="18"/>
                <w:color w:val="auto"/>
              </w:rPr>
              <w:t>(130)</w:t>
            </w:r>
          </w:p>
        </w:tc>
        <w:tc>
          <w:tcPr>
            <w:tcW w:w="12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line="217" w:lineRule="exact"/>
              <w:rPr>
                <w:sz w:val="20"/>
                <w:szCs w:val="20"/>
                <w:color w:val="auto"/>
              </w:rPr>
            </w:pPr>
            <w:r>
              <w:rPr>
                <w:rFonts w:ascii="Calibri" w:cs="Calibri" w:eastAsia="Calibri" w:hAnsi="Calibri"/>
                <w:sz w:val="18"/>
                <w:szCs w:val="18"/>
                <w:color w:val="auto"/>
              </w:rPr>
              <w:t>(13)</w:t>
            </w:r>
          </w:p>
        </w:tc>
        <w:tc>
          <w:tcPr>
            <w:tcW w:w="100" w:type="dxa"/>
            <w:vAlign w:val="bottom"/>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line="217" w:lineRule="exact"/>
              <w:rPr>
                <w:sz w:val="20"/>
                <w:szCs w:val="20"/>
                <w:color w:val="auto"/>
              </w:rPr>
            </w:pPr>
            <w:r>
              <w:rPr>
                <w:rFonts w:ascii="Calibri" w:cs="Calibri" w:eastAsia="Calibri" w:hAnsi="Calibri"/>
                <w:sz w:val="18"/>
                <w:szCs w:val="18"/>
                <w:color w:val="auto"/>
              </w:rPr>
              <w:t>(143)</w:t>
            </w:r>
          </w:p>
        </w:tc>
        <w:tc>
          <w:tcPr>
            <w:tcW w:w="0" w:type="dxa"/>
            <w:vAlign w:val="bottom"/>
          </w:tcPr>
          <w:p>
            <w:pPr>
              <w:spacing w:after="0"/>
              <w:rPr>
                <w:sz w:val="1"/>
                <w:szCs w:val="1"/>
                <w:color w:val="auto"/>
              </w:rPr>
            </w:pPr>
          </w:p>
        </w:tc>
      </w:tr>
      <w:tr>
        <w:trPr>
          <w:trHeight w:val="210"/>
        </w:trPr>
        <w:tc>
          <w:tcPr>
            <w:tcW w:w="7880" w:type="dxa"/>
            <w:vAlign w:val="bottom"/>
          </w:tcPr>
          <w:p>
            <w:pPr>
              <w:ind w:left="20"/>
              <w:spacing w:after="0" w:line="196" w:lineRule="exact"/>
              <w:rPr>
                <w:sz w:val="20"/>
                <w:szCs w:val="20"/>
                <w:color w:val="auto"/>
              </w:rPr>
            </w:pPr>
            <w:r>
              <w:rPr>
                <w:rFonts w:ascii="Calibri" w:cs="Calibri" w:eastAsia="Calibri" w:hAnsi="Calibri"/>
                <w:sz w:val="18"/>
                <w:szCs w:val="18"/>
                <w:color w:val="auto"/>
              </w:rPr>
              <w:t>Balance as of October 31, 2021</w:t>
            </w:r>
          </w:p>
        </w:tc>
        <w:tc>
          <w:tcPr>
            <w:tcW w:w="140" w:type="dxa"/>
            <w:vAlign w:val="bottom"/>
          </w:tcPr>
          <w:p>
            <w:pPr>
              <w:spacing w:after="0"/>
              <w:rPr>
                <w:sz w:val="18"/>
                <w:szCs w:val="18"/>
                <w:color w:val="auto"/>
              </w:rPr>
            </w:pPr>
          </w:p>
        </w:tc>
        <w:tc>
          <w:tcPr>
            <w:tcW w:w="880" w:type="dxa"/>
            <w:vAlign w:val="bottom"/>
          </w:tcPr>
          <w:p>
            <w:pPr>
              <w:jc w:val="right"/>
              <w:spacing w:after="0" w:line="210" w:lineRule="exact"/>
              <w:rPr>
                <w:sz w:val="20"/>
                <w:szCs w:val="20"/>
                <w:color w:val="auto"/>
              </w:rPr>
            </w:pPr>
            <w:r>
              <w:rPr>
                <w:rFonts w:ascii="Calibri" w:cs="Calibri" w:eastAsia="Calibri" w:hAnsi="Calibri"/>
                <w:sz w:val="18"/>
                <w:szCs w:val="18"/>
                <w:color w:val="auto"/>
              </w:rPr>
              <w:t>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line="210" w:lineRule="exact"/>
              <w:rPr>
                <w:sz w:val="20"/>
                <w:szCs w:val="20"/>
                <w:color w:val="auto"/>
              </w:rPr>
            </w:pPr>
            <w:r>
              <w:rPr>
                <w:rFonts w:ascii="Calibri" w:cs="Calibri" w:eastAsia="Calibri" w:hAnsi="Calibri"/>
                <w:sz w:val="18"/>
                <w:szCs w:val="18"/>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spacing w:after="0" w:line="210" w:lineRule="exact"/>
              <w:rPr>
                <w:sz w:val="20"/>
                <w:szCs w:val="20"/>
                <w:color w:val="auto"/>
              </w:rPr>
            </w:pPr>
            <w:r>
              <w:rPr>
                <w:rFonts w:ascii="Calibri" w:cs="Calibri" w:eastAsia="Calibri" w:hAnsi="Calibri"/>
                <w:sz w:val="18"/>
                <w:szCs w:val="18"/>
                <w:color w:val="auto"/>
              </w:rPr>
              <w:t>4</w:t>
            </w:r>
          </w:p>
        </w:tc>
        <w:tc>
          <w:tcPr>
            <w:tcW w:w="0" w:type="dxa"/>
            <w:vAlign w:val="bottom"/>
          </w:tcPr>
          <w:p>
            <w:pPr>
              <w:spacing w:after="0"/>
              <w:rPr>
                <w:sz w:val="1"/>
                <w:szCs w:val="1"/>
                <w:color w:val="auto"/>
              </w:rPr>
            </w:pPr>
          </w:p>
        </w:tc>
      </w:tr>
      <w:tr>
        <w:trPr>
          <w:trHeight w:val="232"/>
        </w:trPr>
        <w:tc>
          <w:tcPr>
            <w:tcW w:w="7880" w:type="dxa"/>
            <w:vAlign w:val="bottom"/>
            <w:shd w:val="clear" w:color="auto" w:fill="CCEEFF"/>
          </w:tcPr>
          <w:p>
            <w:pPr>
              <w:ind w:left="120"/>
              <w:spacing w:after="0" w:line="217" w:lineRule="exact"/>
              <w:rPr>
                <w:sz w:val="20"/>
                <w:szCs w:val="20"/>
                <w:color w:val="auto"/>
              </w:rPr>
            </w:pPr>
            <w:r>
              <w:rPr>
                <w:rFonts w:ascii="Calibri" w:cs="Calibri" w:eastAsia="Calibri" w:hAnsi="Calibri"/>
                <w:sz w:val="18"/>
                <w:szCs w:val="18"/>
                <w:color w:val="auto"/>
              </w:rPr>
              <w:t>Restructuring charges</w:t>
            </w:r>
          </w:p>
        </w:tc>
        <w:tc>
          <w:tcPr>
            <w:tcW w:w="14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line="217" w:lineRule="exact"/>
              <w:rPr>
                <w:sz w:val="20"/>
                <w:szCs w:val="20"/>
                <w:color w:val="auto"/>
              </w:rPr>
            </w:pPr>
            <w:r>
              <w:rPr>
                <w:rFonts w:ascii="Calibri" w:cs="Calibri" w:eastAsia="Calibri" w:hAnsi="Calibri"/>
                <w:sz w:val="18"/>
                <w:szCs w:val="18"/>
                <w:color w:val="auto"/>
              </w:rPr>
              <w:t>24</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line="217" w:lineRule="exact"/>
              <w:rPr>
                <w:sz w:val="20"/>
                <w:szCs w:val="20"/>
                <w:color w:val="auto"/>
              </w:rPr>
            </w:pPr>
            <w:r>
              <w:rPr>
                <w:rFonts w:ascii="Calibri" w:cs="Calibri" w:eastAsia="Calibri" w:hAnsi="Calibri"/>
                <w:sz w:val="18"/>
                <w:szCs w:val="18"/>
                <w:color w:val="auto"/>
              </w:rPr>
              <w:t>6</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line="217" w:lineRule="exact"/>
              <w:rPr>
                <w:sz w:val="20"/>
                <w:szCs w:val="20"/>
                <w:color w:val="auto"/>
              </w:rPr>
            </w:pPr>
            <w:r>
              <w:rPr>
                <w:rFonts w:ascii="Calibri" w:cs="Calibri" w:eastAsia="Calibri" w:hAnsi="Calibri"/>
                <w:sz w:val="18"/>
                <w:szCs w:val="18"/>
                <w:color w:val="auto"/>
              </w:rPr>
              <w:t>30</w:t>
            </w:r>
          </w:p>
        </w:tc>
        <w:tc>
          <w:tcPr>
            <w:tcW w:w="0" w:type="dxa"/>
            <w:vAlign w:val="bottom"/>
          </w:tcPr>
          <w:p>
            <w:pPr>
              <w:spacing w:after="0"/>
              <w:rPr>
                <w:sz w:val="1"/>
                <w:szCs w:val="1"/>
                <w:color w:val="auto"/>
              </w:rPr>
            </w:pPr>
          </w:p>
        </w:tc>
      </w:tr>
      <w:tr>
        <w:trPr>
          <w:trHeight w:val="218"/>
        </w:trPr>
        <w:tc>
          <w:tcPr>
            <w:tcW w:w="7880" w:type="dxa"/>
            <w:vAlign w:val="bottom"/>
            <w:tcBorders>
              <w:bottom w:val="single" w:sz="8" w:color="CCEEFF"/>
            </w:tcBorders>
          </w:tcPr>
          <w:p>
            <w:pPr>
              <w:ind w:left="140"/>
              <w:spacing w:after="0" w:line="210" w:lineRule="exact"/>
              <w:rPr>
                <w:sz w:val="20"/>
                <w:szCs w:val="20"/>
                <w:color w:val="auto"/>
              </w:rPr>
            </w:pPr>
            <w:r>
              <w:rPr>
                <w:rFonts w:ascii="Calibri" w:cs="Calibri" w:eastAsia="Calibri" w:hAnsi="Calibri"/>
                <w:sz w:val="18"/>
                <w:szCs w:val="18"/>
                <w:color w:val="auto"/>
              </w:rPr>
              <w:t>Utlizaton</w:t>
            </w: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line="210" w:lineRule="exact"/>
              <w:rPr>
                <w:sz w:val="20"/>
                <w:szCs w:val="20"/>
                <w:color w:val="auto"/>
              </w:rPr>
            </w:pPr>
            <w:r>
              <w:rPr>
                <w:rFonts w:ascii="Calibri" w:cs="Calibri" w:eastAsia="Calibri" w:hAnsi="Calibri"/>
                <w:sz w:val="18"/>
                <w:szCs w:val="18"/>
                <w:color w:val="auto"/>
              </w:rPr>
              <w:t>(24)</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line="210" w:lineRule="exact"/>
              <w:rPr>
                <w:sz w:val="20"/>
                <w:szCs w:val="20"/>
                <w:color w:val="auto"/>
              </w:rPr>
            </w:pPr>
            <w:r>
              <w:rPr>
                <w:rFonts w:ascii="Calibri" w:cs="Calibri" w:eastAsia="Calibri" w:hAnsi="Calibri"/>
                <w:sz w:val="18"/>
                <w:szCs w:val="18"/>
                <w:color w:val="auto"/>
              </w:rPr>
              <w:t>(4)</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line="210" w:lineRule="exact"/>
              <w:rPr>
                <w:sz w:val="20"/>
                <w:szCs w:val="20"/>
                <w:color w:val="auto"/>
              </w:rPr>
            </w:pPr>
            <w:r>
              <w:rPr>
                <w:rFonts w:ascii="Calibri" w:cs="Calibri" w:eastAsia="Calibri" w:hAnsi="Calibri"/>
                <w:sz w:val="18"/>
                <w:szCs w:val="18"/>
                <w:color w:val="auto"/>
              </w:rPr>
              <w:t>(28)</w:t>
            </w:r>
          </w:p>
        </w:tc>
        <w:tc>
          <w:tcPr>
            <w:tcW w:w="0" w:type="dxa"/>
            <w:vAlign w:val="bottom"/>
          </w:tcPr>
          <w:p>
            <w:pPr>
              <w:spacing w:after="0"/>
              <w:rPr>
                <w:sz w:val="1"/>
                <w:szCs w:val="1"/>
                <w:color w:val="auto"/>
              </w:rPr>
            </w:pPr>
          </w:p>
        </w:tc>
      </w:tr>
      <w:tr>
        <w:trPr>
          <w:trHeight w:val="224"/>
        </w:trPr>
        <w:tc>
          <w:tcPr>
            <w:tcW w:w="7880" w:type="dxa"/>
            <w:vAlign w:val="bottom"/>
            <w:shd w:val="clear" w:color="auto" w:fill="CCEEFF"/>
          </w:tcPr>
          <w:p>
            <w:pPr>
              <w:ind w:left="20"/>
              <w:spacing w:after="0" w:line="203" w:lineRule="exact"/>
              <w:rPr>
                <w:sz w:val="20"/>
                <w:szCs w:val="20"/>
                <w:color w:val="auto"/>
              </w:rPr>
            </w:pPr>
            <w:r>
              <w:rPr>
                <w:rFonts w:ascii="Calibri" w:cs="Calibri" w:eastAsia="Calibri" w:hAnsi="Calibri"/>
                <w:sz w:val="18"/>
                <w:szCs w:val="18"/>
                <w:color w:val="auto"/>
              </w:rPr>
              <w:t>Balance as of October 30, 2022</w:t>
            </w: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line="210" w:lineRule="exact"/>
              <w:rPr>
                <w:sz w:val="20"/>
                <w:szCs w:val="20"/>
                <w:color w:val="auto"/>
              </w:rPr>
            </w:pPr>
            <w:r>
              <w:rPr>
                <w:rFonts w:ascii="Calibri" w:cs="Calibri" w:eastAsia="Calibri" w:hAnsi="Calibri"/>
                <w:sz w:val="18"/>
                <w:szCs w:val="18"/>
                <w:color w:val="auto"/>
              </w:rPr>
              <w:t>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line="210" w:lineRule="exact"/>
              <w:rPr>
                <w:sz w:val="20"/>
                <w:szCs w:val="20"/>
                <w:color w:val="auto"/>
              </w:rPr>
            </w:pPr>
            <w:r>
              <w:rPr>
                <w:rFonts w:ascii="Calibri" w:cs="Calibri" w:eastAsia="Calibri" w:hAnsi="Calibri"/>
                <w:sz w:val="18"/>
                <w:szCs w:val="18"/>
                <w:color w:val="auto"/>
              </w:rPr>
              <w:t>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line="210" w:lineRule="exact"/>
              <w:rPr>
                <w:sz w:val="20"/>
                <w:szCs w:val="20"/>
                <w:color w:val="auto"/>
              </w:rPr>
            </w:pPr>
            <w:r>
              <w:rPr>
                <w:rFonts w:ascii="Calibri" w:cs="Calibri" w:eastAsia="Calibri" w:hAnsi="Calibri"/>
                <w:sz w:val="18"/>
                <w:szCs w:val="18"/>
                <w:color w:val="auto"/>
              </w:rPr>
              <w:t>6</w:t>
            </w:r>
          </w:p>
        </w:tc>
        <w:tc>
          <w:tcPr>
            <w:tcW w:w="0" w:type="dxa"/>
            <w:vAlign w:val="bottom"/>
          </w:tcPr>
          <w:p>
            <w:pPr>
              <w:spacing w:after="0"/>
              <w:rPr>
                <w:sz w:val="1"/>
                <w:szCs w:val="1"/>
                <w:color w:val="auto"/>
              </w:rPr>
            </w:pPr>
          </w:p>
        </w:tc>
      </w:tr>
      <w:tr>
        <w:trPr>
          <w:trHeight w:val="217"/>
        </w:trPr>
        <w:tc>
          <w:tcPr>
            <w:tcW w:w="7880" w:type="dxa"/>
            <w:vAlign w:val="bottom"/>
          </w:tcPr>
          <w:p>
            <w:pPr>
              <w:ind w:left="120"/>
              <w:spacing w:after="0" w:line="210" w:lineRule="exact"/>
              <w:rPr>
                <w:sz w:val="20"/>
                <w:szCs w:val="20"/>
                <w:color w:val="auto"/>
              </w:rPr>
            </w:pPr>
            <w:r>
              <w:rPr>
                <w:rFonts w:ascii="Calibri" w:cs="Calibri" w:eastAsia="Calibri" w:hAnsi="Calibri"/>
                <w:sz w:val="18"/>
                <w:szCs w:val="18"/>
                <w:color w:val="auto"/>
              </w:rPr>
              <w:t>Restructuring charges</w:t>
            </w:r>
          </w:p>
        </w:tc>
        <w:tc>
          <w:tcPr>
            <w:tcW w:w="140" w:type="dxa"/>
            <w:vAlign w:val="bottom"/>
          </w:tcPr>
          <w:p>
            <w:pPr>
              <w:spacing w:after="0"/>
              <w:rPr>
                <w:sz w:val="18"/>
                <w:szCs w:val="18"/>
                <w:color w:val="auto"/>
              </w:rPr>
            </w:pPr>
          </w:p>
        </w:tc>
        <w:tc>
          <w:tcPr>
            <w:tcW w:w="880" w:type="dxa"/>
            <w:vAlign w:val="bottom"/>
          </w:tcPr>
          <w:p>
            <w:pPr>
              <w:jc w:val="right"/>
              <w:spacing w:after="0" w:line="210" w:lineRule="exact"/>
              <w:rPr>
                <w:sz w:val="20"/>
                <w:szCs w:val="20"/>
                <w:color w:val="auto"/>
              </w:rPr>
            </w:pPr>
            <w:r>
              <w:rPr>
                <w:rFonts w:ascii="Calibri" w:cs="Calibri" w:eastAsia="Calibri" w:hAnsi="Calibri"/>
                <w:sz w:val="18"/>
                <w:szCs w:val="18"/>
                <w:color w:val="auto"/>
              </w:rPr>
              <w:t>20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line="210" w:lineRule="exact"/>
              <w:rPr>
                <w:sz w:val="20"/>
                <w:szCs w:val="20"/>
                <w:color w:val="auto"/>
              </w:rPr>
            </w:pPr>
            <w:r>
              <w:rPr>
                <w:rFonts w:ascii="Calibri" w:cs="Calibri" w:eastAsia="Calibri" w:hAnsi="Calibri"/>
                <w:sz w:val="18"/>
                <w:szCs w:val="18"/>
                <w:color w:val="auto"/>
              </w:rPr>
              <w:t>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spacing w:after="0" w:line="210" w:lineRule="exact"/>
              <w:rPr>
                <w:sz w:val="20"/>
                <w:szCs w:val="20"/>
                <w:color w:val="auto"/>
              </w:rPr>
            </w:pPr>
            <w:r>
              <w:rPr>
                <w:rFonts w:ascii="Calibri" w:cs="Calibri" w:eastAsia="Calibri" w:hAnsi="Calibri"/>
                <w:sz w:val="18"/>
                <w:szCs w:val="18"/>
                <w:color w:val="auto"/>
              </w:rPr>
              <w:t>29</w:t>
            </w:r>
          </w:p>
        </w:tc>
        <w:tc>
          <w:tcPr>
            <w:tcW w:w="0" w:type="dxa"/>
            <w:vAlign w:val="bottom"/>
          </w:tcPr>
          <w:p>
            <w:pPr>
              <w:spacing w:after="0"/>
              <w:rPr>
                <w:sz w:val="1"/>
                <w:szCs w:val="1"/>
                <w:color w:val="auto"/>
              </w:rPr>
            </w:pPr>
          </w:p>
        </w:tc>
      </w:tr>
      <w:tr>
        <w:trPr>
          <w:trHeight w:val="232"/>
        </w:trPr>
        <w:tc>
          <w:tcPr>
            <w:tcW w:w="7880" w:type="dxa"/>
            <w:vAlign w:val="bottom"/>
            <w:shd w:val="clear" w:color="auto" w:fill="CCEEFF"/>
          </w:tcPr>
          <w:p>
            <w:pPr>
              <w:ind w:left="140"/>
              <w:spacing w:after="0" w:line="217" w:lineRule="exact"/>
              <w:rPr>
                <w:sz w:val="20"/>
                <w:szCs w:val="20"/>
                <w:color w:val="auto"/>
              </w:rPr>
            </w:pPr>
            <w:r>
              <w:rPr>
                <w:rFonts w:ascii="Calibri" w:cs="Calibri" w:eastAsia="Calibri" w:hAnsi="Calibri"/>
                <w:sz w:val="18"/>
                <w:szCs w:val="18"/>
                <w:color w:val="auto"/>
              </w:rPr>
              <w:t>Utlizaton</w:t>
            </w:r>
          </w:p>
        </w:tc>
        <w:tc>
          <w:tcPr>
            <w:tcW w:w="14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line="217" w:lineRule="exact"/>
              <w:rPr>
                <w:sz w:val="20"/>
                <w:szCs w:val="20"/>
                <w:color w:val="auto"/>
              </w:rPr>
            </w:pPr>
            <w:r>
              <w:rPr>
                <w:rFonts w:ascii="Calibri" w:cs="Calibri" w:eastAsia="Calibri" w:hAnsi="Calibri"/>
                <w:sz w:val="18"/>
                <w:szCs w:val="18"/>
                <w:color w:val="auto"/>
              </w:rPr>
              <w:t>(22)</w:t>
            </w:r>
          </w:p>
        </w:tc>
        <w:tc>
          <w:tcPr>
            <w:tcW w:w="12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line="217" w:lineRule="exact"/>
              <w:rPr>
                <w:sz w:val="20"/>
                <w:szCs w:val="20"/>
                <w:color w:val="auto"/>
              </w:rPr>
            </w:pPr>
            <w:r>
              <w:rPr>
                <w:rFonts w:ascii="Calibri" w:cs="Calibri" w:eastAsia="Calibri" w:hAnsi="Calibri"/>
                <w:sz w:val="18"/>
                <w:szCs w:val="18"/>
                <w:color w:val="auto"/>
              </w:rPr>
              <w:t>(11)</w:t>
            </w:r>
          </w:p>
        </w:tc>
        <w:tc>
          <w:tcPr>
            <w:tcW w:w="100" w:type="dxa"/>
            <w:vAlign w:val="bottom"/>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line="217" w:lineRule="exact"/>
              <w:rPr>
                <w:sz w:val="20"/>
                <w:szCs w:val="20"/>
                <w:color w:val="auto"/>
              </w:rPr>
            </w:pPr>
            <w:r>
              <w:rPr>
                <w:rFonts w:ascii="Calibri" w:cs="Calibri" w:eastAsia="Calibri" w:hAnsi="Calibri"/>
                <w:sz w:val="18"/>
                <w:szCs w:val="18"/>
                <w:color w:val="auto"/>
              </w:rPr>
              <w:t>(33)</w:t>
            </w:r>
          </w:p>
        </w:tc>
        <w:tc>
          <w:tcPr>
            <w:tcW w:w="0" w:type="dxa"/>
            <w:vAlign w:val="bottom"/>
          </w:tcPr>
          <w:p>
            <w:pPr>
              <w:spacing w:after="0"/>
              <w:rPr>
                <w:sz w:val="1"/>
                <w:szCs w:val="1"/>
                <w:color w:val="auto"/>
              </w:rPr>
            </w:pPr>
          </w:p>
        </w:tc>
      </w:tr>
      <w:tr>
        <w:trPr>
          <w:trHeight w:val="218"/>
        </w:trPr>
        <w:tc>
          <w:tcPr>
            <w:tcW w:w="7880" w:type="dxa"/>
            <w:vAlign w:val="bottom"/>
          </w:tcPr>
          <w:p>
            <w:pPr>
              <w:ind w:left="20"/>
              <w:spacing w:after="0" w:line="217" w:lineRule="exact"/>
              <w:rPr>
                <w:sz w:val="20"/>
                <w:szCs w:val="20"/>
                <w:color w:val="auto"/>
              </w:rPr>
            </w:pPr>
            <w:r>
              <w:rPr>
                <w:rFonts w:ascii="Calibri" w:cs="Calibri" w:eastAsia="Calibri" w:hAnsi="Calibri"/>
                <w:sz w:val="18"/>
                <w:szCs w:val="18"/>
                <w:color w:val="auto"/>
              </w:rPr>
              <w:t>Balance as of October 29, 2023</w:t>
            </w:r>
          </w:p>
        </w:tc>
        <w:tc>
          <w:tcPr>
            <w:tcW w:w="140" w:type="dxa"/>
            <w:vAlign w:val="bottom"/>
            <w:tcBorders>
              <w:bottom w:val="single" w:sz="8" w:color="auto"/>
            </w:tcBorders>
          </w:tcPr>
          <w:p>
            <w:pPr>
              <w:jc w:val="right"/>
              <w:spacing w:after="0" w:line="210" w:lineRule="exact"/>
              <w:rPr>
                <w:sz w:val="20"/>
                <w:szCs w:val="20"/>
                <w:color w:val="auto"/>
              </w:rPr>
            </w:pPr>
            <w:r>
              <w:rPr>
                <w:rFonts w:ascii="Calibri" w:cs="Calibri" w:eastAsia="Calibri" w:hAnsi="Calibri"/>
                <w:sz w:val="18"/>
                <w:szCs w:val="18"/>
                <w:color w:val="auto"/>
                <w:w w:val="87"/>
              </w:rPr>
              <w:t>$</w:t>
            </w:r>
          </w:p>
        </w:tc>
        <w:tc>
          <w:tcPr>
            <w:tcW w:w="880" w:type="dxa"/>
            <w:vAlign w:val="bottom"/>
            <w:tcBorders>
              <w:bottom w:val="single" w:sz="8" w:color="auto"/>
            </w:tcBorders>
          </w:tcPr>
          <w:p>
            <w:pPr>
              <w:jc w:val="right"/>
              <w:spacing w:after="0" w:line="210" w:lineRule="exact"/>
              <w:rPr>
                <w:sz w:val="20"/>
                <w:szCs w:val="20"/>
                <w:color w:val="auto"/>
              </w:rPr>
            </w:pPr>
            <w:r>
              <w:rPr>
                <w:rFonts w:ascii="Calibri" w:cs="Calibri" w:eastAsia="Calibri" w:hAnsi="Calibri"/>
                <w:sz w:val="18"/>
                <w:szCs w:val="18"/>
                <w:color w:val="auto"/>
              </w:rPr>
              <w:t>2</w:t>
            </w: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spacing w:after="0" w:line="210" w:lineRule="exact"/>
              <w:rPr>
                <w:sz w:val="20"/>
                <w:szCs w:val="20"/>
                <w:color w:val="auto"/>
              </w:rPr>
            </w:pPr>
            <w:r>
              <w:rPr>
                <w:rFonts w:ascii="Calibri" w:cs="Calibri" w:eastAsia="Calibri" w:hAnsi="Calibri"/>
                <w:sz w:val="18"/>
                <w:szCs w:val="18"/>
                <w:color w:val="auto"/>
                <w:w w:val="87"/>
              </w:rPr>
              <w:t>$</w:t>
            </w:r>
          </w:p>
        </w:tc>
        <w:tc>
          <w:tcPr>
            <w:tcW w:w="880" w:type="dxa"/>
            <w:vAlign w:val="bottom"/>
            <w:tcBorders>
              <w:bottom w:val="single" w:sz="8" w:color="auto"/>
            </w:tcBorders>
          </w:tcPr>
          <w:p>
            <w:pPr>
              <w:jc w:val="right"/>
              <w:spacing w:after="0" w:line="210" w:lineRule="exact"/>
              <w:rPr>
                <w:sz w:val="20"/>
                <w:szCs w:val="20"/>
                <w:color w:val="auto"/>
              </w:rPr>
            </w:pPr>
            <w:r>
              <w:rPr>
                <w:rFonts w:ascii="Calibri" w:cs="Calibri" w:eastAsia="Calibri" w:hAnsi="Calibri"/>
                <w:sz w:val="18"/>
                <w:szCs w:val="18"/>
                <w:color w:val="auto"/>
              </w:rPr>
              <w:t>—</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52"/>
              <w:spacing w:after="0" w:line="210" w:lineRule="exact"/>
              <w:rPr>
                <w:sz w:val="20"/>
                <w:szCs w:val="20"/>
                <w:color w:val="auto"/>
              </w:rPr>
            </w:pPr>
            <w:r>
              <w:rPr>
                <w:rFonts w:ascii="Calibri" w:cs="Calibri" w:eastAsia="Calibri" w:hAnsi="Calibri"/>
                <w:sz w:val="18"/>
                <w:szCs w:val="18"/>
                <w:color w:val="auto"/>
              </w:rPr>
              <w:t>$</w:t>
            </w:r>
          </w:p>
        </w:tc>
        <w:tc>
          <w:tcPr>
            <w:tcW w:w="820" w:type="dxa"/>
            <w:vAlign w:val="bottom"/>
            <w:tcBorders>
              <w:bottom w:val="single" w:sz="8" w:color="auto"/>
            </w:tcBorders>
          </w:tcPr>
          <w:p>
            <w:pPr>
              <w:jc w:val="right"/>
              <w:spacing w:after="0" w:line="210" w:lineRule="exact"/>
              <w:rPr>
                <w:sz w:val="20"/>
                <w:szCs w:val="20"/>
                <w:color w:val="auto"/>
              </w:rPr>
            </w:pPr>
            <w:r>
              <w:rPr>
                <w:rFonts w:ascii="Calibri" w:cs="Calibri" w:eastAsia="Calibri" w:hAnsi="Calibri"/>
                <w:sz w:val="18"/>
                <w:szCs w:val="18"/>
                <w:color w:val="auto"/>
              </w:rPr>
              <w:t>2</w:t>
            </w:r>
          </w:p>
        </w:tc>
        <w:tc>
          <w:tcPr>
            <w:tcW w:w="0" w:type="dxa"/>
            <w:vAlign w:val="bottom"/>
          </w:tcPr>
          <w:p>
            <w:pPr>
              <w:spacing w:after="0"/>
              <w:rPr>
                <w:sz w:val="1"/>
                <w:szCs w:val="1"/>
                <w:color w:val="auto"/>
              </w:rPr>
            </w:pPr>
          </w:p>
        </w:tc>
      </w:tr>
      <w:tr>
        <w:trPr>
          <w:trHeight w:val="20"/>
        </w:trPr>
        <w:tc>
          <w:tcPr>
            <w:tcW w:w="78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1" w:lineRule="exact"/>
        <w:rPr>
          <w:sz w:val="20"/>
          <w:szCs w:val="20"/>
          <w:color w:val="auto"/>
        </w:rPr>
      </w:pPr>
    </w:p>
    <w:p>
      <w:pPr>
        <w:ind w:right="60" w:firstLine="396"/>
        <w:spacing w:after="0" w:line="230" w:lineRule="auto"/>
        <w:rPr>
          <w:sz w:val="20"/>
          <w:szCs w:val="20"/>
          <w:color w:val="auto"/>
        </w:rPr>
      </w:pPr>
      <w:r>
        <w:rPr>
          <w:rFonts w:ascii="Calibri" w:cs="Calibri" w:eastAsia="Calibri" w:hAnsi="Calibri"/>
          <w:sz w:val="18"/>
          <w:szCs w:val="18"/>
          <w:color w:val="auto"/>
        </w:rPr>
        <w:t>Restructuring charges in our consolidated statement of operatons for the fscal years 2023, 2022 and 2021 included $7 million, $25 million and $36 million respectvely, for the write-down of certain lease-related ROU assets and other lease-related charges. As of each October 29, 2023 and October 30, 2022, short-term and long-term lease liabilites included $44 million and $52 million of liabilites related to restructuring actvites.</w:t>
      </w:r>
    </w:p>
    <w:p>
      <w:pPr>
        <w:spacing w:after="0" w:line="98"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Other Charges</w:t>
      </w:r>
    </w:p>
    <w:p>
      <w:pPr>
        <w:spacing w:after="0" w:line="107" w:lineRule="exact"/>
        <w:rPr>
          <w:sz w:val="20"/>
          <w:szCs w:val="20"/>
          <w:color w:val="auto"/>
        </w:rPr>
      </w:pPr>
    </w:p>
    <w:p>
      <w:pPr>
        <w:ind w:right="400" w:firstLine="396"/>
        <w:spacing w:after="0" w:line="230" w:lineRule="auto"/>
        <w:rPr>
          <w:sz w:val="20"/>
          <w:szCs w:val="20"/>
          <w:color w:val="auto"/>
        </w:rPr>
      </w:pPr>
      <w:r>
        <w:rPr>
          <w:rFonts w:ascii="Calibri" w:cs="Calibri" w:eastAsia="Calibri" w:hAnsi="Calibri"/>
          <w:sz w:val="18"/>
          <w:szCs w:val="18"/>
          <w:color w:val="auto"/>
        </w:rPr>
        <w:t>During fscal year 2023, other charges included $204 million of non-recurring charges related to IP litgaton and $8 million of impairment and disposal charges primarily related to property, plant and equipment. During fscal years 2022 and 2021, other charges included impairment and disposal charges of $7 million and $16 million, respectvely, primarily related to leasehold improvements.</w:t>
      </w:r>
    </w:p>
    <w:p>
      <w:pPr>
        <w:spacing w:after="0" w:line="98"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15. Subsequent Events</w:t>
      </w:r>
    </w:p>
    <w:p>
      <w:pPr>
        <w:spacing w:after="0" w:line="97"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Acquisiton of VMware, Inc.</w:t>
      </w:r>
    </w:p>
    <w:p>
      <w:pPr>
        <w:spacing w:after="0" w:line="107" w:lineRule="exact"/>
        <w:rPr>
          <w:sz w:val="20"/>
          <w:szCs w:val="20"/>
          <w:color w:val="auto"/>
        </w:rPr>
      </w:pPr>
    </w:p>
    <w:p>
      <w:pPr>
        <w:ind w:right="60" w:firstLine="396"/>
        <w:spacing w:after="0" w:line="230" w:lineRule="auto"/>
        <w:rPr>
          <w:sz w:val="20"/>
          <w:szCs w:val="20"/>
          <w:color w:val="auto"/>
        </w:rPr>
      </w:pPr>
      <w:r>
        <w:rPr>
          <w:rFonts w:ascii="Calibri" w:cs="Calibri" w:eastAsia="Calibri" w:hAnsi="Calibri"/>
          <w:sz w:val="18"/>
          <w:szCs w:val="18"/>
          <w:color w:val="auto"/>
        </w:rPr>
        <w:t>On November 22, 2023, we completed the acquisiton of VMware in a cash-and-stock transacton (the “VMware Merger”). Pursuant to the Agreement and Plan of Merger, each share of VMware common stock issued and outstanding immediately prior to the efectve tme of the VMware Merger was indirectly converted into the right to receive, at the electon of the holder of such share of VMware common stock, either $142.50 in cash, without interest, or 0.2520 shares of Broadcom common stock. The stockholder electon was prorated, such that the total number of shares of VMware common stock enttled to receive cash and the total number of shares of VMware common stock enttled to receive Broadcom common stock, in each case, was equal to 50% of the aggregate number of shares of VMware common stock issued and outstanding. Based on the VMware stockholders’ electons, the VMware stockholders received approximately $30.8 billion in cash and 54.4 million shares of Broadcom common stock in aggregate.</w:t>
      </w:r>
    </w:p>
    <w:p>
      <w:pPr>
        <w:spacing w:after="0" w:line="110" w:lineRule="exact"/>
        <w:rPr>
          <w:sz w:val="20"/>
          <w:szCs w:val="20"/>
          <w:color w:val="auto"/>
        </w:rPr>
      </w:pPr>
    </w:p>
    <w:p>
      <w:pPr>
        <w:jc w:val="both"/>
        <w:ind w:right="80" w:firstLine="396"/>
        <w:spacing w:after="0" w:line="230" w:lineRule="auto"/>
        <w:rPr>
          <w:sz w:val="20"/>
          <w:szCs w:val="20"/>
          <w:color w:val="auto"/>
        </w:rPr>
      </w:pPr>
      <w:r>
        <w:rPr>
          <w:rFonts w:ascii="Calibri" w:cs="Calibri" w:eastAsia="Calibri" w:hAnsi="Calibri"/>
          <w:sz w:val="18"/>
          <w:szCs w:val="18"/>
          <w:color w:val="auto"/>
        </w:rPr>
        <w:t>We assumed all outstanding VMware RSU awards and performance stock unit awards held by contnuing employees. The assumed awards were converted into approximately 5 million Broadcom RSU awards. All outstanding in-the-money VMware stock optons and RSU awards held by non-employee directors were accelerated and converted into the right to receive cash and shares of Broadcom common stock, in equal parts.</w:t>
      </w:r>
    </w:p>
    <w:p>
      <w:pPr>
        <w:spacing w:after="0" w:line="108" w:lineRule="exact"/>
        <w:rPr>
          <w:sz w:val="20"/>
          <w:szCs w:val="20"/>
          <w:color w:val="auto"/>
        </w:rPr>
      </w:pPr>
    </w:p>
    <w:p>
      <w:pPr>
        <w:ind w:right="360" w:firstLine="396"/>
        <w:spacing w:after="0" w:line="230" w:lineRule="auto"/>
        <w:rPr>
          <w:sz w:val="20"/>
          <w:szCs w:val="20"/>
          <w:color w:val="auto"/>
        </w:rPr>
      </w:pPr>
      <w:r>
        <w:rPr>
          <w:rFonts w:ascii="Calibri" w:cs="Calibri" w:eastAsia="Calibri" w:hAnsi="Calibri"/>
          <w:sz w:val="18"/>
          <w:szCs w:val="18"/>
          <w:color w:val="auto"/>
        </w:rPr>
        <w:t>VMware was a leading provider of mult-cloud services for all applicatons, enabling digital innovaton with enterprise control. We acquired VMware to enhance our infrastructure sofware capabilites.</w:t>
      </w:r>
    </w:p>
    <w:p>
      <w:pPr>
        <w:spacing w:after="0" w:line="200" w:lineRule="exact"/>
        <w:rPr>
          <w:sz w:val="20"/>
          <w:szCs w:val="20"/>
          <w:color w:val="auto"/>
        </w:rPr>
      </w:pPr>
    </w:p>
    <w:p>
      <w:pPr>
        <w:spacing w:after="0" w:line="333" w:lineRule="exact"/>
        <w:rPr>
          <w:sz w:val="20"/>
          <w:szCs w:val="20"/>
          <w:color w:val="auto"/>
        </w:rPr>
      </w:pPr>
    </w:p>
    <w:p>
      <w:pPr>
        <w:jc w:val="center"/>
        <w:ind w:right="-39"/>
        <w:spacing w:after="0"/>
        <w:rPr>
          <w:sz w:val="20"/>
          <w:szCs w:val="20"/>
          <w:color w:val="auto"/>
        </w:rPr>
      </w:pPr>
      <w:r>
        <w:rPr>
          <w:rFonts w:ascii="Calibri" w:cs="Calibri" w:eastAsia="Calibri" w:hAnsi="Calibri"/>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09" w:right="359" w:bottom="1440" w:gutter="0" w:footer="0" w:header="0"/>
        </w:sectPr>
      </w:pPr>
    </w:p>
    <w:bookmarkStart w:id="88" w:name="page89"/>
    <w:bookmarkEnd w:id="88"/>
    <w:p>
      <w:pPr>
        <w:spacing w:after="0"/>
        <w:rPr>
          <w:sz w:val="20"/>
          <w:szCs w:val="20"/>
          <w:color w:val="auto"/>
        </w:rPr>
      </w:pPr>
      <w:r>
        <w:rPr>
          <w:rFonts w:ascii="Calibri" w:cs="Calibri" w:eastAsia="Calibri" w:hAnsi="Calibri"/>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400"/>
        <w:spacing w:after="0"/>
        <w:rPr>
          <w:sz w:val="20"/>
          <w:szCs w:val="20"/>
          <w:color w:val="auto"/>
        </w:rPr>
      </w:pPr>
      <w:r>
        <w:rPr>
          <w:rFonts w:ascii="Calibri" w:cs="Calibri" w:eastAsia="Calibri" w:hAnsi="Calibri"/>
          <w:sz w:val="18"/>
          <w:szCs w:val="18"/>
          <w:b w:val="1"/>
          <w:bCs w:val="1"/>
          <w:i w:val="1"/>
          <w:iCs w:val="1"/>
          <w:color w:val="auto"/>
        </w:rPr>
        <w:t>Preliminary Purchase Consideraton</w:t>
      </w:r>
    </w:p>
    <w:p>
      <w:pPr>
        <w:spacing w:after="0" w:line="136" w:lineRule="exact"/>
        <w:rPr>
          <w:sz w:val="20"/>
          <w:szCs w:val="20"/>
          <w:color w:val="auto"/>
        </w:rPr>
      </w:pPr>
    </w:p>
    <w:tbl>
      <w:tblPr>
        <w:tblLayout w:type="fixed"/>
        <w:tblInd w:w="400" w:type="dxa"/>
        <w:tblCellMar>
          <w:top w:w="0" w:type="dxa"/>
          <w:left w:w="0" w:type="dxa"/>
          <w:bottom w:w="0" w:type="dxa"/>
          <w:right w:w="0" w:type="dxa"/>
        </w:tblCellMar>
      </w:tblPr>
      <w:tr>
        <w:trPr>
          <w:trHeight w:val="171"/>
        </w:trPr>
        <w:tc>
          <w:tcPr>
            <w:tcW w:w="9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60" w:type="dxa"/>
            <w:vAlign w:val="bottom"/>
          </w:tcPr>
          <w:p>
            <w:pPr>
              <w:jc w:val="right"/>
              <w:ind w:right="314"/>
              <w:spacing w:after="0"/>
              <w:rPr>
                <w:sz w:val="20"/>
                <w:szCs w:val="20"/>
                <w:color w:val="auto"/>
              </w:rPr>
            </w:pPr>
            <w:r>
              <w:rPr>
                <w:rFonts w:ascii="Calibri" w:cs="Calibri" w:eastAsia="Calibri" w:hAnsi="Calibri"/>
                <w:sz w:val="14"/>
                <w:szCs w:val="14"/>
                <w:b w:val="1"/>
                <w:bCs w:val="1"/>
                <w:color w:val="auto"/>
              </w:rPr>
              <w:t>(In millions)</w:t>
            </w:r>
          </w:p>
        </w:tc>
      </w:tr>
      <w:tr>
        <w:trPr>
          <w:trHeight w:val="45"/>
        </w:trPr>
        <w:tc>
          <w:tcPr>
            <w:tcW w:w="920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r>
      <w:tr>
        <w:trPr>
          <w:trHeight w:val="218"/>
        </w:trPr>
        <w:tc>
          <w:tcPr>
            <w:tcW w:w="9200" w:type="dxa"/>
            <w:vAlign w:val="bottom"/>
            <w:shd w:val="clear" w:color="auto" w:fill="CCEEFF"/>
          </w:tcPr>
          <w:p>
            <w:pPr>
              <w:ind w:left="20"/>
              <w:spacing w:after="0" w:line="196" w:lineRule="exact"/>
              <w:rPr>
                <w:sz w:val="20"/>
                <w:szCs w:val="20"/>
                <w:color w:val="auto"/>
              </w:rPr>
            </w:pPr>
            <w:r>
              <w:rPr>
                <w:rFonts w:ascii="Calibri" w:cs="Calibri" w:eastAsia="Calibri" w:hAnsi="Calibri"/>
                <w:sz w:val="18"/>
                <w:szCs w:val="18"/>
                <w:color w:val="auto"/>
              </w:rPr>
              <w:t>Fair value of Broadcom common stock issued for outstanding VMware common stock</w:t>
            </w:r>
          </w:p>
        </w:tc>
        <w:tc>
          <w:tcPr>
            <w:tcW w:w="380" w:type="dxa"/>
            <w:vAlign w:val="bottom"/>
            <w:shd w:val="clear" w:color="auto" w:fill="CCEEFF"/>
          </w:tcPr>
          <w:p>
            <w:pPr>
              <w:jc w:val="right"/>
              <w:ind w:right="172"/>
              <w:spacing w:after="0" w:line="210" w:lineRule="exact"/>
              <w:rPr>
                <w:sz w:val="20"/>
                <w:szCs w:val="20"/>
                <w:color w:val="auto"/>
              </w:rPr>
            </w:pPr>
            <w:r>
              <w:rPr>
                <w:rFonts w:ascii="Calibri" w:cs="Calibri" w:eastAsia="Calibri" w:hAnsi="Calibri"/>
                <w:sz w:val="18"/>
                <w:szCs w:val="18"/>
                <w:color w:val="auto"/>
              </w:rPr>
              <w:t>$</w:t>
            </w:r>
          </w:p>
        </w:tc>
        <w:tc>
          <w:tcPr>
            <w:tcW w:w="1360" w:type="dxa"/>
            <w:vAlign w:val="bottom"/>
            <w:shd w:val="clear" w:color="auto" w:fill="CCEEFF"/>
          </w:tcPr>
          <w:p>
            <w:pPr>
              <w:jc w:val="right"/>
              <w:spacing w:after="0" w:line="210" w:lineRule="exact"/>
              <w:rPr>
                <w:sz w:val="20"/>
                <w:szCs w:val="20"/>
                <w:color w:val="auto"/>
              </w:rPr>
            </w:pPr>
            <w:r>
              <w:rPr>
                <w:rFonts w:ascii="Calibri" w:cs="Calibri" w:eastAsia="Calibri" w:hAnsi="Calibri"/>
                <w:sz w:val="18"/>
                <w:szCs w:val="18"/>
                <w:color w:val="auto"/>
              </w:rPr>
              <w:t>53,3</w:t>
            </w:r>
          </w:p>
        </w:tc>
      </w:tr>
      <w:tr>
        <w:trPr>
          <w:trHeight w:val="217"/>
        </w:trPr>
        <w:tc>
          <w:tcPr>
            <w:tcW w:w="9200" w:type="dxa"/>
            <w:vAlign w:val="bottom"/>
          </w:tcPr>
          <w:p>
            <w:pPr>
              <w:ind w:left="20"/>
              <w:spacing w:after="0" w:line="210" w:lineRule="exact"/>
              <w:rPr>
                <w:sz w:val="20"/>
                <w:szCs w:val="20"/>
                <w:color w:val="auto"/>
              </w:rPr>
            </w:pPr>
            <w:r>
              <w:rPr>
                <w:rFonts w:ascii="Calibri" w:cs="Calibri" w:eastAsia="Calibri" w:hAnsi="Calibri"/>
                <w:sz w:val="18"/>
                <w:szCs w:val="18"/>
                <w:color w:val="auto"/>
              </w:rPr>
              <w:t>Cash paid for outstanding VMware common stock</w:t>
            </w:r>
          </w:p>
        </w:tc>
        <w:tc>
          <w:tcPr>
            <w:tcW w:w="380" w:type="dxa"/>
            <w:vAlign w:val="bottom"/>
          </w:tcPr>
          <w:p>
            <w:pPr>
              <w:spacing w:after="0"/>
              <w:rPr>
                <w:sz w:val="18"/>
                <w:szCs w:val="18"/>
                <w:color w:val="auto"/>
              </w:rPr>
            </w:pPr>
          </w:p>
        </w:tc>
        <w:tc>
          <w:tcPr>
            <w:tcW w:w="1360" w:type="dxa"/>
            <w:vAlign w:val="bottom"/>
          </w:tcPr>
          <w:p>
            <w:pPr>
              <w:jc w:val="right"/>
              <w:spacing w:after="0" w:line="210" w:lineRule="exact"/>
              <w:rPr>
                <w:sz w:val="20"/>
                <w:szCs w:val="20"/>
                <w:color w:val="auto"/>
              </w:rPr>
            </w:pPr>
            <w:r>
              <w:rPr>
                <w:rFonts w:ascii="Calibri" w:cs="Calibri" w:eastAsia="Calibri" w:hAnsi="Calibri"/>
                <w:sz w:val="18"/>
                <w:szCs w:val="18"/>
                <w:color w:val="auto"/>
              </w:rPr>
              <w:t>30,7</w:t>
            </w:r>
          </w:p>
        </w:tc>
      </w:tr>
      <w:tr>
        <w:trPr>
          <w:trHeight w:val="232"/>
        </w:trPr>
        <w:tc>
          <w:tcPr>
            <w:tcW w:w="9200" w:type="dxa"/>
            <w:vAlign w:val="bottom"/>
            <w:shd w:val="clear" w:color="auto" w:fill="CCEEFF"/>
          </w:tcPr>
          <w:p>
            <w:pPr>
              <w:ind w:left="20"/>
              <w:spacing w:after="0" w:line="217" w:lineRule="exact"/>
              <w:rPr>
                <w:sz w:val="20"/>
                <w:szCs w:val="20"/>
                <w:color w:val="auto"/>
              </w:rPr>
            </w:pPr>
            <w:r>
              <w:rPr>
                <w:rFonts w:ascii="Calibri" w:cs="Calibri" w:eastAsia="Calibri" w:hAnsi="Calibri"/>
                <w:sz w:val="18"/>
                <w:szCs w:val="18"/>
                <w:color w:val="auto"/>
              </w:rPr>
              <w:t>Cash paid by Broadcom to retre VMware’s term loan</w:t>
            </w:r>
          </w:p>
        </w:tc>
        <w:tc>
          <w:tcPr>
            <w:tcW w:w="38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line="217" w:lineRule="exact"/>
              <w:rPr>
                <w:sz w:val="20"/>
                <w:szCs w:val="20"/>
                <w:color w:val="auto"/>
              </w:rPr>
            </w:pPr>
            <w:r>
              <w:rPr>
                <w:rFonts w:ascii="Calibri" w:cs="Calibri" w:eastAsia="Calibri" w:hAnsi="Calibri"/>
                <w:sz w:val="18"/>
                <w:szCs w:val="18"/>
                <w:color w:val="auto"/>
              </w:rPr>
              <w:t>1,2</w:t>
            </w:r>
          </w:p>
        </w:tc>
      </w:tr>
      <w:tr>
        <w:trPr>
          <w:trHeight w:val="217"/>
        </w:trPr>
        <w:tc>
          <w:tcPr>
            <w:tcW w:w="9200" w:type="dxa"/>
            <w:vAlign w:val="bottom"/>
          </w:tcPr>
          <w:p>
            <w:pPr>
              <w:ind w:left="20"/>
              <w:spacing w:after="0" w:line="210" w:lineRule="exact"/>
              <w:rPr>
                <w:sz w:val="20"/>
                <w:szCs w:val="20"/>
                <w:color w:val="auto"/>
              </w:rPr>
            </w:pPr>
            <w:r>
              <w:rPr>
                <w:rFonts w:ascii="Calibri" w:cs="Calibri" w:eastAsia="Calibri" w:hAnsi="Calibri"/>
                <w:sz w:val="18"/>
                <w:szCs w:val="18"/>
                <w:color w:val="auto"/>
              </w:rPr>
              <w:t>Fair value of partally vested assumed equity awards</w:t>
            </w:r>
          </w:p>
        </w:tc>
        <w:tc>
          <w:tcPr>
            <w:tcW w:w="380" w:type="dxa"/>
            <w:vAlign w:val="bottom"/>
          </w:tcPr>
          <w:p>
            <w:pPr>
              <w:spacing w:after="0"/>
              <w:rPr>
                <w:sz w:val="18"/>
                <w:szCs w:val="18"/>
                <w:color w:val="auto"/>
              </w:rPr>
            </w:pPr>
          </w:p>
        </w:tc>
        <w:tc>
          <w:tcPr>
            <w:tcW w:w="1360" w:type="dxa"/>
            <w:vAlign w:val="bottom"/>
          </w:tcPr>
          <w:p>
            <w:pPr>
              <w:jc w:val="right"/>
              <w:spacing w:after="0" w:line="210" w:lineRule="exact"/>
              <w:rPr>
                <w:sz w:val="20"/>
                <w:szCs w:val="20"/>
                <w:color w:val="auto"/>
              </w:rPr>
            </w:pPr>
            <w:r>
              <w:rPr>
                <w:rFonts w:ascii="Calibri" w:cs="Calibri" w:eastAsia="Calibri" w:hAnsi="Calibri"/>
                <w:sz w:val="18"/>
                <w:szCs w:val="18"/>
                <w:color w:val="auto"/>
              </w:rPr>
              <w:t>8</w:t>
            </w:r>
          </w:p>
        </w:tc>
      </w:tr>
      <w:tr>
        <w:trPr>
          <w:trHeight w:val="232"/>
        </w:trPr>
        <w:tc>
          <w:tcPr>
            <w:tcW w:w="9200" w:type="dxa"/>
            <w:vAlign w:val="bottom"/>
            <w:shd w:val="clear" w:color="auto" w:fill="CCEEFF"/>
          </w:tcPr>
          <w:p>
            <w:pPr>
              <w:ind w:left="20"/>
              <w:spacing w:after="0" w:line="217" w:lineRule="exact"/>
              <w:rPr>
                <w:sz w:val="20"/>
                <w:szCs w:val="20"/>
                <w:color w:val="auto"/>
              </w:rPr>
            </w:pPr>
            <w:r>
              <w:rPr>
                <w:rFonts w:ascii="Calibri" w:cs="Calibri" w:eastAsia="Calibri" w:hAnsi="Calibri"/>
                <w:sz w:val="18"/>
                <w:szCs w:val="18"/>
                <w:color w:val="auto"/>
              </w:rPr>
              <w:t>Fair value of Broadcom common stock issued for accelerated VMware equity awards</w:t>
            </w:r>
          </w:p>
        </w:tc>
        <w:tc>
          <w:tcPr>
            <w:tcW w:w="38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r>
      <w:tr>
        <w:trPr>
          <w:trHeight w:val="217"/>
        </w:trPr>
        <w:tc>
          <w:tcPr>
            <w:tcW w:w="9200" w:type="dxa"/>
            <w:vAlign w:val="bottom"/>
          </w:tcPr>
          <w:p>
            <w:pPr>
              <w:ind w:left="20"/>
              <w:spacing w:after="0" w:line="210" w:lineRule="exact"/>
              <w:rPr>
                <w:sz w:val="20"/>
                <w:szCs w:val="20"/>
                <w:color w:val="auto"/>
              </w:rPr>
            </w:pPr>
            <w:r>
              <w:rPr>
                <w:rFonts w:ascii="Calibri" w:cs="Calibri" w:eastAsia="Calibri" w:hAnsi="Calibri"/>
                <w:sz w:val="18"/>
                <w:szCs w:val="18"/>
                <w:color w:val="auto"/>
              </w:rPr>
              <w:t>Cash paid for accelerated VMware equity awards</w:t>
            </w:r>
          </w:p>
        </w:tc>
        <w:tc>
          <w:tcPr>
            <w:tcW w:w="38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32"/>
        </w:trPr>
        <w:tc>
          <w:tcPr>
            <w:tcW w:w="9200" w:type="dxa"/>
            <w:vAlign w:val="bottom"/>
            <w:shd w:val="clear" w:color="auto" w:fill="CCEEFF"/>
          </w:tcPr>
          <w:p>
            <w:pPr>
              <w:ind w:left="20"/>
              <w:spacing w:after="0" w:line="217" w:lineRule="exact"/>
              <w:rPr>
                <w:sz w:val="20"/>
                <w:szCs w:val="20"/>
                <w:color w:val="auto"/>
              </w:rPr>
            </w:pPr>
            <w:r>
              <w:rPr>
                <w:rFonts w:ascii="Calibri" w:cs="Calibri" w:eastAsia="Calibri" w:hAnsi="Calibri"/>
                <w:sz w:val="18"/>
                <w:szCs w:val="18"/>
                <w:color w:val="auto"/>
              </w:rPr>
              <w:t>Efectve setlement of pre-existng relatonships</w:t>
            </w:r>
          </w:p>
        </w:tc>
        <w:tc>
          <w:tcPr>
            <w:tcW w:w="380" w:type="dxa"/>
            <w:vAlign w:val="bottom"/>
            <w:tcBorders>
              <w:bottom w:val="single" w:sz="8" w:color="auto"/>
            </w:tcBorders>
            <w:shd w:val="clear" w:color="auto" w:fill="CCEEFF"/>
          </w:tcPr>
          <w:p>
            <w:pPr>
              <w:spacing w:after="0"/>
              <w:rPr>
                <w:sz w:val="20"/>
                <w:szCs w:val="20"/>
                <w:color w:val="auto"/>
              </w:rPr>
            </w:pPr>
          </w:p>
        </w:tc>
        <w:tc>
          <w:tcPr>
            <w:tcW w:w="1360" w:type="dxa"/>
            <w:vAlign w:val="bottom"/>
            <w:tcBorders>
              <w:bottom w:val="single" w:sz="8" w:color="auto"/>
            </w:tcBorders>
            <w:shd w:val="clear" w:color="auto" w:fill="CCEEFF"/>
          </w:tcPr>
          <w:p>
            <w:pPr>
              <w:spacing w:after="0"/>
              <w:rPr>
                <w:sz w:val="20"/>
                <w:szCs w:val="20"/>
                <w:color w:val="auto"/>
              </w:rPr>
            </w:pPr>
          </w:p>
        </w:tc>
      </w:tr>
      <w:tr>
        <w:trPr>
          <w:trHeight w:val="210"/>
        </w:trPr>
        <w:tc>
          <w:tcPr>
            <w:tcW w:w="9200" w:type="dxa"/>
            <w:vAlign w:val="bottom"/>
          </w:tcPr>
          <w:p>
            <w:pPr>
              <w:ind w:left="120"/>
              <w:spacing w:after="0" w:line="196" w:lineRule="exact"/>
              <w:rPr>
                <w:sz w:val="20"/>
                <w:szCs w:val="20"/>
                <w:color w:val="auto"/>
              </w:rPr>
            </w:pPr>
            <w:r>
              <w:rPr>
                <w:rFonts w:ascii="Calibri" w:cs="Calibri" w:eastAsia="Calibri" w:hAnsi="Calibri"/>
                <w:sz w:val="18"/>
                <w:szCs w:val="18"/>
                <w:color w:val="auto"/>
              </w:rPr>
              <w:t>Total purchase consideraton</w:t>
            </w:r>
          </w:p>
        </w:tc>
        <w:tc>
          <w:tcPr>
            <w:tcW w:w="380" w:type="dxa"/>
            <w:vAlign w:val="bottom"/>
          </w:tcPr>
          <w:p>
            <w:pPr>
              <w:spacing w:after="0"/>
              <w:rPr>
                <w:sz w:val="18"/>
                <w:szCs w:val="18"/>
                <w:color w:val="auto"/>
              </w:rPr>
            </w:pPr>
          </w:p>
        </w:tc>
        <w:tc>
          <w:tcPr>
            <w:tcW w:w="1360" w:type="dxa"/>
            <w:vAlign w:val="bottom"/>
          </w:tcPr>
          <w:p>
            <w:pPr>
              <w:jc w:val="right"/>
              <w:spacing w:after="0" w:line="210" w:lineRule="exact"/>
              <w:rPr>
                <w:sz w:val="20"/>
                <w:szCs w:val="20"/>
                <w:color w:val="auto"/>
              </w:rPr>
            </w:pPr>
            <w:r>
              <w:rPr>
                <w:rFonts w:ascii="Calibri" w:cs="Calibri" w:eastAsia="Calibri" w:hAnsi="Calibri"/>
                <w:sz w:val="18"/>
                <w:szCs w:val="18"/>
                <w:color w:val="auto"/>
              </w:rPr>
              <w:t>86,2</w:t>
            </w:r>
          </w:p>
        </w:tc>
      </w:tr>
      <w:tr>
        <w:trPr>
          <w:trHeight w:val="225"/>
        </w:trPr>
        <w:tc>
          <w:tcPr>
            <w:tcW w:w="9200" w:type="dxa"/>
            <w:vAlign w:val="bottom"/>
            <w:shd w:val="clear" w:color="auto" w:fill="CCEEFF"/>
          </w:tcPr>
          <w:p>
            <w:pPr>
              <w:ind w:left="20"/>
              <w:spacing w:after="0" w:line="217" w:lineRule="exact"/>
              <w:rPr>
                <w:sz w:val="20"/>
                <w:szCs w:val="20"/>
                <w:color w:val="auto"/>
              </w:rPr>
            </w:pPr>
            <w:r>
              <w:rPr>
                <w:rFonts w:ascii="Calibri" w:cs="Calibri" w:eastAsia="Calibri" w:hAnsi="Calibri"/>
                <w:sz w:val="18"/>
                <w:szCs w:val="18"/>
                <w:color w:val="auto"/>
              </w:rPr>
              <w:t>Less: cash acquired</w:t>
            </w:r>
          </w:p>
        </w:tc>
        <w:tc>
          <w:tcPr>
            <w:tcW w:w="3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line="217" w:lineRule="exact"/>
              <w:rPr>
                <w:sz w:val="20"/>
                <w:szCs w:val="20"/>
                <w:color w:val="auto"/>
              </w:rPr>
            </w:pPr>
            <w:r>
              <w:rPr>
                <w:rFonts w:ascii="Calibri" w:cs="Calibri" w:eastAsia="Calibri" w:hAnsi="Calibri"/>
                <w:sz w:val="18"/>
                <w:szCs w:val="18"/>
                <w:color w:val="auto"/>
              </w:rPr>
              <w:t>6,6</w:t>
            </w:r>
          </w:p>
        </w:tc>
      </w:tr>
      <w:tr>
        <w:trPr>
          <w:trHeight w:val="224"/>
        </w:trPr>
        <w:tc>
          <w:tcPr>
            <w:tcW w:w="9200" w:type="dxa"/>
            <w:vAlign w:val="bottom"/>
          </w:tcPr>
          <w:p>
            <w:pPr>
              <w:ind w:left="120"/>
              <w:spacing w:after="0"/>
              <w:rPr>
                <w:sz w:val="20"/>
                <w:szCs w:val="20"/>
                <w:color w:val="auto"/>
              </w:rPr>
            </w:pPr>
            <w:r>
              <w:rPr>
                <w:rFonts w:ascii="Calibri" w:cs="Calibri" w:eastAsia="Calibri" w:hAnsi="Calibri"/>
                <w:sz w:val="18"/>
                <w:szCs w:val="18"/>
                <w:color w:val="auto"/>
              </w:rPr>
              <w:t>Total purchase consideraton, net of cash acquired</w:t>
            </w:r>
          </w:p>
        </w:tc>
        <w:tc>
          <w:tcPr>
            <w:tcW w:w="380" w:type="dxa"/>
            <w:vAlign w:val="bottom"/>
            <w:tcBorders>
              <w:bottom w:val="single" w:sz="8" w:color="auto"/>
            </w:tcBorders>
          </w:tcPr>
          <w:p>
            <w:pPr>
              <w:jc w:val="right"/>
              <w:ind w:right="172"/>
              <w:spacing w:after="0" w:line="210" w:lineRule="exact"/>
              <w:rPr>
                <w:sz w:val="20"/>
                <w:szCs w:val="20"/>
                <w:color w:val="auto"/>
              </w:rPr>
            </w:pPr>
            <w:r>
              <w:rPr>
                <w:rFonts w:ascii="Calibri" w:cs="Calibri" w:eastAsia="Calibri" w:hAnsi="Calibri"/>
                <w:sz w:val="18"/>
                <w:szCs w:val="18"/>
                <w:color w:val="auto"/>
              </w:rPr>
              <w:t>$</w:t>
            </w:r>
          </w:p>
        </w:tc>
        <w:tc>
          <w:tcPr>
            <w:tcW w:w="1360" w:type="dxa"/>
            <w:vAlign w:val="bottom"/>
            <w:tcBorders>
              <w:bottom w:val="single" w:sz="8" w:color="auto"/>
            </w:tcBorders>
          </w:tcPr>
          <w:p>
            <w:pPr>
              <w:jc w:val="right"/>
              <w:spacing w:after="0" w:line="210" w:lineRule="exact"/>
              <w:rPr>
                <w:sz w:val="20"/>
                <w:szCs w:val="20"/>
                <w:color w:val="auto"/>
              </w:rPr>
            </w:pPr>
            <w:r>
              <w:rPr>
                <w:rFonts w:ascii="Calibri" w:cs="Calibri" w:eastAsia="Calibri" w:hAnsi="Calibri"/>
                <w:sz w:val="18"/>
                <w:szCs w:val="18"/>
                <w:color w:val="auto"/>
              </w:rPr>
              <w:t>79,6</w:t>
            </w:r>
          </w:p>
        </w:tc>
      </w:tr>
      <w:tr>
        <w:trPr>
          <w:trHeight w:val="20"/>
        </w:trPr>
        <w:tc>
          <w:tcPr>
            <w:tcW w:w="92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177" w:lineRule="exact"/>
        <w:rPr>
          <w:sz w:val="20"/>
          <w:szCs w:val="20"/>
          <w:color w:val="auto"/>
        </w:rPr>
      </w:pPr>
    </w:p>
    <w:p>
      <w:pPr>
        <w:ind w:right="260" w:firstLine="396"/>
        <w:spacing w:after="0" w:line="230" w:lineRule="auto"/>
        <w:rPr>
          <w:sz w:val="20"/>
          <w:szCs w:val="20"/>
          <w:color w:val="auto"/>
        </w:rPr>
      </w:pPr>
      <w:r>
        <w:rPr>
          <w:rFonts w:ascii="Calibri" w:cs="Calibri" w:eastAsia="Calibri" w:hAnsi="Calibri"/>
          <w:sz w:val="18"/>
          <w:szCs w:val="18"/>
          <w:color w:val="auto"/>
        </w:rPr>
        <w:t>We funded the cash porton of the VMware Merger with the net proceeds from the issuance of the 2023 Term Loans, as discussed in further detail below, as well as cash on hand. We assumed $8,250 million of VMware’s outstanding senior unsecured notes.</w:t>
      </w:r>
    </w:p>
    <w:p>
      <w:pPr>
        <w:spacing w:after="0" w:line="107" w:lineRule="exact"/>
        <w:rPr>
          <w:sz w:val="20"/>
          <w:szCs w:val="20"/>
          <w:color w:val="auto"/>
        </w:rPr>
      </w:pPr>
    </w:p>
    <w:p>
      <w:pPr>
        <w:ind w:right="420" w:firstLine="396"/>
        <w:spacing w:after="0" w:line="230" w:lineRule="auto"/>
        <w:rPr>
          <w:sz w:val="20"/>
          <w:szCs w:val="20"/>
          <w:color w:val="auto"/>
        </w:rPr>
      </w:pPr>
      <w:r>
        <w:rPr>
          <w:rFonts w:ascii="Calibri" w:cs="Calibri" w:eastAsia="Calibri" w:hAnsi="Calibri"/>
          <w:sz w:val="18"/>
          <w:szCs w:val="18"/>
          <w:color w:val="auto"/>
        </w:rPr>
        <w:t>We are currently evaluatng the purchase price allocaton following the consummaton of the VMware Merger. It is not practcable to disclose the preliminary purchase price allocaton or unaudited pro forma combined fnancial informaton for this transacton, given the short period of tme between the acquisiton date and the issuance of these consolidated fnancial statements.</w:t>
      </w:r>
    </w:p>
    <w:p>
      <w:pPr>
        <w:spacing w:after="0" w:line="98" w:lineRule="exact"/>
        <w:rPr>
          <w:sz w:val="20"/>
          <w:szCs w:val="20"/>
          <w:color w:val="auto"/>
        </w:rPr>
      </w:pPr>
    </w:p>
    <w:p>
      <w:pPr>
        <w:ind w:left="400"/>
        <w:spacing w:after="0"/>
        <w:rPr>
          <w:sz w:val="20"/>
          <w:szCs w:val="20"/>
          <w:color w:val="auto"/>
        </w:rPr>
      </w:pPr>
      <w:r>
        <w:rPr>
          <w:rFonts w:ascii="Calibri" w:cs="Calibri" w:eastAsia="Calibri" w:hAnsi="Calibri"/>
          <w:sz w:val="18"/>
          <w:szCs w:val="18"/>
          <w:b w:val="1"/>
          <w:bCs w:val="1"/>
          <w:i w:val="1"/>
          <w:iCs w:val="1"/>
          <w:color w:val="auto"/>
        </w:rPr>
        <w:t>2023 Term Loans</w:t>
      </w:r>
    </w:p>
    <w:p>
      <w:pPr>
        <w:spacing w:after="0" w:line="107" w:lineRule="exact"/>
        <w:rPr>
          <w:sz w:val="20"/>
          <w:szCs w:val="20"/>
          <w:color w:val="auto"/>
        </w:rPr>
      </w:pPr>
    </w:p>
    <w:p>
      <w:pPr>
        <w:ind w:right="180" w:firstLine="396"/>
        <w:spacing w:after="0" w:line="230" w:lineRule="auto"/>
        <w:rPr>
          <w:sz w:val="20"/>
          <w:szCs w:val="20"/>
          <w:color w:val="auto"/>
        </w:rPr>
      </w:pPr>
      <w:r>
        <w:rPr>
          <w:rFonts w:ascii="Calibri" w:cs="Calibri" w:eastAsia="Calibri" w:hAnsi="Calibri"/>
          <w:sz w:val="18"/>
          <w:szCs w:val="18"/>
          <w:color w:val="auto"/>
        </w:rPr>
        <w:t>On August 15, 2023, we entered into a credit agreement (the “2023 Credit Agreement”), which provided us with the ability to borrow term loans in connecton with the VMware Merger. In connecton with entering into the 2023 Credit Agreement, we terminated the commitment leter for a senior unsecured bridge facility in an aggregate principal amount of $32 billion that we entered into on May 26, 2022. Upon completon of the VMware Merger, we entered an $11,195 million unsecured term A-2 facility (the "Term A-2 Loan”), an $11,195 million unsecured term A-3 facility (the “Term A-3 Loan”), and an $8,000 million unsecured term A-5 facility (the “Term A-5 Loan”, collectvely, the “2023 Term Loans”).</w:t>
      </w:r>
    </w:p>
    <w:p>
      <w:pPr>
        <w:spacing w:after="0" w:line="109" w:lineRule="exact"/>
        <w:rPr>
          <w:sz w:val="20"/>
          <w:szCs w:val="20"/>
          <w:color w:val="auto"/>
        </w:rPr>
      </w:pPr>
    </w:p>
    <w:p>
      <w:pPr>
        <w:jc w:val="both"/>
        <w:ind w:right="280" w:firstLine="396"/>
        <w:spacing w:after="0" w:line="230" w:lineRule="auto"/>
        <w:rPr>
          <w:sz w:val="20"/>
          <w:szCs w:val="20"/>
          <w:color w:val="auto"/>
        </w:rPr>
      </w:pPr>
      <w:r>
        <w:rPr>
          <w:rFonts w:ascii="Calibri" w:cs="Calibri" w:eastAsia="Calibri" w:hAnsi="Calibri"/>
          <w:sz w:val="18"/>
          <w:szCs w:val="18"/>
          <w:color w:val="auto"/>
        </w:rPr>
        <w:t>The term loans under the Term A-2 Loan, Term A-3 Loan and Term A-5 Loan bear interest at foatng interest rates and will mature and be payable on the second, third or ffh anniversary, respectvely, of the date of the VMware Merger. Our obligatons under the 2023 Credit Agreement are unsecured and are not guaranteed by any of our subsidiaries.</w:t>
      </w:r>
    </w:p>
    <w:p>
      <w:pPr>
        <w:spacing w:after="0" w:line="98"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Cash Dividends Declared</w:t>
      </w:r>
    </w:p>
    <w:p>
      <w:pPr>
        <w:spacing w:after="0" w:line="107" w:lineRule="exact"/>
        <w:rPr>
          <w:sz w:val="20"/>
          <w:szCs w:val="20"/>
          <w:color w:val="auto"/>
        </w:rPr>
      </w:pPr>
    </w:p>
    <w:p>
      <w:pPr>
        <w:ind w:right="240" w:firstLine="396"/>
        <w:spacing w:after="0" w:line="230" w:lineRule="auto"/>
        <w:rPr>
          <w:sz w:val="20"/>
          <w:szCs w:val="20"/>
          <w:color w:val="auto"/>
        </w:rPr>
      </w:pPr>
      <w:r>
        <w:rPr>
          <w:rFonts w:ascii="Calibri" w:cs="Calibri" w:eastAsia="Calibri" w:hAnsi="Calibri"/>
          <w:sz w:val="18"/>
          <w:szCs w:val="18"/>
          <w:color w:val="auto"/>
        </w:rPr>
        <w:t>On December 5, 2023, our Board of Directors declared a quarterly cash dividend of $5.25 per share on our common stock, payable on December 29, 2023 to stockholders of record on December 20, 2023.</w:t>
      </w:r>
    </w:p>
    <w:p>
      <w:pPr>
        <w:spacing w:after="0" w:line="200" w:lineRule="exact"/>
        <w:rPr>
          <w:sz w:val="20"/>
          <w:szCs w:val="20"/>
          <w:color w:val="auto"/>
        </w:rPr>
      </w:pPr>
    </w:p>
    <w:p>
      <w:pPr>
        <w:spacing w:after="0" w:line="333" w:lineRule="exact"/>
        <w:rPr>
          <w:sz w:val="20"/>
          <w:szCs w:val="20"/>
          <w:color w:val="auto"/>
        </w:rPr>
      </w:pPr>
    </w:p>
    <w:p>
      <w:pPr>
        <w:jc w:val="center"/>
        <w:ind w:right="100"/>
        <w:spacing w:after="0"/>
        <w:rPr>
          <w:sz w:val="20"/>
          <w:szCs w:val="20"/>
          <w:color w:val="auto"/>
        </w:rPr>
      </w:pPr>
      <w:r>
        <w:rPr>
          <w:rFonts w:ascii="Calibri" w:cs="Calibri" w:eastAsia="Calibri" w:hAnsi="Calibri"/>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340"/>
          </w:cols>
          <w:pgMar w:left="320" w:top="109" w:right="239" w:bottom="1440" w:gutter="0" w:footer="0" w:header="0"/>
        </w:sectPr>
      </w:pPr>
    </w:p>
    <w:bookmarkStart w:id="89" w:name="page90"/>
    <w:bookmarkEnd w:id="89"/>
    <w:p>
      <w:pPr>
        <w:spacing w:after="0"/>
        <w:rPr>
          <w:sz w:val="20"/>
          <w:szCs w:val="20"/>
          <w:color w:val="auto"/>
        </w:rPr>
      </w:pPr>
      <w:r>
        <w:rPr>
          <w:rFonts w:ascii="Calibri" w:cs="Calibri" w:eastAsia="Calibri" w:hAnsi="Calibri"/>
          <w:sz w:val="18"/>
          <w:szCs w:val="18"/>
          <w:u w:val="single" w:color="auto"/>
          <w:color w:val="0000FF"/>
        </w:rPr>
        <w:t>Table of Contents</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Calibri" w:cs="Calibri" w:eastAsia="Calibri" w:hAnsi="Calibri"/>
          <w:sz w:val="18"/>
          <w:szCs w:val="18"/>
          <w:b w:val="1"/>
          <w:bCs w:val="1"/>
          <w:color w:val="auto"/>
        </w:rPr>
        <w:t>Schedule II — Valuaton and Qualifying Accounts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gridSpan w:val="2"/>
          </w:tcPr>
          <w:p>
            <w:pPr>
              <w:jc w:val="center"/>
              <w:ind w:right="280"/>
              <w:spacing w:after="0"/>
              <w:rPr>
                <w:sz w:val="20"/>
                <w:szCs w:val="20"/>
                <w:color w:val="auto"/>
              </w:rPr>
            </w:pPr>
            <w:r>
              <w:rPr>
                <w:rFonts w:ascii="Calibri" w:cs="Calibri" w:eastAsia="Calibri" w:hAnsi="Calibri"/>
                <w:sz w:val="14"/>
                <w:szCs w:val="14"/>
                <w:b w:val="1"/>
                <w:bCs w:val="1"/>
                <w:color w:val="auto"/>
                <w:w w:val="99"/>
              </w:rPr>
              <w:t>Balance at</w:t>
            </w: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gridSpan w:val="2"/>
          </w:tcPr>
          <w:p>
            <w:pPr>
              <w:jc w:val="center"/>
              <w:ind w:right="320"/>
              <w:spacing w:after="0"/>
              <w:rPr>
                <w:sz w:val="20"/>
                <w:szCs w:val="20"/>
                <w:color w:val="auto"/>
              </w:rPr>
            </w:pPr>
            <w:r>
              <w:rPr>
                <w:rFonts w:ascii="Calibri" w:cs="Calibri" w:eastAsia="Calibri" w:hAnsi="Calibri"/>
                <w:sz w:val="14"/>
                <w:szCs w:val="14"/>
                <w:b w:val="1"/>
                <w:bCs w:val="1"/>
                <w:color w:val="auto"/>
                <w:w w:val="99"/>
              </w:rPr>
              <w:t>Charges</w:t>
            </w:r>
          </w:p>
        </w:tc>
        <w:tc>
          <w:tcPr>
            <w:tcW w:w="180" w:type="dxa"/>
            <w:vAlign w:val="bottom"/>
          </w:tcPr>
          <w:p>
            <w:pPr>
              <w:spacing w:after="0"/>
              <w:rPr>
                <w:sz w:val="14"/>
                <w:szCs w:val="14"/>
                <w:color w:val="auto"/>
              </w:rPr>
            </w:pPr>
          </w:p>
        </w:tc>
        <w:tc>
          <w:tcPr>
            <w:tcW w:w="920" w:type="dxa"/>
            <w:vAlign w:val="bottom"/>
          </w:tcPr>
          <w:p>
            <w:pPr>
              <w:jc w:val="right"/>
              <w:ind w:right="156"/>
              <w:spacing w:after="0"/>
              <w:rPr>
                <w:sz w:val="20"/>
                <w:szCs w:val="20"/>
                <w:color w:val="auto"/>
              </w:rPr>
            </w:pPr>
            <w:r>
              <w:rPr>
                <w:rFonts w:ascii="Calibri" w:cs="Calibri" w:eastAsia="Calibri" w:hAnsi="Calibri"/>
                <w:sz w:val="14"/>
                <w:szCs w:val="14"/>
                <w:b w:val="1"/>
                <w:bCs w:val="1"/>
                <w:color w:val="auto"/>
              </w:rPr>
              <w:t>Balance at</w:t>
            </w:r>
          </w:p>
        </w:tc>
      </w:tr>
      <w:tr>
        <w:trPr>
          <w:trHeight w:val="145"/>
        </w:trPr>
        <w:tc>
          <w:tcPr>
            <w:tcW w:w="6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gridSpan w:val="2"/>
          </w:tcPr>
          <w:p>
            <w:pPr>
              <w:jc w:val="center"/>
              <w:ind w:right="300"/>
              <w:spacing w:after="0" w:line="145" w:lineRule="exact"/>
              <w:rPr>
                <w:sz w:val="20"/>
                <w:szCs w:val="20"/>
                <w:color w:val="auto"/>
              </w:rPr>
            </w:pPr>
            <w:r>
              <w:rPr>
                <w:rFonts w:ascii="Calibri" w:cs="Calibri" w:eastAsia="Calibri" w:hAnsi="Calibri"/>
                <w:sz w:val="14"/>
                <w:szCs w:val="14"/>
                <w:b w:val="1"/>
                <w:bCs w:val="1"/>
                <w:color w:val="auto"/>
              </w:rPr>
              <w:t>Beginning</w:t>
            </w:r>
          </w:p>
        </w:tc>
        <w:tc>
          <w:tcPr>
            <w:tcW w:w="140" w:type="dxa"/>
            <w:vAlign w:val="bottom"/>
          </w:tcPr>
          <w:p>
            <w:pPr>
              <w:spacing w:after="0"/>
              <w:rPr>
                <w:sz w:val="12"/>
                <w:szCs w:val="12"/>
                <w:color w:val="auto"/>
              </w:rPr>
            </w:pPr>
          </w:p>
        </w:tc>
        <w:tc>
          <w:tcPr>
            <w:tcW w:w="1060" w:type="dxa"/>
            <w:vAlign w:val="bottom"/>
            <w:gridSpan w:val="2"/>
          </w:tcPr>
          <w:p>
            <w:pPr>
              <w:jc w:val="center"/>
              <w:ind w:right="300"/>
              <w:spacing w:after="0" w:line="145" w:lineRule="exact"/>
              <w:rPr>
                <w:sz w:val="20"/>
                <w:szCs w:val="20"/>
                <w:color w:val="auto"/>
              </w:rPr>
            </w:pPr>
            <w:r>
              <w:rPr>
                <w:rFonts w:ascii="Calibri" w:cs="Calibri" w:eastAsia="Calibri" w:hAnsi="Calibri"/>
                <w:sz w:val="14"/>
                <w:szCs w:val="14"/>
                <w:b w:val="1"/>
                <w:bCs w:val="1"/>
                <w:color w:val="auto"/>
              </w:rPr>
              <w:t>Additons to</w:t>
            </w:r>
          </w:p>
        </w:tc>
        <w:tc>
          <w:tcPr>
            <w:tcW w:w="180" w:type="dxa"/>
            <w:vAlign w:val="bottom"/>
          </w:tcPr>
          <w:p>
            <w:pPr>
              <w:spacing w:after="0"/>
              <w:rPr>
                <w:sz w:val="12"/>
                <w:szCs w:val="12"/>
                <w:color w:val="auto"/>
              </w:rPr>
            </w:pPr>
          </w:p>
        </w:tc>
        <w:tc>
          <w:tcPr>
            <w:tcW w:w="1020" w:type="dxa"/>
            <w:vAlign w:val="bottom"/>
            <w:gridSpan w:val="2"/>
          </w:tcPr>
          <w:p>
            <w:pPr>
              <w:jc w:val="center"/>
              <w:ind w:right="300"/>
              <w:spacing w:after="0" w:line="145" w:lineRule="exact"/>
              <w:rPr>
                <w:sz w:val="20"/>
                <w:szCs w:val="20"/>
                <w:color w:val="auto"/>
              </w:rPr>
            </w:pPr>
            <w:r>
              <w:rPr>
                <w:rFonts w:ascii="Calibri" w:cs="Calibri" w:eastAsia="Calibri" w:hAnsi="Calibri"/>
                <w:sz w:val="14"/>
                <w:szCs w:val="14"/>
                <w:b w:val="1"/>
                <w:bCs w:val="1"/>
                <w:color w:val="auto"/>
              </w:rPr>
              <w:t>Utlized/</w:t>
            </w:r>
          </w:p>
        </w:tc>
        <w:tc>
          <w:tcPr>
            <w:tcW w:w="180" w:type="dxa"/>
            <w:vAlign w:val="bottom"/>
          </w:tcPr>
          <w:p>
            <w:pPr>
              <w:spacing w:after="0"/>
              <w:rPr>
                <w:sz w:val="12"/>
                <w:szCs w:val="12"/>
                <w:color w:val="auto"/>
              </w:rPr>
            </w:pPr>
          </w:p>
        </w:tc>
        <w:tc>
          <w:tcPr>
            <w:tcW w:w="920" w:type="dxa"/>
            <w:vAlign w:val="bottom"/>
          </w:tcPr>
          <w:p>
            <w:pPr>
              <w:jc w:val="right"/>
              <w:ind w:right="276"/>
              <w:spacing w:after="0" w:line="145" w:lineRule="exact"/>
              <w:rPr>
                <w:sz w:val="20"/>
                <w:szCs w:val="20"/>
                <w:color w:val="auto"/>
              </w:rPr>
            </w:pPr>
            <w:r>
              <w:rPr>
                <w:rFonts w:ascii="Calibri" w:cs="Calibri" w:eastAsia="Calibri" w:hAnsi="Calibri"/>
                <w:sz w:val="14"/>
                <w:szCs w:val="14"/>
                <w:b w:val="1"/>
                <w:bCs w:val="1"/>
                <w:color w:val="auto"/>
              </w:rPr>
              <w:t>End of</w:t>
            </w:r>
          </w:p>
        </w:tc>
      </w:tr>
      <w:tr>
        <w:trPr>
          <w:trHeight w:val="168"/>
        </w:trPr>
        <w:tc>
          <w:tcPr>
            <w:tcW w:w="6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gridSpan w:val="2"/>
          </w:tcPr>
          <w:p>
            <w:pPr>
              <w:jc w:val="center"/>
              <w:ind w:right="280"/>
              <w:spacing w:after="0" w:line="168" w:lineRule="exact"/>
              <w:rPr>
                <w:sz w:val="20"/>
                <w:szCs w:val="20"/>
                <w:color w:val="auto"/>
              </w:rPr>
            </w:pPr>
            <w:r>
              <w:rPr>
                <w:rFonts w:ascii="Calibri" w:cs="Calibri" w:eastAsia="Calibri" w:hAnsi="Calibri"/>
                <w:sz w:val="14"/>
                <w:szCs w:val="14"/>
                <w:b w:val="1"/>
                <w:bCs w:val="1"/>
                <w:color w:val="auto"/>
                <w:w w:val="97"/>
              </w:rPr>
              <w:t>of Period</w:t>
            </w:r>
          </w:p>
        </w:tc>
        <w:tc>
          <w:tcPr>
            <w:tcW w:w="140" w:type="dxa"/>
            <w:vAlign w:val="bottom"/>
          </w:tcPr>
          <w:p>
            <w:pPr>
              <w:spacing w:after="0"/>
              <w:rPr>
                <w:sz w:val="14"/>
                <w:szCs w:val="14"/>
                <w:color w:val="auto"/>
              </w:rPr>
            </w:pPr>
          </w:p>
        </w:tc>
        <w:tc>
          <w:tcPr>
            <w:tcW w:w="1060" w:type="dxa"/>
            <w:vAlign w:val="bottom"/>
            <w:gridSpan w:val="2"/>
          </w:tcPr>
          <w:p>
            <w:pPr>
              <w:jc w:val="center"/>
              <w:ind w:right="260"/>
              <w:spacing w:after="0" w:line="168" w:lineRule="exact"/>
              <w:rPr>
                <w:sz w:val="20"/>
                <w:szCs w:val="20"/>
                <w:color w:val="auto"/>
              </w:rPr>
            </w:pPr>
            <w:r>
              <w:rPr>
                <w:rFonts w:ascii="Calibri" w:cs="Calibri" w:eastAsia="Calibri" w:hAnsi="Calibri"/>
                <w:sz w:val="14"/>
                <w:szCs w:val="14"/>
                <w:b w:val="1"/>
                <w:bCs w:val="1"/>
                <w:color w:val="auto"/>
              </w:rPr>
              <w:t>Allowances</w:t>
            </w:r>
          </w:p>
        </w:tc>
        <w:tc>
          <w:tcPr>
            <w:tcW w:w="180" w:type="dxa"/>
            <w:vAlign w:val="bottom"/>
          </w:tcPr>
          <w:p>
            <w:pPr>
              <w:spacing w:after="0"/>
              <w:rPr>
                <w:sz w:val="14"/>
                <w:szCs w:val="14"/>
                <w:color w:val="auto"/>
              </w:rPr>
            </w:pPr>
          </w:p>
        </w:tc>
        <w:tc>
          <w:tcPr>
            <w:tcW w:w="1020" w:type="dxa"/>
            <w:vAlign w:val="bottom"/>
            <w:gridSpan w:val="2"/>
          </w:tcPr>
          <w:p>
            <w:pPr>
              <w:jc w:val="center"/>
              <w:ind w:right="300"/>
              <w:spacing w:after="0" w:line="168" w:lineRule="exact"/>
              <w:rPr>
                <w:sz w:val="20"/>
                <w:szCs w:val="20"/>
                <w:color w:val="auto"/>
              </w:rPr>
            </w:pPr>
            <w:r>
              <w:rPr>
                <w:rFonts w:ascii="Calibri" w:cs="Calibri" w:eastAsia="Calibri" w:hAnsi="Calibri"/>
                <w:sz w:val="14"/>
                <w:szCs w:val="14"/>
                <w:b w:val="1"/>
                <w:bCs w:val="1"/>
                <w:color w:val="auto"/>
              </w:rPr>
              <w:t>Write-ofs</w:t>
            </w:r>
          </w:p>
        </w:tc>
        <w:tc>
          <w:tcPr>
            <w:tcW w:w="180" w:type="dxa"/>
            <w:vAlign w:val="bottom"/>
          </w:tcPr>
          <w:p>
            <w:pPr>
              <w:spacing w:after="0"/>
              <w:rPr>
                <w:sz w:val="14"/>
                <w:szCs w:val="14"/>
                <w:color w:val="auto"/>
              </w:rPr>
            </w:pPr>
          </w:p>
        </w:tc>
        <w:tc>
          <w:tcPr>
            <w:tcW w:w="920" w:type="dxa"/>
            <w:vAlign w:val="bottom"/>
          </w:tcPr>
          <w:p>
            <w:pPr>
              <w:jc w:val="right"/>
              <w:ind w:right="276"/>
              <w:spacing w:after="0" w:line="168" w:lineRule="exact"/>
              <w:rPr>
                <w:sz w:val="20"/>
                <w:szCs w:val="20"/>
                <w:color w:val="auto"/>
              </w:rPr>
            </w:pPr>
            <w:r>
              <w:rPr>
                <w:rFonts w:ascii="Calibri" w:cs="Calibri" w:eastAsia="Calibri" w:hAnsi="Calibri"/>
                <w:sz w:val="14"/>
                <w:szCs w:val="14"/>
                <w:b w:val="1"/>
                <w:bCs w:val="1"/>
                <w:color w:val="auto"/>
              </w:rPr>
              <w:t>Period</w:t>
            </w:r>
          </w:p>
        </w:tc>
      </w:tr>
      <w:tr>
        <w:trPr>
          <w:trHeight w:val="44"/>
        </w:trPr>
        <w:tc>
          <w:tcPr>
            <w:tcW w:w="652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080" w:type="dxa"/>
            <w:vAlign w:val="bottom"/>
            <w:tcBorders>
              <w:bottom w:val="single" w:sz="8" w:color="auto"/>
            </w:tcBorders>
            <w:gridSpan w:val="2"/>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r>
      <w:tr>
        <w:trPr>
          <w:trHeight w:val="186"/>
        </w:trPr>
        <w:tc>
          <w:tcPr>
            <w:tcW w:w="6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60" w:type="dxa"/>
            <w:vAlign w:val="bottom"/>
            <w:gridSpan w:val="5"/>
          </w:tcPr>
          <w:p>
            <w:pPr>
              <w:ind w:left="660"/>
              <w:spacing w:after="0"/>
              <w:rPr>
                <w:sz w:val="20"/>
                <w:szCs w:val="20"/>
                <w:color w:val="auto"/>
              </w:rPr>
            </w:pPr>
            <w:r>
              <w:rPr>
                <w:rFonts w:ascii="Calibri" w:cs="Calibri" w:eastAsia="Calibri" w:hAnsi="Calibri"/>
                <w:sz w:val="14"/>
                <w:szCs w:val="14"/>
                <w:b w:val="1"/>
                <w:bCs w:val="1"/>
                <w:color w:val="auto"/>
              </w:rPr>
              <w:t>(In millions)</w:t>
            </w: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45"/>
        </w:trPr>
        <w:tc>
          <w:tcPr>
            <w:tcW w:w="6520" w:type="dxa"/>
            <w:vAlign w:val="bottom"/>
          </w:tcPr>
          <w:p>
            <w:pPr>
              <w:spacing w:after="0"/>
              <w:rPr>
                <w:sz w:val="3"/>
                <w:szCs w:val="3"/>
                <w:color w:val="auto"/>
              </w:rPr>
            </w:pPr>
          </w:p>
        </w:tc>
        <w:tc>
          <w:tcPr>
            <w:tcW w:w="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9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224"/>
        </w:trPr>
        <w:tc>
          <w:tcPr>
            <w:tcW w:w="6520" w:type="dxa"/>
            <w:vAlign w:val="bottom"/>
            <w:shd w:val="clear" w:color="auto" w:fill="CCEEFF"/>
          </w:tcPr>
          <w:p>
            <w:pPr>
              <w:ind w:left="20"/>
              <w:spacing w:after="0" w:line="210" w:lineRule="exact"/>
              <w:rPr>
                <w:sz w:val="20"/>
                <w:szCs w:val="20"/>
                <w:color w:val="auto"/>
              </w:rPr>
            </w:pPr>
            <w:r>
              <w:rPr>
                <w:rFonts w:ascii="Calibri" w:cs="Calibri" w:eastAsia="Calibri" w:hAnsi="Calibri"/>
                <w:sz w:val="18"/>
                <w:szCs w:val="18"/>
                <w:color w:val="auto"/>
              </w:rPr>
              <w:t>Accounts receivable allowances:</w:t>
            </w: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24"/>
        </w:trPr>
        <w:tc>
          <w:tcPr>
            <w:tcW w:w="6520" w:type="dxa"/>
            <w:vAlign w:val="bottom"/>
          </w:tcPr>
          <w:p>
            <w:pPr>
              <w:ind w:left="140"/>
              <w:spacing w:after="0" w:line="224" w:lineRule="exact"/>
              <w:rPr>
                <w:sz w:val="20"/>
                <w:szCs w:val="20"/>
                <w:color w:val="auto"/>
              </w:rPr>
            </w:pPr>
            <w:r>
              <w:rPr>
                <w:rFonts w:ascii="Calibri" w:cs="Calibri" w:eastAsia="Calibri" w:hAnsi="Calibri"/>
                <w:sz w:val="18"/>
                <w:szCs w:val="18"/>
                <w:color w:val="auto"/>
              </w:rPr>
              <w:t xml:space="preserve">Distributor credit allowances </w:t>
            </w:r>
            <w:r>
              <w:rPr>
                <w:rFonts w:ascii="Calibri" w:cs="Calibri" w:eastAsia="Calibri" w:hAnsi="Calibri"/>
                <w:sz w:val="22"/>
                <w:szCs w:val="22"/>
                <w:color w:val="auto"/>
                <w:vertAlign w:val="superscript"/>
              </w:rPr>
              <w:t>(a)</w:t>
            </w: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24"/>
        </w:trPr>
        <w:tc>
          <w:tcPr>
            <w:tcW w:w="6520" w:type="dxa"/>
            <w:vAlign w:val="bottom"/>
            <w:shd w:val="clear" w:color="auto" w:fill="CCEEFF"/>
          </w:tcPr>
          <w:p>
            <w:pPr>
              <w:ind w:left="140"/>
              <w:spacing w:after="0" w:line="210" w:lineRule="exact"/>
              <w:rPr>
                <w:sz w:val="20"/>
                <w:szCs w:val="20"/>
                <w:color w:val="auto"/>
              </w:rPr>
            </w:pPr>
            <w:r>
              <w:rPr>
                <w:rFonts w:ascii="Calibri" w:cs="Calibri" w:eastAsia="Calibri" w:hAnsi="Calibri"/>
                <w:sz w:val="18"/>
                <w:szCs w:val="18"/>
                <w:color w:val="auto"/>
              </w:rPr>
              <w:t>Fiscal year ended October 29, 2023</w:t>
            </w:r>
          </w:p>
        </w:tc>
        <w:tc>
          <w:tcPr>
            <w:tcW w:w="180" w:type="dxa"/>
            <w:vAlign w:val="bottom"/>
            <w:shd w:val="clear" w:color="auto" w:fill="CCEEFF"/>
          </w:tcPr>
          <w:p>
            <w:pPr>
              <w:jc w:val="right"/>
              <w:spacing w:after="0" w:line="210" w:lineRule="exact"/>
              <w:rPr>
                <w:sz w:val="20"/>
                <w:szCs w:val="20"/>
                <w:color w:val="auto"/>
              </w:rPr>
            </w:pPr>
            <w:r>
              <w:rPr>
                <w:rFonts w:ascii="Calibri" w:cs="Calibri" w:eastAsia="Calibri" w:hAnsi="Calibri"/>
                <w:sz w:val="18"/>
                <w:szCs w:val="18"/>
                <w:color w:val="auto"/>
              </w:rPr>
              <w:t>$</w:t>
            </w:r>
          </w:p>
        </w:tc>
        <w:tc>
          <w:tcPr>
            <w:tcW w:w="920" w:type="dxa"/>
            <w:vAlign w:val="bottom"/>
            <w:shd w:val="clear" w:color="auto" w:fill="CCEEFF"/>
          </w:tcPr>
          <w:p>
            <w:pPr>
              <w:jc w:val="right"/>
              <w:spacing w:after="0" w:line="210" w:lineRule="exact"/>
              <w:rPr>
                <w:sz w:val="20"/>
                <w:szCs w:val="20"/>
                <w:color w:val="auto"/>
              </w:rPr>
            </w:pPr>
            <w:r>
              <w:rPr>
                <w:rFonts w:ascii="Calibri" w:cs="Calibri" w:eastAsia="Calibri" w:hAnsi="Calibri"/>
                <w:sz w:val="18"/>
                <w:szCs w:val="18"/>
                <w:color w:val="auto"/>
              </w:rPr>
              <w:t>125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line="210" w:lineRule="exact"/>
              <w:rPr>
                <w:sz w:val="20"/>
                <w:szCs w:val="20"/>
                <w:color w:val="auto"/>
              </w:rPr>
            </w:pPr>
            <w:r>
              <w:rPr>
                <w:rFonts w:ascii="Calibri" w:cs="Calibri" w:eastAsia="Calibri" w:hAnsi="Calibri"/>
                <w:sz w:val="18"/>
                <w:szCs w:val="18"/>
                <w:color w:val="auto"/>
                <w:w w:val="87"/>
              </w:rPr>
              <w:t>$</w:t>
            </w:r>
          </w:p>
        </w:tc>
        <w:tc>
          <w:tcPr>
            <w:tcW w:w="940" w:type="dxa"/>
            <w:vAlign w:val="bottom"/>
            <w:shd w:val="clear" w:color="auto" w:fill="CCEEFF"/>
          </w:tcPr>
          <w:p>
            <w:pPr>
              <w:jc w:val="right"/>
              <w:spacing w:after="0" w:line="210" w:lineRule="exact"/>
              <w:rPr>
                <w:sz w:val="20"/>
                <w:szCs w:val="20"/>
                <w:color w:val="auto"/>
              </w:rPr>
            </w:pPr>
            <w:r>
              <w:rPr>
                <w:rFonts w:ascii="Calibri" w:cs="Calibri" w:eastAsia="Calibri" w:hAnsi="Calibri"/>
                <w:sz w:val="18"/>
                <w:szCs w:val="18"/>
                <w:color w:val="auto"/>
              </w:rPr>
              <w:t>502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line="210" w:lineRule="exact"/>
              <w:rPr>
                <w:sz w:val="20"/>
                <w:szCs w:val="20"/>
                <w:color w:val="auto"/>
              </w:rPr>
            </w:pPr>
            <w:r>
              <w:rPr>
                <w:rFonts w:ascii="Calibri" w:cs="Calibri" w:eastAsia="Calibri" w:hAnsi="Calibri"/>
                <w:sz w:val="18"/>
                <w:szCs w:val="18"/>
                <w:color w:val="auto"/>
                <w:w w:val="87"/>
              </w:rPr>
              <w:t>$</w:t>
            </w:r>
          </w:p>
        </w:tc>
        <w:tc>
          <w:tcPr>
            <w:tcW w:w="900" w:type="dxa"/>
            <w:vAlign w:val="bottom"/>
            <w:shd w:val="clear" w:color="auto" w:fill="CCEEFF"/>
          </w:tcPr>
          <w:p>
            <w:pPr>
              <w:jc w:val="right"/>
              <w:spacing w:after="0" w:line="210" w:lineRule="exact"/>
              <w:rPr>
                <w:sz w:val="20"/>
                <w:szCs w:val="20"/>
                <w:color w:val="auto"/>
              </w:rPr>
            </w:pPr>
            <w:r>
              <w:rPr>
                <w:rFonts w:ascii="Calibri" w:cs="Calibri" w:eastAsia="Calibri" w:hAnsi="Calibri"/>
                <w:sz w:val="18"/>
                <w:szCs w:val="18"/>
                <w:color w:val="auto"/>
              </w:rPr>
              <w:t>(494)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line="210" w:lineRule="exact"/>
              <w:rPr>
                <w:sz w:val="20"/>
                <w:szCs w:val="20"/>
                <w:color w:val="auto"/>
              </w:rPr>
            </w:pPr>
            <w:r>
              <w:rPr>
                <w:rFonts w:ascii="Calibri" w:cs="Calibri" w:eastAsia="Calibri" w:hAnsi="Calibri"/>
                <w:sz w:val="18"/>
                <w:szCs w:val="18"/>
                <w:color w:val="auto"/>
                <w:w w:val="87"/>
              </w:rPr>
              <w:t>$</w:t>
            </w:r>
          </w:p>
        </w:tc>
        <w:tc>
          <w:tcPr>
            <w:tcW w:w="920" w:type="dxa"/>
            <w:vAlign w:val="bottom"/>
            <w:shd w:val="clear" w:color="auto" w:fill="CCEEFF"/>
          </w:tcPr>
          <w:p>
            <w:pPr>
              <w:jc w:val="right"/>
              <w:spacing w:after="0" w:line="210" w:lineRule="exact"/>
              <w:rPr>
                <w:sz w:val="20"/>
                <w:szCs w:val="20"/>
                <w:color w:val="auto"/>
              </w:rPr>
            </w:pPr>
            <w:r>
              <w:rPr>
                <w:rFonts w:ascii="Calibri" w:cs="Calibri" w:eastAsia="Calibri" w:hAnsi="Calibri"/>
                <w:sz w:val="18"/>
                <w:szCs w:val="18"/>
                <w:color w:val="auto"/>
              </w:rPr>
              <w:t>133</w:t>
            </w:r>
          </w:p>
        </w:tc>
      </w:tr>
      <w:tr>
        <w:trPr>
          <w:trHeight w:val="217"/>
        </w:trPr>
        <w:tc>
          <w:tcPr>
            <w:tcW w:w="6520" w:type="dxa"/>
            <w:vAlign w:val="bottom"/>
          </w:tcPr>
          <w:p>
            <w:pPr>
              <w:ind w:left="140"/>
              <w:spacing w:after="0" w:line="210" w:lineRule="exact"/>
              <w:rPr>
                <w:sz w:val="20"/>
                <w:szCs w:val="20"/>
                <w:color w:val="auto"/>
              </w:rPr>
            </w:pPr>
            <w:r>
              <w:rPr>
                <w:rFonts w:ascii="Calibri" w:cs="Calibri" w:eastAsia="Calibri" w:hAnsi="Calibri"/>
                <w:sz w:val="18"/>
                <w:szCs w:val="18"/>
                <w:color w:val="auto"/>
              </w:rPr>
              <w:t>Fiscal year ended October 30, 2022</w:t>
            </w:r>
          </w:p>
        </w:tc>
        <w:tc>
          <w:tcPr>
            <w:tcW w:w="180" w:type="dxa"/>
            <w:vAlign w:val="bottom"/>
          </w:tcPr>
          <w:p>
            <w:pPr>
              <w:jc w:val="right"/>
              <w:spacing w:after="0" w:line="210" w:lineRule="exact"/>
              <w:rPr>
                <w:sz w:val="20"/>
                <w:szCs w:val="20"/>
                <w:color w:val="auto"/>
              </w:rPr>
            </w:pPr>
            <w:r>
              <w:rPr>
                <w:rFonts w:ascii="Calibri" w:cs="Calibri" w:eastAsia="Calibri" w:hAnsi="Calibri"/>
                <w:sz w:val="18"/>
                <w:szCs w:val="18"/>
                <w:color w:val="auto"/>
              </w:rPr>
              <w:t>$</w:t>
            </w:r>
          </w:p>
        </w:tc>
        <w:tc>
          <w:tcPr>
            <w:tcW w:w="920" w:type="dxa"/>
            <w:vAlign w:val="bottom"/>
          </w:tcPr>
          <w:p>
            <w:pPr>
              <w:jc w:val="right"/>
              <w:spacing w:after="0" w:line="210" w:lineRule="exact"/>
              <w:rPr>
                <w:sz w:val="20"/>
                <w:szCs w:val="20"/>
                <w:color w:val="auto"/>
              </w:rPr>
            </w:pPr>
            <w:r>
              <w:rPr>
                <w:rFonts w:ascii="Calibri" w:cs="Calibri" w:eastAsia="Calibri" w:hAnsi="Calibri"/>
                <w:sz w:val="18"/>
                <w:szCs w:val="18"/>
                <w:color w:val="auto"/>
              </w:rPr>
              <w:t>128</w:t>
            </w:r>
          </w:p>
        </w:tc>
        <w:tc>
          <w:tcPr>
            <w:tcW w:w="120" w:type="dxa"/>
            <w:vAlign w:val="bottom"/>
          </w:tcPr>
          <w:p>
            <w:pPr>
              <w:spacing w:after="0"/>
              <w:rPr>
                <w:sz w:val="18"/>
                <w:szCs w:val="18"/>
                <w:color w:val="auto"/>
              </w:rPr>
            </w:pPr>
          </w:p>
        </w:tc>
        <w:tc>
          <w:tcPr>
            <w:tcW w:w="140" w:type="dxa"/>
            <w:vAlign w:val="bottom"/>
          </w:tcPr>
          <w:p>
            <w:pPr>
              <w:jc w:val="right"/>
              <w:spacing w:after="0" w:line="210" w:lineRule="exact"/>
              <w:rPr>
                <w:sz w:val="20"/>
                <w:szCs w:val="20"/>
                <w:color w:val="auto"/>
              </w:rPr>
            </w:pPr>
            <w:r>
              <w:rPr>
                <w:rFonts w:ascii="Calibri" w:cs="Calibri" w:eastAsia="Calibri" w:hAnsi="Calibri"/>
                <w:sz w:val="18"/>
                <w:szCs w:val="18"/>
                <w:color w:val="auto"/>
                <w:w w:val="87"/>
              </w:rPr>
              <w:t>$</w:t>
            </w:r>
          </w:p>
        </w:tc>
        <w:tc>
          <w:tcPr>
            <w:tcW w:w="940" w:type="dxa"/>
            <w:vAlign w:val="bottom"/>
          </w:tcPr>
          <w:p>
            <w:pPr>
              <w:jc w:val="right"/>
              <w:spacing w:after="0" w:line="210" w:lineRule="exact"/>
              <w:rPr>
                <w:sz w:val="20"/>
                <w:szCs w:val="20"/>
                <w:color w:val="auto"/>
              </w:rPr>
            </w:pPr>
            <w:r>
              <w:rPr>
                <w:rFonts w:ascii="Calibri" w:cs="Calibri" w:eastAsia="Calibri" w:hAnsi="Calibri"/>
                <w:sz w:val="18"/>
                <w:szCs w:val="18"/>
                <w:color w:val="auto"/>
              </w:rPr>
              <w:t>484</w:t>
            </w:r>
          </w:p>
        </w:tc>
        <w:tc>
          <w:tcPr>
            <w:tcW w:w="120" w:type="dxa"/>
            <w:vAlign w:val="bottom"/>
          </w:tcPr>
          <w:p>
            <w:pPr>
              <w:spacing w:after="0"/>
              <w:rPr>
                <w:sz w:val="18"/>
                <w:szCs w:val="18"/>
                <w:color w:val="auto"/>
              </w:rPr>
            </w:pPr>
          </w:p>
        </w:tc>
        <w:tc>
          <w:tcPr>
            <w:tcW w:w="180" w:type="dxa"/>
            <w:vAlign w:val="bottom"/>
          </w:tcPr>
          <w:p>
            <w:pPr>
              <w:jc w:val="right"/>
              <w:spacing w:after="0" w:line="210" w:lineRule="exact"/>
              <w:rPr>
                <w:sz w:val="20"/>
                <w:szCs w:val="20"/>
                <w:color w:val="auto"/>
              </w:rPr>
            </w:pPr>
            <w:r>
              <w:rPr>
                <w:rFonts w:ascii="Calibri" w:cs="Calibri" w:eastAsia="Calibri" w:hAnsi="Calibri"/>
                <w:sz w:val="18"/>
                <w:szCs w:val="18"/>
                <w:color w:val="auto"/>
                <w:w w:val="87"/>
              </w:rPr>
              <w:t>$</w:t>
            </w:r>
          </w:p>
        </w:tc>
        <w:tc>
          <w:tcPr>
            <w:tcW w:w="900" w:type="dxa"/>
            <w:vAlign w:val="bottom"/>
          </w:tcPr>
          <w:p>
            <w:pPr>
              <w:jc w:val="right"/>
              <w:spacing w:after="0" w:line="210" w:lineRule="exact"/>
              <w:rPr>
                <w:sz w:val="20"/>
                <w:szCs w:val="20"/>
                <w:color w:val="auto"/>
              </w:rPr>
            </w:pPr>
            <w:r>
              <w:rPr>
                <w:rFonts w:ascii="Calibri" w:cs="Calibri" w:eastAsia="Calibri" w:hAnsi="Calibri"/>
                <w:sz w:val="18"/>
                <w:szCs w:val="18"/>
                <w:color w:val="auto"/>
              </w:rPr>
              <w:t>(487)</w:t>
            </w:r>
          </w:p>
        </w:tc>
        <w:tc>
          <w:tcPr>
            <w:tcW w:w="120" w:type="dxa"/>
            <w:vAlign w:val="bottom"/>
          </w:tcPr>
          <w:p>
            <w:pPr>
              <w:spacing w:after="0"/>
              <w:rPr>
                <w:sz w:val="18"/>
                <w:szCs w:val="18"/>
                <w:color w:val="auto"/>
              </w:rPr>
            </w:pPr>
          </w:p>
        </w:tc>
        <w:tc>
          <w:tcPr>
            <w:tcW w:w="180" w:type="dxa"/>
            <w:vAlign w:val="bottom"/>
          </w:tcPr>
          <w:p>
            <w:pPr>
              <w:jc w:val="right"/>
              <w:spacing w:after="0" w:line="210" w:lineRule="exact"/>
              <w:rPr>
                <w:sz w:val="20"/>
                <w:szCs w:val="20"/>
                <w:color w:val="auto"/>
              </w:rPr>
            </w:pPr>
            <w:r>
              <w:rPr>
                <w:rFonts w:ascii="Calibri" w:cs="Calibri" w:eastAsia="Calibri" w:hAnsi="Calibri"/>
                <w:sz w:val="18"/>
                <w:szCs w:val="18"/>
                <w:color w:val="auto"/>
                <w:w w:val="87"/>
              </w:rPr>
              <w:t>$</w:t>
            </w:r>
          </w:p>
        </w:tc>
        <w:tc>
          <w:tcPr>
            <w:tcW w:w="920" w:type="dxa"/>
            <w:vAlign w:val="bottom"/>
          </w:tcPr>
          <w:p>
            <w:pPr>
              <w:jc w:val="right"/>
              <w:spacing w:after="0" w:line="210" w:lineRule="exact"/>
              <w:rPr>
                <w:sz w:val="20"/>
                <w:szCs w:val="20"/>
                <w:color w:val="auto"/>
              </w:rPr>
            </w:pPr>
            <w:r>
              <w:rPr>
                <w:rFonts w:ascii="Calibri" w:cs="Calibri" w:eastAsia="Calibri" w:hAnsi="Calibri"/>
                <w:sz w:val="18"/>
                <w:szCs w:val="18"/>
                <w:color w:val="auto"/>
              </w:rPr>
              <w:t>125</w:t>
            </w:r>
          </w:p>
        </w:tc>
      </w:tr>
      <w:tr>
        <w:trPr>
          <w:trHeight w:val="232"/>
        </w:trPr>
        <w:tc>
          <w:tcPr>
            <w:tcW w:w="6520" w:type="dxa"/>
            <w:vAlign w:val="bottom"/>
            <w:shd w:val="clear" w:color="auto" w:fill="CCEEFF"/>
          </w:tcPr>
          <w:p>
            <w:pPr>
              <w:ind w:left="140"/>
              <w:spacing w:after="0" w:line="217" w:lineRule="exact"/>
              <w:rPr>
                <w:sz w:val="20"/>
                <w:szCs w:val="20"/>
                <w:color w:val="auto"/>
              </w:rPr>
            </w:pPr>
            <w:r>
              <w:rPr>
                <w:rFonts w:ascii="Calibri" w:cs="Calibri" w:eastAsia="Calibri" w:hAnsi="Calibri"/>
                <w:sz w:val="18"/>
                <w:szCs w:val="18"/>
                <w:color w:val="auto"/>
              </w:rPr>
              <w:t>Fiscal year ended October 31, 2021</w:t>
            </w:r>
          </w:p>
        </w:tc>
        <w:tc>
          <w:tcPr>
            <w:tcW w:w="180" w:type="dxa"/>
            <w:vAlign w:val="bottom"/>
            <w:shd w:val="clear" w:color="auto" w:fill="CCEEFF"/>
          </w:tcPr>
          <w:p>
            <w:pPr>
              <w:jc w:val="right"/>
              <w:spacing w:after="0" w:line="217" w:lineRule="exact"/>
              <w:rPr>
                <w:sz w:val="20"/>
                <w:szCs w:val="20"/>
                <w:color w:val="auto"/>
              </w:rPr>
            </w:pPr>
            <w:r>
              <w:rPr>
                <w:rFonts w:ascii="Calibri" w:cs="Calibri" w:eastAsia="Calibri" w:hAnsi="Calibri"/>
                <w:sz w:val="18"/>
                <w:szCs w:val="18"/>
                <w:color w:val="auto"/>
              </w:rPr>
              <w:t>$</w:t>
            </w:r>
          </w:p>
        </w:tc>
        <w:tc>
          <w:tcPr>
            <w:tcW w:w="920" w:type="dxa"/>
            <w:vAlign w:val="bottom"/>
            <w:shd w:val="clear" w:color="auto" w:fill="CCEEFF"/>
          </w:tcPr>
          <w:p>
            <w:pPr>
              <w:jc w:val="right"/>
              <w:spacing w:after="0" w:line="217" w:lineRule="exact"/>
              <w:rPr>
                <w:sz w:val="20"/>
                <w:szCs w:val="20"/>
                <w:color w:val="auto"/>
              </w:rPr>
            </w:pPr>
            <w:r>
              <w:rPr>
                <w:rFonts w:ascii="Calibri" w:cs="Calibri" w:eastAsia="Calibri" w:hAnsi="Calibri"/>
                <w:sz w:val="18"/>
                <w:szCs w:val="18"/>
                <w:color w:val="auto"/>
              </w:rPr>
              <w:t>149</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line="217" w:lineRule="exact"/>
              <w:rPr>
                <w:sz w:val="20"/>
                <w:szCs w:val="20"/>
                <w:color w:val="auto"/>
              </w:rPr>
            </w:pPr>
            <w:r>
              <w:rPr>
                <w:rFonts w:ascii="Calibri" w:cs="Calibri" w:eastAsia="Calibri" w:hAnsi="Calibri"/>
                <w:sz w:val="18"/>
                <w:szCs w:val="18"/>
                <w:color w:val="auto"/>
                <w:w w:val="87"/>
              </w:rPr>
              <w:t>$</w:t>
            </w:r>
          </w:p>
        </w:tc>
        <w:tc>
          <w:tcPr>
            <w:tcW w:w="940" w:type="dxa"/>
            <w:vAlign w:val="bottom"/>
            <w:shd w:val="clear" w:color="auto" w:fill="CCEEFF"/>
          </w:tcPr>
          <w:p>
            <w:pPr>
              <w:jc w:val="right"/>
              <w:spacing w:after="0" w:line="217" w:lineRule="exact"/>
              <w:rPr>
                <w:sz w:val="20"/>
                <w:szCs w:val="20"/>
                <w:color w:val="auto"/>
              </w:rPr>
            </w:pPr>
            <w:r>
              <w:rPr>
                <w:rFonts w:ascii="Calibri" w:cs="Calibri" w:eastAsia="Calibri" w:hAnsi="Calibri"/>
                <w:sz w:val="18"/>
                <w:szCs w:val="18"/>
                <w:color w:val="auto"/>
              </w:rPr>
              <w:t>756</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line="217" w:lineRule="exact"/>
              <w:rPr>
                <w:sz w:val="20"/>
                <w:szCs w:val="20"/>
                <w:color w:val="auto"/>
              </w:rPr>
            </w:pPr>
            <w:r>
              <w:rPr>
                <w:rFonts w:ascii="Calibri" w:cs="Calibri" w:eastAsia="Calibri" w:hAnsi="Calibri"/>
                <w:sz w:val="18"/>
                <w:szCs w:val="18"/>
                <w:color w:val="auto"/>
                <w:w w:val="87"/>
              </w:rPr>
              <w:t>$</w:t>
            </w:r>
          </w:p>
        </w:tc>
        <w:tc>
          <w:tcPr>
            <w:tcW w:w="900" w:type="dxa"/>
            <w:vAlign w:val="bottom"/>
            <w:shd w:val="clear" w:color="auto" w:fill="CCEEFF"/>
          </w:tcPr>
          <w:p>
            <w:pPr>
              <w:jc w:val="right"/>
              <w:spacing w:after="0" w:line="217" w:lineRule="exact"/>
              <w:rPr>
                <w:sz w:val="20"/>
                <w:szCs w:val="20"/>
                <w:color w:val="auto"/>
              </w:rPr>
            </w:pPr>
            <w:r>
              <w:rPr>
                <w:rFonts w:ascii="Calibri" w:cs="Calibri" w:eastAsia="Calibri" w:hAnsi="Calibri"/>
                <w:sz w:val="18"/>
                <w:szCs w:val="18"/>
                <w:color w:val="auto"/>
              </w:rPr>
              <w:t>(777)</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line="217" w:lineRule="exact"/>
              <w:rPr>
                <w:sz w:val="20"/>
                <w:szCs w:val="20"/>
                <w:color w:val="auto"/>
              </w:rPr>
            </w:pPr>
            <w:r>
              <w:rPr>
                <w:rFonts w:ascii="Calibri" w:cs="Calibri" w:eastAsia="Calibri" w:hAnsi="Calibri"/>
                <w:sz w:val="18"/>
                <w:szCs w:val="18"/>
                <w:color w:val="auto"/>
                <w:w w:val="87"/>
              </w:rPr>
              <w:t>$</w:t>
            </w:r>
          </w:p>
        </w:tc>
        <w:tc>
          <w:tcPr>
            <w:tcW w:w="920" w:type="dxa"/>
            <w:vAlign w:val="bottom"/>
            <w:shd w:val="clear" w:color="auto" w:fill="CCEEFF"/>
          </w:tcPr>
          <w:p>
            <w:pPr>
              <w:jc w:val="right"/>
              <w:spacing w:after="0" w:line="217" w:lineRule="exact"/>
              <w:rPr>
                <w:sz w:val="20"/>
                <w:szCs w:val="20"/>
                <w:color w:val="auto"/>
              </w:rPr>
            </w:pPr>
            <w:r>
              <w:rPr>
                <w:rFonts w:ascii="Calibri" w:cs="Calibri" w:eastAsia="Calibri" w:hAnsi="Calibri"/>
                <w:sz w:val="18"/>
                <w:szCs w:val="18"/>
                <w:color w:val="auto"/>
              </w:rPr>
              <w:t>128</w:t>
            </w:r>
          </w:p>
        </w:tc>
      </w:tr>
      <w:tr>
        <w:trPr>
          <w:trHeight w:val="264"/>
        </w:trPr>
        <w:tc>
          <w:tcPr>
            <w:tcW w:w="65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20" w:type="dxa"/>
            <w:vAlign w:val="bottom"/>
          </w:tcPr>
          <w:p>
            <w:pPr>
              <w:spacing w:after="0"/>
              <w:rPr>
                <w:sz w:val="22"/>
                <w:szCs w:val="22"/>
                <w:color w:val="auto"/>
              </w:rPr>
            </w:pPr>
          </w:p>
        </w:tc>
      </w:tr>
      <w:tr>
        <w:trPr>
          <w:trHeight w:val="224"/>
        </w:trPr>
        <w:tc>
          <w:tcPr>
            <w:tcW w:w="6520" w:type="dxa"/>
            <w:vAlign w:val="bottom"/>
            <w:shd w:val="clear" w:color="auto" w:fill="CCEEFF"/>
          </w:tcPr>
          <w:p>
            <w:pPr>
              <w:ind w:left="140"/>
              <w:spacing w:after="0" w:line="224" w:lineRule="exact"/>
              <w:rPr>
                <w:sz w:val="20"/>
                <w:szCs w:val="20"/>
                <w:color w:val="auto"/>
              </w:rPr>
            </w:pPr>
            <w:r>
              <w:rPr>
                <w:rFonts w:ascii="Calibri" w:cs="Calibri" w:eastAsia="Calibri" w:hAnsi="Calibri"/>
                <w:sz w:val="18"/>
                <w:szCs w:val="18"/>
                <w:color w:val="auto"/>
              </w:rPr>
              <w:t xml:space="preserve">Other accounts receivable allowances </w:t>
            </w:r>
            <w:r>
              <w:rPr>
                <w:rFonts w:ascii="Calibri" w:cs="Calibri" w:eastAsia="Calibri" w:hAnsi="Calibri"/>
                <w:sz w:val="22"/>
                <w:szCs w:val="22"/>
                <w:color w:val="auto"/>
                <w:vertAlign w:val="superscript"/>
              </w:rPr>
              <w:t>(b)</w:t>
            </w: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17"/>
        </w:trPr>
        <w:tc>
          <w:tcPr>
            <w:tcW w:w="6520" w:type="dxa"/>
            <w:vAlign w:val="bottom"/>
          </w:tcPr>
          <w:p>
            <w:pPr>
              <w:ind w:left="140"/>
              <w:spacing w:after="0" w:line="210" w:lineRule="exact"/>
              <w:rPr>
                <w:sz w:val="20"/>
                <w:szCs w:val="20"/>
                <w:color w:val="auto"/>
              </w:rPr>
            </w:pPr>
            <w:r>
              <w:rPr>
                <w:rFonts w:ascii="Calibri" w:cs="Calibri" w:eastAsia="Calibri" w:hAnsi="Calibri"/>
                <w:sz w:val="18"/>
                <w:szCs w:val="18"/>
                <w:color w:val="auto"/>
              </w:rPr>
              <w:t>Fiscal year ended October 29, 2023</w:t>
            </w:r>
          </w:p>
        </w:tc>
        <w:tc>
          <w:tcPr>
            <w:tcW w:w="180" w:type="dxa"/>
            <w:vAlign w:val="bottom"/>
          </w:tcPr>
          <w:p>
            <w:pPr>
              <w:jc w:val="right"/>
              <w:spacing w:after="0" w:line="210" w:lineRule="exact"/>
              <w:rPr>
                <w:sz w:val="20"/>
                <w:szCs w:val="20"/>
                <w:color w:val="auto"/>
              </w:rPr>
            </w:pPr>
            <w:r>
              <w:rPr>
                <w:rFonts w:ascii="Calibri" w:cs="Calibri" w:eastAsia="Calibri" w:hAnsi="Calibri"/>
                <w:sz w:val="18"/>
                <w:szCs w:val="18"/>
                <w:color w:val="auto"/>
              </w:rPr>
              <w:t>$</w:t>
            </w:r>
          </w:p>
        </w:tc>
        <w:tc>
          <w:tcPr>
            <w:tcW w:w="920" w:type="dxa"/>
            <w:vAlign w:val="bottom"/>
          </w:tcPr>
          <w:p>
            <w:pPr>
              <w:jc w:val="right"/>
              <w:spacing w:after="0" w:line="210" w:lineRule="exact"/>
              <w:rPr>
                <w:sz w:val="20"/>
                <w:szCs w:val="20"/>
                <w:color w:val="auto"/>
              </w:rPr>
            </w:pPr>
            <w:r>
              <w:rPr>
                <w:rFonts w:ascii="Calibri" w:cs="Calibri" w:eastAsia="Calibri" w:hAnsi="Calibri"/>
                <w:sz w:val="18"/>
                <w:szCs w:val="18"/>
                <w:color w:val="auto"/>
              </w:rPr>
              <w:t>1</w:t>
            </w:r>
          </w:p>
        </w:tc>
        <w:tc>
          <w:tcPr>
            <w:tcW w:w="120" w:type="dxa"/>
            <w:vAlign w:val="bottom"/>
          </w:tcPr>
          <w:p>
            <w:pPr>
              <w:spacing w:after="0"/>
              <w:rPr>
                <w:sz w:val="18"/>
                <w:szCs w:val="18"/>
                <w:color w:val="auto"/>
              </w:rPr>
            </w:pPr>
          </w:p>
        </w:tc>
        <w:tc>
          <w:tcPr>
            <w:tcW w:w="140" w:type="dxa"/>
            <w:vAlign w:val="bottom"/>
          </w:tcPr>
          <w:p>
            <w:pPr>
              <w:jc w:val="right"/>
              <w:spacing w:after="0" w:line="210" w:lineRule="exact"/>
              <w:rPr>
                <w:sz w:val="20"/>
                <w:szCs w:val="20"/>
                <w:color w:val="auto"/>
              </w:rPr>
            </w:pPr>
            <w:r>
              <w:rPr>
                <w:rFonts w:ascii="Calibri" w:cs="Calibri" w:eastAsia="Calibri" w:hAnsi="Calibri"/>
                <w:sz w:val="18"/>
                <w:szCs w:val="18"/>
                <w:color w:val="auto"/>
                <w:w w:val="87"/>
              </w:rPr>
              <w:t>$</w:t>
            </w:r>
          </w:p>
        </w:tc>
        <w:tc>
          <w:tcPr>
            <w:tcW w:w="940" w:type="dxa"/>
            <w:vAlign w:val="bottom"/>
          </w:tcPr>
          <w:p>
            <w:pPr>
              <w:jc w:val="right"/>
              <w:spacing w:after="0" w:line="210" w:lineRule="exact"/>
              <w:rPr>
                <w:sz w:val="20"/>
                <w:szCs w:val="20"/>
                <w:color w:val="auto"/>
              </w:rPr>
            </w:pPr>
            <w:r>
              <w:rPr>
                <w:rFonts w:ascii="Calibri" w:cs="Calibri" w:eastAsia="Calibri" w:hAnsi="Calibri"/>
                <w:sz w:val="18"/>
                <w:szCs w:val="18"/>
                <w:color w:val="auto"/>
              </w:rPr>
              <w:t>5</w:t>
            </w:r>
          </w:p>
        </w:tc>
        <w:tc>
          <w:tcPr>
            <w:tcW w:w="120" w:type="dxa"/>
            <w:vAlign w:val="bottom"/>
          </w:tcPr>
          <w:p>
            <w:pPr>
              <w:spacing w:after="0"/>
              <w:rPr>
                <w:sz w:val="18"/>
                <w:szCs w:val="18"/>
                <w:color w:val="auto"/>
              </w:rPr>
            </w:pPr>
          </w:p>
        </w:tc>
        <w:tc>
          <w:tcPr>
            <w:tcW w:w="180" w:type="dxa"/>
            <w:vAlign w:val="bottom"/>
          </w:tcPr>
          <w:p>
            <w:pPr>
              <w:jc w:val="right"/>
              <w:spacing w:after="0" w:line="210" w:lineRule="exact"/>
              <w:rPr>
                <w:sz w:val="20"/>
                <w:szCs w:val="20"/>
                <w:color w:val="auto"/>
              </w:rPr>
            </w:pPr>
            <w:r>
              <w:rPr>
                <w:rFonts w:ascii="Calibri" w:cs="Calibri" w:eastAsia="Calibri" w:hAnsi="Calibri"/>
                <w:sz w:val="18"/>
                <w:szCs w:val="18"/>
                <w:color w:val="auto"/>
                <w:w w:val="87"/>
              </w:rPr>
              <w:t>$</w:t>
            </w:r>
          </w:p>
        </w:tc>
        <w:tc>
          <w:tcPr>
            <w:tcW w:w="900" w:type="dxa"/>
            <w:vAlign w:val="bottom"/>
          </w:tcPr>
          <w:p>
            <w:pPr>
              <w:jc w:val="right"/>
              <w:spacing w:after="0" w:line="210" w:lineRule="exact"/>
              <w:rPr>
                <w:sz w:val="20"/>
                <w:szCs w:val="20"/>
                <w:color w:val="auto"/>
              </w:rPr>
            </w:pPr>
            <w:r>
              <w:rPr>
                <w:rFonts w:ascii="Calibri" w:cs="Calibri" w:eastAsia="Calibri" w:hAnsi="Calibri"/>
                <w:sz w:val="18"/>
                <w:szCs w:val="18"/>
                <w:color w:val="auto"/>
              </w:rPr>
              <w:t>(2)</w:t>
            </w:r>
          </w:p>
        </w:tc>
        <w:tc>
          <w:tcPr>
            <w:tcW w:w="120" w:type="dxa"/>
            <w:vAlign w:val="bottom"/>
          </w:tcPr>
          <w:p>
            <w:pPr>
              <w:spacing w:after="0"/>
              <w:rPr>
                <w:sz w:val="18"/>
                <w:szCs w:val="18"/>
                <w:color w:val="auto"/>
              </w:rPr>
            </w:pPr>
          </w:p>
        </w:tc>
        <w:tc>
          <w:tcPr>
            <w:tcW w:w="180" w:type="dxa"/>
            <w:vAlign w:val="bottom"/>
          </w:tcPr>
          <w:p>
            <w:pPr>
              <w:jc w:val="right"/>
              <w:spacing w:after="0" w:line="210" w:lineRule="exact"/>
              <w:rPr>
                <w:sz w:val="20"/>
                <w:szCs w:val="20"/>
                <w:color w:val="auto"/>
              </w:rPr>
            </w:pPr>
            <w:r>
              <w:rPr>
                <w:rFonts w:ascii="Calibri" w:cs="Calibri" w:eastAsia="Calibri" w:hAnsi="Calibri"/>
                <w:sz w:val="18"/>
                <w:szCs w:val="18"/>
                <w:color w:val="auto"/>
                <w:w w:val="87"/>
              </w:rPr>
              <w:t>$</w:t>
            </w:r>
          </w:p>
        </w:tc>
        <w:tc>
          <w:tcPr>
            <w:tcW w:w="920" w:type="dxa"/>
            <w:vAlign w:val="bottom"/>
          </w:tcPr>
          <w:p>
            <w:pPr>
              <w:jc w:val="right"/>
              <w:spacing w:after="0" w:line="210" w:lineRule="exact"/>
              <w:rPr>
                <w:sz w:val="20"/>
                <w:szCs w:val="20"/>
                <w:color w:val="auto"/>
              </w:rPr>
            </w:pPr>
            <w:r>
              <w:rPr>
                <w:rFonts w:ascii="Calibri" w:cs="Calibri" w:eastAsia="Calibri" w:hAnsi="Calibri"/>
                <w:sz w:val="18"/>
                <w:szCs w:val="18"/>
                <w:color w:val="auto"/>
              </w:rPr>
              <w:t>4</w:t>
            </w:r>
          </w:p>
        </w:tc>
      </w:tr>
      <w:tr>
        <w:trPr>
          <w:trHeight w:val="232"/>
        </w:trPr>
        <w:tc>
          <w:tcPr>
            <w:tcW w:w="6520" w:type="dxa"/>
            <w:vAlign w:val="bottom"/>
            <w:shd w:val="clear" w:color="auto" w:fill="CCEEFF"/>
          </w:tcPr>
          <w:p>
            <w:pPr>
              <w:ind w:left="140"/>
              <w:spacing w:after="0" w:line="217" w:lineRule="exact"/>
              <w:rPr>
                <w:sz w:val="20"/>
                <w:szCs w:val="20"/>
                <w:color w:val="auto"/>
              </w:rPr>
            </w:pPr>
            <w:r>
              <w:rPr>
                <w:rFonts w:ascii="Calibri" w:cs="Calibri" w:eastAsia="Calibri" w:hAnsi="Calibri"/>
                <w:sz w:val="18"/>
                <w:szCs w:val="18"/>
                <w:color w:val="auto"/>
              </w:rPr>
              <w:t>Fiscal year ended October 30, 2022</w:t>
            </w:r>
          </w:p>
        </w:tc>
        <w:tc>
          <w:tcPr>
            <w:tcW w:w="180" w:type="dxa"/>
            <w:vAlign w:val="bottom"/>
            <w:shd w:val="clear" w:color="auto" w:fill="CCEEFF"/>
          </w:tcPr>
          <w:p>
            <w:pPr>
              <w:jc w:val="right"/>
              <w:spacing w:after="0" w:line="217" w:lineRule="exact"/>
              <w:rPr>
                <w:sz w:val="20"/>
                <w:szCs w:val="20"/>
                <w:color w:val="auto"/>
              </w:rPr>
            </w:pPr>
            <w:r>
              <w:rPr>
                <w:rFonts w:ascii="Calibri" w:cs="Calibri" w:eastAsia="Calibri" w:hAnsi="Calibri"/>
                <w:sz w:val="18"/>
                <w:szCs w:val="18"/>
                <w:color w:val="auto"/>
              </w:rPr>
              <w:t>$</w:t>
            </w:r>
          </w:p>
        </w:tc>
        <w:tc>
          <w:tcPr>
            <w:tcW w:w="920" w:type="dxa"/>
            <w:vAlign w:val="bottom"/>
            <w:shd w:val="clear" w:color="auto" w:fill="CCEEFF"/>
          </w:tcPr>
          <w:p>
            <w:pPr>
              <w:jc w:val="right"/>
              <w:spacing w:after="0" w:line="217" w:lineRule="exact"/>
              <w:rPr>
                <w:sz w:val="20"/>
                <w:szCs w:val="20"/>
                <w:color w:val="auto"/>
              </w:rPr>
            </w:pPr>
            <w:r>
              <w:rPr>
                <w:rFonts w:ascii="Calibri" w:cs="Calibri" w:eastAsia="Calibri" w:hAnsi="Calibri"/>
                <w:sz w:val="18"/>
                <w:szCs w:val="18"/>
                <w:color w:val="auto"/>
              </w:rPr>
              <w:t>2</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line="217" w:lineRule="exact"/>
              <w:rPr>
                <w:sz w:val="20"/>
                <w:szCs w:val="20"/>
                <w:color w:val="auto"/>
              </w:rPr>
            </w:pPr>
            <w:r>
              <w:rPr>
                <w:rFonts w:ascii="Calibri" w:cs="Calibri" w:eastAsia="Calibri" w:hAnsi="Calibri"/>
                <w:sz w:val="18"/>
                <w:szCs w:val="18"/>
                <w:color w:val="auto"/>
                <w:w w:val="87"/>
              </w:rPr>
              <w:t>$</w:t>
            </w:r>
          </w:p>
        </w:tc>
        <w:tc>
          <w:tcPr>
            <w:tcW w:w="940" w:type="dxa"/>
            <w:vAlign w:val="bottom"/>
            <w:shd w:val="clear" w:color="auto" w:fill="CCEEFF"/>
          </w:tcPr>
          <w:p>
            <w:pPr>
              <w:jc w:val="right"/>
              <w:spacing w:after="0" w:line="217" w:lineRule="exact"/>
              <w:rPr>
                <w:sz w:val="20"/>
                <w:szCs w:val="20"/>
                <w:color w:val="auto"/>
              </w:rPr>
            </w:pPr>
            <w:r>
              <w:rPr>
                <w:rFonts w:ascii="Calibri" w:cs="Calibri" w:eastAsia="Calibri" w:hAnsi="Calibri"/>
                <w:sz w:val="18"/>
                <w:szCs w:val="18"/>
                <w:color w:val="auto"/>
              </w:rPr>
              <w:t>10</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line="217" w:lineRule="exact"/>
              <w:rPr>
                <w:sz w:val="20"/>
                <w:szCs w:val="20"/>
                <w:color w:val="auto"/>
              </w:rPr>
            </w:pPr>
            <w:r>
              <w:rPr>
                <w:rFonts w:ascii="Calibri" w:cs="Calibri" w:eastAsia="Calibri" w:hAnsi="Calibri"/>
                <w:sz w:val="18"/>
                <w:szCs w:val="18"/>
                <w:color w:val="auto"/>
                <w:w w:val="87"/>
              </w:rPr>
              <w:t>$</w:t>
            </w:r>
          </w:p>
        </w:tc>
        <w:tc>
          <w:tcPr>
            <w:tcW w:w="900" w:type="dxa"/>
            <w:vAlign w:val="bottom"/>
            <w:shd w:val="clear" w:color="auto" w:fill="CCEEFF"/>
          </w:tcPr>
          <w:p>
            <w:pPr>
              <w:jc w:val="right"/>
              <w:spacing w:after="0" w:line="217" w:lineRule="exact"/>
              <w:rPr>
                <w:sz w:val="20"/>
                <w:szCs w:val="20"/>
                <w:color w:val="auto"/>
              </w:rPr>
            </w:pPr>
            <w:r>
              <w:rPr>
                <w:rFonts w:ascii="Calibri" w:cs="Calibri" w:eastAsia="Calibri" w:hAnsi="Calibri"/>
                <w:sz w:val="18"/>
                <w:szCs w:val="18"/>
                <w:color w:val="auto"/>
              </w:rPr>
              <w:t>(11)</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line="217" w:lineRule="exact"/>
              <w:rPr>
                <w:sz w:val="20"/>
                <w:szCs w:val="20"/>
                <w:color w:val="auto"/>
              </w:rPr>
            </w:pPr>
            <w:r>
              <w:rPr>
                <w:rFonts w:ascii="Calibri" w:cs="Calibri" w:eastAsia="Calibri" w:hAnsi="Calibri"/>
                <w:sz w:val="18"/>
                <w:szCs w:val="18"/>
                <w:color w:val="auto"/>
                <w:w w:val="87"/>
              </w:rPr>
              <w:t>$</w:t>
            </w:r>
          </w:p>
        </w:tc>
        <w:tc>
          <w:tcPr>
            <w:tcW w:w="920" w:type="dxa"/>
            <w:vAlign w:val="bottom"/>
            <w:shd w:val="clear" w:color="auto" w:fill="CCEEFF"/>
          </w:tcPr>
          <w:p>
            <w:pPr>
              <w:jc w:val="right"/>
              <w:spacing w:after="0" w:line="217" w:lineRule="exact"/>
              <w:rPr>
                <w:sz w:val="20"/>
                <w:szCs w:val="20"/>
                <w:color w:val="auto"/>
              </w:rPr>
            </w:pPr>
            <w:r>
              <w:rPr>
                <w:rFonts w:ascii="Calibri" w:cs="Calibri" w:eastAsia="Calibri" w:hAnsi="Calibri"/>
                <w:sz w:val="18"/>
                <w:szCs w:val="18"/>
                <w:color w:val="auto"/>
              </w:rPr>
              <w:t>1</w:t>
            </w:r>
          </w:p>
        </w:tc>
      </w:tr>
      <w:tr>
        <w:trPr>
          <w:trHeight w:val="217"/>
        </w:trPr>
        <w:tc>
          <w:tcPr>
            <w:tcW w:w="6520" w:type="dxa"/>
            <w:vAlign w:val="bottom"/>
          </w:tcPr>
          <w:p>
            <w:pPr>
              <w:ind w:left="140"/>
              <w:spacing w:after="0" w:line="210" w:lineRule="exact"/>
              <w:rPr>
                <w:sz w:val="20"/>
                <w:szCs w:val="20"/>
                <w:color w:val="auto"/>
              </w:rPr>
            </w:pPr>
            <w:r>
              <w:rPr>
                <w:rFonts w:ascii="Calibri" w:cs="Calibri" w:eastAsia="Calibri" w:hAnsi="Calibri"/>
                <w:sz w:val="18"/>
                <w:szCs w:val="18"/>
                <w:color w:val="auto"/>
              </w:rPr>
              <w:t>Fiscal year ended October 31, 2021</w:t>
            </w:r>
          </w:p>
        </w:tc>
        <w:tc>
          <w:tcPr>
            <w:tcW w:w="180" w:type="dxa"/>
            <w:vAlign w:val="bottom"/>
          </w:tcPr>
          <w:p>
            <w:pPr>
              <w:jc w:val="right"/>
              <w:spacing w:after="0" w:line="210" w:lineRule="exact"/>
              <w:rPr>
                <w:sz w:val="20"/>
                <w:szCs w:val="20"/>
                <w:color w:val="auto"/>
              </w:rPr>
            </w:pPr>
            <w:r>
              <w:rPr>
                <w:rFonts w:ascii="Calibri" w:cs="Calibri" w:eastAsia="Calibri" w:hAnsi="Calibri"/>
                <w:sz w:val="18"/>
                <w:szCs w:val="18"/>
                <w:color w:val="auto"/>
              </w:rPr>
              <w:t>$</w:t>
            </w:r>
          </w:p>
        </w:tc>
        <w:tc>
          <w:tcPr>
            <w:tcW w:w="920" w:type="dxa"/>
            <w:vAlign w:val="bottom"/>
          </w:tcPr>
          <w:p>
            <w:pPr>
              <w:jc w:val="right"/>
              <w:spacing w:after="0" w:line="210" w:lineRule="exact"/>
              <w:rPr>
                <w:sz w:val="20"/>
                <w:szCs w:val="20"/>
                <w:color w:val="auto"/>
              </w:rPr>
            </w:pPr>
            <w:r>
              <w:rPr>
                <w:rFonts w:ascii="Calibri" w:cs="Calibri" w:eastAsia="Calibri" w:hAnsi="Calibri"/>
                <w:sz w:val="18"/>
                <w:szCs w:val="18"/>
                <w:color w:val="auto"/>
              </w:rPr>
              <w:t>28</w:t>
            </w:r>
          </w:p>
        </w:tc>
        <w:tc>
          <w:tcPr>
            <w:tcW w:w="120" w:type="dxa"/>
            <w:vAlign w:val="bottom"/>
          </w:tcPr>
          <w:p>
            <w:pPr>
              <w:spacing w:after="0"/>
              <w:rPr>
                <w:sz w:val="18"/>
                <w:szCs w:val="18"/>
                <w:color w:val="auto"/>
              </w:rPr>
            </w:pPr>
          </w:p>
        </w:tc>
        <w:tc>
          <w:tcPr>
            <w:tcW w:w="140" w:type="dxa"/>
            <w:vAlign w:val="bottom"/>
          </w:tcPr>
          <w:p>
            <w:pPr>
              <w:jc w:val="right"/>
              <w:spacing w:after="0" w:line="210" w:lineRule="exact"/>
              <w:rPr>
                <w:sz w:val="20"/>
                <w:szCs w:val="20"/>
                <w:color w:val="auto"/>
              </w:rPr>
            </w:pPr>
            <w:r>
              <w:rPr>
                <w:rFonts w:ascii="Calibri" w:cs="Calibri" w:eastAsia="Calibri" w:hAnsi="Calibri"/>
                <w:sz w:val="18"/>
                <w:szCs w:val="18"/>
                <w:color w:val="auto"/>
                <w:w w:val="87"/>
              </w:rPr>
              <w:t>$</w:t>
            </w:r>
          </w:p>
        </w:tc>
        <w:tc>
          <w:tcPr>
            <w:tcW w:w="940" w:type="dxa"/>
            <w:vAlign w:val="bottom"/>
          </w:tcPr>
          <w:p>
            <w:pPr>
              <w:jc w:val="right"/>
              <w:spacing w:after="0" w:line="210" w:lineRule="exact"/>
              <w:rPr>
                <w:sz w:val="20"/>
                <w:szCs w:val="20"/>
                <w:color w:val="auto"/>
              </w:rPr>
            </w:pPr>
            <w:r>
              <w:rPr>
                <w:rFonts w:ascii="Calibri" w:cs="Calibri" w:eastAsia="Calibri" w:hAnsi="Calibri"/>
                <w:sz w:val="18"/>
                <w:szCs w:val="18"/>
                <w:color w:val="auto"/>
              </w:rPr>
              <w:t>14</w:t>
            </w:r>
          </w:p>
        </w:tc>
        <w:tc>
          <w:tcPr>
            <w:tcW w:w="120" w:type="dxa"/>
            <w:vAlign w:val="bottom"/>
          </w:tcPr>
          <w:p>
            <w:pPr>
              <w:spacing w:after="0"/>
              <w:rPr>
                <w:sz w:val="18"/>
                <w:szCs w:val="18"/>
                <w:color w:val="auto"/>
              </w:rPr>
            </w:pPr>
          </w:p>
        </w:tc>
        <w:tc>
          <w:tcPr>
            <w:tcW w:w="180" w:type="dxa"/>
            <w:vAlign w:val="bottom"/>
          </w:tcPr>
          <w:p>
            <w:pPr>
              <w:jc w:val="right"/>
              <w:spacing w:after="0" w:line="210" w:lineRule="exact"/>
              <w:rPr>
                <w:sz w:val="20"/>
                <w:szCs w:val="20"/>
                <w:color w:val="auto"/>
              </w:rPr>
            </w:pPr>
            <w:r>
              <w:rPr>
                <w:rFonts w:ascii="Calibri" w:cs="Calibri" w:eastAsia="Calibri" w:hAnsi="Calibri"/>
                <w:sz w:val="18"/>
                <w:szCs w:val="18"/>
                <w:color w:val="auto"/>
                <w:w w:val="87"/>
              </w:rPr>
              <w:t>$</w:t>
            </w:r>
          </w:p>
        </w:tc>
        <w:tc>
          <w:tcPr>
            <w:tcW w:w="900" w:type="dxa"/>
            <w:vAlign w:val="bottom"/>
          </w:tcPr>
          <w:p>
            <w:pPr>
              <w:jc w:val="right"/>
              <w:spacing w:after="0" w:line="210" w:lineRule="exact"/>
              <w:rPr>
                <w:sz w:val="20"/>
                <w:szCs w:val="20"/>
                <w:color w:val="auto"/>
              </w:rPr>
            </w:pPr>
            <w:r>
              <w:rPr>
                <w:rFonts w:ascii="Calibri" w:cs="Calibri" w:eastAsia="Calibri" w:hAnsi="Calibri"/>
                <w:sz w:val="18"/>
                <w:szCs w:val="18"/>
                <w:color w:val="auto"/>
              </w:rPr>
              <w:t>(40)</w:t>
            </w:r>
          </w:p>
        </w:tc>
        <w:tc>
          <w:tcPr>
            <w:tcW w:w="120" w:type="dxa"/>
            <w:vAlign w:val="bottom"/>
          </w:tcPr>
          <w:p>
            <w:pPr>
              <w:spacing w:after="0"/>
              <w:rPr>
                <w:sz w:val="18"/>
                <w:szCs w:val="18"/>
                <w:color w:val="auto"/>
              </w:rPr>
            </w:pPr>
          </w:p>
        </w:tc>
        <w:tc>
          <w:tcPr>
            <w:tcW w:w="180" w:type="dxa"/>
            <w:vAlign w:val="bottom"/>
          </w:tcPr>
          <w:p>
            <w:pPr>
              <w:jc w:val="right"/>
              <w:spacing w:after="0" w:line="210" w:lineRule="exact"/>
              <w:rPr>
                <w:sz w:val="20"/>
                <w:szCs w:val="20"/>
                <w:color w:val="auto"/>
              </w:rPr>
            </w:pPr>
            <w:r>
              <w:rPr>
                <w:rFonts w:ascii="Calibri" w:cs="Calibri" w:eastAsia="Calibri" w:hAnsi="Calibri"/>
                <w:sz w:val="18"/>
                <w:szCs w:val="18"/>
                <w:color w:val="auto"/>
                <w:w w:val="87"/>
              </w:rPr>
              <w:t>$</w:t>
            </w:r>
          </w:p>
        </w:tc>
        <w:tc>
          <w:tcPr>
            <w:tcW w:w="920" w:type="dxa"/>
            <w:vAlign w:val="bottom"/>
          </w:tcPr>
          <w:p>
            <w:pPr>
              <w:jc w:val="right"/>
              <w:spacing w:after="0" w:line="210" w:lineRule="exact"/>
              <w:rPr>
                <w:sz w:val="20"/>
                <w:szCs w:val="20"/>
                <w:color w:val="auto"/>
              </w:rPr>
            </w:pPr>
            <w:r>
              <w:rPr>
                <w:rFonts w:ascii="Calibri" w:cs="Calibri" w:eastAsia="Calibri" w:hAnsi="Calibri"/>
                <w:sz w:val="18"/>
                <w:szCs w:val="18"/>
                <w:color w:val="auto"/>
              </w:rPr>
              <w:t>2</w:t>
            </w:r>
          </w:p>
        </w:tc>
      </w:tr>
      <w:tr>
        <w:trPr>
          <w:trHeight w:val="271"/>
        </w:trPr>
        <w:tc>
          <w:tcPr>
            <w:tcW w:w="65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r>
      <w:tr>
        <w:trPr>
          <w:trHeight w:val="217"/>
        </w:trPr>
        <w:tc>
          <w:tcPr>
            <w:tcW w:w="6520" w:type="dxa"/>
            <w:vAlign w:val="bottom"/>
          </w:tcPr>
          <w:p>
            <w:pPr>
              <w:ind w:left="20"/>
              <w:spacing w:after="0" w:line="210" w:lineRule="exact"/>
              <w:rPr>
                <w:sz w:val="20"/>
                <w:szCs w:val="20"/>
                <w:color w:val="auto"/>
              </w:rPr>
            </w:pPr>
            <w:r>
              <w:rPr>
                <w:rFonts w:ascii="Calibri" w:cs="Calibri" w:eastAsia="Calibri" w:hAnsi="Calibri"/>
                <w:sz w:val="18"/>
                <w:szCs w:val="18"/>
                <w:color w:val="auto"/>
              </w:rPr>
              <w:t>Income tax valuaton allowances:</w:t>
            </w: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32"/>
        </w:trPr>
        <w:tc>
          <w:tcPr>
            <w:tcW w:w="6520" w:type="dxa"/>
            <w:vAlign w:val="bottom"/>
            <w:shd w:val="clear" w:color="auto" w:fill="CCEEFF"/>
          </w:tcPr>
          <w:p>
            <w:pPr>
              <w:ind w:left="140"/>
              <w:spacing w:after="0" w:line="217" w:lineRule="exact"/>
              <w:rPr>
                <w:sz w:val="20"/>
                <w:szCs w:val="20"/>
                <w:color w:val="auto"/>
              </w:rPr>
            </w:pPr>
            <w:r>
              <w:rPr>
                <w:rFonts w:ascii="Calibri" w:cs="Calibri" w:eastAsia="Calibri" w:hAnsi="Calibri"/>
                <w:sz w:val="18"/>
                <w:szCs w:val="18"/>
                <w:color w:val="auto"/>
              </w:rPr>
              <w:t>Fiscal year ended October 29, 2023</w:t>
            </w:r>
          </w:p>
        </w:tc>
        <w:tc>
          <w:tcPr>
            <w:tcW w:w="180" w:type="dxa"/>
            <w:vAlign w:val="bottom"/>
            <w:shd w:val="clear" w:color="auto" w:fill="CCEEFF"/>
          </w:tcPr>
          <w:p>
            <w:pPr>
              <w:jc w:val="right"/>
              <w:spacing w:after="0" w:line="217" w:lineRule="exact"/>
              <w:rPr>
                <w:sz w:val="20"/>
                <w:szCs w:val="20"/>
                <w:color w:val="auto"/>
              </w:rPr>
            </w:pPr>
            <w:r>
              <w:rPr>
                <w:rFonts w:ascii="Calibri" w:cs="Calibri" w:eastAsia="Calibri" w:hAnsi="Calibri"/>
                <w:sz w:val="18"/>
                <w:szCs w:val="18"/>
                <w:color w:val="auto"/>
              </w:rPr>
              <w:t>$</w:t>
            </w:r>
          </w:p>
        </w:tc>
        <w:tc>
          <w:tcPr>
            <w:tcW w:w="920" w:type="dxa"/>
            <w:vAlign w:val="bottom"/>
            <w:shd w:val="clear" w:color="auto" w:fill="CCEEFF"/>
          </w:tcPr>
          <w:p>
            <w:pPr>
              <w:jc w:val="right"/>
              <w:spacing w:after="0" w:line="217" w:lineRule="exact"/>
              <w:rPr>
                <w:sz w:val="20"/>
                <w:szCs w:val="20"/>
                <w:color w:val="auto"/>
              </w:rPr>
            </w:pPr>
            <w:r>
              <w:rPr>
                <w:rFonts w:ascii="Calibri" w:cs="Calibri" w:eastAsia="Calibri" w:hAnsi="Calibri"/>
                <w:sz w:val="18"/>
                <w:szCs w:val="18"/>
                <w:color w:val="auto"/>
              </w:rPr>
              <w:t>1,777</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line="217" w:lineRule="exact"/>
              <w:rPr>
                <w:sz w:val="20"/>
                <w:szCs w:val="20"/>
                <w:color w:val="auto"/>
              </w:rPr>
            </w:pPr>
            <w:r>
              <w:rPr>
                <w:rFonts w:ascii="Calibri" w:cs="Calibri" w:eastAsia="Calibri" w:hAnsi="Calibri"/>
                <w:sz w:val="18"/>
                <w:szCs w:val="18"/>
                <w:color w:val="auto"/>
                <w:w w:val="87"/>
              </w:rPr>
              <w:t>$</w:t>
            </w:r>
          </w:p>
        </w:tc>
        <w:tc>
          <w:tcPr>
            <w:tcW w:w="940" w:type="dxa"/>
            <w:vAlign w:val="bottom"/>
            <w:shd w:val="clear" w:color="auto" w:fill="CCEEFF"/>
          </w:tcPr>
          <w:p>
            <w:pPr>
              <w:jc w:val="right"/>
              <w:spacing w:after="0" w:line="217" w:lineRule="exact"/>
              <w:rPr>
                <w:sz w:val="20"/>
                <w:szCs w:val="20"/>
                <w:color w:val="auto"/>
              </w:rPr>
            </w:pPr>
            <w:r>
              <w:rPr>
                <w:rFonts w:ascii="Calibri" w:cs="Calibri" w:eastAsia="Calibri" w:hAnsi="Calibri"/>
                <w:sz w:val="18"/>
                <w:szCs w:val="18"/>
                <w:color w:val="auto"/>
              </w:rPr>
              <w:t>117</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line="217" w:lineRule="exact"/>
              <w:rPr>
                <w:sz w:val="20"/>
                <w:szCs w:val="20"/>
                <w:color w:val="auto"/>
              </w:rPr>
            </w:pPr>
            <w:r>
              <w:rPr>
                <w:rFonts w:ascii="Calibri" w:cs="Calibri" w:eastAsia="Calibri" w:hAnsi="Calibri"/>
                <w:sz w:val="18"/>
                <w:szCs w:val="18"/>
                <w:color w:val="auto"/>
                <w:w w:val="87"/>
              </w:rPr>
              <w:t>$</w:t>
            </w:r>
          </w:p>
        </w:tc>
        <w:tc>
          <w:tcPr>
            <w:tcW w:w="900" w:type="dxa"/>
            <w:vAlign w:val="bottom"/>
            <w:shd w:val="clear" w:color="auto" w:fill="CCEEFF"/>
          </w:tcPr>
          <w:p>
            <w:pPr>
              <w:jc w:val="right"/>
              <w:spacing w:after="0" w:line="217" w:lineRule="exact"/>
              <w:rPr>
                <w:sz w:val="20"/>
                <w:szCs w:val="20"/>
                <w:color w:val="auto"/>
              </w:rPr>
            </w:pPr>
            <w:r>
              <w:rPr>
                <w:rFonts w:ascii="Calibri" w:cs="Calibri" w:eastAsia="Calibri" w:hAnsi="Calibri"/>
                <w:sz w:val="18"/>
                <w:szCs w:val="18"/>
                <w:color w:val="auto"/>
              </w:rPr>
              <w:t>(105)</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line="217" w:lineRule="exact"/>
              <w:rPr>
                <w:sz w:val="20"/>
                <w:szCs w:val="20"/>
                <w:color w:val="auto"/>
              </w:rPr>
            </w:pPr>
            <w:r>
              <w:rPr>
                <w:rFonts w:ascii="Calibri" w:cs="Calibri" w:eastAsia="Calibri" w:hAnsi="Calibri"/>
                <w:sz w:val="18"/>
                <w:szCs w:val="18"/>
                <w:color w:val="auto"/>
                <w:w w:val="87"/>
              </w:rPr>
              <w:t>$</w:t>
            </w:r>
          </w:p>
        </w:tc>
        <w:tc>
          <w:tcPr>
            <w:tcW w:w="920" w:type="dxa"/>
            <w:vAlign w:val="bottom"/>
            <w:shd w:val="clear" w:color="auto" w:fill="CCEEFF"/>
          </w:tcPr>
          <w:p>
            <w:pPr>
              <w:jc w:val="right"/>
              <w:spacing w:after="0" w:line="217" w:lineRule="exact"/>
              <w:rPr>
                <w:sz w:val="20"/>
                <w:szCs w:val="20"/>
                <w:color w:val="auto"/>
              </w:rPr>
            </w:pPr>
            <w:r>
              <w:rPr>
                <w:rFonts w:ascii="Calibri" w:cs="Calibri" w:eastAsia="Calibri" w:hAnsi="Calibri"/>
                <w:sz w:val="18"/>
                <w:szCs w:val="18"/>
                <w:color w:val="auto"/>
              </w:rPr>
              <w:t>1,789</w:t>
            </w:r>
          </w:p>
        </w:tc>
      </w:tr>
      <w:tr>
        <w:trPr>
          <w:trHeight w:val="217"/>
        </w:trPr>
        <w:tc>
          <w:tcPr>
            <w:tcW w:w="6520" w:type="dxa"/>
            <w:vAlign w:val="bottom"/>
          </w:tcPr>
          <w:p>
            <w:pPr>
              <w:ind w:left="140"/>
              <w:spacing w:after="0" w:line="210" w:lineRule="exact"/>
              <w:rPr>
                <w:sz w:val="20"/>
                <w:szCs w:val="20"/>
                <w:color w:val="auto"/>
              </w:rPr>
            </w:pPr>
            <w:r>
              <w:rPr>
                <w:rFonts w:ascii="Calibri" w:cs="Calibri" w:eastAsia="Calibri" w:hAnsi="Calibri"/>
                <w:sz w:val="18"/>
                <w:szCs w:val="18"/>
                <w:color w:val="auto"/>
              </w:rPr>
              <w:t>Fiscal year ended October 30, 2022</w:t>
            </w:r>
          </w:p>
        </w:tc>
        <w:tc>
          <w:tcPr>
            <w:tcW w:w="180" w:type="dxa"/>
            <w:vAlign w:val="bottom"/>
          </w:tcPr>
          <w:p>
            <w:pPr>
              <w:jc w:val="right"/>
              <w:spacing w:after="0" w:line="210" w:lineRule="exact"/>
              <w:rPr>
                <w:sz w:val="20"/>
                <w:szCs w:val="20"/>
                <w:color w:val="auto"/>
              </w:rPr>
            </w:pPr>
            <w:r>
              <w:rPr>
                <w:rFonts w:ascii="Calibri" w:cs="Calibri" w:eastAsia="Calibri" w:hAnsi="Calibri"/>
                <w:sz w:val="18"/>
                <w:szCs w:val="18"/>
                <w:color w:val="auto"/>
              </w:rPr>
              <w:t>$</w:t>
            </w:r>
          </w:p>
        </w:tc>
        <w:tc>
          <w:tcPr>
            <w:tcW w:w="920" w:type="dxa"/>
            <w:vAlign w:val="bottom"/>
          </w:tcPr>
          <w:p>
            <w:pPr>
              <w:jc w:val="right"/>
              <w:spacing w:after="0" w:line="210" w:lineRule="exact"/>
              <w:rPr>
                <w:sz w:val="20"/>
                <w:szCs w:val="20"/>
                <w:color w:val="auto"/>
              </w:rPr>
            </w:pPr>
            <w:r>
              <w:rPr>
                <w:rFonts w:ascii="Calibri" w:cs="Calibri" w:eastAsia="Calibri" w:hAnsi="Calibri"/>
                <w:sz w:val="18"/>
                <w:szCs w:val="18"/>
                <w:color w:val="auto"/>
              </w:rPr>
              <w:t>1,782</w:t>
            </w:r>
          </w:p>
        </w:tc>
        <w:tc>
          <w:tcPr>
            <w:tcW w:w="120" w:type="dxa"/>
            <w:vAlign w:val="bottom"/>
          </w:tcPr>
          <w:p>
            <w:pPr>
              <w:spacing w:after="0"/>
              <w:rPr>
                <w:sz w:val="18"/>
                <w:szCs w:val="18"/>
                <w:color w:val="auto"/>
              </w:rPr>
            </w:pPr>
          </w:p>
        </w:tc>
        <w:tc>
          <w:tcPr>
            <w:tcW w:w="140" w:type="dxa"/>
            <w:vAlign w:val="bottom"/>
          </w:tcPr>
          <w:p>
            <w:pPr>
              <w:jc w:val="right"/>
              <w:spacing w:after="0" w:line="210" w:lineRule="exact"/>
              <w:rPr>
                <w:sz w:val="20"/>
                <w:szCs w:val="20"/>
                <w:color w:val="auto"/>
              </w:rPr>
            </w:pPr>
            <w:r>
              <w:rPr>
                <w:rFonts w:ascii="Calibri" w:cs="Calibri" w:eastAsia="Calibri" w:hAnsi="Calibri"/>
                <w:sz w:val="18"/>
                <w:szCs w:val="18"/>
                <w:color w:val="auto"/>
                <w:w w:val="87"/>
              </w:rPr>
              <w:t>$</w:t>
            </w:r>
          </w:p>
        </w:tc>
        <w:tc>
          <w:tcPr>
            <w:tcW w:w="940" w:type="dxa"/>
            <w:vAlign w:val="bottom"/>
          </w:tcPr>
          <w:p>
            <w:pPr>
              <w:jc w:val="right"/>
              <w:spacing w:after="0" w:line="210" w:lineRule="exact"/>
              <w:rPr>
                <w:sz w:val="20"/>
                <w:szCs w:val="20"/>
                <w:color w:val="auto"/>
              </w:rPr>
            </w:pPr>
            <w:r>
              <w:rPr>
                <w:rFonts w:ascii="Calibri" w:cs="Calibri" w:eastAsia="Calibri" w:hAnsi="Calibri"/>
                <w:sz w:val="18"/>
                <w:szCs w:val="18"/>
                <w:color w:val="auto"/>
              </w:rPr>
              <w:t>118</w:t>
            </w:r>
          </w:p>
        </w:tc>
        <w:tc>
          <w:tcPr>
            <w:tcW w:w="120" w:type="dxa"/>
            <w:vAlign w:val="bottom"/>
          </w:tcPr>
          <w:p>
            <w:pPr>
              <w:spacing w:after="0"/>
              <w:rPr>
                <w:sz w:val="18"/>
                <w:szCs w:val="18"/>
                <w:color w:val="auto"/>
              </w:rPr>
            </w:pPr>
          </w:p>
        </w:tc>
        <w:tc>
          <w:tcPr>
            <w:tcW w:w="180" w:type="dxa"/>
            <w:vAlign w:val="bottom"/>
          </w:tcPr>
          <w:p>
            <w:pPr>
              <w:jc w:val="right"/>
              <w:spacing w:after="0" w:line="210" w:lineRule="exact"/>
              <w:rPr>
                <w:sz w:val="20"/>
                <w:szCs w:val="20"/>
                <w:color w:val="auto"/>
              </w:rPr>
            </w:pPr>
            <w:r>
              <w:rPr>
                <w:rFonts w:ascii="Calibri" w:cs="Calibri" w:eastAsia="Calibri" w:hAnsi="Calibri"/>
                <w:sz w:val="18"/>
                <w:szCs w:val="18"/>
                <w:color w:val="auto"/>
                <w:w w:val="87"/>
              </w:rPr>
              <w:t>$</w:t>
            </w:r>
          </w:p>
        </w:tc>
        <w:tc>
          <w:tcPr>
            <w:tcW w:w="900" w:type="dxa"/>
            <w:vAlign w:val="bottom"/>
          </w:tcPr>
          <w:p>
            <w:pPr>
              <w:jc w:val="right"/>
              <w:spacing w:after="0" w:line="210" w:lineRule="exact"/>
              <w:rPr>
                <w:sz w:val="20"/>
                <w:szCs w:val="20"/>
                <w:color w:val="auto"/>
              </w:rPr>
            </w:pPr>
            <w:r>
              <w:rPr>
                <w:rFonts w:ascii="Calibri" w:cs="Calibri" w:eastAsia="Calibri" w:hAnsi="Calibri"/>
                <w:sz w:val="18"/>
                <w:szCs w:val="18"/>
                <w:color w:val="auto"/>
              </w:rPr>
              <w:t>(123)</w:t>
            </w:r>
          </w:p>
        </w:tc>
        <w:tc>
          <w:tcPr>
            <w:tcW w:w="120" w:type="dxa"/>
            <w:vAlign w:val="bottom"/>
          </w:tcPr>
          <w:p>
            <w:pPr>
              <w:spacing w:after="0"/>
              <w:rPr>
                <w:sz w:val="18"/>
                <w:szCs w:val="18"/>
                <w:color w:val="auto"/>
              </w:rPr>
            </w:pPr>
          </w:p>
        </w:tc>
        <w:tc>
          <w:tcPr>
            <w:tcW w:w="180" w:type="dxa"/>
            <w:vAlign w:val="bottom"/>
          </w:tcPr>
          <w:p>
            <w:pPr>
              <w:jc w:val="right"/>
              <w:spacing w:after="0" w:line="210" w:lineRule="exact"/>
              <w:rPr>
                <w:sz w:val="20"/>
                <w:szCs w:val="20"/>
                <w:color w:val="auto"/>
              </w:rPr>
            </w:pPr>
            <w:r>
              <w:rPr>
                <w:rFonts w:ascii="Calibri" w:cs="Calibri" w:eastAsia="Calibri" w:hAnsi="Calibri"/>
                <w:sz w:val="18"/>
                <w:szCs w:val="18"/>
                <w:color w:val="auto"/>
                <w:w w:val="87"/>
              </w:rPr>
              <w:t>$</w:t>
            </w:r>
          </w:p>
        </w:tc>
        <w:tc>
          <w:tcPr>
            <w:tcW w:w="920" w:type="dxa"/>
            <w:vAlign w:val="bottom"/>
          </w:tcPr>
          <w:p>
            <w:pPr>
              <w:jc w:val="right"/>
              <w:spacing w:after="0" w:line="210" w:lineRule="exact"/>
              <w:rPr>
                <w:sz w:val="20"/>
                <w:szCs w:val="20"/>
                <w:color w:val="auto"/>
              </w:rPr>
            </w:pPr>
            <w:r>
              <w:rPr>
                <w:rFonts w:ascii="Calibri" w:cs="Calibri" w:eastAsia="Calibri" w:hAnsi="Calibri"/>
                <w:sz w:val="18"/>
                <w:szCs w:val="18"/>
                <w:color w:val="auto"/>
              </w:rPr>
              <w:t>1,777</w:t>
            </w:r>
          </w:p>
        </w:tc>
      </w:tr>
      <w:tr>
        <w:trPr>
          <w:trHeight w:val="232"/>
        </w:trPr>
        <w:tc>
          <w:tcPr>
            <w:tcW w:w="6520" w:type="dxa"/>
            <w:vAlign w:val="bottom"/>
            <w:shd w:val="clear" w:color="auto" w:fill="CCEEFF"/>
          </w:tcPr>
          <w:p>
            <w:pPr>
              <w:ind w:left="140"/>
              <w:spacing w:after="0" w:line="217" w:lineRule="exact"/>
              <w:rPr>
                <w:sz w:val="20"/>
                <w:szCs w:val="20"/>
                <w:color w:val="auto"/>
              </w:rPr>
            </w:pPr>
            <w:r>
              <w:rPr>
                <w:rFonts w:ascii="Calibri" w:cs="Calibri" w:eastAsia="Calibri" w:hAnsi="Calibri"/>
                <w:sz w:val="18"/>
                <w:szCs w:val="18"/>
                <w:color w:val="auto"/>
              </w:rPr>
              <w:t>Fiscal year ended October 31, 2021</w:t>
            </w:r>
          </w:p>
        </w:tc>
        <w:tc>
          <w:tcPr>
            <w:tcW w:w="180" w:type="dxa"/>
            <w:vAlign w:val="bottom"/>
            <w:shd w:val="clear" w:color="auto" w:fill="CCEEFF"/>
          </w:tcPr>
          <w:p>
            <w:pPr>
              <w:jc w:val="right"/>
              <w:spacing w:after="0" w:line="217" w:lineRule="exact"/>
              <w:rPr>
                <w:sz w:val="20"/>
                <w:szCs w:val="20"/>
                <w:color w:val="auto"/>
              </w:rPr>
            </w:pPr>
            <w:r>
              <w:rPr>
                <w:rFonts w:ascii="Calibri" w:cs="Calibri" w:eastAsia="Calibri" w:hAnsi="Calibri"/>
                <w:sz w:val="18"/>
                <w:szCs w:val="18"/>
                <w:color w:val="auto"/>
              </w:rPr>
              <w:t>$</w:t>
            </w:r>
          </w:p>
        </w:tc>
        <w:tc>
          <w:tcPr>
            <w:tcW w:w="920" w:type="dxa"/>
            <w:vAlign w:val="bottom"/>
            <w:shd w:val="clear" w:color="auto" w:fill="CCEEFF"/>
          </w:tcPr>
          <w:p>
            <w:pPr>
              <w:jc w:val="right"/>
              <w:spacing w:after="0" w:line="217" w:lineRule="exact"/>
              <w:rPr>
                <w:sz w:val="20"/>
                <w:szCs w:val="20"/>
                <w:color w:val="auto"/>
              </w:rPr>
            </w:pPr>
            <w:r>
              <w:rPr>
                <w:rFonts w:ascii="Calibri" w:cs="Calibri" w:eastAsia="Calibri" w:hAnsi="Calibri"/>
                <w:sz w:val="18"/>
                <w:szCs w:val="18"/>
                <w:color w:val="auto"/>
              </w:rPr>
              <w:t>1,707</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line="217" w:lineRule="exact"/>
              <w:rPr>
                <w:sz w:val="20"/>
                <w:szCs w:val="20"/>
                <w:color w:val="auto"/>
              </w:rPr>
            </w:pPr>
            <w:r>
              <w:rPr>
                <w:rFonts w:ascii="Calibri" w:cs="Calibri" w:eastAsia="Calibri" w:hAnsi="Calibri"/>
                <w:sz w:val="18"/>
                <w:szCs w:val="18"/>
                <w:color w:val="auto"/>
                <w:w w:val="87"/>
              </w:rPr>
              <w:t>$</w:t>
            </w:r>
          </w:p>
        </w:tc>
        <w:tc>
          <w:tcPr>
            <w:tcW w:w="940" w:type="dxa"/>
            <w:vAlign w:val="bottom"/>
            <w:shd w:val="clear" w:color="auto" w:fill="CCEEFF"/>
          </w:tcPr>
          <w:p>
            <w:pPr>
              <w:jc w:val="right"/>
              <w:spacing w:after="0" w:line="217" w:lineRule="exact"/>
              <w:rPr>
                <w:sz w:val="20"/>
                <w:szCs w:val="20"/>
                <w:color w:val="auto"/>
              </w:rPr>
            </w:pPr>
            <w:r>
              <w:rPr>
                <w:rFonts w:ascii="Calibri" w:cs="Calibri" w:eastAsia="Calibri" w:hAnsi="Calibri"/>
                <w:sz w:val="18"/>
                <w:szCs w:val="18"/>
                <w:color w:val="auto"/>
              </w:rPr>
              <w:t>121</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line="217" w:lineRule="exact"/>
              <w:rPr>
                <w:sz w:val="20"/>
                <w:szCs w:val="20"/>
                <w:color w:val="auto"/>
              </w:rPr>
            </w:pPr>
            <w:r>
              <w:rPr>
                <w:rFonts w:ascii="Calibri" w:cs="Calibri" w:eastAsia="Calibri" w:hAnsi="Calibri"/>
                <w:sz w:val="18"/>
                <w:szCs w:val="18"/>
                <w:color w:val="auto"/>
                <w:w w:val="87"/>
              </w:rPr>
              <w:t>$</w:t>
            </w:r>
          </w:p>
        </w:tc>
        <w:tc>
          <w:tcPr>
            <w:tcW w:w="900" w:type="dxa"/>
            <w:vAlign w:val="bottom"/>
            <w:shd w:val="clear" w:color="auto" w:fill="CCEEFF"/>
          </w:tcPr>
          <w:p>
            <w:pPr>
              <w:jc w:val="right"/>
              <w:spacing w:after="0" w:line="217" w:lineRule="exact"/>
              <w:rPr>
                <w:sz w:val="20"/>
                <w:szCs w:val="20"/>
                <w:color w:val="auto"/>
              </w:rPr>
            </w:pPr>
            <w:r>
              <w:rPr>
                <w:rFonts w:ascii="Calibri" w:cs="Calibri" w:eastAsia="Calibri" w:hAnsi="Calibri"/>
                <w:sz w:val="18"/>
                <w:szCs w:val="18"/>
                <w:color w:val="auto"/>
              </w:rPr>
              <w:t>(46)</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line="217" w:lineRule="exact"/>
              <w:rPr>
                <w:sz w:val="20"/>
                <w:szCs w:val="20"/>
                <w:color w:val="auto"/>
              </w:rPr>
            </w:pPr>
            <w:r>
              <w:rPr>
                <w:rFonts w:ascii="Calibri" w:cs="Calibri" w:eastAsia="Calibri" w:hAnsi="Calibri"/>
                <w:sz w:val="18"/>
                <w:szCs w:val="18"/>
                <w:color w:val="auto"/>
                <w:w w:val="87"/>
              </w:rPr>
              <w:t>$</w:t>
            </w:r>
          </w:p>
        </w:tc>
        <w:tc>
          <w:tcPr>
            <w:tcW w:w="920" w:type="dxa"/>
            <w:vAlign w:val="bottom"/>
            <w:shd w:val="clear" w:color="auto" w:fill="CCEEFF"/>
          </w:tcPr>
          <w:p>
            <w:pPr>
              <w:jc w:val="right"/>
              <w:spacing w:after="0" w:line="217" w:lineRule="exact"/>
              <w:rPr>
                <w:sz w:val="20"/>
                <w:szCs w:val="20"/>
                <w:color w:val="auto"/>
              </w:rPr>
            </w:pPr>
            <w:r>
              <w:rPr>
                <w:rFonts w:ascii="Calibri" w:cs="Calibri" w:eastAsia="Calibri" w:hAnsi="Calibri"/>
                <w:sz w:val="18"/>
                <w:szCs w:val="18"/>
                <w:color w:val="auto"/>
              </w:rPr>
              <w:t>1,782</w:t>
            </w:r>
          </w:p>
        </w:tc>
      </w:tr>
      <w:tr>
        <w:trPr>
          <w:trHeight w:val="268"/>
        </w:trPr>
        <w:tc>
          <w:tcPr>
            <w:tcW w:w="6520" w:type="dxa"/>
            <w:vAlign w:val="bottom"/>
          </w:tcPr>
          <w:p>
            <w:pPr>
              <w:spacing w:after="0"/>
              <w:rPr>
                <w:sz w:val="20"/>
                <w:szCs w:val="20"/>
                <w:color w:val="auto"/>
              </w:rPr>
            </w:pPr>
            <w:r>
              <w:rPr>
                <w:rFonts w:ascii="Calibri" w:cs="Calibri" w:eastAsia="Calibri" w:hAnsi="Calibri"/>
                <w:sz w:val="18"/>
                <w:szCs w:val="18"/>
                <w:color w:val="auto"/>
              </w:rPr>
              <w:t>________________________________</w:t>
            </w:r>
          </w:p>
        </w:tc>
        <w:tc>
          <w:tcPr>
            <w:tcW w:w="1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20" w:type="dxa"/>
            <w:vAlign w:val="bottom"/>
          </w:tcPr>
          <w:p>
            <w:pPr>
              <w:spacing w:after="0"/>
              <w:rPr>
                <w:sz w:val="23"/>
                <w:szCs w:val="23"/>
                <w:color w:val="auto"/>
              </w:rPr>
            </w:pPr>
          </w:p>
        </w:tc>
      </w:tr>
    </w:tbl>
    <w:p>
      <w:pPr>
        <w:spacing w:after="0" w:line="97" w:lineRule="exact"/>
        <w:rPr>
          <w:sz w:val="20"/>
          <w:szCs w:val="20"/>
          <w:color w:val="auto"/>
        </w:rPr>
      </w:pPr>
    </w:p>
    <w:p>
      <w:pPr>
        <w:ind w:left="320" w:hanging="314"/>
        <w:spacing w:after="0"/>
        <w:tabs>
          <w:tab w:leader="none" w:pos="320" w:val="left"/>
        </w:tabs>
        <w:numPr>
          <w:ilvl w:val="0"/>
          <w:numId w:val="30"/>
        </w:numPr>
        <w:rPr>
          <w:rFonts w:ascii="Calibri" w:cs="Calibri" w:eastAsia="Calibri" w:hAnsi="Calibri"/>
          <w:sz w:val="18"/>
          <w:szCs w:val="18"/>
          <w:color w:val="auto"/>
        </w:rPr>
      </w:pPr>
      <w:r>
        <w:rPr>
          <w:rFonts w:ascii="Calibri" w:cs="Calibri" w:eastAsia="Calibri" w:hAnsi="Calibri"/>
          <w:sz w:val="18"/>
          <w:szCs w:val="18"/>
          <w:color w:val="auto"/>
        </w:rPr>
        <w:t>Distributor credit allowances relate to price adjustments and other allowances.</w:t>
      </w:r>
    </w:p>
    <w:p>
      <w:pPr>
        <w:spacing w:after="0" w:line="97" w:lineRule="exact"/>
        <w:rPr>
          <w:rFonts w:ascii="Calibri" w:cs="Calibri" w:eastAsia="Calibri" w:hAnsi="Calibri"/>
          <w:sz w:val="18"/>
          <w:szCs w:val="18"/>
          <w:color w:val="auto"/>
        </w:rPr>
      </w:pPr>
    </w:p>
    <w:p>
      <w:pPr>
        <w:ind w:left="300" w:hanging="294"/>
        <w:spacing w:after="0"/>
        <w:tabs>
          <w:tab w:leader="none" w:pos="300" w:val="left"/>
        </w:tabs>
        <w:numPr>
          <w:ilvl w:val="0"/>
          <w:numId w:val="30"/>
        </w:numPr>
        <w:rPr>
          <w:rFonts w:ascii="Calibri" w:cs="Calibri" w:eastAsia="Calibri" w:hAnsi="Calibri"/>
          <w:sz w:val="18"/>
          <w:szCs w:val="18"/>
          <w:color w:val="auto"/>
        </w:rPr>
      </w:pPr>
      <w:r>
        <w:rPr>
          <w:rFonts w:ascii="Calibri" w:cs="Calibri" w:eastAsia="Calibri" w:hAnsi="Calibri"/>
          <w:sz w:val="18"/>
          <w:szCs w:val="18"/>
          <w:color w:val="auto"/>
        </w:rPr>
        <w:t>Other accounts receivable allowances primarily include sales returns and allowance for doubtul accounts.</w:t>
      </w:r>
    </w:p>
    <w:p>
      <w:pPr>
        <w:spacing w:after="0" w:line="97" w:lineRule="exact"/>
        <w:rPr>
          <w:sz w:val="20"/>
          <w:szCs w:val="20"/>
          <w:color w:val="auto"/>
        </w:rPr>
      </w:pPr>
    </w:p>
    <w:p>
      <w:pPr>
        <w:spacing w:after="0"/>
        <w:tabs>
          <w:tab w:leader="none" w:pos="1080" w:val="left"/>
        </w:tabs>
        <w:rPr>
          <w:sz w:val="20"/>
          <w:szCs w:val="20"/>
          <w:color w:val="auto"/>
        </w:rPr>
      </w:pPr>
      <w:r>
        <w:rPr>
          <w:rFonts w:ascii="Calibri" w:cs="Calibri" w:eastAsia="Calibri" w:hAnsi="Calibri"/>
          <w:sz w:val="18"/>
          <w:szCs w:val="18"/>
          <w:b w:val="1"/>
          <w:bCs w:val="1"/>
          <w:color w:val="auto"/>
        </w:rPr>
        <w:t>ITEM 9.</w:t>
      </w:r>
      <w:r>
        <w:rPr>
          <w:sz w:val="20"/>
          <w:szCs w:val="20"/>
          <w:color w:val="auto"/>
        </w:rPr>
        <w:tab/>
      </w:r>
      <w:r>
        <w:rPr>
          <w:rFonts w:ascii="Calibri" w:cs="Calibri" w:eastAsia="Calibri" w:hAnsi="Calibri"/>
          <w:sz w:val="17"/>
          <w:szCs w:val="17"/>
          <w:b w:val="1"/>
          <w:bCs w:val="1"/>
          <w:color w:val="auto"/>
        </w:rPr>
        <w:t>CHANGES IN AND DISAGREEMENTS WITH ACCOUNTANTS ON ACCOUNTING AND FINANCIAL DISCLOSURE</w:t>
      </w:r>
    </w:p>
    <w:p>
      <w:pPr>
        <w:spacing w:after="0" w:line="97" w:lineRule="exact"/>
        <w:rPr>
          <w:sz w:val="20"/>
          <w:szCs w:val="20"/>
          <w:color w:val="auto"/>
        </w:rPr>
      </w:pPr>
    </w:p>
    <w:p>
      <w:pPr>
        <w:ind w:left="400"/>
        <w:spacing w:after="0"/>
        <w:rPr>
          <w:sz w:val="20"/>
          <w:szCs w:val="20"/>
          <w:color w:val="auto"/>
        </w:rPr>
      </w:pPr>
      <w:r>
        <w:rPr>
          <w:rFonts w:ascii="Calibri" w:cs="Calibri" w:eastAsia="Calibri" w:hAnsi="Calibri"/>
          <w:sz w:val="18"/>
          <w:szCs w:val="18"/>
          <w:color w:val="auto"/>
        </w:rPr>
        <w:t>Not applicable.</w:t>
      </w:r>
    </w:p>
    <w:p>
      <w:pPr>
        <w:spacing w:after="0" w:line="97" w:lineRule="exact"/>
        <w:rPr>
          <w:sz w:val="20"/>
          <w:szCs w:val="20"/>
          <w:color w:val="auto"/>
        </w:rPr>
      </w:pPr>
    </w:p>
    <w:p>
      <w:pPr>
        <w:spacing w:after="0"/>
        <w:tabs>
          <w:tab w:leader="none" w:pos="1080" w:val="left"/>
        </w:tabs>
        <w:rPr>
          <w:sz w:val="20"/>
          <w:szCs w:val="20"/>
          <w:color w:val="auto"/>
        </w:rPr>
      </w:pPr>
      <w:r>
        <w:rPr>
          <w:rFonts w:ascii="Calibri" w:cs="Calibri" w:eastAsia="Calibri" w:hAnsi="Calibri"/>
          <w:sz w:val="18"/>
          <w:szCs w:val="18"/>
          <w:b w:val="1"/>
          <w:bCs w:val="1"/>
          <w:color w:val="auto"/>
        </w:rPr>
        <w:t>ITEM 9A.</w:t>
      </w:r>
      <w:r>
        <w:rPr>
          <w:sz w:val="20"/>
          <w:szCs w:val="20"/>
          <w:color w:val="auto"/>
        </w:rPr>
        <w:tab/>
      </w:r>
      <w:r>
        <w:rPr>
          <w:rFonts w:ascii="Calibri" w:cs="Calibri" w:eastAsia="Calibri" w:hAnsi="Calibri"/>
          <w:sz w:val="17"/>
          <w:szCs w:val="17"/>
          <w:b w:val="1"/>
          <w:bCs w:val="1"/>
          <w:color w:val="auto"/>
        </w:rPr>
        <w:t>CONTROLS AND PROCEDURES</w:t>
      </w:r>
    </w:p>
    <w:p>
      <w:pPr>
        <w:spacing w:after="0" w:line="97"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Evaluaton of Disclosure Controls and Procedures</w:t>
      </w:r>
    </w:p>
    <w:p>
      <w:pPr>
        <w:spacing w:after="0" w:line="107" w:lineRule="exact"/>
        <w:rPr>
          <w:sz w:val="20"/>
          <w:szCs w:val="20"/>
          <w:color w:val="auto"/>
        </w:rPr>
      </w:pPr>
    </w:p>
    <w:p>
      <w:pPr>
        <w:ind w:right="40" w:firstLine="396"/>
        <w:spacing w:after="0" w:line="244" w:lineRule="auto"/>
        <w:rPr>
          <w:sz w:val="20"/>
          <w:szCs w:val="20"/>
          <w:color w:val="auto"/>
        </w:rPr>
      </w:pPr>
      <w:r>
        <w:rPr>
          <w:rFonts w:ascii="Calibri" w:cs="Calibri" w:eastAsia="Calibri" w:hAnsi="Calibri"/>
          <w:sz w:val="17"/>
          <w:szCs w:val="17"/>
          <w:color w:val="auto"/>
        </w:rPr>
        <w:t>Our management, with the partcipaton of our Chief Executve Ofcer (“CEO”) and Chief Financial Ofcer (“CFO”), evaluated the efectveness of our disclosure controls and procedures as of October 29, 2023. The term “disclosure controls and procedures,” as defned in Rules 13a-15(e) and 15d-15(e) under the Exchange Act, means controls and other procedures of a company that are designed to ensure that informaton required to be disclosed by a company in the reports that it fles or submits under the Exchange Act is recorded, processed, summarized and reported within the tme periods specifed in the SEC’s rules and forms. Disclosure controls and procedures include, without limitaton, controls and procedures designed to ensure that informaton required to be disclosed by a company in the reports that it fles or submits under the Exchange Act is accumulated and communicated to our management, including its principal executve and principal fnancial ofcers, as appropriate to allow tmely decisions regarding required disclosure. Management recognizes that any controls and procedures, no mater how well designed and operated, can provide only reasonable assurance of achieving their objectves and management necessarily applies its judgment in evaluatng the cost-beneft relatonship of possible controls and procedures. Based on the evaluaton of our disclosure controls and procedures as of October 29, 2023, our CEO and CFO concluded that, as of such date, our disclosure controls and procedures were efectve at the reasonable assurance level.</w:t>
      </w: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9" w:right="339" w:bottom="1440" w:gutter="0" w:footer="0" w:header="0"/>
        </w:sectPr>
      </w:pPr>
    </w:p>
    <w:bookmarkStart w:id="90" w:name="page91"/>
    <w:bookmarkEnd w:id="90"/>
    <w:p>
      <w:pPr>
        <w:spacing w:after="0"/>
        <w:rPr>
          <w:sz w:val="20"/>
          <w:szCs w:val="20"/>
          <w:color w:val="auto"/>
        </w:rPr>
      </w:pPr>
      <w:r>
        <w:rPr>
          <w:rFonts w:ascii="Calibri" w:cs="Calibri" w:eastAsia="Calibri" w:hAnsi="Calibri"/>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Management’s Report on Internal Control Over Financial Reportng</w:t>
      </w:r>
    </w:p>
    <w:p>
      <w:pPr>
        <w:spacing w:after="0" w:line="107" w:lineRule="exact"/>
        <w:rPr>
          <w:sz w:val="20"/>
          <w:szCs w:val="20"/>
          <w:color w:val="auto"/>
        </w:rPr>
      </w:pPr>
    </w:p>
    <w:p>
      <w:pPr>
        <w:ind w:firstLine="396"/>
        <w:spacing w:after="0" w:line="245" w:lineRule="auto"/>
        <w:rPr>
          <w:sz w:val="20"/>
          <w:szCs w:val="20"/>
          <w:color w:val="auto"/>
        </w:rPr>
      </w:pPr>
      <w:r>
        <w:rPr>
          <w:rFonts w:ascii="Calibri" w:cs="Calibri" w:eastAsia="Calibri" w:hAnsi="Calibri"/>
          <w:sz w:val="17"/>
          <w:szCs w:val="17"/>
          <w:color w:val="auto"/>
        </w:rPr>
        <w:t>Our management is responsible for establishing and maintaining adequate internal control over fnancial reportng. Internal control over fnancial reportng is defned in Rules 13a-15(f) and 15d-15(f) promulgated under the Exchange Act as a process designed by, or under the supervision of, our principal executve and principal fnancial ofcers and efected by the Board, management and other personnel, to provide reasonable assurance regarding the reliability of fnancial reportng and the preparaton of fnancial statements for external purposes in accordance with GAAP and includes those policies and procedures that:</w:t>
      </w:r>
    </w:p>
    <w:p>
      <w:pPr>
        <w:spacing w:after="0" w:line="94" w:lineRule="exact"/>
        <w:rPr>
          <w:sz w:val="20"/>
          <w:szCs w:val="20"/>
          <w:color w:val="auto"/>
        </w:rPr>
      </w:pPr>
    </w:p>
    <w:p>
      <w:pPr>
        <w:ind w:left="800" w:hanging="398"/>
        <w:spacing w:after="0"/>
        <w:tabs>
          <w:tab w:leader="none" w:pos="800" w:val="left"/>
        </w:tabs>
        <w:numPr>
          <w:ilvl w:val="0"/>
          <w:numId w:val="31"/>
        </w:numPr>
        <w:rPr>
          <w:rFonts w:ascii="Calibri" w:cs="Calibri" w:eastAsia="Calibri" w:hAnsi="Calibri"/>
          <w:sz w:val="18"/>
          <w:szCs w:val="18"/>
          <w:color w:val="auto"/>
        </w:rPr>
      </w:pPr>
      <w:r>
        <w:rPr>
          <w:rFonts w:ascii="Calibri" w:cs="Calibri" w:eastAsia="Calibri" w:hAnsi="Calibri"/>
          <w:sz w:val="18"/>
          <w:szCs w:val="18"/>
          <w:color w:val="auto"/>
        </w:rPr>
        <w:t>pertain to the maintenance of records that in reasonable detail accurately and fairly refect the transactons and dispositons of the assets;</w:t>
      </w:r>
    </w:p>
    <w:p>
      <w:pPr>
        <w:spacing w:after="0" w:line="106" w:lineRule="exact"/>
        <w:rPr>
          <w:rFonts w:ascii="Calibri" w:cs="Calibri" w:eastAsia="Calibri" w:hAnsi="Calibri"/>
          <w:sz w:val="18"/>
          <w:szCs w:val="18"/>
          <w:color w:val="auto"/>
        </w:rPr>
      </w:pPr>
    </w:p>
    <w:p>
      <w:pPr>
        <w:ind w:left="800" w:right="20" w:hanging="398"/>
        <w:spacing w:after="0" w:line="230" w:lineRule="auto"/>
        <w:tabs>
          <w:tab w:leader="none" w:pos="793" w:val="left"/>
        </w:tabs>
        <w:numPr>
          <w:ilvl w:val="0"/>
          <w:numId w:val="31"/>
        </w:numPr>
        <w:rPr>
          <w:rFonts w:ascii="Calibri" w:cs="Calibri" w:eastAsia="Calibri" w:hAnsi="Calibri"/>
          <w:sz w:val="18"/>
          <w:szCs w:val="18"/>
          <w:color w:val="auto"/>
        </w:rPr>
      </w:pPr>
      <w:r>
        <w:rPr>
          <w:rFonts w:ascii="Calibri" w:cs="Calibri" w:eastAsia="Calibri" w:hAnsi="Calibri"/>
          <w:sz w:val="18"/>
          <w:szCs w:val="18"/>
          <w:color w:val="auto"/>
        </w:rPr>
        <w:t>provide reasonable assurance that transactons are recorded as necessary to permit preparaton of fnancial statements in accordance with GAAP, and that receipts and expenditures of us are being made only in accordance with authorizatons of management and directors; and</w:t>
      </w:r>
    </w:p>
    <w:p>
      <w:pPr>
        <w:spacing w:after="0" w:line="107" w:lineRule="exact"/>
        <w:rPr>
          <w:rFonts w:ascii="Calibri" w:cs="Calibri" w:eastAsia="Calibri" w:hAnsi="Calibri"/>
          <w:sz w:val="18"/>
          <w:szCs w:val="18"/>
          <w:color w:val="auto"/>
        </w:rPr>
      </w:pPr>
    </w:p>
    <w:p>
      <w:pPr>
        <w:ind w:left="800" w:right="80" w:hanging="398"/>
        <w:spacing w:after="0" w:line="230" w:lineRule="auto"/>
        <w:tabs>
          <w:tab w:leader="none" w:pos="793" w:val="left"/>
        </w:tabs>
        <w:numPr>
          <w:ilvl w:val="0"/>
          <w:numId w:val="31"/>
        </w:numPr>
        <w:rPr>
          <w:rFonts w:ascii="Calibri" w:cs="Calibri" w:eastAsia="Calibri" w:hAnsi="Calibri"/>
          <w:sz w:val="18"/>
          <w:szCs w:val="18"/>
          <w:color w:val="auto"/>
        </w:rPr>
      </w:pPr>
      <w:r>
        <w:rPr>
          <w:rFonts w:ascii="Calibri" w:cs="Calibri" w:eastAsia="Calibri" w:hAnsi="Calibri"/>
          <w:sz w:val="18"/>
          <w:szCs w:val="18"/>
          <w:color w:val="auto"/>
        </w:rPr>
        <w:t>provide reasonable assurance regarding preventon or tmely detecton of unauthorized acquisiton, use or dispositon of our assets that could have a material efect on the fnancial statements.</w:t>
      </w:r>
    </w:p>
    <w:p>
      <w:pPr>
        <w:spacing w:after="0" w:line="107" w:lineRule="exact"/>
        <w:rPr>
          <w:sz w:val="20"/>
          <w:szCs w:val="20"/>
          <w:color w:val="auto"/>
        </w:rPr>
      </w:pPr>
    </w:p>
    <w:p>
      <w:pPr>
        <w:ind w:right="160" w:firstLine="396"/>
        <w:spacing w:after="0" w:line="230" w:lineRule="auto"/>
        <w:rPr>
          <w:sz w:val="20"/>
          <w:szCs w:val="20"/>
          <w:color w:val="auto"/>
        </w:rPr>
      </w:pPr>
      <w:r>
        <w:rPr>
          <w:rFonts w:ascii="Calibri" w:cs="Calibri" w:eastAsia="Calibri" w:hAnsi="Calibri"/>
          <w:sz w:val="18"/>
          <w:szCs w:val="18"/>
          <w:color w:val="auto"/>
        </w:rPr>
        <w:t>Because of its inherent limitatons, internal control over fnancial reportng may not prevent or detect misstatements. Projectons of any evaluaton of efectveness to future periods are subject to the risk that controls may become inadequate because of changes in conditons, or that the degree of compliance with the policies or procedures may deteriorate.</w:t>
      </w:r>
    </w:p>
    <w:p>
      <w:pPr>
        <w:spacing w:after="0" w:line="108" w:lineRule="exact"/>
        <w:rPr>
          <w:sz w:val="20"/>
          <w:szCs w:val="20"/>
          <w:color w:val="auto"/>
        </w:rPr>
      </w:pPr>
    </w:p>
    <w:p>
      <w:pPr>
        <w:ind w:right="240" w:firstLine="396"/>
        <w:spacing w:after="0" w:line="230" w:lineRule="auto"/>
        <w:rPr>
          <w:sz w:val="20"/>
          <w:szCs w:val="20"/>
          <w:color w:val="auto"/>
        </w:rPr>
      </w:pPr>
      <w:r>
        <w:rPr>
          <w:rFonts w:ascii="Calibri" w:cs="Calibri" w:eastAsia="Calibri" w:hAnsi="Calibri"/>
          <w:sz w:val="18"/>
          <w:szCs w:val="18"/>
          <w:color w:val="auto"/>
        </w:rPr>
        <w:t xml:space="preserve">Our management assessed the efectveness of our internal control over fnancial reportng as of October 29, 2023. In making this assessment, our management used the criteria set forth by the Commitee of Sponsoring Organizatons of the Treadway Commission in </w:t>
      </w:r>
      <w:r>
        <w:rPr>
          <w:rFonts w:ascii="Calibri" w:cs="Calibri" w:eastAsia="Calibri" w:hAnsi="Calibri"/>
          <w:sz w:val="18"/>
          <w:szCs w:val="18"/>
          <w:i w:val="1"/>
          <w:iCs w:val="1"/>
          <w:color w:val="auto"/>
        </w:rPr>
        <w:t>Internal Control-Integrated Framework</w:t>
      </w:r>
      <w:r>
        <w:rPr>
          <w:rFonts w:ascii="Calibri" w:cs="Calibri" w:eastAsia="Calibri" w:hAnsi="Calibri"/>
          <w:sz w:val="18"/>
          <w:szCs w:val="18"/>
          <w:color w:val="auto"/>
        </w:rPr>
        <w:t xml:space="preserve"> (2013)</w:t>
      </w:r>
      <w:r>
        <w:rPr>
          <w:rFonts w:ascii="Calibri" w:cs="Calibri" w:eastAsia="Calibri" w:hAnsi="Calibri"/>
          <w:sz w:val="18"/>
          <w:szCs w:val="18"/>
          <w:i w:val="1"/>
          <w:iCs w:val="1"/>
          <w:color w:val="auto"/>
        </w:rPr>
        <w:t>.</w:t>
      </w:r>
      <w:r>
        <w:rPr>
          <w:rFonts w:ascii="Calibri" w:cs="Calibri" w:eastAsia="Calibri" w:hAnsi="Calibri"/>
          <w:sz w:val="18"/>
          <w:szCs w:val="18"/>
          <w:color w:val="auto"/>
        </w:rPr>
        <w:t xml:space="preserve"> Based on this assessment, our management concluded that, as of October 29, 2023, our internal control over fnancial reportng is efectve based on those criteria.</w:t>
      </w:r>
    </w:p>
    <w:p>
      <w:pPr>
        <w:spacing w:after="0" w:line="108" w:lineRule="exact"/>
        <w:rPr>
          <w:sz w:val="20"/>
          <w:szCs w:val="20"/>
          <w:color w:val="auto"/>
        </w:rPr>
      </w:pPr>
    </w:p>
    <w:p>
      <w:pPr>
        <w:ind w:right="100" w:firstLine="396"/>
        <w:spacing w:after="0" w:line="230" w:lineRule="auto"/>
        <w:rPr>
          <w:sz w:val="20"/>
          <w:szCs w:val="20"/>
          <w:color w:val="auto"/>
        </w:rPr>
      </w:pPr>
      <w:r>
        <w:rPr>
          <w:rFonts w:ascii="Calibri" w:cs="Calibri" w:eastAsia="Calibri" w:hAnsi="Calibri"/>
          <w:sz w:val="18"/>
          <w:szCs w:val="18"/>
          <w:color w:val="auto"/>
        </w:rPr>
        <w:t>The efectveness of our internal control over fnancial reportng as of October 29, 2023 has been audited by PricewaterhouseCoopers LLP, an independent registered public accountng frm, as stated in their report which is included in Part II, Item 8. of this Annual Report on Form 10-K.</w:t>
      </w:r>
    </w:p>
    <w:p>
      <w:pPr>
        <w:spacing w:after="0" w:line="97"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Changes in Internal Control over Financial Reportng</w:t>
      </w:r>
    </w:p>
    <w:p>
      <w:pPr>
        <w:spacing w:after="0" w:line="107" w:lineRule="exact"/>
        <w:rPr>
          <w:sz w:val="20"/>
          <w:szCs w:val="20"/>
          <w:color w:val="auto"/>
        </w:rPr>
      </w:pPr>
    </w:p>
    <w:p>
      <w:pPr>
        <w:ind w:right="160" w:firstLine="396"/>
        <w:spacing w:after="0" w:line="247" w:lineRule="auto"/>
        <w:rPr>
          <w:sz w:val="20"/>
          <w:szCs w:val="20"/>
          <w:color w:val="auto"/>
        </w:rPr>
      </w:pPr>
      <w:r>
        <w:rPr>
          <w:rFonts w:ascii="Calibri" w:cs="Calibri" w:eastAsia="Calibri" w:hAnsi="Calibri"/>
          <w:sz w:val="17"/>
          <w:szCs w:val="17"/>
          <w:color w:val="auto"/>
        </w:rPr>
        <w:t>No change in our internal control over fnancial reportng (as defned in Rules 13a-15(f) and 15d-15(f) under the Exchange Act) occurred during the fourth quarter ended October 29, 2023 that has materially afected, or is reasonably likely to materially afect, our internal control over fnancial reportng.</w:t>
      </w:r>
    </w:p>
    <w:p>
      <w:pPr>
        <w:spacing w:after="0" w:line="91" w:lineRule="exact"/>
        <w:rPr>
          <w:sz w:val="20"/>
          <w:szCs w:val="20"/>
          <w:color w:val="auto"/>
        </w:rPr>
      </w:pPr>
    </w:p>
    <w:p>
      <w:pPr>
        <w:spacing w:after="0"/>
        <w:tabs>
          <w:tab w:leader="none" w:pos="1060" w:val="left"/>
        </w:tabs>
        <w:rPr>
          <w:sz w:val="20"/>
          <w:szCs w:val="20"/>
          <w:color w:val="auto"/>
        </w:rPr>
      </w:pPr>
      <w:r>
        <w:rPr>
          <w:rFonts w:ascii="Calibri" w:cs="Calibri" w:eastAsia="Calibri" w:hAnsi="Calibri"/>
          <w:sz w:val="18"/>
          <w:szCs w:val="18"/>
          <w:b w:val="1"/>
          <w:bCs w:val="1"/>
          <w:color w:val="auto"/>
        </w:rPr>
        <w:t>ITEM 9B.</w:t>
      </w:r>
      <w:r>
        <w:rPr>
          <w:sz w:val="20"/>
          <w:szCs w:val="20"/>
          <w:color w:val="auto"/>
        </w:rPr>
        <w:tab/>
      </w:r>
      <w:r>
        <w:rPr>
          <w:rFonts w:ascii="Calibri" w:cs="Calibri" w:eastAsia="Calibri" w:hAnsi="Calibri"/>
          <w:sz w:val="17"/>
          <w:szCs w:val="17"/>
          <w:b w:val="1"/>
          <w:bCs w:val="1"/>
          <w:color w:val="auto"/>
        </w:rPr>
        <w:t>OTHER INFORMATION</w:t>
      </w:r>
    </w:p>
    <w:p>
      <w:pPr>
        <w:spacing w:after="0" w:line="97" w:lineRule="exact"/>
        <w:rPr>
          <w:sz w:val="20"/>
          <w:szCs w:val="20"/>
          <w:color w:val="auto"/>
        </w:rPr>
      </w:pPr>
    </w:p>
    <w:p>
      <w:pPr>
        <w:ind w:left="400"/>
        <w:spacing w:after="0"/>
        <w:rPr>
          <w:sz w:val="20"/>
          <w:szCs w:val="20"/>
          <w:color w:val="auto"/>
        </w:rPr>
      </w:pPr>
      <w:r>
        <w:rPr>
          <w:rFonts w:ascii="Calibri" w:cs="Calibri" w:eastAsia="Calibri" w:hAnsi="Calibri"/>
          <w:sz w:val="18"/>
          <w:szCs w:val="18"/>
          <w:color w:val="auto"/>
        </w:rPr>
        <w:t>None.</w:t>
      </w:r>
    </w:p>
    <w:p>
      <w:pPr>
        <w:spacing w:after="0" w:line="97" w:lineRule="exact"/>
        <w:rPr>
          <w:sz w:val="20"/>
          <w:szCs w:val="20"/>
          <w:color w:val="auto"/>
        </w:rPr>
      </w:pPr>
    </w:p>
    <w:p>
      <w:pPr>
        <w:spacing w:after="0"/>
        <w:tabs>
          <w:tab w:leader="none" w:pos="1080" w:val="left"/>
        </w:tabs>
        <w:rPr>
          <w:sz w:val="20"/>
          <w:szCs w:val="20"/>
          <w:color w:val="auto"/>
        </w:rPr>
      </w:pPr>
      <w:r>
        <w:rPr>
          <w:rFonts w:ascii="Calibri" w:cs="Calibri" w:eastAsia="Calibri" w:hAnsi="Calibri"/>
          <w:sz w:val="18"/>
          <w:szCs w:val="18"/>
          <w:b w:val="1"/>
          <w:bCs w:val="1"/>
          <w:color w:val="auto"/>
        </w:rPr>
        <w:t>ITEM 9C.</w:t>
      </w:r>
      <w:r>
        <w:rPr>
          <w:sz w:val="20"/>
          <w:szCs w:val="20"/>
          <w:color w:val="auto"/>
        </w:rPr>
        <w:tab/>
      </w:r>
      <w:r>
        <w:rPr>
          <w:rFonts w:ascii="Calibri" w:cs="Calibri" w:eastAsia="Calibri" w:hAnsi="Calibri"/>
          <w:sz w:val="17"/>
          <w:szCs w:val="17"/>
          <w:b w:val="1"/>
          <w:bCs w:val="1"/>
          <w:color w:val="auto"/>
        </w:rPr>
        <w:t>DISCLOSURE REGARDING FOREIGN JURISDICTIONS THAT PREVENT INSPECTIONS</w:t>
      </w:r>
    </w:p>
    <w:p>
      <w:pPr>
        <w:spacing w:after="0" w:line="97" w:lineRule="exact"/>
        <w:rPr>
          <w:sz w:val="20"/>
          <w:szCs w:val="20"/>
          <w:color w:val="auto"/>
        </w:rPr>
      </w:pPr>
    </w:p>
    <w:p>
      <w:pPr>
        <w:ind w:left="400"/>
        <w:spacing w:after="0"/>
        <w:rPr>
          <w:sz w:val="20"/>
          <w:szCs w:val="20"/>
          <w:color w:val="auto"/>
        </w:rPr>
      </w:pPr>
      <w:r>
        <w:rPr>
          <w:rFonts w:ascii="Calibri" w:cs="Calibri" w:eastAsia="Calibri" w:hAnsi="Calibri"/>
          <w:sz w:val="18"/>
          <w:szCs w:val="18"/>
          <w:color w:val="auto"/>
        </w:rPr>
        <w:t>Not applicable.</w:t>
      </w: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09" w:right="359" w:bottom="1440" w:gutter="0" w:footer="0" w:header="0"/>
        </w:sectPr>
      </w:pPr>
    </w:p>
    <w:bookmarkStart w:id="91" w:name="page92"/>
    <w:bookmarkEnd w:id="91"/>
    <w:p>
      <w:pPr>
        <w:spacing w:after="0"/>
        <w:rPr>
          <w:sz w:val="20"/>
          <w:szCs w:val="20"/>
          <w:color w:val="auto"/>
        </w:rPr>
      </w:pPr>
      <w:r>
        <w:rPr>
          <w:rFonts w:ascii="Calibri" w:cs="Calibri" w:eastAsia="Calibri" w:hAnsi="Calibri"/>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5360"/>
        <w:spacing w:after="0"/>
        <w:rPr>
          <w:sz w:val="20"/>
          <w:szCs w:val="20"/>
          <w:color w:val="auto"/>
        </w:rPr>
      </w:pPr>
      <w:r>
        <w:rPr>
          <w:rFonts w:ascii="Calibri" w:cs="Calibri" w:eastAsia="Calibri" w:hAnsi="Calibri"/>
          <w:sz w:val="18"/>
          <w:szCs w:val="18"/>
          <w:b w:val="1"/>
          <w:bCs w:val="1"/>
          <w:color w:val="auto"/>
        </w:rPr>
        <w:t>PART III</w:t>
      </w:r>
    </w:p>
    <w:p>
      <w:pPr>
        <w:spacing w:after="0" w:line="97" w:lineRule="exact"/>
        <w:rPr>
          <w:sz w:val="20"/>
          <w:szCs w:val="20"/>
          <w:color w:val="auto"/>
        </w:rPr>
      </w:pPr>
    </w:p>
    <w:p>
      <w:pPr>
        <w:spacing w:after="0"/>
        <w:tabs>
          <w:tab w:leader="none" w:pos="1080" w:val="left"/>
        </w:tabs>
        <w:rPr>
          <w:sz w:val="20"/>
          <w:szCs w:val="20"/>
          <w:color w:val="auto"/>
        </w:rPr>
      </w:pPr>
      <w:r>
        <w:rPr>
          <w:rFonts w:ascii="Calibri" w:cs="Calibri" w:eastAsia="Calibri" w:hAnsi="Calibri"/>
          <w:sz w:val="18"/>
          <w:szCs w:val="18"/>
          <w:b w:val="1"/>
          <w:bCs w:val="1"/>
          <w:color w:val="auto"/>
        </w:rPr>
        <w:t>ITEM 10.</w:t>
      </w:r>
      <w:r>
        <w:rPr>
          <w:sz w:val="20"/>
          <w:szCs w:val="20"/>
          <w:color w:val="auto"/>
        </w:rPr>
        <w:tab/>
      </w:r>
      <w:r>
        <w:rPr>
          <w:rFonts w:ascii="Calibri" w:cs="Calibri" w:eastAsia="Calibri" w:hAnsi="Calibri"/>
          <w:sz w:val="17"/>
          <w:szCs w:val="17"/>
          <w:b w:val="1"/>
          <w:bCs w:val="1"/>
          <w:color w:val="auto"/>
        </w:rPr>
        <w:t>DIRECTORS, EXECUTIVE OFFICERS AND CORPORATE GOVERNANCE</w:t>
      </w:r>
    </w:p>
    <w:p>
      <w:pPr>
        <w:spacing w:after="0" w:line="107" w:lineRule="exact"/>
        <w:rPr>
          <w:sz w:val="20"/>
          <w:szCs w:val="20"/>
          <w:color w:val="auto"/>
        </w:rPr>
      </w:pPr>
    </w:p>
    <w:p>
      <w:pPr>
        <w:ind w:firstLine="396"/>
        <w:spacing w:after="0" w:line="230" w:lineRule="auto"/>
        <w:rPr>
          <w:sz w:val="20"/>
          <w:szCs w:val="20"/>
          <w:color w:val="auto"/>
        </w:rPr>
      </w:pPr>
      <w:r>
        <w:rPr>
          <w:rFonts w:ascii="Calibri" w:cs="Calibri" w:eastAsia="Calibri" w:hAnsi="Calibri"/>
          <w:sz w:val="18"/>
          <w:szCs w:val="18"/>
          <w:color w:val="auto"/>
        </w:rPr>
        <w:t>The informaton required by Item 10 is incorporated herein by reference from sectons enttled “Board of Directors,” “Corporate Governance” and “Proposal 1 — Electon of Directors” in our defnitve Proxy Statement for our 2024 Annual Meetng of Stockholders. Our executve ofcers are listed at the end of Item 1 of this Annual Report on Form 10-K.</w:t>
      </w:r>
    </w:p>
    <w:p>
      <w:pPr>
        <w:spacing w:after="0" w:line="200" w:lineRule="exact"/>
        <w:rPr>
          <w:sz w:val="20"/>
          <w:szCs w:val="20"/>
          <w:color w:val="auto"/>
        </w:rPr>
      </w:pPr>
    </w:p>
    <w:p>
      <w:pPr>
        <w:spacing w:after="0" w:line="241" w:lineRule="exact"/>
        <w:rPr>
          <w:sz w:val="20"/>
          <w:szCs w:val="20"/>
          <w:color w:val="auto"/>
        </w:rPr>
      </w:pPr>
    </w:p>
    <w:p>
      <w:pPr>
        <w:spacing w:after="0"/>
        <w:tabs>
          <w:tab w:leader="none" w:pos="1080" w:val="left"/>
        </w:tabs>
        <w:rPr>
          <w:sz w:val="20"/>
          <w:szCs w:val="20"/>
          <w:color w:val="auto"/>
        </w:rPr>
      </w:pPr>
      <w:r>
        <w:rPr>
          <w:rFonts w:ascii="Calibri" w:cs="Calibri" w:eastAsia="Calibri" w:hAnsi="Calibri"/>
          <w:sz w:val="18"/>
          <w:szCs w:val="18"/>
          <w:b w:val="1"/>
          <w:bCs w:val="1"/>
          <w:color w:val="auto"/>
        </w:rPr>
        <w:t>ITEM 11.</w:t>
      </w:r>
      <w:r>
        <w:rPr>
          <w:sz w:val="20"/>
          <w:szCs w:val="20"/>
          <w:color w:val="auto"/>
        </w:rPr>
        <w:tab/>
      </w:r>
      <w:r>
        <w:rPr>
          <w:rFonts w:ascii="Calibri" w:cs="Calibri" w:eastAsia="Calibri" w:hAnsi="Calibri"/>
          <w:sz w:val="15"/>
          <w:szCs w:val="15"/>
          <w:b w:val="1"/>
          <w:bCs w:val="1"/>
          <w:color w:val="auto"/>
        </w:rPr>
        <w:t>EXECUTIVE COMPENSATION</w:t>
      </w:r>
    </w:p>
    <w:p>
      <w:pPr>
        <w:spacing w:after="0" w:line="107" w:lineRule="exact"/>
        <w:rPr>
          <w:sz w:val="20"/>
          <w:szCs w:val="20"/>
          <w:color w:val="auto"/>
        </w:rPr>
      </w:pPr>
    </w:p>
    <w:p>
      <w:pPr>
        <w:jc w:val="both"/>
        <w:ind w:right="160" w:firstLine="396"/>
        <w:spacing w:after="0" w:line="230" w:lineRule="auto"/>
        <w:rPr>
          <w:sz w:val="20"/>
          <w:szCs w:val="20"/>
          <w:color w:val="auto"/>
        </w:rPr>
      </w:pPr>
      <w:r>
        <w:rPr>
          <w:rFonts w:ascii="Calibri" w:cs="Calibri" w:eastAsia="Calibri" w:hAnsi="Calibri"/>
          <w:sz w:val="18"/>
          <w:szCs w:val="18"/>
          <w:color w:val="auto"/>
        </w:rPr>
        <w:t>The informaton required by Item 11 is incorporated herein by reference from sectons enttled “Board of Directors — Director Compensaton,” “Board of Directors — Board Commitees — Compensaton Commitee — Compensaton Commitee Interlocks and Insider Partcipaton,” “Compensaton Discussion and Analysis,” “Compensaton Commitee Report,” “Executve Compensaton,” “CEO Pay Rato” and “Pay versus Performance” in our defnitve Proxy Statement for our 2024 Annual Meetng of Stockholders.</w:t>
      </w:r>
    </w:p>
    <w:p>
      <w:pPr>
        <w:spacing w:after="0" w:line="200" w:lineRule="exact"/>
        <w:rPr>
          <w:sz w:val="20"/>
          <w:szCs w:val="20"/>
          <w:color w:val="auto"/>
        </w:rPr>
      </w:pPr>
    </w:p>
    <w:p>
      <w:pPr>
        <w:spacing w:after="0" w:line="242" w:lineRule="exact"/>
        <w:rPr>
          <w:sz w:val="20"/>
          <w:szCs w:val="20"/>
          <w:color w:val="auto"/>
        </w:rPr>
      </w:pPr>
    </w:p>
    <w:p>
      <w:pPr>
        <w:spacing w:after="0"/>
        <w:tabs>
          <w:tab w:leader="none" w:pos="1080" w:val="left"/>
        </w:tabs>
        <w:rPr>
          <w:sz w:val="20"/>
          <w:szCs w:val="20"/>
          <w:color w:val="auto"/>
        </w:rPr>
      </w:pPr>
      <w:r>
        <w:rPr>
          <w:rFonts w:ascii="Calibri" w:cs="Calibri" w:eastAsia="Calibri" w:hAnsi="Calibri"/>
          <w:sz w:val="18"/>
          <w:szCs w:val="18"/>
          <w:b w:val="1"/>
          <w:bCs w:val="1"/>
          <w:color w:val="auto"/>
        </w:rPr>
        <w:t>ITEM 12.</w:t>
      </w:r>
      <w:r>
        <w:rPr>
          <w:sz w:val="20"/>
          <w:szCs w:val="20"/>
          <w:color w:val="auto"/>
        </w:rPr>
        <w:tab/>
      </w:r>
      <w:r>
        <w:rPr>
          <w:rFonts w:ascii="Calibri" w:cs="Calibri" w:eastAsia="Calibri" w:hAnsi="Calibri"/>
          <w:sz w:val="17"/>
          <w:szCs w:val="17"/>
          <w:b w:val="1"/>
          <w:bCs w:val="1"/>
          <w:color w:val="auto"/>
        </w:rPr>
        <w:t>SECURITY OWNERSHIP OF CERTAIN BENEFICIAL OWNERS AND MANAGEMENT AND RELATED STOCKHOLDER MATTERS</w:t>
      </w:r>
    </w:p>
    <w:p>
      <w:pPr>
        <w:spacing w:after="0" w:line="107" w:lineRule="exact"/>
        <w:rPr>
          <w:sz w:val="20"/>
          <w:szCs w:val="20"/>
          <w:color w:val="auto"/>
        </w:rPr>
      </w:pPr>
    </w:p>
    <w:p>
      <w:pPr>
        <w:jc w:val="both"/>
        <w:ind w:right="60" w:firstLine="396"/>
        <w:spacing w:after="0" w:line="230" w:lineRule="auto"/>
        <w:rPr>
          <w:sz w:val="20"/>
          <w:szCs w:val="20"/>
          <w:color w:val="auto"/>
        </w:rPr>
      </w:pPr>
      <w:r>
        <w:rPr>
          <w:rFonts w:ascii="Calibri" w:cs="Calibri" w:eastAsia="Calibri" w:hAnsi="Calibri"/>
          <w:sz w:val="18"/>
          <w:szCs w:val="18"/>
          <w:color w:val="auto"/>
        </w:rPr>
        <w:t>The informaton required by Item 12 is incorporated herein by reference from sectons enttled “Stockholder Informaton — Security Ownership of Certain Benefcial Owners, Directors and Executve Ofcers” and “Equity Compensaton Plan Informaton” in our defnitve Proxy Statement for our 2024 Annual Meetng of Stockholders.</w:t>
      </w:r>
    </w:p>
    <w:p>
      <w:pPr>
        <w:spacing w:after="0" w:line="336" w:lineRule="exact"/>
        <w:rPr>
          <w:sz w:val="20"/>
          <w:szCs w:val="20"/>
          <w:color w:val="auto"/>
        </w:rPr>
      </w:pPr>
    </w:p>
    <w:p>
      <w:pPr>
        <w:spacing w:after="0"/>
        <w:tabs>
          <w:tab w:leader="none" w:pos="1080" w:val="left"/>
        </w:tabs>
        <w:rPr>
          <w:sz w:val="20"/>
          <w:szCs w:val="20"/>
          <w:color w:val="auto"/>
        </w:rPr>
      </w:pPr>
      <w:r>
        <w:rPr>
          <w:rFonts w:ascii="Calibri" w:cs="Calibri" w:eastAsia="Calibri" w:hAnsi="Calibri"/>
          <w:sz w:val="18"/>
          <w:szCs w:val="18"/>
          <w:b w:val="1"/>
          <w:bCs w:val="1"/>
          <w:color w:val="auto"/>
        </w:rPr>
        <w:t>ITEM 13.</w:t>
      </w:r>
      <w:r>
        <w:rPr>
          <w:sz w:val="20"/>
          <w:szCs w:val="20"/>
          <w:color w:val="auto"/>
        </w:rPr>
        <w:tab/>
      </w:r>
      <w:r>
        <w:rPr>
          <w:rFonts w:ascii="Calibri" w:cs="Calibri" w:eastAsia="Calibri" w:hAnsi="Calibri"/>
          <w:sz w:val="15"/>
          <w:szCs w:val="15"/>
          <w:b w:val="1"/>
          <w:bCs w:val="1"/>
          <w:color w:val="auto"/>
        </w:rPr>
        <w:t>CERTAIN RELATIONSHIPS AND RELATED TRANSACTIONS, AND DIRECTOR INDEPENDENCE</w:t>
      </w:r>
    </w:p>
    <w:p>
      <w:pPr>
        <w:spacing w:after="0" w:line="107" w:lineRule="exact"/>
        <w:rPr>
          <w:sz w:val="20"/>
          <w:szCs w:val="20"/>
          <w:color w:val="auto"/>
        </w:rPr>
      </w:pPr>
    </w:p>
    <w:p>
      <w:pPr>
        <w:jc w:val="both"/>
        <w:ind w:right="40" w:firstLine="396"/>
        <w:spacing w:after="0" w:line="230" w:lineRule="auto"/>
        <w:rPr>
          <w:sz w:val="20"/>
          <w:szCs w:val="20"/>
          <w:color w:val="auto"/>
        </w:rPr>
      </w:pPr>
      <w:r>
        <w:rPr>
          <w:rFonts w:ascii="Calibri" w:cs="Calibri" w:eastAsia="Calibri" w:hAnsi="Calibri"/>
          <w:sz w:val="18"/>
          <w:szCs w:val="18"/>
          <w:color w:val="auto"/>
        </w:rPr>
        <w:t>The informaton required by Item 13 is incorporated herein by reference from sectons enttled “Board of Directors” and “Certain Relatonships and Related Party Transactons” in our defnitve Proxy Statement for our 2024 Annual Meetng of Stockholders.</w:t>
      </w:r>
    </w:p>
    <w:p>
      <w:pPr>
        <w:spacing w:after="0" w:line="335" w:lineRule="exact"/>
        <w:rPr>
          <w:sz w:val="20"/>
          <w:szCs w:val="20"/>
          <w:color w:val="auto"/>
        </w:rPr>
      </w:pPr>
    </w:p>
    <w:p>
      <w:pPr>
        <w:spacing w:after="0"/>
        <w:tabs>
          <w:tab w:leader="none" w:pos="1080" w:val="left"/>
        </w:tabs>
        <w:rPr>
          <w:sz w:val="20"/>
          <w:szCs w:val="20"/>
          <w:color w:val="auto"/>
        </w:rPr>
      </w:pPr>
      <w:r>
        <w:rPr>
          <w:rFonts w:ascii="Calibri" w:cs="Calibri" w:eastAsia="Calibri" w:hAnsi="Calibri"/>
          <w:sz w:val="18"/>
          <w:szCs w:val="18"/>
          <w:b w:val="1"/>
          <w:bCs w:val="1"/>
          <w:color w:val="auto"/>
        </w:rPr>
        <w:t>ITEM 14.</w:t>
      </w:r>
      <w:r>
        <w:rPr>
          <w:sz w:val="20"/>
          <w:szCs w:val="20"/>
          <w:color w:val="auto"/>
        </w:rPr>
        <w:tab/>
      </w:r>
      <w:r>
        <w:rPr>
          <w:rFonts w:ascii="Calibri" w:cs="Calibri" w:eastAsia="Calibri" w:hAnsi="Calibri"/>
          <w:sz w:val="15"/>
          <w:szCs w:val="15"/>
          <w:b w:val="1"/>
          <w:bCs w:val="1"/>
          <w:color w:val="auto"/>
        </w:rPr>
        <w:t>PRINCIPAL ACCOUNTANT FEES AND SERVICES</w:t>
      </w:r>
    </w:p>
    <w:p>
      <w:pPr>
        <w:spacing w:after="0" w:line="107" w:lineRule="exact"/>
        <w:rPr>
          <w:sz w:val="20"/>
          <w:szCs w:val="20"/>
          <w:color w:val="auto"/>
        </w:rPr>
      </w:pPr>
    </w:p>
    <w:p>
      <w:pPr>
        <w:ind w:right="840" w:firstLine="396"/>
        <w:spacing w:after="0" w:line="247" w:lineRule="auto"/>
        <w:rPr>
          <w:sz w:val="20"/>
          <w:szCs w:val="20"/>
          <w:color w:val="auto"/>
        </w:rPr>
      </w:pPr>
      <w:r>
        <w:rPr>
          <w:rFonts w:ascii="Calibri" w:cs="Calibri" w:eastAsia="Calibri" w:hAnsi="Calibri"/>
          <w:sz w:val="17"/>
          <w:szCs w:val="17"/>
          <w:color w:val="auto"/>
        </w:rPr>
        <w:t>The informaton required by Item 14 is incorporated herein by reference from the secton enttled “Proposal 2 — Ratfcaton of Appointment of Independent Registered Public Accountng Firm” in our defnitve Proxy Statement for our 2024 Annual Meetng of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09" w:right="359" w:bottom="1440" w:gutter="0" w:footer="0" w:header="0"/>
        </w:sectPr>
      </w:pPr>
    </w:p>
    <w:bookmarkStart w:id="92" w:name="page93"/>
    <w:bookmarkEnd w:id="92"/>
    <w:p>
      <w:pPr>
        <w:spacing w:after="0"/>
        <w:rPr>
          <w:sz w:val="20"/>
          <w:szCs w:val="20"/>
          <w:color w:val="auto"/>
        </w:rPr>
      </w:pPr>
      <w:r>
        <w:rPr>
          <w:rFonts w:ascii="Calibri" w:cs="Calibri" w:eastAsia="Calibri" w:hAnsi="Calibri"/>
          <w:sz w:val="18"/>
          <w:szCs w:val="18"/>
          <w:u w:val="single" w:color="auto"/>
          <w:color w:val="0000FF"/>
        </w:rPr>
        <w:t>Table of Contents</w:t>
      </w:r>
    </w:p>
    <w:p>
      <w:pPr>
        <w:spacing w:after="0" w:line="200" w:lineRule="exact"/>
        <w:rPr>
          <w:sz w:val="20"/>
          <w:szCs w:val="20"/>
          <w:color w:val="auto"/>
        </w:rPr>
      </w:pP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820" w:type="dxa"/>
            <w:vAlign w:val="bottom"/>
          </w:tcPr>
          <w:p>
            <w:pPr>
              <w:ind w:left="1260"/>
              <w:spacing w:after="0"/>
              <w:rPr>
                <w:sz w:val="20"/>
                <w:szCs w:val="20"/>
                <w:color w:val="auto"/>
              </w:rPr>
            </w:pPr>
            <w:r>
              <w:rPr>
                <w:rFonts w:ascii="Calibri" w:cs="Calibri" w:eastAsia="Calibri" w:hAnsi="Calibri"/>
                <w:sz w:val="18"/>
                <w:szCs w:val="18"/>
                <w:b w:val="1"/>
                <w:bCs w:val="1"/>
                <w:color w:val="auto"/>
              </w:rPr>
              <w:t>PART IV</w:t>
            </w: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555"/>
        </w:trPr>
        <w:tc>
          <w:tcPr>
            <w:tcW w:w="760" w:type="dxa"/>
            <w:vAlign w:val="bottom"/>
            <w:gridSpan w:val="2"/>
          </w:tcPr>
          <w:p>
            <w:pPr>
              <w:spacing w:after="0"/>
              <w:rPr>
                <w:sz w:val="20"/>
                <w:szCs w:val="20"/>
                <w:color w:val="auto"/>
              </w:rPr>
            </w:pPr>
            <w:r>
              <w:rPr>
                <w:rFonts w:ascii="Calibri" w:cs="Calibri" w:eastAsia="Calibri" w:hAnsi="Calibri"/>
                <w:sz w:val="18"/>
                <w:szCs w:val="18"/>
                <w:b w:val="1"/>
                <w:bCs w:val="1"/>
                <w:color w:val="auto"/>
              </w:rPr>
              <w:t>ITEM 15.</w:t>
            </w:r>
          </w:p>
        </w:tc>
        <w:tc>
          <w:tcPr>
            <w:tcW w:w="9140" w:type="dxa"/>
            <w:vAlign w:val="bottom"/>
            <w:gridSpan w:val="7"/>
          </w:tcPr>
          <w:p>
            <w:pPr>
              <w:ind w:left="340"/>
              <w:spacing w:after="0"/>
              <w:rPr>
                <w:sz w:val="20"/>
                <w:szCs w:val="20"/>
                <w:color w:val="auto"/>
              </w:rPr>
            </w:pPr>
            <w:r>
              <w:rPr>
                <w:rFonts w:ascii="Calibri" w:cs="Calibri" w:eastAsia="Calibri" w:hAnsi="Calibri"/>
                <w:sz w:val="18"/>
                <w:szCs w:val="18"/>
                <w:b w:val="1"/>
                <w:bCs w:val="1"/>
                <w:color w:val="auto"/>
              </w:rPr>
              <w:t>EXHIBITS AND FINANCIAL STATEMENT SCHEDULES</w:t>
            </w: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317"/>
        </w:trPr>
        <w:tc>
          <w:tcPr>
            <w:tcW w:w="20" w:type="dxa"/>
            <w:vAlign w:val="bottom"/>
          </w:tcPr>
          <w:p>
            <w:pPr>
              <w:spacing w:after="0"/>
              <w:rPr>
                <w:sz w:val="24"/>
                <w:szCs w:val="24"/>
                <w:color w:val="auto"/>
              </w:rPr>
            </w:pPr>
          </w:p>
        </w:tc>
        <w:tc>
          <w:tcPr>
            <w:tcW w:w="9880" w:type="dxa"/>
            <w:vAlign w:val="bottom"/>
            <w:gridSpan w:val="8"/>
          </w:tcPr>
          <w:p>
            <w:pPr>
              <w:ind w:left="380"/>
              <w:spacing w:after="0"/>
              <w:rPr>
                <w:sz w:val="20"/>
                <w:szCs w:val="20"/>
                <w:color w:val="auto"/>
              </w:rPr>
            </w:pPr>
            <w:r>
              <w:rPr>
                <w:rFonts w:ascii="Calibri" w:cs="Calibri" w:eastAsia="Calibri" w:hAnsi="Calibri"/>
                <w:sz w:val="18"/>
                <w:szCs w:val="18"/>
                <w:color w:val="auto"/>
              </w:rPr>
              <w:t>(a) The following are fled as part of this Annual Report on Form 10-K:</w:t>
            </w: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317"/>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140" w:type="dxa"/>
            <w:vAlign w:val="bottom"/>
            <w:gridSpan w:val="7"/>
          </w:tcPr>
          <w:p>
            <w:pPr>
              <w:ind w:left="120"/>
              <w:spacing w:after="0"/>
              <w:rPr>
                <w:sz w:val="20"/>
                <w:szCs w:val="20"/>
                <w:color w:val="auto"/>
              </w:rPr>
            </w:pPr>
            <w:r>
              <w:rPr>
                <w:rFonts w:ascii="Calibri" w:cs="Calibri" w:eastAsia="Calibri" w:hAnsi="Calibri"/>
                <w:sz w:val="18"/>
                <w:szCs w:val="18"/>
                <w:color w:val="auto"/>
              </w:rPr>
              <w:t>1. Financial Statements</w:t>
            </w: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317"/>
        </w:trPr>
        <w:tc>
          <w:tcPr>
            <w:tcW w:w="20" w:type="dxa"/>
            <w:vAlign w:val="bottom"/>
          </w:tcPr>
          <w:p>
            <w:pPr>
              <w:spacing w:after="0"/>
              <w:rPr>
                <w:sz w:val="24"/>
                <w:szCs w:val="24"/>
                <w:color w:val="auto"/>
              </w:rPr>
            </w:pPr>
          </w:p>
        </w:tc>
        <w:tc>
          <w:tcPr>
            <w:tcW w:w="9880" w:type="dxa"/>
            <w:vAlign w:val="bottom"/>
            <w:gridSpan w:val="8"/>
          </w:tcPr>
          <w:p>
            <w:pPr>
              <w:ind w:left="380"/>
              <w:spacing w:after="0"/>
              <w:rPr>
                <w:sz w:val="20"/>
                <w:szCs w:val="20"/>
                <w:color w:val="auto"/>
              </w:rPr>
            </w:pPr>
            <w:r>
              <w:rPr>
                <w:rFonts w:ascii="Calibri" w:cs="Calibri" w:eastAsia="Calibri" w:hAnsi="Calibri"/>
                <w:sz w:val="18"/>
                <w:szCs w:val="18"/>
                <w:color w:val="auto"/>
              </w:rPr>
              <w:t>The following consolidated fnancial statements are included in Item 8 of this Annual Report on Form 10-K:</w:t>
            </w: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307"/>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820" w:type="dxa"/>
            <w:vAlign w:val="bottom"/>
          </w:tcPr>
          <w:p>
            <w:pPr>
              <w:spacing w:after="0"/>
              <w:rPr>
                <w:sz w:val="24"/>
                <w:szCs w:val="24"/>
                <w:color w:val="auto"/>
              </w:rPr>
            </w:pPr>
          </w:p>
        </w:tc>
        <w:tc>
          <w:tcPr>
            <w:tcW w:w="1320" w:type="dxa"/>
            <w:vAlign w:val="bottom"/>
            <w:gridSpan w:val="3"/>
          </w:tcPr>
          <w:p>
            <w:pPr>
              <w:jc w:val="center"/>
              <w:spacing w:after="0"/>
              <w:rPr>
                <w:sz w:val="20"/>
                <w:szCs w:val="20"/>
                <w:color w:val="auto"/>
              </w:rPr>
            </w:pPr>
            <w:r>
              <w:rPr>
                <w:rFonts w:ascii="Calibri" w:cs="Calibri" w:eastAsia="Calibri" w:hAnsi="Calibri"/>
                <w:sz w:val="14"/>
                <w:szCs w:val="14"/>
                <w:b w:val="1"/>
                <w:bCs w:val="1"/>
                <w:color w:val="auto"/>
                <w:w w:val="99"/>
              </w:rPr>
              <w:t>Page</w:t>
            </w:r>
          </w:p>
        </w:tc>
      </w:tr>
      <w:tr>
        <w:trPr>
          <w:trHeight w:val="45"/>
        </w:trPr>
        <w:tc>
          <w:tcPr>
            <w:tcW w:w="20" w:type="dxa"/>
            <w:vAlign w:val="bottom"/>
            <w:tcBorders>
              <w:bottom w:val="single" w:sz="8" w:color="CCEEFF"/>
            </w:tcBorders>
          </w:tcPr>
          <w:p>
            <w:pPr>
              <w:spacing w:after="0"/>
              <w:rPr>
                <w:sz w:val="3"/>
                <w:szCs w:val="3"/>
                <w:color w:val="auto"/>
              </w:rPr>
            </w:pPr>
          </w:p>
        </w:tc>
        <w:tc>
          <w:tcPr>
            <w:tcW w:w="2000" w:type="dxa"/>
            <w:vAlign w:val="bottom"/>
            <w:tcBorders>
              <w:bottom w:val="single" w:sz="8" w:color="CCEEFF"/>
            </w:tcBorders>
            <w:gridSpan w:val="2"/>
          </w:tcPr>
          <w:p>
            <w:pPr>
              <w:spacing w:after="0"/>
              <w:rPr>
                <w:sz w:val="3"/>
                <w:szCs w:val="3"/>
                <w:color w:val="auto"/>
              </w:rPr>
            </w:pPr>
          </w:p>
        </w:tc>
        <w:tc>
          <w:tcPr>
            <w:tcW w:w="740" w:type="dxa"/>
            <w:vAlign w:val="bottom"/>
            <w:tcBorders>
              <w:bottom w:val="single" w:sz="8" w:color="CCEEFF"/>
            </w:tcBorders>
          </w:tcPr>
          <w:p>
            <w:pPr>
              <w:spacing w:after="0"/>
              <w:rPr>
                <w:sz w:val="3"/>
                <w:szCs w:val="3"/>
                <w:color w:val="auto"/>
              </w:rPr>
            </w:pPr>
          </w:p>
        </w:tc>
        <w:tc>
          <w:tcPr>
            <w:tcW w:w="300" w:type="dxa"/>
            <w:vAlign w:val="bottom"/>
            <w:tcBorders>
              <w:bottom w:val="single" w:sz="8" w:color="CCEEFF"/>
            </w:tcBorders>
          </w:tcPr>
          <w:p>
            <w:pPr>
              <w:spacing w:after="0"/>
              <w:rPr>
                <w:sz w:val="3"/>
                <w:szCs w:val="3"/>
                <w:color w:val="auto"/>
              </w:rPr>
            </w:pPr>
          </w:p>
        </w:tc>
        <w:tc>
          <w:tcPr>
            <w:tcW w:w="340" w:type="dxa"/>
            <w:vAlign w:val="bottom"/>
            <w:tcBorders>
              <w:bottom w:val="single" w:sz="8" w:color="CCEEFF"/>
            </w:tcBorders>
          </w:tcPr>
          <w:p>
            <w:pPr>
              <w:spacing w:after="0"/>
              <w:rPr>
                <w:sz w:val="3"/>
                <w:szCs w:val="3"/>
                <w:color w:val="auto"/>
              </w:rPr>
            </w:pPr>
          </w:p>
        </w:tc>
        <w:tc>
          <w:tcPr>
            <w:tcW w:w="220" w:type="dxa"/>
            <w:vAlign w:val="bottom"/>
            <w:tcBorders>
              <w:bottom w:val="single" w:sz="8" w:color="CCEEFF"/>
            </w:tcBorders>
          </w:tcPr>
          <w:p>
            <w:pPr>
              <w:spacing w:after="0"/>
              <w:rPr>
                <w:sz w:val="3"/>
                <w:szCs w:val="3"/>
                <w:color w:val="auto"/>
              </w:rPr>
            </w:pPr>
          </w:p>
        </w:tc>
        <w:tc>
          <w:tcPr>
            <w:tcW w:w="460" w:type="dxa"/>
            <w:vAlign w:val="bottom"/>
            <w:tcBorders>
              <w:bottom w:val="single" w:sz="8" w:color="CCEEFF"/>
            </w:tcBorders>
          </w:tcPr>
          <w:p>
            <w:pPr>
              <w:spacing w:after="0"/>
              <w:rPr>
                <w:sz w:val="3"/>
                <w:szCs w:val="3"/>
                <w:color w:val="auto"/>
              </w:rPr>
            </w:pPr>
          </w:p>
        </w:tc>
        <w:tc>
          <w:tcPr>
            <w:tcW w:w="5820" w:type="dxa"/>
            <w:vAlign w:val="bottom"/>
            <w:tcBorders>
              <w:bottom w:val="single" w:sz="8" w:color="CCEEFF"/>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r>
      <w:tr>
        <w:trPr>
          <w:trHeight w:val="165"/>
        </w:trPr>
        <w:tc>
          <w:tcPr>
            <w:tcW w:w="20" w:type="dxa"/>
            <w:vAlign w:val="bottom"/>
            <w:shd w:val="clear" w:color="auto" w:fill="CCEEFF"/>
          </w:tcPr>
          <w:p>
            <w:pPr>
              <w:spacing w:after="0"/>
              <w:rPr>
                <w:sz w:val="14"/>
                <w:szCs w:val="14"/>
                <w:color w:val="auto"/>
              </w:rPr>
            </w:pPr>
          </w:p>
        </w:tc>
        <w:tc>
          <w:tcPr>
            <w:tcW w:w="9880" w:type="dxa"/>
            <w:vAlign w:val="bottom"/>
            <w:gridSpan w:val="8"/>
            <w:shd w:val="clear" w:color="auto" w:fill="CCEEFF"/>
          </w:tcPr>
          <w:p>
            <w:pPr>
              <w:spacing w:after="0" w:line="165" w:lineRule="exact"/>
              <w:rPr>
                <w:sz w:val="20"/>
                <w:szCs w:val="20"/>
                <w:color w:val="auto"/>
              </w:rPr>
            </w:pPr>
            <w:r>
              <w:rPr>
                <w:rFonts w:ascii="Calibri" w:cs="Calibri" w:eastAsia="Calibri" w:hAnsi="Calibri"/>
                <w:sz w:val="18"/>
                <w:szCs w:val="18"/>
                <w:color w:val="0000FF"/>
              </w:rPr>
              <w:t>Reports of Independent Registered Public Accountng Firm</w:t>
            </w:r>
          </w:p>
        </w:tc>
        <w:tc>
          <w:tcPr>
            <w:tcW w:w="1320" w:type="dxa"/>
            <w:vAlign w:val="bottom"/>
            <w:gridSpan w:val="3"/>
            <w:shd w:val="clear" w:color="auto" w:fill="CCEEFF"/>
          </w:tcPr>
          <w:p>
            <w:pPr>
              <w:jc w:val="center"/>
              <w:ind w:right="20"/>
              <w:spacing w:after="0" w:line="165" w:lineRule="exact"/>
              <w:rPr>
                <w:sz w:val="20"/>
                <w:szCs w:val="20"/>
                <w:color w:val="auto"/>
              </w:rPr>
            </w:pPr>
            <w:r>
              <w:rPr>
                <w:rFonts w:ascii="Calibri" w:cs="Calibri" w:eastAsia="Calibri" w:hAnsi="Calibri"/>
                <w:sz w:val="18"/>
                <w:szCs w:val="18"/>
                <w:color w:val="0000FF"/>
                <w:w w:val="98"/>
              </w:rPr>
              <w:t>49</w:t>
            </w:r>
          </w:p>
        </w:tc>
      </w:tr>
      <w:tr>
        <w:trPr>
          <w:trHeight w:val="33"/>
        </w:trPr>
        <w:tc>
          <w:tcPr>
            <w:tcW w:w="20" w:type="dxa"/>
            <w:vAlign w:val="bottom"/>
            <w:tcBorders>
              <w:top w:val="single" w:sz="8" w:color="CCEEFF"/>
            </w:tcBorders>
            <w:shd w:val="clear" w:color="auto" w:fill="CCEEFF"/>
          </w:tcPr>
          <w:p>
            <w:pPr>
              <w:spacing w:after="0"/>
              <w:rPr>
                <w:sz w:val="2"/>
                <w:szCs w:val="2"/>
                <w:color w:val="auto"/>
              </w:rPr>
            </w:pPr>
          </w:p>
        </w:tc>
        <w:tc>
          <w:tcPr>
            <w:tcW w:w="740" w:type="dxa"/>
            <w:vAlign w:val="bottom"/>
            <w:tcBorders>
              <w:top w:val="single" w:sz="8" w:color="0000FF"/>
            </w:tcBorders>
            <w:shd w:val="clear" w:color="auto" w:fill="CCEEFF"/>
          </w:tcPr>
          <w:p>
            <w:pPr>
              <w:spacing w:after="0"/>
              <w:rPr>
                <w:sz w:val="2"/>
                <w:szCs w:val="2"/>
                <w:color w:val="auto"/>
              </w:rPr>
            </w:pPr>
          </w:p>
        </w:tc>
        <w:tc>
          <w:tcPr>
            <w:tcW w:w="1260" w:type="dxa"/>
            <w:vAlign w:val="bottom"/>
            <w:tcBorders>
              <w:top w:val="single" w:sz="8" w:color="0000FF"/>
            </w:tcBorders>
            <w:shd w:val="clear" w:color="auto" w:fill="CCEEFF"/>
          </w:tcPr>
          <w:p>
            <w:pPr>
              <w:spacing w:after="0"/>
              <w:rPr>
                <w:sz w:val="2"/>
                <w:szCs w:val="2"/>
                <w:color w:val="auto"/>
              </w:rPr>
            </w:pPr>
          </w:p>
        </w:tc>
        <w:tc>
          <w:tcPr>
            <w:tcW w:w="740" w:type="dxa"/>
            <w:vAlign w:val="bottom"/>
            <w:tcBorders>
              <w:top w:val="single" w:sz="8" w:color="0000FF"/>
            </w:tcBorders>
            <w:shd w:val="clear" w:color="auto" w:fill="CCEEFF"/>
          </w:tcPr>
          <w:p>
            <w:pPr>
              <w:spacing w:after="0"/>
              <w:rPr>
                <w:sz w:val="2"/>
                <w:szCs w:val="2"/>
                <w:color w:val="auto"/>
              </w:rPr>
            </w:pPr>
          </w:p>
        </w:tc>
        <w:tc>
          <w:tcPr>
            <w:tcW w:w="300" w:type="dxa"/>
            <w:vAlign w:val="bottom"/>
            <w:tcBorders>
              <w:top w:val="single" w:sz="8" w:color="0000FF"/>
            </w:tcBorders>
            <w:shd w:val="clear" w:color="auto" w:fill="CCEEFF"/>
          </w:tcPr>
          <w:p>
            <w:pPr>
              <w:spacing w:after="0"/>
              <w:rPr>
                <w:sz w:val="2"/>
                <w:szCs w:val="2"/>
                <w:color w:val="auto"/>
              </w:rPr>
            </w:pPr>
          </w:p>
        </w:tc>
        <w:tc>
          <w:tcPr>
            <w:tcW w:w="340" w:type="dxa"/>
            <w:vAlign w:val="bottom"/>
            <w:tcBorders>
              <w:top w:val="single" w:sz="8" w:color="0000FF"/>
            </w:tcBorders>
            <w:shd w:val="clear" w:color="auto" w:fill="CCEEFF"/>
          </w:tcPr>
          <w:p>
            <w:pPr>
              <w:spacing w:after="0"/>
              <w:rPr>
                <w:sz w:val="2"/>
                <w:szCs w:val="2"/>
                <w:color w:val="auto"/>
              </w:rPr>
            </w:pPr>
          </w:p>
        </w:tc>
        <w:tc>
          <w:tcPr>
            <w:tcW w:w="220" w:type="dxa"/>
            <w:vAlign w:val="bottom"/>
            <w:tcBorders>
              <w:top w:val="single" w:sz="8" w:color="0000FF"/>
            </w:tcBorders>
            <w:shd w:val="clear" w:color="auto" w:fill="CCEEFF"/>
          </w:tcPr>
          <w:p>
            <w:pPr>
              <w:spacing w:after="0"/>
              <w:rPr>
                <w:sz w:val="2"/>
                <w:szCs w:val="2"/>
                <w:color w:val="auto"/>
              </w:rPr>
            </w:pPr>
          </w:p>
        </w:tc>
        <w:tc>
          <w:tcPr>
            <w:tcW w:w="460" w:type="dxa"/>
            <w:vAlign w:val="bottom"/>
            <w:tcBorders>
              <w:top w:val="single" w:sz="8" w:color="0000FF"/>
            </w:tcBorders>
            <w:shd w:val="clear" w:color="auto" w:fill="CCEEFF"/>
          </w:tcPr>
          <w:p>
            <w:pPr>
              <w:spacing w:after="0"/>
              <w:rPr>
                <w:sz w:val="2"/>
                <w:szCs w:val="2"/>
                <w:color w:val="auto"/>
              </w:rPr>
            </w:pPr>
          </w:p>
        </w:tc>
        <w:tc>
          <w:tcPr>
            <w:tcW w:w="5820" w:type="dxa"/>
            <w:vAlign w:val="bottom"/>
            <w:tcBorders>
              <w:top w:val="single" w:sz="8" w:color="CCEEFF"/>
            </w:tcBorders>
            <w:shd w:val="clear" w:color="auto" w:fill="CCEEFF"/>
          </w:tcPr>
          <w:p>
            <w:pPr>
              <w:spacing w:after="0"/>
              <w:rPr>
                <w:sz w:val="2"/>
                <w:szCs w:val="2"/>
                <w:color w:val="auto"/>
              </w:rPr>
            </w:pPr>
          </w:p>
        </w:tc>
        <w:tc>
          <w:tcPr>
            <w:tcW w:w="5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0000FF"/>
            </w:tcBorders>
            <w:shd w:val="clear" w:color="auto" w:fill="CCEEFF"/>
          </w:tcPr>
          <w:p>
            <w:pPr>
              <w:spacing w:after="0"/>
              <w:rPr>
                <w:sz w:val="2"/>
                <w:szCs w:val="2"/>
                <w:color w:val="auto"/>
              </w:rPr>
            </w:pPr>
          </w:p>
        </w:tc>
        <w:tc>
          <w:tcPr>
            <w:tcW w:w="580" w:type="dxa"/>
            <w:vAlign w:val="bottom"/>
            <w:tcBorders>
              <w:top w:val="single" w:sz="8" w:color="CCEEFF"/>
            </w:tcBorders>
            <w:shd w:val="clear" w:color="auto" w:fill="CCEEFF"/>
          </w:tcPr>
          <w:p>
            <w:pPr>
              <w:spacing w:after="0"/>
              <w:rPr>
                <w:sz w:val="2"/>
                <w:szCs w:val="2"/>
                <w:color w:val="auto"/>
              </w:rPr>
            </w:pPr>
          </w:p>
        </w:tc>
      </w:tr>
      <w:tr>
        <w:trPr>
          <w:trHeight w:val="172"/>
        </w:trPr>
        <w:tc>
          <w:tcPr>
            <w:tcW w:w="20" w:type="dxa"/>
            <w:vAlign w:val="bottom"/>
          </w:tcPr>
          <w:p>
            <w:pPr>
              <w:spacing w:after="0"/>
              <w:rPr>
                <w:sz w:val="14"/>
                <w:szCs w:val="14"/>
                <w:color w:val="auto"/>
              </w:rPr>
            </w:pPr>
          </w:p>
        </w:tc>
        <w:tc>
          <w:tcPr>
            <w:tcW w:w="4060" w:type="dxa"/>
            <w:vAlign w:val="bottom"/>
            <w:gridSpan w:val="7"/>
          </w:tcPr>
          <w:p>
            <w:pPr>
              <w:spacing w:after="0" w:line="172" w:lineRule="exact"/>
              <w:rPr>
                <w:sz w:val="20"/>
                <w:szCs w:val="20"/>
                <w:color w:val="auto"/>
              </w:rPr>
            </w:pPr>
            <w:r>
              <w:rPr>
                <w:rFonts w:ascii="Calibri" w:cs="Calibri" w:eastAsia="Calibri" w:hAnsi="Calibri"/>
                <w:sz w:val="18"/>
                <w:szCs w:val="18"/>
                <w:color w:val="0000FF"/>
              </w:rPr>
              <w:t>Consolidated Balance Sheets</w:t>
            </w:r>
          </w:p>
        </w:tc>
        <w:tc>
          <w:tcPr>
            <w:tcW w:w="58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60" w:type="dxa"/>
            <w:vAlign w:val="bottom"/>
            <w:gridSpan w:val="2"/>
          </w:tcPr>
          <w:p>
            <w:pPr>
              <w:jc w:val="center"/>
              <w:ind w:right="580"/>
              <w:spacing w:after="0" w:line="172" w:lineRule="exact"/>
              <w:rPr>
                <w:sz w:val="20"/>
                <w:szCs w:val="20"/>
                <w:color w:val="auto"/>
              </w:rPr>
            </w:pPr>
            <w:r>
              <w:rPr>
                <w:rFonts w:ascii="Calibri" w:cs="Calibri" w:eastAsia="Calibri" w:hAnsi="Calibri"/>
                <w:sz w:val="18"/>
                <w:szCs w:val="18"/>
                <w:color w:val="0000FF"/>
                <w:w w:val="98"/>
              </w:rPr>
              <w:t>50</w:t>
            </w:r>
          </w:p>
        </w:tc>
      </w:tr>
      <w:tr>
        <w:trPr>
          <w:trHeight w:val="33"/>
        </w:trPr>
        <w:tc>
          <w:tcPr>
            <w:tcW w:w="20" w:type="dxa"/>
            <w:vAlign w:val="bottom"/>
          </w:tcPr>
          <w:p>
            <w:pPr>
              <w:spacing w:after="0"/>
              <w:rPr>
                <w:sz w:val="2"/>
                <w:szCs w:val="2"/>
                <w:color w:val="auto"/>
              </w:rPr>
            </w:pPr>
          </w:p>
        </w:tc>
        <w:tc>
          <w:tcPr>
            <w:tcW w:w="740" w:type="dxa"/>
            <w:vAlign w:val="bottom"/>
            <w:tcBorders>
              <w:top w:val="single" w:sz="8" w:color="0000FF"/>
            </w:tcBorders>
          </w:tcPr>
          <w:p>
            <w:pPr>
              <w:spacing w:after="0"/>
              <w:rPr>
                <w:sz w:val="2"/>
                <w:szCs w:val="2"/>
                <w:color w:val="auto"/>
              </w:rPr>
            </w:pPr>
          </w:p>
        </w:tc>
        <w:tc>
          <w:tcPr>
            <w:tcW w:w="1260" w:type="dxa"/>
            <w:vAlign w:val="bottom"/>
            <w:tcBorders>
              <w:top w:val="single" w:sz="8" w:color="0000FF"/>
            </w:tcBorders>
          </w:tcPr>
          <w:p>
            <w:pPr>
              <w:spacing w:after="0"/>
              <w:rPr>
                <w:sz w:val="2"/>
                <w:szCs w:val="2"/>
                <w:color w:val="auto"/>
              </w:rPr>
            </w:pPr>
          </w:p>
        </w:tc>
        <w:tc>
          <w:tcPr>
            <w:tcW w:w="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58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580" w:type="dxa"/>
            <w:vAlign w:val="bottom"/>
          </w:tcPr>
          <w:p>
            <w:pPr>
              <w:spacing w:after="0"/>
              <w:rPr>
                <w:sz w:val="2"/>
                <w:szCs w:val="2"/>
                <w:color w:val="auto"/>
              </w:rPr>
            </w:pPr>
          </w:p>
        </w:tc>
      </w:tr>
      <w:tr>
        <w:trPr>
          <w:trHeight w:val="172"/>
        </w:trPr>
        <w:tc>
          <w:tcPr>
            <w:tcW w:w="20" w:type="dxa"/>
            <w:vAlign w:val="bottom"/>
            <w:shd w:val="clear" w:color="auto" w:fill="CCEEFF"/>
          </w:tcPr>
          <w:p>
            <w:pPr>
              <w:spacing w:after="0"/>
              <w:rPr>
                <w:sz w:val="14"/>
                <w:szCs w:val="14"/>
                <w:color w:val="auto"/>
              </w:rPr>
            </w:pPr>
          </w:p>
        </w:tc>
        <w:tc>
          <w:tcPr>
            <w:tcW w:w="2740" w:type="dxa"/>
            <w:vAlign w:val="bottom"/>
            <w:gridSpan w:val="3"/>
            <w:shd w:val="clear" w:color="auto" w:fill="CCEEFF"/>
          </w:tcPr>
          <w:p>
            <w:pPr>
              <w:spacing w:after="0" w:line="172" w:lineRule="exact"/>
              <w:rPr>
                <w:sz w:val="20"/>
                <w:szCs w:val="20"/>
                <w:color w:val="auto"/>
              </w:rPr>
            </w:pPr>
            <w:r>
              <w:rPr>
                <w:rFonts w:ascii="Calibri" w:cs="Calibri" w:eastAsia="Calibri" w:hAnsi="Calibri"/>
                <w:sz w:val="18"/>
                <w:szCs w:val="18"/>
                <w:color w:val="0000FF"/>
                <w:w w:val="95"/>
              </w:rPr>
              <w:t>Consolidated Statements of Operatons</w:t>
            </w:r>
          </w:p>
        </w:tc>
        <w:tc>
          <w:tcPr>
            <w:tcW w:w="7140" w:type="dxa"/>
            <w:vAlign w:val="bottom"/>
            <w:gridSpan w:val="5"/>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center"/>
              <w:ind w:right="580"/>
              <w:spacing w:after="0" w:line="172" w:lineRule="exact"/>
              <w:rPr>
                <w:sz w:val="20"/>
                <w:szCs w:val="20"/>
                <w:color w:val="auto"/>
              </w:rPr>
            </w:pPr>
            <w:r>
              <w:rPr>
                <w:rFonts w:ascii="Calibri" w:cs="Calibri" w:eastAsia="Calibri" w:hAnsi="Calibri"/>
                <w:sz w:val="18"/>
                <w:szCs w:val="18"/>
                <w:color w:val="0000FF"/>
                <w:w w:val="98"/>
              </w:rPr>
              <w:t>51</w:t>
            </w:r>
          </w:p>
        </w:tc>
      </w:tr>
      <w:tr>
        <w:trPr>
          <w:trHeight w:val="33"/>
        </w:trPr>
        <w:tc>
          <w:tcPr>
            <w:tcW w:w="20" w:type="dxa"/>
            <w:vAlign w:val="bottom"/>
            <w:tcBorders>
              <w:top w:val="single" w:sz="8" w:color="CCEEFF"/>
            </w:tcBorders>
            <w:shd w:val="clear" w:color="auto" w:fill="CCEEFF"/>
          </w:tcPr>
          <w:p>
            <w:pPr>
              <w:spacing w:after="0"/>
              <w:rPr>
                <w:sz w:val="2"/>
                <w:szCs w:val="2"/>
                <w:color w:val="auto"/>
              </w:rPr>
            </w:pPr>
          </w:p>
        </w:tc>
        <w:tc>
          <w:tcPr>
            <w:tcW w:w="740" w:type="dxa"/>
            <w:vAlign w:val="bottom"/>
            <w:tcBorders>
              <w:top w:val="single" w:sz="8" w:color="0000FF"/>
            </w:tcBorders>
            <w:shd w:val="clear" w:color="auto" w:fill="CCEEFF"/>
          </w:tcPr>
          <w:p>
            <w:pPr>
              <w:spacing w:after="0"/>
              <w:rPr>
                <w:sz w:val="2"/>
                <w:szCs w:val="2"/>
                <w:color w:val="auto"/>
              </w:rPr>
            </w:pPr>
          </w:p>
        </w:tc>
        <w:tc>
          <w:tcPr>
            <w:tcW w:w="1260" w:type="dxa"/>
            <w:vAlign w:val="bottom"/>
            <w:tcBorders>
              <w:top w:val="single" w:sz="8" w:color="0000FF"/>
            </w:tcBorders>
            <w:shd w:val="clear" w:color="auto" w:fill="CCEEFF"/>
          </w:tcPr>
          <w:p>
            <w:pPr>
              <w:spacing w:after="0"/>
              <w:rPr>
                <w:sz w:val="2"/>
                <w:szCs w:val="2"/>
                <w:color w:val="auto"/>
              </w:rPr>
            </w:pPr>
          </w:p>
        </w:tc>
        <w:tc>
          <w:tcPr>
            <w:tcW w:w="740" w:type="dxa"/>
            <w:vAlign w:val="bottom"/>
            <w:tcBorders>
              <w:top w:val="single" w:sz="8" w:color="0000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5820" w:type="dxa"/>
            <w:vAlign w:val="bottom"/>
            <w:tcBorders>
              <w:top w:val="single" w:sz="8" w:color="CCEEFF"/>
            </w:tcBorders>
            <w:shd w:val="clear" w:color="auto" w:fill="CCEEFF"/>
          </w:tcPr>
          <w:p>
            <w:pPr>
              <w:spacing w:after="0"/>
              <w:rPr>
                <w:sz w:val="2"/>
                <w:szCs w:val="2"/>
                <w:color w:val="auto"/>
              </w:rPr>
            </w:pPr>
          </w:p>
        </w:tc>
        <w:tc>
          <w:tcPr>
            <w:tcW w:w="5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0000FF"/>
            </w:tcBorders>
            <w:shd w:val="clear" w:color="auto" w:fill="CCEEFF"/>
          </w:tcPr>
          <w:p>
            <w:pPr>
              <w:spacing w:after="0"/>
              <w:rPr>
                <w:sz w:val="2"/>
                <w:szCs w:val="2"/>
                <w:color w:val="auto"/>
              </w:rPr>
            </w:pPr>
          </w:p>
        </w:tc>
        <w:tc>
          <w:tcPr>
            <w:tcW w:w="580" w:type="dxa"/>
            <w:vAlign w:val="bottom"/>
            <w:tcBorders>
              <w:top w:val="single" w:sz="8" w:color="CCEEFF"/>
            </w:tcBorders>
            <w:shd w:val="clear" w:color="auto" w:fill="CCEEFF"/>
          </w:tcPr>
          <w:p>
            <w:pPr>
              <w:spacing w:after="0"/>
              <w:rPr>
                <w:sz w:val="2"/>
                <w:szCs w:val="2"/>
                <w:color w:val="auto"/>
              </w:rPr>
            </w:pPr>
          </w:p>
        </w:tc>
      </w:tr>
      <w:tr>
        <w:trPr>
          <w:trHeight w:val="172"/>
        </w:trPr>
        <w:tc>
          <w:tcPr>
            <w:tcW w:w="20" w:type="dxa"/>
            <w:vAlign w:val="bottom"/>
          </w:tcPr>
          <w:p>
            <w:pPr>
              <w:spacing w:after="0"/>
              <w:rPr>
                <w:sz w:val="14"/>
                <w:szCs w:val="14"/>
                <w:color w:val="auto"/>
              </w:rPr>
            </w:pPr>
          </w:p>
        </w:tc>
        <w:tc>
          <w:tcPr>
            <w:tcW w:w="9880" w:type="dxa"/>
            <w:vAlign w:val="bottom"/>
            <w:gridSpan w:val="8"/>
          </w:tcPr>
          <w:p>
            <w:pPr>
              <w:spacing w:after="0" w:line="172" w:lineRule="exact"/>
              <w:rPr>
                <w:sz w:val="20"/>
                <w:szCs w:val="20"/>
                <w:color w:val="auto"/>
              </w:rPr>
            </w:pPr>
            <w:r>
              <w:rPr>
                <w:rFonts w:ascii="Calibri" w:cs="Calibri" w:eastAsia="Calibri" w:hAnsi="Calibri"/>
                <w:sz w:val="18"/>
                <w:szCs w:val="18"/>
                <w:color w:val="0000FF"/>
              </w:rPr>
              <w:t>Consolidated Statements of Comprehensive Income</w:t>
            </w:r>
          </w:p>
        </w:tc>
        <w:tc>
          <w:tcPr>
            <w:tcW w:w="1320" w:type="dxa"/>
            <w:vAlign w:val="bottom"/>
            <w:gridSpan w:val="3"/>
          </w:tcPr>
          <w:p>
            <w:pPr>
              <w:jc w:val="center"/>
              <w:ind w:right="20"/>
              <w:spacing w:after="0" w:line="172" w:lineRule="exact"/>
              <w:rPr>
                <w:sz w:val="20"/>
                <w:szCs w:val="20"/>
                <w:color w:val="auto"/>
              </w:rPr>
            </w:pPr>
            <w:r>
              <w:rPr>
                <w:rFonts w:ascii="Calibri" w:cs="Calibri" w:eastAsia="Calibri" w:hAnsi="Calibri"/>
                <w:sz w:val="18"/>
                <w:szCs w:val="18"/>
                <w:color w:val="0000FF"/>
                <w:w w:val="98"/>
              </w:rPr>
              <w:t>52</w:t>
            </w:r>
          </w:p>
        </w:tc>
      </w:tr>
      <w:tr>
        <w:trPr>
          <w:trHeight w:val="33"/>
        </w:trPr>
        <w:tc>
          <w:tcPr>
            <w:tcW w:w="20" w:type="dxa"/>
            <w:vAlign w:val="bottom"/>
          </w:tcPr>
          <w:p>
            <w:pPr>
              <w:spacing w:after="0"/>
              <w:rPr>
                <w:sz w:val="2"/>
                <w:szCs w:val="2"/>
                <w:color w:val="auto"/>
              </w:rPr>
            </w:pPr>
          </w:p>
        </w:tc>
        <w:tc>
          <w:tcPr>
            <w:tcW w:w="740" w:type="dxa"/>
            <w:vAlign w:val="bottom"/>
            <w:tcBorders>
              <w:top w:val="single" w:sz="8" w:color="0000FF"/>
            </w:tcBorders>
          </w:tcPr>
          <w:p>
            <w:pPr>
              <w:spacing w:after="0"/>
              <w:rPr>
                <w:sz w:val="2"/>
                <w:szCs w:val="2"/>
                <w:color w:val="auto"/>
              </w:rPr>
            </w:pPr>
          </w:p>
        </w:tc>
        <w:tc>
          <w:tcPr>
            <w:tcW w:w="1260" w:type="dxa"/>
            <w:vAlign w:val="bottom"/>
            <w:tcBorders>
              <w:top w:val="single" w:sz="8" w:color="0000FF"/>
            </w:tcBorders>
          </w:tcPr>
          <w:p>
            <w:pPr>
              <w:spacing w:after="0"/>
              <w:rPr>
                <w:sz w:val="2"/>
                <w:szCs w:val="2"/>
                <w:color w:val="auto"/>
              </w:rPr>
            </w:pPr>
          </w:p>
        </w:tc>
        <w:tc>
          <w:tcPr>
            <w:tcW w:w="740" w:type="dxa"/>
            <w:vAlign w:val="bottom"/>
            <w:tcBorders>
              <w:top w:val="single" w:sz="8" w:color="0000FF"/>
            </w:tcBorders>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34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460" w:type="dxa"/>
            <w:vAlign w:val="bottom"/>
          </w:tcPr>
          <w:p>
            <w:pPr>
              <w:spacing w:after="0"/>
              <w:rPr>
                <w:sz w:val="2"/>
                <w:szCs w:val="2"/>
                <w:color w:val="auto"/>
              </w:rPr>
            </w:pPr>
          </w:p>
        </w:tc>
        <w:tc>
          <w:tcPr>
            <w:tcW w:w="58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580" w:type="dxa"/>
            <w:vAlign w:val="bottom"/>
          </w:tcPr>
          <w:p>
            <w:pPr>
              <w:spacing w:after="0"/>
              <w:rPr>
                <w:sz w:val="2"/>
                <w:szCs w:val="2"/>
                <w:color w:val="auto"/>
              </w:rPr>
            </w:pPr>
          </w:p>
        </w:tc>
      </w:tr>
      <w:tr>
        <w:trPr>
          <w:trHeight w:val="172"/>
        </w:trPr>
        <w:tc>
          <w:tcPr>
            <w:tcW w:w="20" w:type="dxa"/>
            <w:vAlign w:val="bottom"/>
            <w:shd w:val="clear" w:color="auto" w:fill="CCEEFF"/>
          </w:tcPr>
          <w:p>
            <w:pPr>
              <w:spacing w:after="0"/>
              <w:rPr>
                <w:sz w:val="14"/>
                <w:szCs w:val="14"/>
                <w:color w:val="auto"/>
              </w:rPr>
            </w:pPr>
          </w:p>
        </w:tc>
        <w:tc>
          <w:tcPr>
            <w:tcW w:w="2740" w:type="dxa"/>
            <w:vAlign w:val="bottom"/>
            <w:gridSpan w:val="3"/>
            <w:shd w:val="clear" w:color="auto" w:fill="CCEEFF"/>
          </w:tcPr>
          <w:p>
            <w:pPr>
              <w:spacing w:after="0" w:line="172" w:lineRule="exact"/>
              <w:rPr>
                <w:sz w:val="20"/>
                <w:szCs w:val="20"/>
                <w:color w:val="auto"/>
              </w:rPr>
            </w:pPr>
            <w:r>
              <w:rPr>
                <w:rFonts w:ascii="Calibri" w:cs="Calibri" w:eastAsia="Calibri" w:hAnsi="Calibri"/>
                <w:sz w:val="18"/>
                <w:szCs w:val="18"/>
                <w:color w:val="0000FF"/>
                <w:w w:val="94"/>
              </w:rPr>
              <w:t>Consolidated Statements of Cash Flows</w:t>
            </w:r>
          </w:p>
        </w:tc>
        <w:tc>
          <w:tcPr>
            <w:tcW w:w="7140" w:type="dxa"/>
            <w:vAlign w:val="bottom"/>
            <w:gridSpan w:val="5"/>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center"/>
              <w:ind w:right="580"/>
              <w:spacing w:after="0" w:line="172" w:lineRule="exact"/>
              <w:rPr>
                <w:sz w:val="20"/>
                <w:szCs w:val="20"/>
                <w:color w:val="auto"/>
              </w:rPr>
            </w:pPr>
            <w:r>
              <w:rPr>
                <w:rFonts w:ascii="Calibri" w:cs="Calibri" w:eastAsia="Calibri" w:hAnsi="Calibri"/>
                <w:sz w:val="18"/>
                <w:szCs w:val="18"/>
                <w:color w:val="0000FF"/>
                <w:w w:val="98"/>
              </w:rPr>
              <w:t>53</w:t>
            </w:r>
          </w:p>
        </w:tc>
      </w:tr>
      <w:tr>
        <w:trPr>
          <w:trHeight w:val="33"/>
        </w:trPr>
        <w:tc>
          <w:tcPr>
            <w:tcW w:w="20" w:type="dxa"/>
            <w:vAlign w:val="bottom"/>
            <w:tcBorders>
              <w:top w:val="single" w:sz="8" w:color="CCEEFF"/>
            </w:tcBorders>
            <w:shd w:val="clear" w:color="auto" w:fill="CCEEFF"/>
          </w:tcPr>
          <w:p>
            <w:pPr>
              <w:spacing w:after="0"/>
              <w:rPr>
                <w:sz w:val="2"/>
                <w:szCs w:val="2"/>
                <w:color w:val="auto"/>
              </w:rPr>
            </w:pPr>
          </w:p>
        </w:tc>
        <w:tc>
          <w:tcPr>
            <w:tcW w:w="740" w:type="dxa"/>
            <w:vAlign w:val="bottom"/>
            <w:tcBorders>
              <w:top w:val="single" w:sz="8" w:color="0000FF"/>
            </w:tcBorders>
            <w:shd w:val="clear" w:color="auto" w:fill="CCEEFF"/>
          </w:tcPr>
          <w:p>
            <w:pPr>
              <w:spacing w:after="0"/>
              <w:rPr>
                <w:sz w:val="2"/>
                <w:szCs w:val="2"/>
                <w:color w:val="auto"/>
              </w:rPr>
            </w:pPr>
          </w:p>
        </w:tc>
        <w:tc>
          <w:tcPr>
            <w:tcW w:w="1260" w:type="dxa"/>
            <w:vAlign w:val="bottom"/>
            <w:tcBorders>
              <w:top w:val="single" w:sz="8" w:color="0000FF"/>
            </w:tcBorders>
            <w:shd w:val="clear" w:color="auto" w:fill="CCEEFF"/>
          </w:tcPr>
          <w:p>
            <w:pPr>
              <w:spacing w:after="0"/>
              <w:rPr>
                <w:sz w:val="2"/>
                <w:szCs w:val="2"/>
                <w:color w:val="auto"/>
              </w:rPr>
            </w:pPr>
          </w:p>
        </w:tc>
        <w:tc>
          <w:tcPr>
            <w:tcW w:w="740" w:type="dxa"/>
            <w:vAlign w:val="bottom"/>
            <w:tcBorders>
              <w:top w:val="single" w:sz="8" w:color="0000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5820" w:type="dxa"/>
            <w:vAlign w:val="bottom"/>
            <w:tcBorders>
              <w:top w:val="single" w:sz="8" w:color="CCEEFF"/>
            </w:tcBorders>
            <w:shd w:val="clear" w:color="auto" w:fill="CCEEFF"/>
          </w:tcPr>
          <w:p>
            <w:pPr>
              <w:spacing w:after="0"/>
              <w:rPr>
                <w:sz w:val="2"/>
                <w:szCs w:val="2"/>
                <w:color w:val="auto"/>
              </w:rPr>
            </w:pPr>
          </w:p>
        </w:tc>
        <w:tc>
          <w:tcPr>
            <w:tcW w:w="5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0000FF"/>
            </w:tcBorders>
            <w:shd w:val="clear" w:color="auto" w:fill="CCEEFF"/>
          </w:tcPr>
          <w:p>
            <w:pPr>
              <w:spacing w:after="0"/>
              <w:rPr>
                <w:sz w:val="2"/>
                <w:szCs w:val="2"/>
                <w:color w:val="auto"/>
              </w:rPr>
            </w:pPr>
          </w:p>
        </w:tc>
        <w:tc>
          <w:tcPr>
            <w:tcW w:w="580" w:type="dxa"/>
            <w:vAlign w:val="bottom"/>
            <w:tcBorders>
              <w:top w:val="single" w:sz="8" w:color="CCEEFF"/>
            </w:tcBorders>
            <w:shd w:val="clear" w:color="auto" w:fill="CCEEFF"/>
          </w:tcPr>
          <w:p>
            <w:pPr>
              <w:spacing w:after="0"/>
              <w:rPr>
                <w:sz w:val="2"/>
                <w:szCs w:val="2"/>
                <w:color w:val="auto"/>
              </w:rPr>
            </w:pPr>
          </w:p>
        </w:tc>
      </w:tr>
      <w:tr>
        <w:trPr>
          <w:trHeight w:val="172"/>
        </w:trPr>
        <w:tc>
          <w:tcPr>
            <w:tcW w:w="20" w:type="dxa"/>
            <w:vAlign w:val="bottom"/>
          </w:tcPr>
          <w:p>
            <w:pPr>
              <w:spacing w:after="0"/>
              <w:rPr>
                <w:sz w:val="14"/>
                <w:szCs w:val="14"/>
                <w:color w:val="auto"/>
              </w:rPr>
            </w:pPr>
          </w:p>
        </w:tc>
        <w:tc>
          <w:tcPr>
            <w:tcW w:w="9880" w:type="dxa"/>
            <w:vAlign w:val="bottom"/>
            <w:gridSpan w:val="8"/>
          </w:tcPr>
          <w:p>
            <w:pPr>
              <w:spacing w:after="0" w:line="172" w:lineRule="exact"/>
              <w:rPr>
                <w:sz w:val="20"/>
                <w:szCs w:val="20"/>
                <w:color w:val="auto"/>
              </w:rPr>
            </w:pPr>
            <w:r>
              <w:rPr>
                <w:rFonts w:ascii="Calibri" w:cs="Calibri" w:eastAsia="Calibri" w:hAnsi="Calibri"/>
                <w:sz w:val="18"/>
                <w:szCs w:val="18"/>
                <w:color w:val="0000FF"/>
              </w:rPr>
              <w:t>Consolidated Statements of Stockholders’ Equity</w:t>
            </w:r>
          </w:p>
        </w:tc>
        <w:tc>
          <w:tcPr>
            <w:tcW w:w="1320" w:type="dxa"/>
            <w:vAlign w:val="bottom"/>
            <w:gridSpan w:val="3"/>
          </w:tcPr>
          <w:p>
            <w:pPr>
              <w:jc w:val="center"/>
              <w:ind w:right="20"/>
              <w:spacing w:after="0" w:line="172" w:lineRule="exact"/>
              <w:rPr>
                <w:sz w:val="20"/>
                <w:szCs w:val="20"/>
                <w:color w:val="auto"/>
              </w:rPr>
            </w:pPr>
            <w:r>
              <w:rPr>
                <w:rFonts w:ascii="Calibri" w:cs="Calibri" w:eastAsia="Calibri" w:hAnsi="Calibri"/>
                <w:sz w:val="18"/>
                <w:szCs w:val="18"/>
                <w:color w:val="0000FF"/>
                <w:w w:val="98"/>
              </w:rPr>
              <w:t>54</w:t>
            </w:r>
          </w:p>
        </w:tc>
      </w:tr>
      <w:tr>
        <w:trPr>
          <w:trHeight w:val="33"/>
        </w:trPr>
        <w:tc>
          <w:tcPr>
            <w:tcW w:w="20" w:type="dxa"/>
            <w:vAlign w:val="bottom"/>
          </w:tcPr>
          <w:p>
            <w:pPr>
              <w:spacing w:after="0"/>
              <w:rPr>
                <w:sz w:val="2"/>
                <w:szCs w:val="2"/>
                <w:color w:val="auto"/>
              </w:rPr>
            </w:pPr>
          </w:p>
        </w:tc>
        <w:tc>
          <w:tcPr>
            <w:tcW w:w="740" w:type="dxa"/>
            <w:vAlign w:val="bottom"/>
            <w:tcBorders>
              <w:top w:val="single" w:sz="8" w:color="0000FF"/>
            </w:tcBorders>
          </w:tcPr>
          <w:p>
            <w:pPr>
              <w:spacing w:after="0"/>
              <w:rPr>
                <w:sz w:val="2"/>
                <w:szCs w:val="2"/>
                <w:color w:val="auto"/>
              </w:rPr>
            </w:pPr>
          </w:p>
        </w:tc>
        <w:tc>
          <w:tcPr>
            <w:tcW w:w="1260" w:type="dxa"/>
            <w:vAlign w:val="bottom"/>
            <w:tcBorders>
              <w:top w:val="single" w:sz="8" w:color="0000FF"/>
            </w:tcBorders>
          </w:tcPr>
          <w:p>
            <w:pPr>
              <w:spacing w:after="0"/>
              <w:rPr>
                <w:sz w:val="2"/>
                <w:szCs w:val="2"/>
                <w:color w:val="auto"/>
              </w:rPr>
            </w:pPr>
          </w:p>
        </w:tc>
        <w:tc>
          <w:tcPr>
            <w:tcW w:w="740" w:type="dxa"/>
            <w:vAlign w:val="bottom"/>
            <w:tcBorders>
              <w:top w:val="single" w:sz="8" w:color="0000FF"/>
            </w:tcBorders>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340" w:type="dxa"/>
            <w:vAlign w:val="bottom"/>
            <w:tcBorders>
              <w:top w:val="single" w:sz="8" w:color="0000FF"/>
            </w:tcBorders>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58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580" w:type="dxa"/>
            <w:vAlign w:val="bottom"/>
          </w:tcPr>
          <w:p>
            <w:pPr>
              <w:spacing w:after="0"/>
              <w:rPr>
                <w:sz w:val="2"/>
                <w:szCs w:val="2"/>
                <w:color w:val="auto"/>
              </w:rPr>
            </w:pPr>
          </w:p>
        </w:tc>
      </w:tr>
      <w:tr>
        <w:trPr>
          <w:trHeight w:val="172"/>
        </w:trPr>
        <w:tc>
          <w:tcPr>
            <w:tcW w:w="20" w:type="dxa"/>
            <w:vAlign w:val="bottom"/>
            <w:shd w:val="clear" w:color="auto" w:fill="CCEEFF"/>
          </w:tcPr>
          <w:p>
            <w:pPr>
              <w:spacing w:after="0"/>
              <w:rPr>
                <w:sz w:val="14"/>
                <w:szCs w:val="14"/>
                <w:color w:val="auto"/>
              </w:rPr>
            </w:pPr>
          </w:p>
        </w:tc>
        <w:tc>
          <w:tcPr>
            <w:tcW w:w="9880" w:type="dxa"/>
            <w:vAlign w:val="bottom"/>
            <w:gridSpan w:val="8"/>
            <w:shd w:val="clear" w:color="auto" w:fill="CCEEFF"/>
          </w:tcPr>
          <w:p>
            <w:pPr>
              <w:spacing w:after="0" w:line="172" w:lineRule="exact"/>
              <w:rPr>
                <w:sz w:val="20"/>
                <w:szCs w:val="20"/>
                <w:color w:val="auto"/>
              </w:rPr>
            </w:pPr>
            <w:r>
              <w:rPr>
                <w:rFonts w:ascii="Calibri" w:cs="Calibri" w:eastAsia="Calibri" w:hAnsi="Calibri"/>
                <w:sz w:val="18"/>
                <w:szCs w:val="18"/>
                <w:color w:val="0000FF"/>
              </w:rPr>
              <w:t>Notes to Consolidated Financial Statements</w:t>
            </w:r>
          </w:p>
        </w:tc>
        <w:tc>
          <w:tcPr>
            <w:tcW w:w="1320" w:type="dxa"/>
            <w:vAlign w:val="bottom"/>
            <w:gridSpan w:val="3"/>
            <w:shd w:val="clear" w:color="auto" w:fill="CCEEFF"/>
          </w:tcPr>
          <w:p>
            <w:pPr>
              <w:jc w:val="center"/>
              <w:ind w:right="20"/>
              <w:spacing w:after="0" w:line="172" w:lineRule="exact"/>
              <w:rPr>
                <w:sz w:val="20"/>
                <w:szCs w:val="20"/>
                <w:color w:val="auto"/>
              </w:rPr>
            </w:pPr>
            <w:r>
              <w:rPr>
                <w:rFonts w:ascii="Calibri" w:cs="Calibri" w:eastAsia="Calibri" w:hAnsi="Calibri"/>
                <w:sz w:val="18"/>
                <w:szCs w:val="18"/>
                <w:color w:val="0000FF"/>
                <w:w w:val="98"/>
              </w:rPr>
              <w:t>55</w:t>
            </w:r>
          </w:p>
        </w:tc>
      </w:tr>
      <w:tr>
        <w:trPr>
          <w:trHeight w:val="33"/>
        </w:trPr>
        <w:tc>
          <w:tcPr>
            <w:tcW w:w="20" w:type="dxa"/>
            <w:vAlign w:val="bottom"/>
            <w:tcBorders>
              <w:top w:val="single" w:sz="8" w:color="CCEEFF"/>
            </w:tcBorders>
            <w:shd w:val="clear" w:color="auto" w:fill="CCEEFF"/>
          </w:tcPr>
          <w:p>
            <w:pPr>
              <w:spacing w:after="0"/>
              <w:rPr>
                <w:sz w:val="2"/>
                <w:szCs w:val="2"/>
                <w:color w:val="auto"/>
              </w:rPr>
            </w:pPr>
          </w:p>
        </w:tc>
        <w:tc>
          <w:tcPr>
            <w:tcW w:w="740" w:type="dxa"/>
            <w:vAlign w:val="bottom"/>
            <w:tcBorders>
              <w:top w:val="single" w:sz="8" w:color="0000FF"/>
            </w:tcBorders>
            <w:shd w:val="clear" w:color="auto" w:fill="CCEEFF"/>
          </w:tcPr>
          <w:p>
            <w:pPr>
              <w:spacing w:after="0"/>
              <w:rPr>
                <w:sz w:val="2"/>
                <w:szCs w:val="2"/>
                <w:color w:val="auto"/>
              </w:rPr>
            </w:pPr>
          </w:p>
        </w:tc>
        <w:tc>
          <w:tcPr>
            <w:tcW w:w="1260" w:type="dxa"/>
            <w:vAlign w:val="bottom"/>
            <w:tcBorders>
              <w:top w:val="single" w:sz="8" w:color="0000FF"/>
            </w:tcBorders>
            <w:shd w:val="clear" w:color="auto" w:fill="CCEEFF"/>
          </w:tcPr>
          <w:p>
            <w:pPr>
              <w:spacing w:after="0"/>
              <w:rPr>
                <w:sz w:val="2"/>
                <w:szCs w:val="2"/>
                <w:color w:val="auto"/>
              </w:rPr>
            </w:pPr>
          </w:p>
        </w:tc>
        <w:tc>
          <w:tcPr>
            <w:tcW w:w="740" w:type="dxa"/>
            <w:vAlign w:val="bottom"/>
            <w:tcBorders>
              <w:top w:val="single" w:sz="8" w:color="0000FF"/>
            </w:tcBorders>
            <w:shd w:val="clear" w:color="auto" w:fill="CCEEFF"/>
          </w:tcPr>
          <w:p>
            <w:pPr>
              <w:spacing w:after="0"/>
              <w:rPr>
                <w:sz w:val="2"/>
                <w:szCs w:val="2"/>
                <w:color w:val="auto"/>
              </w:rPr>
            </w:pPr>
          </w:p>
        </w:tc>
        <w:tc>
          <w:tcPr>
            <w:tcW w:w="300" w:type="dxa"/>
            <w:vAlign w:val="bottom"/>
            <w:tcBorders>
              <w:top w:val="single" w:sz="8" w:color="0000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5820" w:type="dxa"/>
            <w:vAlign w:val="bottom"/>
            <w:tcBorders>
              <w:top w:val="single" w:sz="8" w:color="CCEEFF"/>
            </w:tcBorders>
            <w:shd w:val="clear" w:color="auto" w:fill="CCEEFF"/>
          </w:tcPr>
          <w:p>
            <w:pPr>
              <w:spacing w:after="0"/>
              <w:rPr>
                <w:sz w:val="2"/>
                <w:szCs w:val="2"/>
                <w:color w:val="auto"/>
              </w:rPr>
            </w:pPr>
          </w:p>
        </w:tc>
        <w:tc>
          <w:tcPr>
            <w:tcW w:w="5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0000FF"/>
            </w:tcBorders>
            <w:shd w:val="clear" w:color="auto" w:fill="CCEEFF"/>
          </w:tcPr>
          <w:p>
            <w:pPr>
              <w:spacing w:after="0"/>
              <w:rPr>
                <w:sz w:val="2"/>
                <w:szCs w:val="2"/>
                <w:color w:val="auto"/>
              </w:rPr>
            </w:pPr>
          </w:p>
        </w:tc>
        <w:tc>
          <w:tcPr>
            <w:tcW w:w="580" w:type="dxa"/>
            <w:vAlign w:val="bottom"/>
            <w:tcBorders>
              <w:top w:val="single" w:sz="8" w:color="CCEEFF"/>
            </w:tcBorders>
            <w:shd w:val="clear" w:color="auto" w:fill="CCEEFF"/>
          </w:tcPr>
          <w:p>
            <w:pPr>
              <w:spacing w:after="0"/>
              <w:rPr>
                <w:sz w:val="2"/>
                <w:szCs w:val="2"/>
                <w:color w:val="auto"/>
              </w:rPr>
            </w:pPr>
          </w:p>
        </w:tc>
      </w:tr>
    </w:tbl>
    <w:p>
      <w:pPr>
        <w:spacing w:after="0" w:line="62" w:lineRule="exact"/>
        <w:rPr>
          <w:sz w:val="20"/>
          <w:szCs w:val="20"/>
          <w:color w:val="auto"/>
        </w:rPr>
      </w:pPr>
    </w:p>
    <w:p>
      <w:pPr>
        <w:ind w:left="880"/>
        <w:spacing w:after="0"/>
        <w:rPr>
          <w:sz w:val="20"/>
          <w:szCs w:val="20"/>
          <w:color w:val="auto"/>
        </w:rPr>
      </w:pPr>
      <w:r>
        <w:rPr>
          <w:rFonts w:ascii="Calibri" w:cs="Calibri" w:eastAsia="Calibri" w:hAnsi="Calibri"/>
          <w:sz w:val="18"/>
          <w:szCs w:val="18"/>
          <w:color w:val="auto"/>
        </w:rPr>
        <w:t>2. Financial Statement Schedules</w:t>
      </w:r>
    </w:p>
    <w:p>
      <w:pPr>
        <w:spacing w:after="0" w:line="107" w:lineRule="exact"/>
        <w:rPr>
          <w:sz w:val="20"/>
          <w:szCs w:val="20"/>
          <w:color w:val="auto"/>
        </w:rPr>
      </w:pPr>
    </w:p>
    <w:p>
      <w:pPr>
        <w:ind w:right="260" w:firstLine="396"/>
        <w:spacing w:after="0" w:line="230" w:lineRule="auto"/>
        <w:rPr>
          <w:sz w:val="20"/>
          <w:szCs w:val="20"/>
          <w:color w:val="auto"/>
        </w:rPr>
      </w:pPr>
      <w:r>
        <w:rPr>
          <w:rFonts w:ascii="Calibri" w:cs="Calibri" w:eastAsia="Calibri" w:hAnsi="Calibri"/>
          <w:sz w:val="18"/>
          <w:szCs w:val="18"/>
          <w:color w:val="auto"/>
        </w:rPr>
        <w:t>The fnancial statement schedule of the Registrant and its subsidiaries for fscal years 2023, 2022 and 2021 required by Item 15(a) (Schedule II, Valuaton and Qualifying Accounts) is included in Item 8 of this Annual Report on Form 10-K:</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6560" w:type="dxa"/>
            <w:vAlign w:val="bottom"/>
          </w:tcPr>
          <w:p>
            <w:pPr>
              <w:spacing w:after="0"/>
              <w:rPr>
                <w:sz w:val="14"/>
                <w:szCs w:val="14"/>
                <w:color w:val="auto"/>
              </w:rPr>
            </w:pPr>
          </w:p>
        </w:tc>
        <w:tc>
          <w:tcPr>
            <w:tcW w:w="1320" w:type="dxa"/>
            <w:vAlign w:val="bottom"/>
            <w:gridSpan w:val="3"/>
          </w:tcPr>
          <w:p>
            <w:pPr>
              <w:jc w:val="center"/>
              <w:spacing w:after="0"/>
              <w:rPr>
                <w:sz w:val="20"/>
                <w:szCs w:val="20"/>
                <w:color w:val="auto"/>
              </w:rPr>
            </w:pPr>
            <w:r>
              <w:rPr>
                <w:rFonts w:ascii="Calibri" w:cs="Calibri" w:eastAsia="Calibri" w:hAnsi="Calibri"/>
                <w:sz w:val="14"/>
                <w:szCs w:val="14"/>
                <w:b w:val="1"/>
                <w:bCs w:val="1"/>
                <w:color w:val="auto"/>
                <w:w w:val="99"/>
              </w:rPr>
              <w:t>Page</w:t>
            </w:r>
          </w:p>
        </w:tc>
      </w:tr>
      <w:tr>
        <w:trPr>
          <w:trHeight w:val="45"/>
        </w:trPr>
        <w:tc>
          <w:tcPr>
            <w:tcW w:w="20" w:type="dxa"/>
            <w:vAlign w:val="bottom"/>
            <w:tcBorders>
              <w:bottom w:val="single" w:sz="8" w:color="CCEEFF"/>
            </w:tcBorders>
          </w:tcPr>
          <w:p>
            <w:pPr>
              <w:spacing w:after="0"/>
              <w:rPr>
                <w:sz w:val="3"/>
                <w:szCs w:val="3"/>
                <w:color w:val="auto"/>
              </w:rPr>
            </w:pPr>
          </w:p>
        </w:tc>
        <w:tc>
          <w:tcPr>
            <w:tcW w:w="3280" w:type="dxa"/>
            <w:vAlign w:val="bottom"/>
            <w:tcBorders>
              <w:bottom w:val="single" w:sz="8" w:color="CCEEFF"/>
            </w:tcBorders>
          </w:tcPr>
          <w:p>
            <w:pPr>
              <w:spacing w:after="0"/>
              <w:rPr>
                <w:sz w:val="3"/>
                <w:szCs w:val="3"/>
                <w:color w:val="auto"/>
              </w:rPr>
            </w:pPr>
          </w:p>
        </w:tc>
        <w:tc>
          <w:tcPr>
            <w:tcW w:w="6560" w:type="dxa"/>
            <w:vAlign w:val="bottom"/>
            <w:tcBorders>
              <w:bottom w:val="single" w:sz="8" w:color="CCEEFF"/>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r>
      <w:tr>
        <w:trPr>
          <w:trHeight w:val="165"/>
        </w:trPr>
        <w:tc>
          <w:tcPr>
            <w:tcW w:w="20" w:type="dxa"/>
            <w:vAlign w:val="bottom"/>
            <w:shd w:val="clear" w:color="auto" w:fill="CCEEFF"/>
          </w:tcPr>
          <w:p>
            <w:pPr>
              <w:spacing w:after="0"/>
              <w:rPr>
                <w:sz w:val="14"/>
                <w:szCs w:val="14"/>
                <w:color w:val="auto"/>
              </w:rPr>
            </w:pPr>
          </w:p>
        </w:tc>
        <w:tc>
          <w:tcPr>
            <w:tcW w:w="9840" w:type="dxa"/>
            <w:vAlign w:val="bottom"/>
            <w:gridSpan w:val="2"/>
            <w:shd w:val="clear" w:color="auto" w:fill="CCEEFF"/>
          </w:tcPr>
          <w:p>
            <w:pPr>
              <w:spacing w:after="0" w:line="165" w:lineRule="exact"/>
              <w:rPr>
                <w:sz w:val="20"/>
                <w:szCs w:val="20"/>
                <w:color w:val="auto"/>
              </w:rPr>
            </w:pPr>
            <w:r>
              <w:rPr>
                <w:rFonts w:ascii="Calibri" w:cs="Calibri" w:eastAsia="Calibri" w:hAnsi="Calibri"/>
                <w:sz w:val="18"/>
                <w:szCs w:val="18"/>
                <w:color w:val="0000FF"/>
              </w:rPr>
              <w:t>Schedule II - Valuaton and Qualifying Accounts</w:t>
            </w:r>
          </w:p>
        </w:tc>
        <w:tc>
          <w:tcPr>
            <w:tcW w:w="1320" w:type="dxa"/>
            <w:vAlign w:val="bottom"/>
            <w:gridSpan w:val="3"/>
            <w:shd w:val="clear" w:color="auto" w:fill="CCEEFF"/>
          </w:tcPr>
          <w:p>
            <w:pPr>
              <w:jc w:val="right"/>
              <w:ind w:right="580"/>
              <w:spacing w:after="0" w:line="165" w:lineRule="exact"/>
              <w:rPr>
                <w:sz w:val="20"/>
                <w:szCs w:val="20"/>
                <w:color w:val="auto"/>
              </w:rPr>
            </w:pPr>
            <w:r>
              <w:rPr>
                <w:rFonts w:ascii="Calibri" w:cs="Calibri" w:eastAsia="Calibri" w:hAnsi="Calibri"/>
                <w:sz w:val="18"/>
                <w:szCs w:val="18"/>
                <w:color w:val="0000FF"/>
              </w:rPr>
              <w:t>88</w:t>
            </w:r>
          </w:p>
        </w:tc>
      </w:tr>
      <w:tr>
        <w:trPr>
          <w:trHeight w:val="33"/>
        </w:trPr>
        <w:tc>
          <w:tcPr>
            <w:tcW w:w="20" w:type="dxa"/>
            <w:vAlign w:val="bottom"/>
            <w:tcBorders>
              <w:top w:val="single" w:sz="8" w:color="CCEEFF"/>
            </w:tcBorders>
            <w:shd w:val="clear" w:color="auto" w:fill="CCEEFF"/>
          </w:tcPr>
          <w:p>
            <w:pPr>
              <w:spacing w:after="0"/>
              <w:rPr>
                <w:sz w:val="2"/>
                <w:szCs w:val="2"/>
                <w:color w:val="auto"/>
              </w:rPr>
            </w:pPr>
          </w:p>
        </w:tc>
        <w:tc>
          <w:tcPr>
            <w:tcW w:w="3280" w:type="dxa"/>
            <w:vAlign w:val="bottom"/>
            <w:tcBorders>
              <w:top w:val="single" w:sz="8" w:color="0000FF"/>
            </w:tcBorders>
            <w:shd w:val="clear" w:color="auto" w:fill="CCEEFF"/>
          </w:tcPr>
          <w:p>
            <w:pPr>
              <w:spacing w:after="0"/>
              <w:rPr>
                <w:sz w:val="2"/>
                <w:szCs w:val="2"/>
                <w:color w:val="auto"/>
              </w:rPr>
            </w:pPr>
          </w:p>
        </w:tc>
        <w:tc>
          <w:tcPr>
            <w:tcW w:w="6560" w:type="dxa"/>
            <w:vAlign w:val="bottom"/>
            <w:tcBorders>
              <w:top w:val="single" w:sz="8" w:color="CCEEFF"/>
            </w:tcBorders>
            <w:shd w:val="clear" w:color="auto" w:fill="CCEEFF"/>
          </w:tcPr>
          <w:p>
            <w:pPr>
              <w:spacing w:after="0"/>
              <w:rPr>
                <w:sz w:val="2"/>
                <w:szCs w:val="2"/>
                <w:color w:val="auto"/>
              </w:rPr>
            </w:pPr>
          </w:p>
        </w:tc>
        <w:tc>
          <w:tcPr>
            <w:tcW w:w="5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0000FF"/>
            </w:tcBorders>
            <w:shd w:val="clear" w:color="auto" w:fill="CCEEFF"/>
          </w:tcPr>
          <w:p>
            <w:pPr>
              <w:spacing w:after="0"/>
              <w:rPr>
                <w:sz w:val="2"/>
                <w:szCs w:val="2"/>
                <w:color w:val="auto"/>
              </w:rPr>
            </w:pPr>
          </w:p>
        </w:tc>
        <w:tc>
          <w:tcPr>
            <w:tcW w:w="580" w:type="dxa"/>
            <w:vAlign w:val="bottom"/>
            <w:tcBorders>
              <w:top w:val="single" w:sz="8" w:color="CCEEFF"/>
            </w:tcBorders>
            <w:shd w:val="clear" w:color="auto" w:fill="CCEEFF"/>
          </w:tcPr>
          <w:p>
            <w:pPr>
              <w:spacing w:after="0"/>
              <w:rPr>
                <w:sz w:val="2"/>
                <w:szCs w:val="2"/>
                <w:color w:val="auto"/>
              </w:rPr>
            </w:pPr>
          </w:p>
        </w:tc>
      </w:tr>
    </w:tbl>
    <w:p>
      <w:pPr>
        <w:spacing w:after="0" w:line="164" w:lineRule="exact"/>
        <w:rPr>
          <w:sz w:val="20"/>
          <w:szCs w:val="20"/>
          <w:color w:val="auto"/>
        </w:rPr>
      </w:pPr>
    </w:p>
    <w:p>
      <w:pPr>
        <w:ind w:right="220" w:firstLine="396"/>
        <w:spacing w:after="0" w:line="230" w:lineRule="auto"/>
        <w:rPr>
          <w:sz w:val="20"/>
          <w:szCs w:val="20"/>
          <w:color w:val="auto"/>
        </w:rPr>
      </w:pPr>
      <w:r>
        <w:rPr>
          <w:rFonts w:ascii="Calibri" w:cs="Calibri" w:eastAsia="Calibri" w:hAnsi="Calibri"/>
          <w:sz w:val="18"/>
          <w:szCs w:val="18"/>
          <w:color w:val="auto"/>
        </w:rPr>
        <w:t>Schedules not fled have been omited because they are not applicable, are not required or the informaton required to be set forth therein is included in the fnancial statements or notes thereto.</w:t>
      </w:r>
    </w:p>
    <w:p>
      <w:pPr>
        <w:spacing w:after="0" w:line="97" w:lineRule="exact"/>
        <w:rPr>
          <w:sz w:val="20"/>
          <w:szCs w:val="20"/>
          <w:color w:val="auto"/>
        </w:rPr>
      </w:pPr>
    </w:p>
    <w:p>
      <w:pPr>
        <w:ind w:left="880"/>
        <w:spacing w:after="0"/>
        <w:rPr>
          <w:sz w:val="20"/>
          <w:szCs w:val="20"/>
          <w:color w:val="auto"/>
        </w:rPr>
      </w:pPr>
      <w:r>
        <w:rPr>
          <w:rFonts w:ascii="Calibri" w:cs="Calibri" w:eastAsia="Calibri" w:hAnsi="Calibri"/>
          <w:sz w:val="18"/>
          <w:szCs w:val="18"/>
          <w:color w:val="auto"/>
        </w:rPr>
        <w:t>3. Exhibits</w:t>
      </w:r>
    </w:p>
    <w:p>
      <w:pPr>
        <w:spacing w:after="0" w:line="97" w:lineRule="exact"/>
        <w:rPr>
          <w:sz w:val="20"/>
          <w:szCs w:val="20"/>
          <w:color w:val="auto"/>
        </w:rPr>
      </w:pPr>
    </w:p>
    <w:p>
      <w:pPr>
        <w:ind w:left="400"/>
        <w:spacing w:after="0"/>
        <w:rPr>
          <w:sz w:val="20"/>
          <w:szCs w:val="20"/>
          <w:color w:val="auto"/>
        </w:rPr>
      </w:pPr>
      <w:r>
        <w:rPr>
          <w:rFonts w:ascii="Calibri" w:cs="Calibri" w:eastAsia="Calibri" w:hAnsi="Calibri"/>
          <w:sz w:val="18"/>
          <w:szCs w:val="18"/>
          <w:color w:val="auto"/>
        </w:rPr>
        <w:t>The documents set forth below are fled herewith or incorporated by reference to the locaton indicated.</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gridSpan w:val="3"/>
          </w:tcPr>
          <w:p>
            <w:pPr>
              <w:spacing w:after="0"/>
              <w:rPr>
                <w:sz w:val="20"/>
                <w:szCs w:val="20"/>
                <w:color w:val="auto"/>
              </w:rPr>
            </w:pPr>
            <w:r>
              <w:rPr>
                <w:rFonts w:ascii="Calibri" w:cs="Calibri" w:eastAsia="Calibri" w:hAnsi="Calibri"/>
                <w:sz w:val="14"/>
                <w:szCs w:val="14"/>
                <w:color w:val="auto"/>
                <w:w w:val="99"/>
              </w:rPr>
              <w:t>Incorporated by Reference</w:t>
            </w: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1160" w:type="dxa"/>
            <w:vAlign w:val="bottom"/>
            <w:gridSpan w:val="2"/>
            <w:vMerge w:val="restart"/>
          </w:tcPr>
          <w:p>
            <w:pPr>
              <w:jc w:val="center"/>
              <w:ind w:right="300"/>
              <w:spacing w:after="0"/>
              <w:rPr>
                <w:sz w:val="20"/>
                <w:szCs w:val="20"/>
                <w:color w:val="auto"/>
              </w:rPr>
            </w:pPr>
            <w:r>
              <w:rPr>
                <w:rFonts w:ascii="Calibri" w:cs="Calibri" w:eastAsia="Calibri" w:hAnsi="Calibri"/>
                <w:sz w:val="14"/>
                <w:szCs w:val="14"/>
                <w:color w:val="auto"/>
                <w:w w:val="98"/>
              </w:rPr>
              <w:t>Exhibit</w:t>
            </w:r>
          </w:p>
        </w:tc>
        <w:tc>
          <w:tcPr>
            <w:tcW w:w="20" w:type="dxa"/>
            <w:vAlign w:val="bottom"/>
          </w:tcPr>
          <w:p>
            <w:pPr>
              <w:spacing w:after="0"/>
              <w:rPr>
                <w:sz w:val="3"/>
                <w:szCs w:val="3"/>
                <w:color w:val="auto"/>
              </w:rPr>
            </w:pPr>
          </w:p>
        </w:tc>
        <w:tc>
          <w:tcPr>
            <w:tcW w:w="98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9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780" w:type="dxa"/>
            <w:vAlign w:val="bottom"/>
            <w:vMerge w:val="restart"/>
          </w:tcPr>
          <w:p>
            <w:pPr>
              <w:jc w:val="center"/>
              <w:spacing w:after="0"/>
              <w:rPr>
                <w:sz w:val="20"/>
                <w:szCs w:val="20"/>
                <w:color w:val="auto"/>
              </w:rPr>
            </w:pPr>
            <w:r>
              <w:rPr>
                <w:rFonts w:ascii="Calibri" w:cs="Calibri" w:eastAsia="Calibri" w:hAnsi="Calibri"/>
                <w:sz w:val="14"/>
                <w:szCs w:val="14"/>
                <w:color w:val="auto"/>
              </w:rPr>
              <w:t>Filed</w:t>
            </w:r>
          </w:p>
        </w:tc>
        <w:tc>
          <w:tcPr>
            <w:tcW w:w="0" w:type="dxa"/>
            <w:vAlign w:val="bottom"/>
          </w:tcPr>
          <w:p>
            <w:pPr>
              <w:spacing w:after="0"/>
              <w:rPr>
                <w:sz w:val="1"/>
                <w:szCs w:val="1"/>
                <w:color w:val="auto"/>
              </w:rPr>
            </w:pPr>
          </w:p>
        </w:tc>
      </w:tr>
      <w:tr>
        <w:trPr>
          <w:trHeight w:val="111"/>
        </w:trPr>
        <w:tc>
          <w:tcPr>
            <w:tcW w:w="1160" w:type="dxa"/>
            <w:vAlign w:val="bottom"/>
            <w:gridSpan w:val="2"/>
            <w:vMerge w:val="continue"/>
          </w:tcPr>
          <w:p>
            <w:pPr>
              <w:spacing w:after="0"/>
              <w:rPr>
                <w:sz w:val="9"/>
                <w:szCs w:val="9"/>
                <w:color w:val="auto"/>
              </w:rPr>
            </w:pPr>
          </w:p>
        </w:tc>
        <w:tc>
          <w:tcPr>
            <w:tcW w:w="20" w:type="dxa"/>
            <w:vAlign w:val="bottom"/>
          </w:tcPr>
          <w:p>
            <w:pPr>
              <w:spacing w:after="0"/>
              <w:rPr>
                <w:sz w:val="9"/>
                <w:szCs w:val="9"/>
                <w:color w:val="auto"/>
              </w:rPr>
            </w:pPr>
          </w:p>
        </w:tc>
        <w:tc>
          <w:tcPr>
            <w:tcW w:w="980" w:type="dxa"/>
            <w:vAlign w:val="bottom"/>
          </w:tcPr>
          <w:p>
            <w:pPr>
              <w:spacing w:after="0"/>
              <w:rPr>
                <w:sz w:val="9"/>
                <w:szCs w:val="9"/>
                <w:color w:val="auto"/>
              </w:rPr>
            </w:pPr>
          </w:p>
        </w:tc>
        <w:tc>
          <w:tcPr>
            <w:tcW w:w="320" w:type="dxa"/>
            <w:vAlign w:val="bottom"/>
          </w:tcPr>
          <w:p>
            <w:pPr>
              <w:spacing w:after="0"/>
              <w:rPr>
                <w:sz w:val="9"/>
                <w:szCs w:val="9"/>
                <w:color w:val="auto"/>
              </w:rPr>
            </w:pPr>
          </w:p>
        </w:tc>
        <w:tc>
          <w:tcPr>
            <w:tcW w:w="2360" w:type="dxa"/>
            <w:vAlign w:val="bottom"/>
            <w:gridSpan w:val="12"/>
            <w:vMerge w:val="restart"/>
          </w:tcPr>
          <w:p>
            <w:pPr>
              <w:ind w:left="140"/>
              <w:spacing w:after="0"/>
              <w:rPr>
                <w:sz w:val="20"/>
                <w:szCs w:val="20"/>
                <w:color w:val="auto"/>
              </w:rPr>
            </w:pPr>
            <w:r>
              <w:rPr>
                <w:rFonts w:ascii="Calibri" w:cs="Calibri" w:eastAsia="Calibri" w:hAnsi="Calibri"/>
                <w:sz w:val="14"/>
                <w:szCs w:val="14"/>
                <w:color w:val="auto"/>
              </w:rPr>
              <w:t>Descripton</w:t>
            </w:r>
          </w:p>
        </w:tc>
        <w:tc>
          <w:tcPr>
            <w:tcW w:w="2000" w:type="dxa"/>
            <w:vAlign w:val="bottom"/>
            <w:gridSpan w:val="2"/>
            <w:vMerge w:val="restart"/>
          </w:tcPr>
          <w:p>
            <w:pPr>
              <w:ind w:left="800"/>
              <w:spacing w:after="0"/>
              <w:rPr>
                <w:sz w:val="20"/>
                <w:szCs w:val="20"/>
                <w:color w:val="auto"/>
              </w:rPr>
            </w:pPr>
            <w:r>
              <w:rPr>
                <w:rFonts w:ascii="Calibri" w:cs="Calibri" w:eastAsia="Calibri" w:hAnsi="Calibri"/>
                <w:sz w:val="14"/>
                <w:szCs w:val="14"/>
                <w:color w:val="auto"/>
              </w:rPr>
              <w:t>Form</w:t>
            </w:r>
          </w:p>
        </w:tc>
        <w:tc>
          <w:tcPr>
            <w:tcW w:w="1540" w:type="dxa"/>
            <w:vAlign w:val="bottom"/>
            <w:gridSpan w:val="3"/>
            <w:vMerge w:val="restart"/>
          </w:tcPr>
          <w:p>
            <w:pPr>
              <w:ind w:left="360"/>
              <w:spacing w:after="0"/>
              <w:rPr>
                <w:sz w:val="20"/>
                <w:szCs w:val="20"/>
                <w:color w:val="auto"/>
              </w:rPr>
            </w:pPr>
            <w:r>
              <w:rPr>
                <w:rFonts w:ascii="Calibri" w:cs="Calibri" w:eastAsia="Calibri" w:hAnsi="Calibri"/>
                <w:sz w:val="14"/>
                <w:szCs w:val="14"/>
                <w:color w:val="auto"/>
              </w:rPr>
              <w:t>File No.</w:t>
            </w:r>
          </w:p>
        </w:tc>
        <w:tc>
          <w:tcPr>
            <w:tcW w:w="820" w:type="dxa"/>
            <w:vAlign w:val="bottom"/>
            <w:gridSpan w:val="2"/>
            <w:vMerge w:val="restart"/>
          </w:tcPr>
          <w:p>
            <w:pPr>
              <w:jc w:val="center"/>
              <w:ind w:right="400"/>
              <w:spacing w:after="0"/>
              <w:rPr>
                <w:sz w:val="20"/>
                <w:szCs w:val="20"/>
                <w:color w:val="auto"/>
              </w:rPr>
            </w:pPr>
            <w:r>
              <w:rPr>
                <w:rFonts w:ascii="Calibri" w:cs="Calibri" w:eastAsia="Calibri" w:hAnsi="Calibri"/>
                <w:sz w:val="14"/>
                <w:szCs w:val="14"/>
                <w:color w:val="auto"/>
                <w:w w:val="98"/>
              </w:rPr>
              <w:t>Exhibit</w:t>
            </w:r>
          </w:p>
        </w:tc>
        <w:tc>
          <w:tcPr>
            <w:tcW w:w="1260" w:type="dxa"/>
            <w:vAlign w:val="bottom"/>
            <w:gridSpan w:val="2"/>
            <w:vMerge w:val="restart"/>
          </w:tcPr>
          <w:p>
            <w:pPr>
              <w:ind w:left="260"/>
              <w:spacing w:after="0"/>
              <w:rPr>
                <w:sz w:val="20"/>
                <w:szCs w:val="20"/>
                <w:color w:val="auto"/>
              </w:rPr>
            </w:pPr>
            <w:r>
              <w:rPr>
                <w:rFonts w:ascii="Calibri" w:cs="Calibri" w:eastAsia="Calibri" w:hAnsi="Calibri"/>
                <w:sz w:val="14"/>
                <w:szCs w:val="14"/>
                <w:color w:val="auto"/>
              </w:rPr>
              <w:t>Filing Date</w:t>
            </w:r>
          </w:p>
        </w:tc>
        <w:tc>
          <w:tcPr>
            <w:tcW w:w="7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68"/>
        </w:trPr>
        <w:tc>
          <w:tcPr>
            <w:tcW w:w="1160" w:type="dxa"/>
            <w:vAlign w:val="bottom"/>
            <w:gridSpan w:val="2"/>
          </w:tcPr>
          <w:p>
            <w:pPr>
              <w:jc w:val="center"/>
              <w:ind w:right="300"/>
              <w:spacing w:after="0" w:line="168" w:lineRule="exact"/>
              <w:rPr>
                <w:sz w:val="20"/>
                <w:szCs w:val="20"/>
                <w:color w:val="auto"/>
              </w:rPr>
            </w:pPr>
            <w:r>
              <w:rPr>
                <w:rFonts w:ascii="Calibri" w:cs="Calibri" w:eastAsia="Calibri" w:hAnsi="Calibri"/>
                <w:sz w:val="14"/>
                <w:szCs w:val="14"/>
                <w:color w:val="auto"/>
                <w:w w:val="98"/>
              </w:rPr>
              <w:t>Number</w:t>
            </w:r>
          </w:p>
        </w:tc>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360" w:type="dxa"/>
            <w:vAlign w:val="bottom"/>
            <w:gridSpan w:val="12"/>
            <w:vMerge w:val="continue"/>
          </w:tcPr>
          <w:p>
            <w:pPr>
              <w:spacing w:after="0"/>
              <w:rPr>
                <w:sz w:val="14"/>
                <w:szCs w:val="14"/>
                <w:color w:val="auto"/>
              </w:rPr>
            </w:pPr>
          </w:p>
        </w:tc>
        <w:tc>
          <w:tcPr>
            <w:tcW w:w="2000" w:type="dxa"/>
            <w:vAlign w:val="bottom"/>
            <w:gridSpan w:val="2"/>
            <w:vMerge w:val="continue"/>
          </w:tcPr>
          <w:p>
            <w:pPr>
              <w:spacing w:after="0"/>
              <w:rPr>
                <w:sz w:val="14"/>
                <w:szCs w:val="14"/>
                <w:color w:val="auto"/>
              </w:rPr>
            </w:pPr>
          </w:p>
        </w:tc>
        <w:tc>
          <w:tcPr>
            <w:tcW w:w="1540" w:type="dxa"/>
            <w:vAlign w:val="bottom"/>
            <w:gridSpan w:val="3"/>
            <w:vMerge w:val="continue"/>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780" w:type="dxa"/>
            <w:vAlign w:val="bottom"/>
          </w:tcPr>
          <w:p>
            <w:pPr>
              <w:jc w:val="center"/>
              <w:spacing w:after="0" w:line="168" w:lineRule="exact"/>
              <w:rPr>
                <w:sz w:val="20"/>
                <w:szCs w:val="20"/>
                <w:color w:val="auto"/>
              </w:rPr>
            </w:pPr>
            <w:r>
              <w:rPr>
                <w:rFonts w:ascii="Calibri" w:cs="Calibri" w:eastAsia="Calibri" w:hAnsi="Calibri"/>
                <w:sz w:val="14"/>
                <w:szCs w:val="14"/>
                <w:color w:val="auto"/>
              </w:rPr>
              <w:t>Herewith</w:t>
            </w:r>
          </w:p>
        </w:tc>
        <w:tc>
          <w:tcPr>
            <w:tcW w:w="0" w:type="dxa"/>
            <w:vAlign w:val="bottom"/>
          </w:tcPr>
          <w:p>
            <w:pPr>
              <w:spacing w:after="0"/>
              <w:rPr>
                <w:sz w:val="1"/>
                <w:szCs w:val="1"/>
                <w:color w:val="auto"/>
              </w:rPr>
            </w:pPr>
          </w:p>
        </w:tc>
      </w:tr>
      <w:tr>
        <w:trPr>
          <w:trHeight w:val="32"/>
        </w:trPr>
        <w:tc>
          <w:tcPr>
            <w:tcW w:w="86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860" w:type="dxa"/>
            <w:vAlign w:val="bottom"/>
          </w:tcPr>
          <w:p>
            <w:pPr>
              <w:jc w:val="right"/>
              <w:spacing w:after="0" w:line="165" w:lineRule="exact"/>
              <w:rPr>
                <w:sz w:val="20"/>
                <w:szCs w:val="20"/>
                <w:color w:val="auto"/>
              </w:rPr>
            </w:pPr>
            <w:r>
              <w:rPr>
                <w:rFonts w:ascii="Calibri" w:cs="Calibri" w:eastAsia="Calibri" w:hAnsi="Calibri"/>
                <w:sz w:val="18"/>
                <w:szCs w:val="18"/>
                <w:color w:val="auto"/>
              </w:rPr>
              <w:t>2.1</w:t>
            </w: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560" w:type="dxa"/>
            <w:vAlign w:val="bottom"/>
            <w:gridSpan w:val="13"/>
          </w:tcPr>
          <w:p>
            <w:pPr>
              <w:spacing w:after="0" w:line="165" w:lineRule="exact"/>
              <w:rPr>
                <w:rFonts w:ascii="Calibri" w:cs="Calibri" w:eastAsia="Calibri" w:hAnsi="Calibri"/>
                <w:sz w:val="18"/>
                <w:szCs w:val="18"/>
                <w:color w:val="0000FF"/>
              </w:rPr>
            </w:pPr>
            <w:hyperlink r:id="rId110">
              <w:r>
                <w:rPr>
                  <w:rFonts w:ascii="Calibri" w:cs="Calibri" w:eastAsia="Calibri" w:hAnsi="Calibri"/>
                  <w:sz w:val="18"/>
                  <w:szCs w:val="18"/>
                  <w:color w:val="0000FF"/>
                </w:rPr>
                <w:t>Agreement and Plan of Merger, dated as of May</w:t>
              </w:r>
            </w:hyperlink>
          </w:p>
        </w:tc>
        <w:tc>
          <w:tcPr>
            <w:tcW w:w="100" w:type="dxa"/>
            <w:vAlign w:val="bottom"/>
          </w:tcPr>
          <w:p>
            <w:pPr>
              <w:spacing w:after="0"/>
              <w:rPr>
                <w:sz w:val="14"/>
                <w:szCs w:val="14"/>
                <w:color w:val="auto"/>
              </w:rPr>
            </w:pPr>
          </w:p>
        </w:tc>
        <w:tc>
          <w:tcPr>
            <w:tcW w:w="1900" w:type="dxa"/>
            <w:vAlign w:val="bottom"/>
          </w:tcPr>
          <w:p>
            <w:pPr>
              <w:ind w:left="20"/>
              <w:spacing w:after="0" w:line="165" w:lineRule="exact"/>
              <w:rPr>
                <w:sz w:val="20"/>
                <w:szCs w:val="20"/>
                <w:color w:val="auto"/>
              </w:rPr>
            </w:pPr>
            <w:r>
              <w:rPr>
                <w:rFonts w:ascii="Calibri" w:cs="Calibri" w:eastAsia="Calibri" w:hAnsi="Calibri"/>
                <w:sz w:val="18"/>
                <w:szCs w:val="18"/>
                <w:color w:val="auto"/>
              </w:rPr>
              <w:t>Broadcom Inc. Current</w:t>
            </w:r>
          </w:p>
        </w:tc>
        <w:tc>
          <w:tcPr>
            <w:tcW w:w="100" w:type="dxa"/>
            <w:vAlign w:val="bottom"/>
          </w:tcPr>
          <w:p>
            <w:pPr>
              <w:spacing w:after="0"/>
              <w:rPr>
                <w:sz w:val="14"/>
                <w:szCs w:val="14"/>
                <w:color w:val="auto"/>
              </w:rPr>
            </w:pPr>
          </w:p>
        </w:tc>
        <w:tc>
          <w:tcPr>
            <w:tcW w:w="1160" w:type="dxa"/>
            <w:vAlign w:val="bottom"/>
          </w:tcPr>
          <w:p>
            <w:pPr>
              <w:spacing w:after="0" w:line="165" w:lineRule="exact"/>
              <w:rPr>
                <w:sz w:val="20"/>
                <w:szCs w:val="20"/>
                <w:color w:val="auto"/>
              </w:rPr>
            </w:pPr>
            <w:r>
              <w:rPr>
                <w:rFonts w:ascii="Calibri" w:cs="Calibri" w:eastAsia="Calibri" w:hAnsi="Calibri"/>
                <w:sz w:val="18"/>
                <w:szCs w:val="18"/>
                <w:color w:val="auto"/>
              </w:rPr>
              <w:t>001-38449</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20" w:type="dxa"/>
            <w:vAlign w:val="bottom"/>
          </w:tcPr>
          <w:p>
            <w:pPr>
              <w:jc w:val="center"/>
              <w:ind w:right="215"/>
              <w:spacing w:after="0" w:line="165" w:lineRule="exact"/>
              <w:rPr>
                <w:sz w:val="20"/>
                <w:szCs w:val="20"/>
                <w:color w:val="auto"/>
              </w:rPr>
            </w:pPr>
            <w:r>
              <w:rPr>
                <w:rFonts w:ascii="Calibri" w:cs="Calibri" w:eastAsia="Calibri" w:hAnsi="Calibri"/>
                <w:sz w:val="18"/>
                <w:szCs w:val="18"/>
                <w:color w:val="auto"/>
                <w:w w:val="96"/>
              </w:rPr>
              <w:t>2.1</w:t>
            </w:r>
          </w:p>
        </w:tc>
        <w:tc>
          <w:tcPr>
            <w:tcW w:w="100" w:type="dxa"/>
            <w:vAlign w:val="bottom"/>
          </w:tcPr>
          <w:p>
            <w:pPr>
              <w:spacing w:after="0"/>
              <w:rPr>
                <w:sz w:val="14"/>
                <w:szCs w:val="14"/>
                <w:color w:val="auto"/>
              </w:rPr>
            </w:pPr>
          </w:p>
        </w:tc>
        <w:tc>
          <w:tcPr>
            <w:tcW w:w="1140" w:type="dxa"/>
            <w:vAlign w:val="bottom"/>
          </w:tcPr>
          <w:p>
            <w:pPr>
              <w:jc w:val="right"/>
              <w:ind w:right="235"/>
              <w:spacing w:after="0" w:line="165" w:lineRule="exact"/>
              <w:rPr>
                <w:sz w:val="20"/>
                <w:szCs w:val="20"/>
                <w:color w:val="auto"/>
              </w:rPr>
            </w:pPr>
            <w:r>
              <w:rPr>
                <w:rFonts w:ascii="Calibri" w:cs="Calibri" w:eastAsia="Calibri" w:hAnsi="Calibri"/>
                <w:sz w:val="18"/>
                <w:szCs w:val="18"/>
                <w:color w:val="auto"/>
                <w:w w:val="95"/>
              </w:rPr>
              <w:t>05-26-2022</w:t>
            </w: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320" w:type="dxa"/>
            <w:vAlign w:val="bottom"/>
            <w:tcBorders>
              <w:top w:val="single" w:sz="8" w:color="0000FF"/>
              <w:bottom w:val="single" w:sz="8" w:color="0000FF"/>
            </w:tcBorders>
            <w:gridSpan w:val="9"/>
          </w:tcPr>
          <w:p>
            <w:pPr>
              <w:spacing w:after="0" w:line="165" w:lineRule="exact"/>
              <w:rPr>
                <w:rFonts w:ascii="Calibri" w:cs="Calibri" w:eastAsia="Calibri" w:hAnsi="Calibri"/>
                <w:sz w:val="18"/>
                <w:szCs w:val="18"/>
                <w:color w:val="0000FF"/>
                <w:w w:val="91"/>
              </w:rPr>
            </w:pPr>
            <w:hyperlink r:id="rId110">
              <w:r>
                <w:rPr>
                  <w:rFonts w:ascii="Calibri" w:cs="Calibri" w:eastAsia="Calibri" w:hAnsi="Calibri"/>
                  <w:sz w:val="18"/>
                  <w:szCs w:val="18"/>
                  <w:color w:val="0000FF"/>
                  <w:w w:val="91"/>
                </w:rPr>
                <w:t>26, 2022, by and among Broadcom Inc., VMware,</w:t>
              </w:r>
            </w:hyperlink>
          </w:p>
        </w:tc>
        <w:tc>
          <w:tcPr>
            <w:tcW w:w="100" w:type="dxa"/>
            <w:vAlign w:val="bottom"/>
            <w:tcBorders>
              <w:bottom w:val="single" w:sz="8" w:color="0000FF"/>
            </w:tcBorders>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gridSpan w:val="2"/>
          </w:tcPr>
          <w:p>
            <w:pPr>
              <w:spacing w:after="0"/>
              <w:rPr>
                <w:sz w:val="14"/>
                <w:szCs w:val="14"/>
                <w:color w:val="auto"/>
              </w:rPr>
            </w:pPr>
          </w:p>
        </w:tc>
        <w:tc>
          <w:tcPr>
            <w:tcW w:w="2000" w:type="dxa"/>
            <w:vAlign w:val="bottom"/>
            <w:gridSpan w:val="2"/>
          </w:tcPr>
          <w:p>
            <w:pPr>
              <w:ind w:left="20"/>
              <w:spacing w:after="0" w:line="165" w:lineRule="exact"/>
              <w:rPr>
                <w:sz w:val="20"/>
                <w:szCs w:val="20"/>
                <w:color w:val="auto"/>
              </w:rPr>
            </w:pPr>
            <w:r>
              <w:rPr>
                <w:rFonts w:ascii="Calibri" w:cs="Calibri" w:eastAsia="Calibri" w:hAnsi="Calibri"/>
                <w:sz w:val="18"/>
                <w:szCs w:val="18"/>
                <w:color w:val="auto"/>
              </w:rPr>
              <w:t>Report on Form 8-K</w:t>
            </w: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8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20" w:type="dxa"/>
            <w:vAlign w:val="bottom"/>
            <w:tcBorders>
              <w:bottom w:val="single" w:sz="8" w:color="0000FF"/>
            </w:tcBorders>
            <w:gridSpan w:val="10"/>
          </w:tcPr>
          <w:p>
            <w:pPr>
              <w:spacing w:after="0" w:line="152" w:lineRule="exact"/>
              <w:rPr>
                <w:rFonts w:ascii="Calibri" w:cs="Calibri" w:eastAsia="Calibri" w:hAnsi="Calibri"/>
                <w:sz w:val="15"/>
                <w:szCs w:val="15"/>
                <w:color w:val="0000FF"/>
              </w:rPr>
            </w:pPr>
            <w:hyperlink r:id="rId110">
              <w:r>
                <w:rPr>
                  <w:rFonts w:ascii="Calibri" w:cs="Calibri" w:eastAsia="Calibri" w:hAnsi="Calibri"/>
                  <w:sz w:val="15"/>
                  <w:szCs w:val="15"/>
                  <w:color w:val="0000FF"/>
                </w:rPr>
                <w:t>Inc., Verona Holdco, Inc., Verona Merger Sub, Inc.,</w:t>
              </w:r>
            </w:hyperlink>
          </w:p>
        </w:tc>
        <w:tc>
          <w:tcPr>
            <w:tcW w:w="6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gridSpan w:val="2"/>
          </w:tcPr>
          <w:p>
            <w:pPr>
              <w:spacing w:after="0"/>
              <w:rPr>
                <w:sz w:val="13"/>
                <w:szCs w:val="13"/>
                <w:color w:val="auto"/>
              </w:rPr>
            </w:pPr>
          </w:p>
        </w:tc>
        <w:tc>
          <w:tcPr>
            <w:tcW w:w="1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8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80" w:type="dxa"/>
            <w:vAlign w:val="bottom"/>
            <w:gridSpan w:val="11"/>
          </w:tcPr>
          <w:p>
            <w:pPr>
              <w:spacing w:after="0" w:line="152" w:lineRule="exact"/>
              <w:rPr>
                <w:rFonts w:ascii="Calibri" w:cs="Calibri" w:eastAsia="Calibri" w:hAnsi="Calibri"/>
                <w:sz w:val="15"/>
                <w:szCs w:val="15"/>
                <w:color w:val="0000FF"/>
              </w:rPr>
            </w:pPr>
            <w:hyperlink r:id="rId110">
              <w:r>
                <w:rPr>
                  <w:rFonts w:ascii="Calibri" w:cs="Calibri" w:eastAsia="Calibri" w:hAnsi="Calibri"/>
                  <w:sz w:val="15"/>
                  <w:szCs w:val="15"/>
                  <w:color w:val="0000FF"/>
                </w:rPr>
                <w:t>Barcelona Merger Sub 2, Inc. and Barcelona</w:t>
              </w:r>
            </w:hyperlink>
          </w:p>
        </w:tc>
        <w:tc>
          <w:tcPr>
            <w:tcW w:w="20" w:type="dxa"/>
            <w:vAlign w:val="bottom"/>
          </w:tcPr>
          <w:p>
            <w:pPr>
              <w:spacing w:after="0"/>
              <w:rPr>
                <w:sz w:val="13"/>
                <w:szCs w:val="13"/>
                <w:color w:val="auto"/>
              </w:rPr>
            </w:pPr>
          </w:p>
        </w:tc>
        <w:tc>
          <w:tcPr>
            <w:tcW w:w="160" w:type="dxa"/>
            <w:vAlign w:val="bottom"/>
            <w:gridSpan w:val="2"/>
          </w:tcPr>
          <w:p>
            <w:pPr>
              <w:spacing w:after="0"/>
              <w:rPr>
                <w:sz w:val="13"/>
                <w:szCs w:val="13"/>
                <w:color w:val="auto"/>
              </w:rPr>
            </w:pPr>
          </w:p>
        </w:tc>
        <w:tc>
          <w:tcPr>
            <w:tcW w:w="1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00" w:type="dxa"/>
            <w:vAlign w:val="bottom"/>
            <w:tcBorders>
              <w:top w:val="single" w:sz="8" w:color="0000FF"/>
              <w:bottom w:val="single" w:sz="8" w:color="0000FF"/>
            </w:tcBorders>
            <w:gridSpan w:val="2"/>
          </w:tcPr>
          <w:p>
            <w:pPr>
              <w:spacing w:after="0" w:line="165" w:lineRule="exact"/>
              <w:rPr>
                <w:rFonts w:ascii="Calibri" w:cs="Calibri" w:eastAsia="Calibri" w:hAnsi="Calibri"/>
                <w:sz w:val="18"/>
                <w:szCs w:val="18"/>
                <w:color w:val="0000FF"/>
                <w:w w:val="93"/>
              </w:rPr>
            </w:pPr>
            <w:hyperlink r:id="rId110">
              <w:r>
                <w:rPr>
                  <w:rFonts w:ascii="Calibri" w:cs="Calibri" w:eastAsia="Calibri" w:hAnsi="Calibri"/>
                  <w:sz w:val="18"/>
                  <w:szCs w:val="18"/>
                  <w:color w:val="0000FF"/>
                  <w:w w:val="93"/>
                </w:rPr>
                <w:t>Merger Sub 3, LLC.</w:t>
              </w:r>
            </w:hyperlink>
          </w:p>
        </w:tc>
        <w:tc>
          <w:tcPr>
            <w:tcW w:w="1720" w:type="dxa"/>
            <w:vAlign w:val="bottom"/>
            <w:tcBorders>
              <w:top w:val="single" w:sz="8" w:color="0000FF"/>
            </w:tcBorders>
            <w:gridSpan w:val="6"/>
          </w:tcPr>
          <w:p>
            <w:pPr>
              <w:spacing w:after="0"/>
              <w:rPr>
                <w:sz w:val="14"/>
                <w:szCs w:val="14"/>
                <w:color w:val="auto"/>
              </w:rPr>
            </w:pPr>
          </w:p>
        </w:tc>
        <w:tc>
          <w:tcPr>
            <w:tcW w:w="480" w:type="dxa"/>
            <w:vAlign w:val="bottom"/>
            <w:gridSpan w:val="4"/>
          </w:tcPr>
          <w:p>
            <w:pPr>
              <w:spacing w:after="0"/>
              <w:rPr>
                <w:sz w:val="14"/>
                <w:szCs w:val="14"/>
                <w:color w:val="auto"/>
              </w:rPr>
            </w:pPr>
          </w:p>
        </w:tc>
        <w:tc>
          <w:tcPr>
            <w:tcW w:w="160" w:type="dxa"/>
            <w:vAlign w:val="bottom"/>
            <w:gridSpan w:val="2"/>
          </w:tcPr>
          <w:p>
            <w:pPr>
              <w:spacing w:after="0"/>
              <w:rPr>
                <w:sz w:val="14"/>
                <w:szCs w:val="14"/>
                <w:color w:val="auto"/>
              </w:rPr>
            </w:pPr>
          </w:p>
        </w:tc>
        <w:tc>
          <w:tcPr>
            <w:tcW w:w="1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860" w:type="dxa"/>
            <w:vAlign w:val="bottom"/>
          </w:tcPr>
          <w:p>
            <w:pPr>
              <w:jc w:val="right"/>
              <w:spacing w:after="0" w:line="205" w:lineRule="exact"/>
              <w:rPr>
                <w:sz w:val="20"/>
                <w:szCs w:val="20"/>
                <w:color w:val="auto"/>
              </w:rPr>
            </w:pPr>
            <w:r>
              <w:rPr>
                <w:rFonts w:ascii="Calibri" w:cs="Calibri" w:eastAsia="Calibri" w:hAnsi="Calibri"/>
                <w:sz w:val="18"/>
                <w:szCs w:val="18"/>
                <w:color w:val="auto"/>
              </w:rPr>
              <w:t>3.1</w:t>
            </w: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60" w:type="dxa"/>
            <w:vAlign w:val="bottom"/>
            <w:gridSpan w:val="14"/>
          </w:tcPr>
          <w:p>
            <w:pPr>
              <w:spacing w:after="0" w:line="205" w:lineRule="exact"/>
              <w:rPr>
                <w:rFonts w:ascii="Calibri" w:cs="Calibri" w:eastAsia="Calibri" w:hAnsi="Calibri"/>
                <w:sz w:val="18"/>
                <w:szCs w:val="18"/>
                <w:color w:val="0000FF"/>
              </w:rPr>
            </w:pPr>
            <w:hyperlink r:id="rId111">
              <w:r>
                <w:rPr>
                  <w:rFonts w:ascii="Calibri" w:cs="Calibri" w:eastAsia="Calibri" w:hAnsi="Calibri"/>
                  <w:sz w:val="18"/>
                  <w:szCs w:val="18"/>
                  <w:color w:val="0000FF"/>
                </w:rPr>
                <w:t>Amended and Restated Certfcate of</w:t>
              </w:r>
            </w:hyperlink>
          </w:p>
        </w:tc>
        <w:tc>
          <w:tcPr>
            <w:tcW w:w="2000" w:type="dxa"/>
            <w:vAlign w:val="bottom"/>
            <w:gridSpan w:val="2"/>
          </w:tcPr>
          <w:p>
            <w:pPr>
              <w:ind w:left="20"/>
              <w:spacing w:after="0" w:line="205" w:lineRule="exact"/>
              <w:rPr>
                <w:sz w:val="20"/>
                <w:szCs w:val="20"/>
                <w:color w:val="auto"/>
              </w:rPr>
            </w:pPr>
            <w:r>
              <w:rPr>
                <w:rFonts w:ascii="Calibri" w:cs="Calibri" w:eastAsia="Calibri" w:hAnsi="Calibri"/>
                <w:sz w:val="18"/>
                <w:szCs w:val="18"/>
                <w:color w:val="auto"/>
              </w:rPr>
              <w:t>Broadcom Inc. Current</w:t>
            </w:r>
          </w:p>
        </w:tc>
        <w:tc>
          <w:tcPr>
            <w:tcW w:w="1160" w:type="dxa"/>
            <w:vAlign w:val="bottom"/>
          </w:tcPr>
          <w:p>
            <w:pPr>
              <w:spacing w:after="0" w:line="205" w:lineRule="exact"/>
              <w:rPr>
                <w:sz w:val="20"/>
                <w:szCs w:val="20"/>
                <w:color w:val="auto"/>
              </w:rPr>
            </w:pPr>
            <w:r>
              <w:rPr>
                <w:rFonts w:ascii="Calibri" w:cs="Calibri" w:eastAsia="Calibri" w:hAnsi="Calibri"/>
                <w:sz w:val="18"/>
                <w:szCs w:val="18"/>
                <w:color w:val="auto"/>
              </w:rPr>
              <w:t>001-38449</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Pr>
          <w:p>
            <w:pPr>
              <w:jc w:val="center"/>
              <w:ind w:right="215"/>
              <w:spacing w:after="0" w:line="205" w:lineRule="exact"/>
              <w:rPr>
                <w:sz w:val="20"/>
                <w:szCs w:val="20"/>
                <w:color w:val="auto"/>
              </w:rPr>
            </w:pPr>
            <w:r>
              <w:rPr>
                <w:rFonts w:ascii="Calibri" w:cs="Calibri" w:eastAsia="Calibri" w:hAnsi="Calibri"/>
                <w:sz w:val="18"/>
                <w:szCs w:val="18"/>
                <w:color w:val="auto"/>
                <w:w w:val="96"/>
              </w:rPr>
              <w:t>3.1</w:t>
            </w:r>
          </w:p>
        </w:tc>
        <w:tc>
          <w:tcPr>
            <w:tcW w:w="100" w:type="dxa"/>
            <w:vAlign w:val="bottom"/>
          </w:tcPr>
          <w:p>
            <w:pPr>
              <w:spacing w:after="0"/>
              <w:rPr>
                <w:sz w:val="17"/>
                <w:szCs w:val="17"/>
                <w:color w:val="auto"/>
              </w:rPr>
            </w:pPr>
          </w:p>
        </w:tc>
        <w:tc>
          <w:tcPr>
            <w:tcW w:w="1140" w:type="dxa"/>
            <w:vAlign w:val="bottom"/>
          </w:tcPr>
          <w:p>
            <w:pPr>
              <w:jc w:val="right"/>
              <w:ind w:right="235"/>
              <w:spacing w:after="0" w:line="205" w:lineRule="exact"/>
              <w:rPr>
                <w:sz w:val="20"/>
                <w:szCs w:val="20"/>
                <w:color w:val="auto"/>
              </w:rPr>
            </w:pPr>
            <w:r>
              <w:rPr>
                <w:rFonts w:ascii="Calibri" w:cs="Calibri" w:eastAsia="Calibri" w:hAnsi="Calibri"/>
                <w:sz w:val="18"/>
                <w:szCs w:val="18"/>
                <w:color w:val="auto"/>
                <w:w w:val="95"/>
              </w:rPr>
              <w:t>04-04-2018</w:t>
            </w: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5"/>
        </w:trPr>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560" w:type="dxa"/>
            <w:vAlign w:val="bottom"/>
            <w:tcBorders>
              <w:top w:val="single" w:sz="8" w:color="0000FF"/>
            </w:tcBorders>
            <w:gridSpan w:val="6"/>
          </w:tcPr>
          <w:p>
            <w:pPr>
              <w:spacing w:after="0" w:line="165" w:lineRule="exact"/>
              <w:rPr>
                <w:rFonts w:ascii="Calibri" w:cs="Calibri" w:eastAsia="Calibri" w:hAnsi="Calibri"/>
                <w:sz w:val="18"/>
                <w:szCs w:val="18"/>
                <w:color w:val="0000FF"/>
              </w:rPr>
            </w:pPr>
            <w:hyperlink r:id="rId111">
              <w:r>
                <w:rPr>
                  <w:rFonts w:ascii="Calibri" w:cs="Calibri" w:eastAsia="Calibri" w:hAnsi="Calibri"/>
                  <w:sz w:val="18"/>
                  <w:szCs w:val="18"/>
                  <w:color w:val="0000FF"/>
                </w:rPr>
                <w:t>Incorporaton.</w:t>
              </w:r>
            </w:hyperlink>
          </w:p>
        </w:tc>
        <w:tc>
          <w:tcPr>
            <w:tcW w:w="20" w:type="dxa"/>
            <w:vAlign w:val="bottom"/>
          </w:tcPr>
          <w:p>
            <w:pPr>
              <w:spacing w:after="0"/>
              <w:rPr>
                <w:sz w:val="14"/>
                <w:szCs w:val="14"/>
                <w:color w:val="auto"/>
              </w:rPr>
            </w:pPr>
          </w:p>
        </w:tc>
        <w:tc>
          <w:tcPr>
            <w:tcW w:w="920" w:type="dxa"/>
            <w:vAlign w:val="bottom"/>
            <w:gridSpan w:val="5"/>
          </w:tcPr>
          <w:p>
            <w:pPr>
              <w:spacing w:after="0"/>
              <w:rPr>
                <w:sz w:val="14"/>
                <w:szCs w:val="14"/>
                <w:color w:val="auto"/>
              </w:rPr>
            </w:pPr>
          </w:p>
        </w:tc>
        <w:tc>
          <w:tcPr>
            <w:tcW w:w="160" w:type="dxa"/>
            <w:vAlign w:val="bottom"/>
            <w:gridSpan w:val="2"/>
          </w:tcPr>
          <w:p>
            <w:pPr>
              <w:spacing w:after="0"/>
              <w:rPr>
                <w:sz w:val="14"/>
                <w:szCs w:val="14"/>
                <w:color w:val="auto"/>
              </w:rPr>
            </w:pPr>
          </w:p>
        </w:tc>
        <w:tc>
          <w:tcPr>
            <w:tcW w:w="2000" w:type="dxa"/>
            <w:vAlign w:val="bottom"/>
            <w:gridSpan w:val="2"/>
          </w:tcPr>
          <w:p>
            <w:pPr>
              <w:ind w:left="20"/>
              <w:spacing w:after="0" w:line="165" w:lineRule="exact"/>
              <w:rPr>
                <w:sz w:val="20"/>
                <w:szCs w:val="20"/>
                <w:color w:val="auto"/>
              </w:rPr>
            </w:pPr>
            <w:r>
              <w:rPr>
                <w:rFonts w:ascii="Calibri" w:cs="Calibri" w:eastAsia="Calibri" w:hAnsi="Calibri"/>
                <w:sz w:val="18"/>
                <w:szCs w:val="18"/>
                <w:color w:val="auto"/>
              </w:rPr>
              <w:t>Report on Form 8-K12B</w:t>
            </w: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920" w:type="dxa"/>
            <w:vAlign w:val="bottom"/>
            <w:gridSpan w:val="5"/>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860" w:type="dxa"/>
            <w:vAlign w:val="bottom"/>
          </w:tcPr>
          <w:p>
            <w:pPr>
              <w:jc w:val="right"/>
              <w:spacing w:after="0" w:line="205" w:lineRule="exact"/>
              <w:rPr>
                <w:sz w:val="20"/>
                <w:szCs w:val="20"/>
                <w:color w:val="auto"/>
              </w:rPr>
            </w:pPr>
            <w:r>
              <w:rPr>
                <w:rFonts w:ascii="Calibri" w:cs="Calibri" w:eastAsia="Calibri" w:hAnsi="Calibri"/>
                <w:sz w:val="18"/>
                <w:szCs w:val="18"/>
                <w:color w:val="auto"/>
              </w:rPr>
              <w:t>3.2</w:t>
            </w: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60" w:type="dxa"/>
            <w:vAlign w:val="bottom"/>
            <w:gridSpan w:val="14"/>
          </w:tcPr>
          <w:p>
            <w:pPr>
              <w:spacing w:after="0" w:line="205" w:lineRule="exact"/>
              <w:rPr>
                <w:rFonts w:ascii="Calibri" w:cs="Calibri" w:eastAsia="Calibri" w:hAnsi="Calibri"/>
                <w:sz w:val="18"/>
                <w:szCs w:val="18"/>
                <w:color w:val="0000FF"/>
              </w:rPr>
            </w:pPr>
            <w:hyperlink r:id="rId112">
              <w:r>
                <w:rPr>
                  <w:rFonts w:ascii="Calibri" w:cs="Calibri" w:eastAsia="Calibri" w:hAnsi="Calibri"/>
                  <w:sz w:val="18"/>
                  <w:szCs w:val="18"/>
                  <w:color w:val="0000FF"/>
                </w:rPr>
                <w:t>Certfcate of Designaton of the 8.00% Mandatory</w:t>
              </w:r>
            </w:hyperlink>
          </w:p>
        </w:tc>
        <w:tc>
          <w:tcPr>
            <w:tcW w:w="2000" w:type="dxa"/>
            <w:vAlign w:val="bottom"/>
            <w:gridSpan w:val="2"/>
          </w:tcPr>
          <w:p>
            <w:pPr>
              <w:ind w:left="20"/>
              <w:spacing w:after="0" w:line="205" w:lineRule="exact"/>
              <w:rPr>
                <w:sz w:val="20"/>
                <w:szCs w:val="20"/>
                <w:color w:val="auto"/>
              </w:rPr>
            </w:pPr>
            <w:r>
              <w:rPr>
                <w:rFonts w:ascii="Calibri" w:cs="Calibri" w:eastAsia="Calibri" w:hAnsi="Calibri"/>
                <w:sz w:val="18"/>
                <w:szCs w:val="18"/>
                <w:color w:val="auto"/>
              </w:rPr>
              <w:t>Broadcom Inc. Current</w:t>
            </w:r>
          </w:p>
        </w:tc>
        <w:tc>
          <w:tcPr>
            <w:tcW w:w="1160" w:type="dxa"/>
            <w:vAlign w:val="bottom"/>
          </w:tcPr>
          <w:p>
            <w:pPr>
              <w:spacing w:after="0" w:line="205" w:lineRule="exact"/>
              <w:rPr>
                <w:sz w:val="20"/>
                <w:szCs w:val="20"/>
                <w:color w:val="auto"/>
              </w:rPr>
            </w:pPr>
            <w:r>
              <w:rPr>
                <w:rFonts w:ascii="Calibri" w:cs="Calibri" w:eastAsia="Calibri" w:hAnsi="Calibri"/>
                <w:sz w:val="18"/>
                <w:szCs w:val="18"/>
                <w:color w:val="auto"/>
              </w:rPr>
              <w:t>001-38449</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Pr>
          <w:p>
            <w:pPr>
              <w:jc w:val="center"/>
              <w:ind w:right="215"/>
              <w:spacing w:after="0" w:line="205" w:lineRule="exact"/>
              <w:rPr>
                <w:sz w:val="20"/>
                <w:szCs w:val="20"/>
                <w:color w:val="auto"/>
              </w:rPr>
            </w:pPr>
            <w:r>
              <w:rPr>
                <w:rFonts w:ascii="Calibri" w:cs="Calibri" w:eastAsia="Calibri" w:hAnsi="Calibri"/>
                <w:sz w:val="18"/>
                <w:szCs w:val="18"/>
                <w:color w:val="auto"/>
                <w:w w:val="96"/>
              </w:rPr>
              <w:t>3.1</w:t>
            </w:r>
          </w:p>
        </w:tc>
        <w:tc>
          <w:tcPr>
            <w:tcW w:w="100" w:type="dxa"/>
            <w:vAlign w:val="bottom"/>
          </w:tcPr>
          <w:p>
            <w:pPr>
              <w:spacing w:after="0"/>
              <w:rPr>
                <w:sz w:val="17"/>
                <w:szCs w:val="17"/>
                <w:color w:val="auto"/>
              </w:rPr>
            </w:pPr>
          </w:p>
        </w:tc>
        <w:tc>
          <w:tcPr>
            <w:tcW w:w="1140" w:type="dxa"/>
            <w:vAlign w:val="bottom"/>
          </w:tcPr>
          <w:p>
            <w:pPr>
              <w:jc w:val="right"/>
              <w:ind w:right="235"/>
              <w:spacing w:after="0" w:line="205" w:lineRule="exact"/>
              <w:rPr>
                <w:sz w:val="20"/>
                <w:szCs w:val="20"/>
                <w:color w:val="auto"/>
              </w:rPr>
            </w:pPr>
            <w:r>
              <w:rPr>
                <w:rFonts w:ascii="Calibri" w:cs="Calibri" w:eastAsia="Calibri" w:hAnsi="Calibri"/>
                <w:sz w:val="18"/>
                <w:szCs w:val="18"/>
                <w:color w:val="auto"/>
                <w:w w:val="95"/>
              </w:rPr>
              <w:t>09-30-2019</w:t>
            </w: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5"/>
        </w:trPr>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500" w:type="dxa"/>
            <w:vAlign w:val="bottom"/>
            <w:tcBorders>
              <w:top w:val="single" w:sz="8" w:color="0000FF"/>
            </w:tcBorders>
            <w:gridSpan w:val="12"/>
          </w:tcPr>
          <w:p>
            <w:pPr>
              <w:spacing w:after="0" w:line="165" w:lineRule="exact"/>
              <w:rPr>
                <w:rFonts w:ascii="Calibri" w:cs="Calibri" w:eastAsia="Calibri" w:hAnsi="Calibri"/>
                <w:sz w:val="18"/>
                <w:szCs w:val="18"/>
                <w:color w:val="0000FF"/>
              </w:rPr>
            </w:pPr>
            <w:hyperlink r:id="rId112">
              <w:r>
                <w:rPr>
                  <w:rFonts w:ascii="Calibri" w:cs="Calibri" w:eastAsia="Calibri" w:hAnsi="Calibri"/>
                  <w:sz w:val="18"/>
                  <w:szCs w:val="18"/>
                  <w:color w:val="0000FF"/>
                </w:rPr>
                <w:t>Convertble Preferred Stock, Series A.</w:t>
              </w:r>
            </w:hyperlink>
          </w:p>
        </w:tc>
        <w:tc>
          <w:tcPr>
            <w:tcW w:w="160" w:type="dxa"/>
            <w:vAlign w:val="bottom"/>
            <w:gridSpan w:val="2"/>
          </w:tcPr>
          <w:p>
            <w:pPr>
              <w:spacing w:after="0"/>
              <w:rPr>
                <w:sz w:val="14"/>
                <w:szCs w:val="14"/>
                <w:color w:val="auto"/>
              </w:rPr>
            </w:pPr>
          </w:p>
        </w:tc>
        <w:tc>
          <w:tcPr>
            <w:tcW w:w="2000" w:type="dxa"/>
            <w:vAlign w:val="bottom"/>
            <w:gridSpan w:val="2"/>
          </w:tcPr>
          <w:p>
            <w:pPr>
              <w:ind w:left="20"/>
              <w:spacing w:after="0" w:line="165" w:lineRule="exact"/>
              <w:rPr>
                <w:sz w:val="20"/>
                <w:szCs w:val="20"/>
                <w:color w:val="auto"/>
              </w:rPr>
            </w:pPr>
            <w:r>
              <w:rPr>
                <w:rFonts w:ascii="Calibri" w:cs="Calibri" w:eastAsia="Calibri" w:hAnsi="Calibri"/>
                <w:sz w:val="18"/>
                <w:szCs w:val="18"/>
                <w:color w:val="auto"/>
              </w:rPr>
              <w:t>Report on Form 8-K</w:t>
            </w: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860" w:type="dxa"/>
            <w:vAlign w:val="bottom"/>
          </w:tcPr>
          <w:p>
            <w:pPr>
              <w:jc w:val="right"/>
              <w:spacing w:after="0" w:line="205" w:lineRule="exact"/>
              <w:rPr>
                <w:sz w:val="20"/>
                <w:szCs w:val="20"/>
                <w:color w:val="auto"/>
              </w:rPr>
            </w:pPr>
            <w:r>
              <w:rPr>
                <w:rFonts w:ascii="Calibri" w:cs="Calibri" w:eastAsia="Calibri" w:hAnsi="Calibri"/>
                <w:sz w:val="18"/>
                <w:szCs w:val="18"/>
                <w:color w:val="auto"/>
              </w:rPr>
              <w:t>3.3</w:t>
            </w: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580" w:type="dxa"/>
            <w:vAlign w:val="bottom"/>
            <w:tcBorders>
              <w:top w:val="single" w:sz="8" w:color="0000FF"/>
            </w:tcBorders>
            <w:gridSpan w:val="7"/>
          </w:tcPr>
          <w:p>
            <w:pPr>
              <w:spacing w:after="0" w:line="205" w:lineRule="exact"/>
              <w:rPr>
                <w:rFonts w:ascii="Calibri" w:cs="Calibri" w:eastAsia="Calibri" w:hAnsi="Calibri"/>
                <w:sz w:val="18"/>
                <w:szCs w:val="18"/>
                <w:color w:val="0000FF"/>
              </w:rPr>
            </w:pPr>
            <w:hyperlink r:id="rId113">
              <w:r>
                <w:rPr>
                  <w:rFonts w:ascii="Calibri" w:cs="Calibri" w:eastAsia="Calibri" w:hAnsi="Calibri"/>
                  <w:sz w:val="18"/>
                  <w:szCs w:val="18"/>
                  <w:color w:val="0000FF"/>
                </w:rPr>
                <w:t>Amended and Restated Bylaws.</w:t>
              </w:r>
            </w:hyperlink>
          </w:p>
        </w:tc>
        <w:tc>
          <w:tcPr>
            <w:tcW w:w="1080" w:type="dxa"/>
            <w:vAlign w:val="bottom"/>
            <w:gridSpan w:val="7"/>
          </w:tcPr>
          <w:p>
            <w:pPr>
              <w:spacing w:after="0"/>
              <w:rPr>
                <w:sz w:val="17"/>
                <w:szCs w:val="17"/>
                <w:color w:val="auto"/>
              </w:rPr>
            </w:pPr>
          </w:p>
        </w:tc>
        <w:tc>
          <w:tcPr>
            <w:tcW w:w="2000" w:type="dxa"/>
            <w:vAlign w:val="bottom"/>
            <w:gridSpan w:val="2"/>
          </w:tcPr>
          <w:p>
            <w:pPr>
              <w:ind w:left="20"/>
              <w:spacing w:after="0" w:line="205" w:lineRule="exact"/>
              <w:rPr>
                <w:sz w:val="20"/>
                <w:szCs w:val="20"/>
                <w:color w:val="auto"/>
              </w:rPr>
            </w:pPr>
            <w:r>
              <w:rPr>
                <w:rFonts w:ascii="Calibri" w:cs="Calibri" w:eastAsia="Calibri" w:hAnsi="Calibri"/>
                <w:sz w:val="18"/>
                <w:szCs w:val="18"/>
                <w:color w:val="auto"/>
              </w:rPr>
              <w:t>Broadcom Inc. Current</w:t>
            </w:r>
          </w:p>
        </w:tc>
        <w:tc>
          <w:tcPr>
            <w:tcW w:w="1160" w:type="dxa"/>
            <w:vAlign w:val="bottom"/>
          </w:tcPr>
          <w:p>
            <w:pPr>
              <w:spacing w:after="0" w:line="205" w:lineRule="exact"/>
              <w:rPr>
                <w:sz w:val="20"/>
                <w:szCs w:val="20"/>
                <w:color w:val="auto"/>
              </w:rPr>
            </w:pPr>
            <w:r>
              <w:rPr>
                <w:rFonts w:ascii="Calibri" w:cs="Calibri" w:eastAsia="Calibri" w:hAnsi="Calibri"/>
                <w:sz w:val="18"/>
                <w:szCs w:val="18"/>
                <w:color w:val="auto"/>
              </w:rPr>
              <w:t>001-38449</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Pr>
          <w:p>
            <w:pPr>
              <w:jc w:val="center"/>
              <w:ind w:right="215"/>
              <w:spacing w:after="0" w:line="205" w:lineRule="exact"/>
              <w:rPr>
                <w:sz w:val="20"/>
                <w:szCs w:val="20"/>
                <w:color w:val="auto"/>
              </w:rPr>
            </w:pPr>
            <w:r>
              <w:rPr>
                <w:rFonts w:ascii="Calibri" w:cs="Calibri" w:eastAsia="Calibri" w:hAnsi="Calibri"/>
                <w:sz w:val="18"/>
                <w:szCs w:val="18"/>
                <w:color w:val="auto"/>
                <w:w w:val="96"/>
              </w:rPr>
              <w:t>3.2</w:t>
            </w:r>
          </w:p>
        </w:tc>
        <w:tc>
          <w:tcPr>
            <w:tcW w:w="100" w:type="dxa"/>
            <w:vAlign w:val="bottom"/>
          </w:tcPr>
          <w:p>
            <w:pPr>
              <w:spacing w:after="0"/>
              <w:rPr>
                <w:sz w:val="17"/>
                <w:szCs w:val="17"/>
                <w:color w:val="auto"/>
              </w:rPr>
            </w:pPr>
          </w:p>
        </w:tc>
        <w:tc>
          <w:tcPr>
            <w:tcW w:w="1140" w:type="dxa"/>
            <w:vAlign w:val="bottom"/>
          </w:tcPr>
          <w:p>
            <w:pPr>
              <w:jc w:val="right"/>
              <w:ind w:right="235"/>
              <w:spacing w:after="0" w:line="205" w:lineRule="exact"/>
              <w:rPr>
                <w:sz w:val="20"/>
                <w:szCs w:val="20"/>
                <w:color w:val="auto"/>
              </w:rPr>
            </w:pPr>
            <w:r>
              <w:rPr>
                <w:rFonts w:ascii="Calibri" w:cs="Calibri" w:eastAsia="Calibri" w:hAnsi="Calibri"/>
                <w:sz w:val="18"/>
                <w:szCs w:val="18"/>
                <w:color w:val="auto"/>
                <w:w w:val="95"/>
              </w:rPr>
              <w:t>04-04-2018</w:t>
            </w: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0" w:type="dxa"/>
            <w:vAlign w:val="bottom"/>
            <w:tcBorders>
              <w:top w:val="single" w:sz="8" w:color="0000FF"/>
            </w:tcBorders>
          </w:tcPr>
          <w:p>
            <w:pPr>
              <w:spacing w:after="0"/>
              <w:rPr>
                <w:sz w:val="17"/>
                <w:szCs w:val="17"/>
                <w:color w:val="auto"/>
              </w:rPr>
            </w:pPr>
          </w:p>
        </w:tc>
        <w:tc>
          <w:tcPr>
            <w:tcW w:w="320" w:type="dxa"/>
            <w:vAlign w:val="bottom"/>
            <w:tcBorders>
              <w:top w:val="single" w:sz="8" w:color="0000FF"/>
            </w:tcBorders>
          </w:tcPr>
          <w:p>
            <w:pPr>
              <w:spacing w:after="0"/>
              <w:rPr>
                <w:sz w:val="17"/>
                <w:szCs w:val="17"/>
                <w:color w:val="auto"/>
              </w:rPr>
            </w:pPr>
          </w:p>
        </w:tc>
        <w:tc>
          <w:tcPr>
            <w:tcW w:w="80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0" w:type="dxa"/>
            <w:vAlign w:val="bottom"/>
            <w:gridSpan w:val="2"/>
          </w:tcPr>
          <w:p>
            <w:pPr>
              <w:ind w:left="20"/>
              <w:spacing w:after="0" w:line="196" w:lineRule="exact"/>
              <w:rPr>
                <w:sz w:val="20"/>
                <w:szCs w:val="20"/>
                <w:color w:val="auto"/>
              </w:rPr>
            </w:pPr>
            <w:r>
              <w:rPr>
                <w:rFonts w:ascii="Calibri" w:cs="Calibri" w:eastAsia="Calibri" w:hAnsi="Calibri"/>
                <w:sz w:val="18"/>
                <w:szCs w:val="18"/>
                <w:color w:val="auto"/>
              </w:rPr>
              <w:t>Report on Form 8-K12B</w:t>
            </w: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860" w:type="dxa"/>
            <w:vAlign w:val="bottom"/>
          </w:tcPr>
          <w:p>
            <w:pPr>
              <w:jc w:val="right"/>
              <w:spacing w:after="0" w:line="194" w:lineRule="exact"/>
              <w:rPr>
                <w:sz w:val="20"/>
                <w:szCs w:val="20"/>
                <w:color w:val="auto"/>
              </w:rPr>
            </w:pPr>
            <w:r>
              <w:rPr>
                <w:rFonts w:ascii="Calibri" w:cs="Calibri" w:eastAsia="Calibri" w:hAnsi="Calibri"/>
                <w:sz w:val="18"/>
                <w:szCs w:val="18"/>
                <w:color w:val="auto"/>
              </w:rPr>
              <w:t>4.1</w:t>
            </w: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60" w:type="dxa"/>
            <w:vAlign w:val="bottom"/>
            <w:gridSpan w:val="14"/>
          </w:tcPr>
          <w:p>
            <w:pPr>
              <w:spacing w:after="0" w:line="194" w:lineRule="exact"/>
              <w:rPr>
                <w:rFonts w:ascii="Calibri" w:cs="Calibri" w:eastAsia="Calibri" w:hAnsi="Calibri"/>
                <w:sz w:val="18"/>
                <w:szCs w:val="18"/>
                <w:color w:val="0000FF"/>
              </w:rPr>
            </w:pPr>
            <w:hyperlink r:id="rId114">
              <w:r>
                <w:rPr>
                  <w:rFonts w:ascii="Calibri" w:cs="Calibri" w:eastAsia="Calibri" w:hAnsi="Calibri"/>
                  <w:sz w:val="18"/>
                  <w:szCs w:val="18"/>
                  <w:color w:val="0000FF"/>
                </w:rPr>
                <w:t>Form of Common Stock Certfcate.</w:t>
              </w:r>
            </w:hyperlink>
          </w:p>
        </w:tc>
        <w:tc>
          <w:tcPr>
            <w:tcW w:w="2000" w:type="dxa"/>
            <w:vAlign w:val="bottom"/>
            <w:gridSpan w:val="2"/>
          </w:tcPr>
          <w:p>
            <w:pPr>
              <w:ind w:left="20"/>
              <w:spacing w:after="0" w:line="194" w:lineRule="exact"/>
              <w:rPr>
                <w:sz w:val="20"/>
                <w:szCs w:val="20"/>
                <w:color w:val="auto"/>
              </w:rPr>
            </w:pPr>
            <w:r>
              <w:rPr>
                <w:rFonts w:ascii="Calibri" w:cs="Calibri" w:eastAsia="Calibri" w:hAnsi="Calibri"/>
                <w:sz w:val="18"/>
                <w:szCs w:val="18"/>
                <w:color w:val="auto"/>
              </w:rPr>
              <w:t>Broadcom Inc. Quarterly</w:t>
            </w:r>
          </w:p>
        </w:tc>
        <w:tc>
          <w:tcPr>
            <w:tcW w:w="1160" w:type="dxa"/>
            <w:vAlign w:val="bottom"/>
          </w:tcPr>
          <w:p>
            <w:pPr>
              <w:spacing w:after="0" w:line="194" w:lineRule="exact"/>
              <w:rPr>
                <w:sz w:val="20"/>
                <w:szCs w:val="20"/>
                <w:color w:val="auto"/>
              </w:rPr>
            </w:pPr>
            <w:r>
              <w:rPr>
                <w:rFonts w:ascii="Calibri" w:cs="Calibri" w:eastAsia="Calibri" w:hAnsi="Calibri"/>
                <w:sz w:val="18"/>
                <w:szCs w:val="18"/>
                <w:color w:val="auto"/>
              </w:rPr>
              <w:t>001-38449</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20" w:type="dxa"/>
            <w:vAlign w:val="bottom"/>
          </w:tcPr>
          <w:p>
            <w:pPr>
              <w:jc w:val="center"/>
              <w:ind w:right="215"/>
              <w:spacing w:after="0" w:line="194" w:lineRule="exact"/>
              <w:rPr>
                <w:sz w:val="20"/>
                <w:szCs w:val="20"/>
                <w:color w:val="auto"/>
              </w:rPr>
            </w:pPr>
            <w:r>
              <w:rPr>
                <w:rFonts w:ascii="Calibri" w:cs="Calibri" w:eastAsia="Calibri" w:hAnsi="Calibri"/>
                <w:sz w:val="18"/>
                <w:szCs w:val="18"/>
                <w:color w:val="auto"/>
                <w:w w:val="96"/>
              </w:rPr>
              <w:t>4.1</w:t>
            </w:r>
          </w:p>
        </w:tc>
        <w:tc>
          <w:tcPr>
            <w:tcW w:w="100" w:type="dxa"/>
            <w:vAlign w:val="bottom"/>
          </w:tcPr>
          <w:p>
            <w:pPr>
              <w:spacing w:after="0"/>
              <w:rPr>
                <w:sz w:val="16"/>
                <w:szCs w:val="16"/>
                <w:color w:val="auto"/>
              </w:rPr>
            </w:pPr>
          </w:p>
        </w:tc>
        <w:tc>
          <w:tcPr>
            <w:tcW w:w="1140" w:type="dxa"/>
            <w:vAlign w:val="bottom"/>
          </w:tcPr>
          <w:p>
            <w:pPr>
              <w:jc w:val="right"/>
              <w:ind w:right="235"/>
              <w:spacing w:after="0" w:line="194" w:lineRule="exact"/>
              <w:rPr>
                <w:sz w:val="20"/>
                <w:szCs w:val="20"/>
                <w:color w:val="auto"/>
              </w:rPr>
            </w:pPr>
            <w:r>
              <w:rPr>
                <w:rFonts w:ascii="Calibri" w:cs="Calibri" w:eastAsia="Calibri" w:hAnsi="Calibri"/>
                <w:sz w:val="18"/>
                <w:szCs w:val="18"/>
                <w:color w:val="auto"/>
                <w:w w:val="95"/>
              </w:rPr>
              <w:t>06-14-2018</w:t>
            </w: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0" w:type="dxa"/>
            <w:vAlign w:val="bottom"/>
            <w:tcBorders>
              <w:top w:val="single" w:sz="8" w:color="0000FF"/>
            </w:tcBorders>
          </w:tcPr>
          <w:p>
            <w:pPr>
              <w:spacing w:after="0"/>
              <w:rPr>
                <w:sz w:val="17"/>
                <w:szCs w:val="17"/>
                <w:color w:val="auto"/>
              </w:rPr>
            </w:pPr>
          </w:p>
        </w:tc>
        <w:tc>
          <w:tcPr>
            <w:tcW w:w="320" w:type="dxa"/>
            <w:vAlign w:val="bottom"/>
            <w:tcBorders>
              <w:top w:val="single" w:sz="8" w:color="0000FF"/>
            </w:tcBorders>
          </w:tcPr>
          <w:p>
            <w:pPr>
              <w:spacing w:after="0"/>
              <w:rPr>
                <w:sz w:val="17"/>
                <w:szCs w:val="17"/>
                <w:color w:val="auto"/>
              </w:rPr>
            </w:pPr>
          </w:p>
        </w:tc>
        <w:tc>
          <w:tcPr>
            <w:tcW w:w="80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0" w:type="dxa"/>
            <w:vAlign w:val="bottom"/>
            <w:gridSpan w:val="2"/>
          </w:tcPr>
          <w:p>
            <w:pPr>
              <w:ind w:left="20"/>
              <w:spacing w:after="0" w:line="196" w:lineRule="exact"/>
              <w:rPr>
                <w:sz w:val="20"/>
                <w:szCs w:val="20"/>
                <w:color w:val="auto"/>
              </w:rPr>
            </w:pPr>
            <w:r>
              <w:rPr>
                <w:rFonts w:ascii="Calibri" w:cs="Calibri" w:eastAsia="Calibri" w:hAnsi="Calibri"/>
                <w:sz w:val="18"/>
                <w:szCs w:val="18"/>
                <w:color w:val="auto"/>
              </w:rPr>
              <w:t>Report on Form 10-Q</w:t>
            </w: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860" w:type="dxa"/>
            <w:vAlign w:val="bottom"/>
          </w:tcPr>
          <w:p>
            <w:pPr>
              <w:jc w:val="right"/>
              <w:spacing w:after="0" w:line="194" w:lineRule="exact"/>
              <w:rPr>
                <w:sz w:val="20"/>
                <w:szCs w:val="20"/>
                <w:color w:val="auto"/>
              </w:rPr>
            </w:pPr>
            <w:r>
              <w:rPr>
                <w:rFonts w:ascii="Calibri" w:cs="Calibri" w:eastAsia="Calibri" w:hAnsi="Calibri"/>
                <w:sz w:val="18"/>
                <w:szCs w:val="18"/>
                <w:color w:val="auto"/>
              </w:rPr>
              <w:t>4.2</w:t>
            </w: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60" w:type="dxa"/>
            <w:vAlign w:val="bottom"/>
            <w:gridSpan w:val="14"/>
          </w:tcPr>
          <w:p>
            <w:pPr>
              <w:spacing w:after="0" w:line="194" w:lineRule="exact"/>
              <w:rPr>
                <w:rFonts w:ascii="Calibri" w:cs="Calibri" w:eastAsia="Calibri" w:hAnsi="Calibri"/>
                <w:sz w:val="18"/>
                <w:szCs w:val="18"/>
                <w:color w:val="0000FF"/>
              </w:rPr>
            </w:pPr>
            <w:hyperlink r:id="rId115">
              <w:r>
                <w:rPr>
                  <w:rFonts w:ascii="Calibri" w:cs="Calibri" w:eastAsia="Calibri" w:hAnsi="Calibri"/>
                  <w:sz w:val="18"/>
                  <w:szCs w:val="18"/>
                  <w:color w:val="0000FF"/>
                </w:rPr>
                <w:t>Descripton of Common Stock.</w:t>
              </w:r>
            </w:hyperlink>
          </w:p>
        </w:tc>
        <w:tc>
          <w:tcPr>
            <w:tcW w:w="2000" w:type="dxa"/>
            <w:vAlign w:val="bottom"/>
            <w:gridSpan w:val="2"/>
          </w:tcPr>
          <w:p>
            <w:pPr>
              <w:ind w:left="20"/>
              <w:spacing w:after="0" w:line="194" w:lineRule="exact"/>
              <w:rPr>
                <w:sz w:val="20"/>
                <w:szCs w:val="20"/>
                <w:color w:val="auto"/>
              </w:rPr>
            </w:pPr>
            <w:r>
              <w:rPr>
                <w:rFonts w:ascii="Calibri" w:cs="Calibri" w:eastAsia="Calibri" w:hAnsi="Calibri"/>
                <w:sz w:val="18"/>
                <w:szCs w:val="18"/>
                <w:color w:val="auto"/>
              </w:rPr>
              <w:t>Broadcom Inc. Annual</w:t>
            </w:r>
          </w:p>
        </w:tc>
        <w:tc>
          <w:tcPr>
            <w:tcW w:w="1160" w:type="dxa"/>
            <w:vAlign w:val="bottom"/>
          </w:tcPr>
          <w:p>
            <w:pPr>
              <w:spacing w:after="0" w:line="194" w:lineRule="exact"/>
              <w:rPr>
                <w:sz w:val="20"/>
                <w:szCs w:val="20"/>
                <w:color w:val="auto"/>
              </w:rPr>
            </w:pPr>
            <w:r>
              <w:rPr>
                <w:rFonts w:ascii="Calibri" w:cs="Calibri" w:eastAsia="Calibri" w:hAnsi="Calibri"/>
                <w:sz w:val="18"/>
                <w:szCs w:val="18"/>
                <w:color w:val="auto"/>
              </w:rPr>
              <w:t>001-38449</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20" w:type="dxa"/>
            <w:vAlign w:val="bottom"/>
          </w:tcPr>
          <w:p>
            <w:pPr>
              <w:jc w:val="center"/>
              <w:ind w:right="215"/>
              <w:spacing w:after="0" w:line="194" w:lineRule="exact"/>
              <w:rPr>
                <w:sz w:val="20"/>
                <w:szCs w:val="20"/>
                <w:color w:val="auto"/>
              </w:rPr>
            </w:pPr>
            <w:r>
              <w:rPr>
                <w:rFonts w:ascii="Calibri" w:cs="Calibri" w:eastAsia="Calibri" w:hAnsi="Calibri"/>
                <w:sz w:val="18"/>
                <w:szCs w:val="18"/>
                <w:color w:val="auto"/>
                <w:w w:val="96"/>
              </w:rPr>
              <w:t>4.3</w:t>
            </w:r>
          </w:p>
        </w:tc>
        <w:tc>
          <w:tcPr>
            <w:tcW w:w="100" w:type="dxa"/>
            <w:vAlign w:val="bottom"/>
          </w:tcPr>
          <w:p>
            <w:pPr>
              <w:spacing w:after="0"/>
              <w:rPr>
                <w:sz w:val="16"/>
                <w:szCs w:val="16"/>
                <w:color w:val="auto"/>
              </w:rPr>
            </w:pPr>
          </w:p>
        </w:tc>
        <w:tc>
          <w:tcPr>
            <w:tcW w:w="1140" w:type="dxa"/>
            <w:vAlign w:val="bottom"/>
          </w:tcPr>
          <w:p>
            <w:pPr>
              <w:jc w:val="right"/>
              <w:ind w:right="235"/>
              <w:spacing w:after="0" w:line="194" w:lineRule="exact"/>
              <w:rPr>
                <w:sz w:val="20"/>
                <w:szCs w:val="20"/>
                <w:color w:val="auto"/>
              </w:rPr>
            </w:pPr>
            <w:r>
              <w:rPr>
                <w:rFonts w:ascii="Calibri" w:cs="Calibri" w:eastAsia="Calibri" w:hAnsi="Calibri"/>
                <w:sz w:val="18"/>
                <w:szCs w:val="18"/>
                <w:color w:val="auto"/>
                <w:w w:val="95"/>
              </w:rPr>
              <w:t>12-20-2019</w:t>
            </w: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0" w:type="dxa"/>
            <w:vAlign w:val="bottom"/>
            <w:tcBorders>
              <w:top w:val="single" w:sz="8" w:color="0000FF"/>
            </w:tcBorders>
          </w:tcPr>
          <w:p>
            <w:pPr>
              <w:spacing w:after="0"/>
              <w:rPr>
                <w:sz w:val="17"/>
                <w:szCs w:val="17"/>
                <w:color w:val="auto"/>
              </w:rPr>
            </w:pPr>
          </w:p>
        </w:tc>
        <w:tc>
          <w:tcPr>
            <w:tcW w:w="320" w:type="dxa"/>
            <w:vAlign w:val="bottom"/>
            <w:tcBorders>
              <w:top w:val="single" w:sz="8" w:color="0000FF"/>
            </w:tcBorders>
          </w:tcPr>
          <w:p>
            <w:pPr>
              <w:spacing w:after="0"/>
              <w:rPr>
                <w:sz w:val="17"/>
                <w:szCs w:val="17"/>
                <w:color w:val="auto"/>
              </w:rPr>
            </w:pPr>
          </w:p>
        </w:tc>
        <w:tc>
          <w:tcPr>
            <w:tcW w:w="800" w:type="dxa"/>
            <w:vAlign w:val="bottom"/>
            <w:tcBorders>
              <w:top w:val="single" w:sz="8" w:color="0000FF"/>
            </w:tcBorders>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0" w:type="dxa"/>
            <w:vAlign w:val="bottom"/>
            <w:gridSpan w:val="2"/>
          </w:tcPr>
          <w:p>
            <w:pPr>
              <w:ind w:left="20"/>
              <w:spacing w:after="0" w:line="196" w:lineRule="exact"/>
              <w:rPr>
                <w:sz w:val="20"/>
                <w:szCs w:val="20"/>
                <w:color w:val="auto"/>
              </w:rPr>
            </w:pPr>
            <w:r>
              <w:rPr>
                <w:rFonts w:ascii="Calibri" w:cs="Calibri" w:eastAsia="Calibri" w:hAnsi="Calibri"/>
                <w:sz w:val="18"/>
                <w:szCs w:val="18"/>
                <w:color w:val="auto"/>
              </w:rPr>
              <w:t>Report on Form 10-K</w:t>
            </w: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85"/>
        </w:trPr>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00" w:type="dxa"/>
            <w:vAlign w:val="bottom"/>
          </w:tcPr>
          <w:p>
            <w:pPr>
              <w:ind w:left="700"/>
              <w:spacing w:after="0"/>
              <w:rPr>
                <w:sz w:val="20"/>
                <w:szCs w:val="20"/>
                <w:color w:val="auto"/>
              </w:rPr>
            </w:pPr>
            <w:r>
              <w:rPr>
                <w:rFonts w:ascii="Calibri" w:cs="Calibri" w:eastAsia="Calibri" w:hAnsi="Calibri"/>
                <w:sz w:val="18"/>
                <w:szCs w:val="18"/>
                <w:color w:val="auto"/>
              </w:rPr>
              <w:t>91</w:t>
            </w: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860" w:type="dxa"/>
            <w:vAlign w:val="bottom"/>
            <w:tcBorders>
              <w:bottom w:val="single" w:sz="8" w:color="9A9A9A"/>
            </w:tcBorders>
          </w:tcPr>
          <w:p>
            <w:pPr>
              <w:spacing w:after="0"/>
              <w:rPr>
                <w:sz w:val="11"/>
                <w:szCs w:val="11"/>
                <w:color w:val="auto"/>
              </w:rPr>
            </w:pPr>
          </w:p>
        </w:tc>
        <w:tc>
          <w:tcPr>
            <w:tcW w:w="300" w:type="dxa"/>
            <w:vAlign w:val="bottom"/>
            <w:tcBorders>
              <w:bottom w:val="single" w:sz="8" w:color="9A9A9A"/>
            </w:tcBorders>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c>
          <w:tcPr>
            <w:tcW w:w="980" w:type="dxa"/>
            <w:vAlign w:val="bottom"/>
            <w:tcBorders>
              <w:bottom w:val="single" w:sz="8" w:color="9A9A9A"/>
            </w:tcBorders>
          </w:tcPr>
          <w:p>
            <w:pPr>
              <w:spacing w:after="0"/>
              <w:rPr>
                <w:sz w:val="11"/>
                <w:szCs w:val="11"/>
                <w:color w:val="auto"/>
              </w:rPr>
            </w:pPr>
          </w:p>
        </w:tc>
        <w:tc>
          <w:tcPr>
            <w:tcW w:w="320" w:type="dxa"/>
            <w:vAlign w:val="bottom"/>
            <w:tcBorders>
              <w:bottom w:val="single" w:sz="8" w:color="9A9A9A"/>
            </w:tcBorders>
          </w:tcPr>
          <w:p>
            <w:pPr>
              <w:spacing w:after="0"/>
              <w:rPr>
                <w:sz w:val="11"/>
                <w:szCs w:val="11"/>
                <w:color w:val="auto"/>
              </w:rPr>
            </w:pPr>
          </w:p>
        </w:tc>
        <w:tc>
          <w:tcPr>
            <w:tcW w:w="800" w:type="dxa"/>
            <w:vAlign w:val="bottom"/>
            <w:tcBorders>
              <w:bottom w:val="single" w:sz="8" w:color="9A9A9A"/>
            </w:tcBorders>
          </w:tcPr>
          <w:p>
            <w:pPr>
              <w:spacing w:after="0"/>
              <w:rPr>
                <w:sz w:val="11"/>
                <w:szCs w:val="11"/>
                <w:color w:val="auto"/>
              </w:rPr>
            </w:pPr>
          </w:p>
        </w:tc>
        <w:tc>
          <w:tcPr>
            <w:tcW w:w="80" w:type="dxa"/>
            <w:vAlign w:val="bottom"/>
            <w:tcBorders>
              <w:bottom w:val="single" w:sz="8" w:color="9A9A9A"/>
            </w:tcBorders>
          </w:tcPr>
          <w:p>
            <w:pPr>
              <w:spacing w:after="0"/>
              <w:rPr>
                <w:sz w:val="11"/>
                <w:szCs w:val="11"/>
                <w:color w:val="auto"/>
              </w:rPr>
            </w:pPr>
          </w:p>
        </w:tc>
        <w:tc>
          <w:tcPr>
            <w:tcW w:w="240" w:type="dxa"/>
            <w:vAlign w:val="bottom"/>
            <w:tcBorders>
              <w:bottom w:val="single" w:sz="8" w:color="9A9A9A"/>
            </w:tcBorders>
          </w:tcPr>
          <w:p>
            <w:pPr>
              <w:spacing w:after="0"/>
              <w:rPr>
                <w:sz w:val="11"/>
                <w:szCs w:val="11"/>
                <w:color w:val="auto"/>
              </w:rPr>
            </w:pPr>
          </w:p>
        </w:tc>
        <w:tc>
          <w:tcPr>
            <w:tcW w:w="140" w:type="dxa"/>
            <w:vAlign w:val="bottom"/>
            <w:tcBorders>
              <w:bottom w:val="single" w:sz="8" w:color="9A9A9A"/>
            </w:tcBorders>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c>
          <w:tcPr>
            <w:tcW w:w="440" w:type="dxa"/>
            <w:vAlign w:val="bottom"/>
            <w:tcBorders>
              <w:bottom w:val="single" w:sz="8" w:color="9A9A9A"/>
            </w:tcBorders>
          </w:tcPr>
          <w:p>
            <w:pPr>
              <w:spacing w:after="0"/>
              <w:rPr>
                <w:sz w:val="11"/>
                <w:szCs w:val="11"/>
                <w:color w:val="auto"/>
              </w:rPr>
            </w:pPr>
          </w:p>
        </w:tc>
        <w:tc>
          <w:tcPr>
            <w:tcW w:w="300" w:type="dxa"/>
            <w:vAlign w:val="bottom"/>
            <w:tcBorders>
              <w:bottom w:val="single" w:sz="8" w:color="9A9A9A"/>
            </w:tcBorders>
          </w:tcPr>
          <w:p>
            <w:pPr>
              <w:spacing w:after="0"/>
              <w:rPr>
                <w:sz w:val="11"/>
                <w:szCs w:val="11"/>
                <w:color w:val="auto"/>
              </w:rPr>
            </w:pPr>
          </w:p>
        </w:tc>
        <w:tc>
          <w:tcPr>
            <w:tcW w:w="100" w:type="dxa"/>
            <w:vAlign w:val="bottom"/>
            <w:tcBorders>
              <w:bottom w:val="single" w:sz="8" w:color="9A9A9A"/>
            </w:tcBorders>
          </w:tcPr>
          <w:p>
            <w:pPr>
              <w:spacing w:after="0"/>
              <w:rPr>
                <w:sz w:val="11"/>
                <w:szCs w:val="11"/>
                <w:color w:val="auto"/>
              </w:rPr>
            </w:pPr>
          </w:p>
        </w:tc>
        <w:tc>
          <w:tcPr>
            <w:tcW w:w="60" w:type="dxa"/>
            <w:vAlign w:val="bottom"/>
            <w:tcBorders>
              <w:bottom w:val="single" w:sz="8" w:color="9A9A9A"/>
            </w:tcBorders>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c>
          <w:tcPr>
            <w:tcW w:w="60" w:type="dxa"/>
            <w:vAlign w:val="bottom"/>
            <w:tcBorders>
              <w:bottom w:val="single" w:sz="8" w:color="9A9A9A"/>
            </w:tcBorders>
          </w:tcPr>
          <w:p>
            <w:pPr>
              <w:spacing w:after="0"/>
              <w:rPr>
                <w:sz w:val="11"/>
                <w:szCs w:val="11"/>
                <w:color w:val="auto"/>
              </w:rPr>
            </w:pPr>
          </w:p>
        </w:tc>
        <w:tc>
          <w:tcPr>
            <w:tcW w:w="100" w:type="dxa"/>
            <w:vAlign w:val="bottom"/>
            <w:tcBorders>
              <w:bottom w:val="single" w:sz="8" w:color="9A9A9A"/>
            </w:tcBorders>
          </w:tcPr>
          <w:p>
            <w:pPr>
              <w:spacing w:after="0"/>
              <w:rPr>
                <w:sz w:val="11"/>
                <w:szCs w:val="11"/>
                <w:color w:val="auto"/>
              </w:rPr>
            </w:pPr>
          </w:p>
        </w:tc>
        <w:tc>
          <w:tcPr>
            <w:tcW w:w="1900" w:type="dxa"/>
            <w:vAlign w:val="bottom"/>
            <w:tcBorders>
              <w:bottom w:val="single" w:sz="8" w:color="9A9A9A"/>
            </w:tcBorders>
          </w:tcPr>
          <w:p>
            <w:pPr>
              <w:spacing w:after="0"/>
              <w:rPr>
                <w:sz w:val="11"/>
                <w:szCs w:val="11"/>
                <w:color w:val="auto"/>
              </w:rPr>
            </w:pPr>
          </w:p>
        </w:tc>
        <w:tc>
          <w:tcPr>
            <w:tcW w:w="100" w:type="dxa"/>
            <w:vAlign w:val="bottom"/>
            <w:tcBorders>
              <w:bottom w:val="single" w:sz="8" w:color="9A9A9A"/>
            </w:tcBorders>
          </w:tcPr>
          <w:p>
            <w:pPr>
              <w:spacing w:after="0"/>
              <w:rPr>
                <w:sz w:val="11"/>
                <w:szCs w:val="11"/>
                <w:color w:val="auto"/>
              </w:rPr>
            </w:pPr>
          </w:p>
        </w:tc>
        <w:tc>
          <w:tcPr>
            <w:tcW w:w="1160" w:type="dxa"/>
            <w:vAlign w:val="bottom"/>
            <w:tcBorders>
              <w:bottom w:val="single" w:sz="8" w:color="9A9A9A"/>
            </w:tcBorders>
          </w:tcPr>
          <w:p>
            <w:pPr>
              <w:spacing w:after="0"/>
              <w:rPr>
                <w:sz w:val="11"/>
                <w:szCs w:val="11"/>
                <w:color w:val="auto"/>
              </w:rPr>
            </w:pPr>
          </w:p>
        </w:tc>
        <w:tc>
          <w:tcPr>
            <w:tcW w:w="100" w:type="dxa"/>
            <w:vAlign w:val="bottom"/>
            <w:tcBorders>
              <w:bottom w:val="single" w:sz="8" w:color="9A9A9A"/>
            </w:tcBorders>
          </w:tcPr>
          <w:p>
            <w:pPr>
              <w:spacing w:after="0"/>
              <w:rPr>
                <w:sz w:val="11"/>
                <w:szCs w:val="11"/>
                <w:color w:val="auto"/>
              </w:rPr>
            </w:pPr>
          </w:p>
        </w:tc>
        <w:tc>
          <w:tcPr>
            <w:tcW w:w="280" w:type="dxa"/>
            <w:vAlign w:val="bottom"/>
            <w:tcBorders>
              <w:bottom w:val="single" w:sz="8" w:color="9A9A9A"/>
            </w:tcBorders>
          </w:tcPr>
          <w:p>
            <w:pPr>
              <w:spacing w:after="0"/>
              <w:rPr>
                <w:sz w:val="11"/>
                <w:szCs w:val="11"/>
                <w:color w:val="auto"/>
              </w:rPr>
            </w:pPr>
          </w:p>
        </w:tc>
        <w:tc>
          <w:tcPr>
            <w:tcW w:w="720" w:type="dxa"/>
            <w:vAlign w:val="bottom"/>
            <w:tcBorders>
              <w:bottom w:val="single" w:sz="8" w:color="9A9A9A"/>
            </w:tcBorders>
          </w:tcPr>
          <w:p>
            <w:pPr>
              <w:spacing w:after="0"/>
              <w:rPr>
                <w:sz w:val="11"/>
                <w:szCs w:val="11"/>
                <w:color w:val="auto"/>
              </w:rPr>
            </w:pPr>
          </w:p>
        </w:tc>
        <w:tc>
          <w:tcPr>
            <w:tcW w:w="100" w:type="dxa"/>
            <w:vAlign w:val="bottom"/>
            <w:tcBorders>
              <w:bottom w:val="single" w:sz="8" w:color="9A9A9A"/>
            </w:tcBorders>
          </w:tcPr>
          <w:p>
            <w:pPr>
              <w:spacing w:after="0"/>
              <w:rPr>
                <w:sz w:val="11"/>
                <w:szCs w:val="11"/>
                <w:color w:val="auto"/>
              </w:rPr>
            </w:pPr>
          </w:p>
        </w:tc>
        <w:tc>
          <w:tcPr>
            <w:tcW w:w="1140" w:type="dxa"/>
            <w:vAlign w:val="bottom"/>
            <w:tcBorders>
              <w:bottom w:val="single" w:sz="8" w:color="9A9A9A"/>
            </w:tcBorders>
          </w:tcPr>
          <w:p>
            <w:pPr>
              <w:spacing w:after="0"/>
              <w:rPr>
                <w:sz w:val="11"/>
                <w:szCs w:val="11"/>
                <w:color w:val="auto"/>
              </w:rPr>
            </w:pPr>
          </w:p>
        </w:tc>
        <w:tc>
          <w:tcPr>
            <w:tcW w:w="120" w:type="dxa"/>
            <w:vAlign w:val="bottom"/>
            <w:tcBorders>
              <w:bottom w:val="single" w:sz="8" w:color="9A9A9A"/>
            </w:tcBorders>
          </w:tcPr>
          <w:p>
            <w:pPr>
              <w:spacing w:after="0"/>
              <w:rPr>
                <w:sz w:val="11"/>
                <w:szCs w:val="11"/>
                <w:color w:val="auto"/>
              </w:rPr>
            </w:pPr>
          </w:p>
        </w:tc>
        <w:tc>
          <w:tcPr>
            <w:tcW w:w="780" w:type="dxa"/>
            <w:vAlign w:val="bottom"/>
            <w:tcBorders>
              <w:bottom w:val="single" w:sz="8" w:color="9A9A9A"/>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-28575</wp:posOffset>
            </wp:positionV>
            <wp:extent cx="33655" cy="4191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6">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-28575</wp:posOffset>
            </wp:positionV>
            <wp:extent cx="33655" cy="4191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7">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09" w:right="339" w:bottom="1440" w:gutter="0" w:footer="0" w:header="0"/>
        </w:sectPr>
      </w:pPr>
    </w:p>
    <w:bookmarkStart w:id="93" w:name="page94"/>
    <w:bookmarkEnd w:id="93"/>
    <w:p>
      <w:pPr>
        <w:spacing w:after="0"/>
        <w:rPr>
          <w:sz w:val="20"/>
          <w:szCs w:val="20"/>
          <w:color w:val="auto"/>
        </w:rPr>
      </w:pPr>
      <w:r>
        <w:rPr>
          <w:rFonts w:ascii="Calibri" w:cs="Calibri" w:eastAsia="Calibri" w:hAnsi="Calibri"/>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gridSpan w:val="3"/>
          </w:tcPr>
          <w:p>
            <w:pPr>
              <w:spacing w:after="0"/>
              <w:rPr>
                <w:sz w:val="20"/>
                <w:szCs w:val="20"/>
                <w:color w:val="auto"/>
              </w:rPr>
            </w:pPr>
            <w:r>
              <w:rPr>
                <w:rFonts w:ascii="Calibri" w:cs="Calibri" w:eastAsia="Calibri" w:hAnsi="Calibri"/>
                <w:sz w:val="14"/>
                <w:szCs w:val="14"/>
                <w:color w:val="auto"/>
                <w:w w:val="99"/>
              </w:rPr>
              <w:t>Incorporated by Reference</w:t>
            </w: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1160" w:type="dxa"/>
            <w:vAlign w:val="bottom"/>
            <w:gridSpan w:val="2"/>
            <w:vMerge w:val="restart"/>
          </w:tcPr>
          <w:p>
            <w:pPr>
              <w:jc w:val="center"/>
              <w:ind w:right="300"/>
              <w:spacing w:after="0"/>
              <w:rPr>
                <w:sz w:val="20"/>
                <w:szCs w:val="20"/>
                <w:color w:val="auto"/>
              </w:rPr>
            </w:pPr>
            <w:r>
              <w:rPr>
                <w:rFonts w:ascii="Calibri" w:cs="Calibri" w:eastAsia="Calibri" w:hAnsi="Calibri"/>
                <w:sz w:val="14"/>
                <w:szCs w:val="14"/>
                <w:color w:val="auto"/>
                <w:w w:val="98"/>
              </w:rPr>
              <w:t>Exhibit</w:t>
            </w:r>
          </w:p>
        </w:tc>
        <w:tc>
          <w:tcPr>
            <w:tcW w:w="20" w:type="dxa"/>
            <w:vAlign w:val="bottom"/>
          </w:tcPr>
          <w:p>
            <w:pPr>
              <w:spacing w:after="0"/>
              <w:rPr>
                <w:sz w:val="3"/>
                <w:szCs w:val="3"/>
                <w:color w:val="auto"/>
              </w:rPr>
            </w:pPr>
          </w:p>
        </w:tc>
        <w:tc>
          <w:tcPr>
            <w:tcW w:w="54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20" w:type="dxa"/>
            <w:vAlign w:val="bottom"/>
          </w:tcPr>
          <w:p>
            <w:pPr>
              <w:spacing w:after="0"/>
              <w:rPr>
                <w:sz w:val="3"/>
                <w:szCs w:val="3"/>
                <w:color w:val="auto"/>
              </w:rPr>
            </w:pPr>
          </w:p>
        </w:tc>
        <w:tc>
          <w:tcPr>
            <w:tcW w:w="900" w:type="dxa"/>
            <w:vAlign w:val="bottom"/>
          </w:tcPr>
          <w:p>
            <w:pPr>
              <w:spacing w:after="0"/>
              <w:rPr>
                <w:sz w:val="3"/>
                <w:szCs w:val="3"/>
                <w:color w:val="auto"/>
              </w:rPr>
            </w:pPr>
          </w:p>
        </w:tc>
        <w:tc>
          <w:tcPr>
            <w:tcW w:w="2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9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11"/>
        </w:trPr>
        <w:tc>
          <w:tcPr>
            <w:tcW w:w="1160" w:type="dxa"/>
            <w:vAlign w:val="bottom"/>
            <w:gridSpan w:val="2"/>
            <w:vMerge w:val="continue"/>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80" w:type="dxa"/>
            <w:vAlign w:val="bottom"/>
            <w:gridSpan w:val="25"/>
            <w:vMerge w:val="restart"/>
          </w:tcPr>
          <w:p>
            <w:pPr>
              <w:ind w:left="360"/>
              <w:spacing w:after="0"/>
              <w:rPr>
                <w:sz w:val="20"/>
                <w:szCs w:val="20"/>
                <w:color w:val="auto"/>
              </w:rPr>
            </w:pPr>
            <w:r>
              <w:rPr>
                <w:rFonts w:ascii="Calibri" w:cs="Calibri" w:eastAsia="Calibri" w:hAnsi="Calibri"/>
                <w:sz w:val="14"/>
                <w:szCs w:val="14"/>
                <w:color w:val="auto"/>
              </w:rPr>
              <w:t>Descripton</w:t>
            </w:r>
          </w:p>
        </w:tc>
        <w:tc>
          <w:tcPr>
            <w:tcW w:w="2000" w:type="dxa"/>
            <w:vAlign w:val="bottom"/>
            <w:gridSpan w:val="2"/>
            <w:vMerge w:val="restart"/>
          </w:tcPr>
          <w:p>
            <w:pPr>
              <w:ind w:left="800"/>
              <w:spacing w:after="0"/>
              <w:rPr>
                <w:sz w:val="20"/>
                <w:szCs w:val="20"/>
                <w:color w:val="auto"/>
              </w:rPr>
            </w:pPr>
            <w:r>
              <w:rPr>
                <w:rFonts w:ascii="Calibri" w:cs="Calibri" w:eastAsia="Calibri" w:hAnsi="Calibri"/>
                <w:sz w:val="14"/>
                <w:szCs w:val="14"/>
                <w:color w:val="auto"/>
              </w:rPr>
              <w:t>Form</w:t>
            </w:r>
          </w:p>
        </w:tc>
        <w:tc>
          <w:tcPr>
            <w:tcW w:w="1540" w:type="dxa"/>
            <w:vAlign w:val="bottom"/>
            <w:gridSpan w:val="3"/>
            <w:vMerge w:val="restart"/>
          </w:tcPr>
          <w:p>
            <w:pPr>
              <w:ind w:left="360"/>
              <w:spacing w:after="0"/>
              <w:rPr>
                <w:sz w:val="20"/>
                <w:szCs w:val="20"/>
                <w:color w:val="auto"/>
              </w:rPr>
            </w:pPr>
            <w:r>
              <w:rPr>
                <w:rFonts w:ascii="Calibri" w:cs="Calibri" w:eastAsia="Calibri" w:hAnsi="Calibri"/>
                <w:sz w:val="14"/>
                <w:szCs w:val="14"/>
                <w:color w:val="auto"/>
              </w:rPr>
              <w:t>File No.</w:t>
            </w:r>
          </w:p>
        </w:tc>
        <w:tc>
          <w:tcPr>
            <w:tcW w:w="820" w:type="dxa"/>
            <w:vAlign w:val="bottom"/>
            <w:gridSpan w:val="2"/>
            <w:vMerge w:val="restart"/>
          </w:tcPr>
          <w:p>
            <w:pPr>
              <w:jc w:val="center"/>
              <w:ind w:right="400"/>
              <w:spacing w:after="0"/>
              <w:rPr>
                <w:sz w:val="20"/>
                <w:szCs w:val="20"/>
                <w:color w:val="auto"/>
              </w:rPr>
            </w:pPr>
            <w:r>
              <w:rPr>
                <w:rFonts w:ascii="Calibri" w:cs="Calibri" w:eastAsia="Calibri" w:hAnsi="Calibri"/>
                <w:sz w:val="14"/>
                <w:szCs w:val="14"/>
                <w:color w:val="auto"/>
                <w:w w:val="98"/>
              </w:rPr>
              <w:t>Exhibit</w:t>
            </w:r>
          </w:p>
        </w:tc>
        <w:tc>
          <w:tcPr>
            <w:tcW w:w="1140" w:type="dxa"/>
            <w:vAlign w:val="bottom"/>
            <w:vMerge w:val="restart"/>
          </w:tcPr>
          <w:p>
            <w:pPr>
              <w:jc w:val="right"/>
              <w:ind w:right="173"/>
              <w:spacing w:after="0"/>
              <w:rPr>
                <w:sz w:val="20"/>
                <w:szCs w:val="20"/>
                <w:color w:val="auto"/>
              </w:rPr>
            </w:pPr>
            <w:r>
              <w:rPr>
                <w:rFonts w:ascii="Calibri" w:cs="Calibri" w:eastAsia="Calibri" w:hAnsi="Calibri"/>
                <w:sz w:val="14"/>
                <w:szCs w:val="14"/>
                <w:color w:val="auto"/>
              </w:rPr>
              <w:t>Filing Date</w:t>
            </w:r>
          </w:p>
        </w:tc>
        <w:tc>
          <w:tcPr>
            <w:tcW w:w="0" w:type="dxa"/>
            <w:vAlign w:val="bottom"/>
          </w:tcPr>
          <w:p>
            <w:pPr>
              <w:spacing w:after="0"/>
              <w:rPr>
                <w:sz w:val="1"/>
                <w:szCs w:val="1"/>
                <w:color w:val="auto"/>
              </w:rPr>
            </w:pPr>
          </w:p>
        </w:tc>
      </w:tr>
      <w:tr>
        <w:trPr>
          <w:trHeight w:val="168"/>
        </w:trPr>
        <w:tc>
          <w:tcPr>
            <w:tcW w:w="1160" w:type="dxa"/>
            <w:vAlign w:val="bottom"/>
            <w:gridSpan w:val="2"/>
          </w:tcPr>
          <w:p>
            <w:pPr>
              <w:jc w:val="center"/>
              <w:ind w:right="300"/>
              <w:spacing w:after="0" w:line="168" w:lineRule="exact"/>
              <w:rPr>
                <w:sz w:val="20"/>
                <w:szCs w:val="20"/>
                <w:color w:val="auto"/>
              </w:rPr>
            </w:pPr>
            <w:r>
              <w:rPr>
                <w:rFonts w:ascii="Calibri" w:cs="Calibri" w:eastAsia="Calibri" w:hAnsi="Calibri"/>
                <w:sz w:val="14"/>
                <w:szCs w:val="14"/>
                <w:color w:val="auto"/>
                <w:w w:val="98"/>
              </w:rPr>
              <w:t>Number</w:t>
            </w:r>
          </w:p>
        </w:tc>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80" w:type="dxa"/>
            <w:vAlign w:val="bottom"/>
            <w:gridSpan w:val="25"/>
            <w:vMerge w:val="continue"/>
          </w:tcPr>
          <w:p>
            <w:pPr>
              <w:spacing w:after="0"/>
              <w:rPr>
                <w:sz w:val="14"/>
                <w:szCs w:val="14"/>
                <w:color w:val="auto"/>
              </w:rPr>
            </w:pPr>
          </w:p>
        </w:tc>
        <w:tc>
          <w:tcPr>
            <w:tcW w:w="2000" w:type="dxa"/>
            <w:vAlign w:val="bottom"/>
            <w:gridSpan w:val="2"/>
            <w:vMerge w:val="continue"/>
          </w:tcPr>
          <w:p>
            <w:pPr>
              <w:spacing w:after="0"/>
              <w:rPr>
                <w:sz w:val="14"/>
                <w:szCs w:val="14"/>
                <w:color w:val="auto"/>
              </w:rPr>
            </w:pPr>
          </w:p>
        </w:tc>
        <w:tc>
          <w:tcPr>
            <w:tcW w:w="1540" w:type="dxa"/>
            <w:vAlign w:val="bottom"/>
            <w:gridSpan w:val="3"/>
            <w:vMerge w:val="continue"/>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2"/>
        </w:trPr>
        <w:tc>
          <w:tcPr>
            <w:tcW w:w="86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860" w:type="dxa"/>
            <w:vAlign w:val="bottom"/>
          </w:tcPr>
          <w:p>
            <w:pPr>
              <w:jc w:val="right"/>
              <w:spacing w:after="0" w:line="165" w:lineRule="exact"/>
              <w:rPr>
                <w:sz w:val="20"/>
                <w:szCs w:val="20"/>
                <w:color w:val="auto"/>
              </w:rPr>
            </w:pPr>
            <w:r>
              <w:rPr>
                <w:rFonts w:ascii="Calibri" w:cs="Calibri" w:eastAsia="Calibri" w:hAnsi="Calibri"/>
                <w:sz w:val="18"/>
                <w:szCs w:val="18"/>
                <w:color w:val="auto"/>
              </w:rPr>
              <w:t>4.3</w:t>
            </w: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560" w:type="dxa"/>
            <w:vAlign w:val="bottom"/>
            <w:gridSpan w:val="27"/>
          </w:tcPr>
          <w:p>
            <w:pPr>
              <w:spacing w:after="0" w:line="165" w:lineRule="exact"/>
              <w:rPr>
                <w:rFonts w:ascii="Calibri" w:cs="Calibri" w:eastAsia="Calibri" w:hAnsi="Calibri"/>
                <w:sz w:val="18"/>
                <w:szCs w:val="18"/>
                <w:color w:val="0000FF"/>
              </w:rPr>
            </w:pPr>
            <w:hyperlink r:id="rId118">
              <w:r>
                <w:rPr>
                  <w:rFonts w:ascii="Calibri" w:cs="Calibri" w:eastAsia="Calibri" w:hAnsi="Calibri"/>
                  <w:sz w:val="18"/>
                  <w:szCs w:val="18"/>
                  <w:color w:val="0000FF"/>
                </w:rPr>
                <w:t>Indenture, dated as of January 19, 2017, by and</w:t>
              </w:r>
            </w:hyperlink>
          </w:p>
        </w:tc>
        <w:tc>
          <w:tcPr>
            <w:tcW w:w="100" w:type="dxa"/>
            <w:vAlign w:val="bottom"/>
          </w:tcPr>
          <w:p>
            <w:pPr>
              <w:spacing w:after="0"/>
              <w:rPr>
                <w:sz w:val="14"/>
                <w:szCs w:val="14"/>
                <w:color w:val="auto"/>
              </w:rPr>
            </w:pPr>
          </w:p>
        </w:tc>
        <w:tc>
          <w:tcPr>
            <w:tcW w:w="1900" w:type="dxa"/>
            <w:vAlign w:val="bottom"/>
          </w:tcPr>
          <w:p>
            <w:pPr>
              <w:ind w:left="20"/>
              <w:spacing w:after="0" w:line="165" w:lineRule="exact"/>
              <w:rPr>
                <w:sz w:val="20"/>
                <w:szCs w:val="20"/>
                <w:color w:val="auto"/>
              </w:rPr>
            </w:pPr>
            <w:r>
              <w:rPr>
                <w:rFonts w:ascii="Calibri" w:cs="Calibri" w:eastAsia="Calibri" w:hAnsi="Calibri"/>
                <w:sz w:val="18"/>
                <w:szCs w:val="18"/>
                <w:color w:val="auto"/>
                <w:w w:val="95"/>
              </w:rPr>
              <w:t>Broadcom Limited Current</w:t>
            </w:r>
          </w:p>
        </w:tc>
        <w:tc>
          <w:tcPr>
            <w:tcW w:w="100" w:type="dxa"/>
            <w:vAlign w:val="bottom"/>
          </w:tcPr>
          <w:p>
            <w:pPr>
              <w:spacing w:after="0"/>
              <w:rPr>
                <w:sz w:val="14"/>
                <w:szCs w:val="14"/>
                <w:color w:val="auto"/>
              </w:rPr>
            </w:pPr>
          </w:p>
        </w:tc>
        <w:tc>
          <w:tcPr>
            <w:tcW w:w="1160" w:type="dxa"/>
            <w:vAlign w:val="bottom"/>
          </w:tcPr>
          <w:p>
            <w:pPr>
              <w:spacing w:after="0" w:line="165" w:lineRule="exact"/>
              <w:rPr>
                <w:sz w:val="20"/>
                <w:szCs w:val="20"/>
                <w:color w:val="auto"/>
              </w:rPr>
            </w:pPr>
            <w:r>
              <w:rPr>
                <w:rFonts w:ascii="Calibri" w:cs="Calibri" w:eastAsia="Calibri" w:hAnsi="Calibri"/>
                <w:sz w:val="18"/>
                <w:szCs w:val="18"/>
                <w:color w:val="auto"/>
              </w:rPr>
              <w:t>001-37690</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20" w:type="dxa"/>
            <w:vAlign w:val="bottom"/>
          </w:tcPr>
          <w:p>
            <w:pPr>
              <w:jc w:val="center"/>
              <w:ind w:right="213"/>
              <w:spacing w:after="0" w:line="165" w:lineRule="exact"/>
              <w:rPr>
                <w:sz w:val="20"/>
                <w:szCs w:val="20"/>
                <w:color w:val="auto"/>
              </w:rPr>
            </w:pPr>
            <w:r>
              <w:rPr>
                <w:rFonts w:ascii="Calibri" w:cs="Calibri" w:eastAsia="Calibri" w:hAnsi="Calibri"/>
                <w:sz w:val="18"/>
                <w:szCs w:val="18"/>
                <w:color w:val="auto"/>
                <w:w w:val="96"/>
              </w:rPr>
              <w:t>4.1</w:t>
            </w:r>
          </w:p>
        </w:tc>
        <w:tc>
          <w:tcPr>
            <w:tcW w:w="100" w:type="dxa"/>
            <w:vAlign w:val="bottom"/>
          </w:tcPr>
          <w:p>
            <w:pPr>
              <w:spacing w:after="0"/>
              <w:rPr>
                <w:sz w:val="14"/>
                <w:szCs w:val="14"/>
                <w:color w:val="auto"/>
              </w:rPr>
            </w:pPr>
          </w:p>
        </w:tc>
        <w:tc>
          <w:tcPr>
            <w:tcW w:w="1140" w:type="dxa"/>
            <w:vAlign w:val="bottom"/>
          </w:tcPr>
          <w:p>
            <w:pPr>
              <w:jc w:val="right"/>
              <w:ind w:right="233"/>
              <w:spacing w:after="0" w:line="165" w:lineRule="exact"/>
              <w:rPr>
                <w:sz w:val="20"/>
                <w:szCs w:val="20"/>
                <w:color w:val="auto"/>
              </w:rPr>
            </w:pPr>
            <w:r>
              <w:rPr>
                <w:rFonts w:ascii="Calibri" w:cs="Calibri" w:eastAsia="Calibri" w:hAnsi="Calibri"/>
                <w:sz w:val="18"/>
                <w:szCs w:val="18"/>
                <w:color w:val="auto"/>
                <w:w w:val="95"/>
              </w:rPr>
              <w:t>01-20-2017</w:t>
            </w:r>
          </w:p>
        </w:tc>
        <w:tc>
          <w:tcPr>
            <w:tcW w:w="0" w:type="dxa"/>
            <w:vAlign w:val="bottom"/>
          </w:tcPr>
          <w:p>
            <w:pPr>
              <w:spacing w:after="0"/>
              <w:rPr>
                <w:sz w:val="1"/>
                <w:szCs w:val="1"/>
                <w:color w:val="auto"/>
              </w:rPr>
            </w:pPr>
          </w:p>
        </w:tc>
      </w:tr>
      <w:tr>
        <w:trPr>
          <w:trHeight w:val="152"/>
        </w:trPr>
        <w:tc>
          <w:tcPr>
            <w:tcW w:w="8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300" w:type="dxa"/>
            <w:vAlign w:val="bottom"/>
            <w:tcBorders>
              <w:top w:val="single" w:sz="8" w:color="0000FF"/>
              <w:bottom w:val="single" w:sz="8" w:color="0000FF"/>
            </w:tcBorders>
            <w:gridSpan w:val="17"/>
          </w:tcPr>
          <w:p>
            <w:pPr>
              <w:spacing w:after="0" w:line="152" w:lineRule="exact"/>
              <w:rPr>
                <w:rFonts w:ascii="Calibri" w:cs="Calibri" w:eastAsia="Calibri" w:hAnsi="Calibri"/>
                <w:sz w:val="15"/>
                <w:szCs w:val="15"/>
                <w:color w:val="0000FF"/>
              </w:rPr>
            </w:pPr>
            <w:hyperlink r:id="rId118">
              <w:r>
                <w:rPr>
                  <w:rFonts w:ascii="Calibri" w:cs="Calibri" w:eastAsia="Calibri" w:hAnsi="Calibri"/>
                  <w:sz w:val="15"/>
                  <w:szCs w:val="15"/>
                  <w:color w:val="0000FF"/>
                </w:rPr>
                <w:t>among the Broadcom Corporaton and Broadcom</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6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2"/>
          </w:tcPr>
          <w:p>
            <w:pPr>
              <w:spacing w:after="0"/>
              <w:rPr>
                <w:sz w:val="13"/>
                <w:szCs w:val="13"/>
                <w:color w:val="auto"/>
              </w:rPr>
            </w:pPr>
          </w:p>
        </w:tc>
        <w:tc>
          <w:tcPr>
            <w:tcW w:w="2000" w:type="dxa"/>
            <w:vAlign w:val="bottom"/>
            <w:gridSpan w:val="2"/>
          </w:tcPr>
          <w:p>
            <w:pPr>
              <w:ind w:left="20"/>
              <w:spacing w:after="0" w:line="152" w:lineRule="exact"/>
              <w:rPr>
                <w:sz w:val="20"/>
                <w:szCs w:val="20"/>
                <w:color w:val="auto"/>
              </w:rPr>
            </w:pPr>
            <w:r>
              <w:rPr>
                <w:rFonts w:ascii="Calibri" w:cs="Calibri" w:eastAsia="Calibri" w:hAnsi="Calibri"/>
                <w:sz w:val="15"/>
                <w:szCs w:val="15"/>
                <w:color w:val="auto"/>
              </w:rPr>
              <w:t>Report on Form 8-K</w:t>
            </w: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40" w:type="dxa"/>
            <w:vAlign w:val="bottom"/>
            <w:gridSpan w:val="22"/>
          </w:tcPr>
          <w:p>
            <w:pPr>
              <w:spacing w:after="0" w:line="165" w:lineRule="exact"/>
              <w:rPr>
                <w:rFonts w:ascii="Calibri" w:cs="Calibri" w:eastAsia="Calibri" w:hAnsi="Calibri"/>
                <w:sz w:val="18"/>
                <w:szCs w:val="18"/>
                <w:color w:val="0000FF"/>
                <w:w w:val="99"/>
              </w:rPr>
            </w:pPr>
            <w:hyperlink r:id="rId118">
              <w:r>
                <w:rPr>
                  <w:rFonts w:ascii="Calibri" w:cs="Calibri" w:eastAsia="Calibri" w:hAnsi="Calibri"/>
                  <w:sz w:val="18"/>
                  <w:szCs w:val="18"/>
                  <w:color w:val="0000FF"/>
                  <w:w w:val="99"/>
                </w:rPr>
                <w:t>Cayman Finance Limited (the “Co-Issuers”), the</w:t>
              </w:r>
            </w:hyperlink>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gridSpan w:val="2"/>
          </w:tcPr>
          <w:p>
            <w:pPr>
              <w:spacing w:after="0"/>
              <w:rPr>
                <w:sz w:val="14"/>
                <w:szCs w:val="14"/>
                <w:color w:val="auto"/>
              </w:rPr>
            </w:pPr>
          </w:p>
        </w:tc>
        <w:tc>
          <w:tcPr>
            <w:tcW w:w="1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8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80" w:type="dxa"/>
            <w:vAlign w:val="bottom"/>
            <w:tcBorders>
              <w:top w:val="single" w:sz="8" w:color="0000FF"/>
            </w:tcBorders>
            <w:gridSpan w:val="16"/>
          </w:tcPr>
          <w:p>
            <w:pPr>
              <w:spacing w:after="0" w:line="152" w:lineRule="exact"/>
              <w:rPr>
                <w:rFonts w:ascii="Calibri" w:cs="Calibri" w:eastAsia="Calibri" w:hAnsi="Calibri"/>
                <w:sz w:val="15"/>
                <w:szCs w:val="15"/>
                <w:color w:val="0000FF"/>
              </w:rPr>
            </w:pPr>
            <w:hyperlink r:id="rId118">
              <w:r>
                <w:rPr>
                  <w:rFonts w:ascii="Calibri" w:cs="Calibri" w:eastAsia="Calibri" w:hAnsi="Calibri"/>
                  <w:sz w:val="15"/>
                  <w:szCs w:val="15"/>
                  <w:color w:val="0000FF"/>
                </w:rPr>
                <w:t>guarantors and Wilmington Trust, Natonal</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2"/>
          </w:tcPr>
          <w:p>
            <w:pPr>
              <w:spacing w:after="0"/>
              <w:rPr>
                <w:sz w:val="13"/>
                <w:szCs w:val="13"/>
                <w:color w:val="auto"/>
              </w:rPr>
            </w:pPr>
          </w:p>
        </w:tc>
        <w:tc>
          <w:tcPr>
            <w:tcW w:w="1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8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0" w:type="dxa"/>
            <w:vAlign w:val="bottom"/>
            <w:tcBorders>
              <w:top w:val="single" w:sz="8" w:color="0000FF"/>
              <w:bottom w:val="single" w:sz="8" w:color="0000FF"/>
            </w:tcBorders>
            <w:gridSpan w:val="4"/>
          </w:tcPr>
          <w:p>
            <w:pPr>
              <w:spacing w:after="0" w:line="152" w:lineRule="exact"/>
              <w:rPr>
                <w:rFonts w:ascii="Calibri" w:cs="Calibri" w:eastAsia="Calibri" w:hAnsi="Calibri"/>
                <w:sz w:val="15"/>
                <w:szCs w:val="15"/>
                <w:color w:val="0000FF"/>
              </w:rPr>
            </w:pPr>
            <w:hyperlink r:id="rId118">
              <w:r>
                <w:rPr>
                  <w:rFonts w:ascii="Calibri" w:cs="Calibri" w:eastAsia="Calibri" w:hAnsi="Calibri"/>
                  <w:sz w:val="15"/>
                  <w:szCs w:val="15"/>
                  <w:color w:val="0000FF"/>
                </w:rPr>
                <w:t>Associaton, as trustee.</w:t>
              </w:r>
            </w:hyperlink>
          </w:p>
        </w:tc>
        <w:tc>
          <w:tcPr>
            <w:tcW w:w="1360" w:type="dxa"/>
            <w:vAlign w:val="bottom"/>
            <w:tcBorders>
              <w:top w:val="single" w:sz="8" w:color="0000FF"/>
            </w:tcBorders>
            <w:gridSpan w:val="6"/>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2"/>
          </w:tcPr>
          <w:p>
            <w:pPr>
              <w:spacing w:after="0"/>
              <w:rPr>
                <w:sz w:val="13"/>
                <w:szCs w:val="13"/>
                <w:color w:val="auto"/>
              </w:rPr>
            </w:pPr>
          </w:p>
        </w:tc>
        <w:tc>
          <w:tcPr>
            <w:tcW w:w="1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8"/>
        </w:trPr>
        <w:tc>
          <w:tcPr>
            <w:tcW w:w="860" w:type="dxa"/>
            <w:vAlign w:val="bottom"/>
          </w:tcPr>
          <w:p>
            <w:pPr>
              <w:jc w:val="right"/>
              <w:spacing w:after="0" w:line="217" w:lineRule="exact"/>
              <w:rPr>
                <w:sz w:val="20"/>
                <w:szCs w:val="20"/>
                <w:color w:val="auto"/>
              </w:rPr>
            </w:pPr>
            <w:r>
              <w:rPr>
                <w:rFonts w:ascii="Calibri" w:cs="Calibri" w:eastAsia="Calibri" w:hAnsi="Calibri"/>
                <w:sz w:val="18"/>
                <w:szCs w:val="18"/>
                <w:color w:val="auto"/>
              </w:rPr>
              <w:t>4.4</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60" w:type="dxa"/>
            <w:vAlign w:val="bottom"/>
            <w:gridSpan w:val="28"/>
          </w:tcPr>
          <w:p>
            <w:pPr>
              <w:spacing w:after="0" w:line="217" w:lineRule="exact"/>
              <w:rPr>
                <w:rFonts w:ascii="Calibri" w:cs="Calibri" w:eastAsia="Calibri" w:hAnsi="Calibri"/>
                <w:sz w:val="18"/>
                <w:szCs w:val="18"/>
                <w:color w:val="0000FF"/>
              </w:rPr>
            </w:pPr>
            <w:hyperlink r:id="rId119">
              <w:r>
                <w:rPr>
                  <w:rFonts w:ascii="Calibri" w:cs="Calibri" w:eastAsia="Calibri" w:hAnsi="Calibri"/>
                  <w:sz w:val="18"/>
                  <w:szCs w:val="18"/>
                  <w:color w:val="0000FF"/>
                </w:rPr>
                <w:t>Supplement Indenture to the January 2017</w:t>
              </w:r>
            </w:hyperlink>
          </w:p>
        </w:tc>
        <w:tc>
          <w:tcPr>
            <w:tcW w:w="2000" w:type="dxa"/>
            <w:vAlign w:val="bottom"/>
            <w:gridSpan w:val="2"/>
          </w:tcPr>
          <w:p>
            <w:pPr>
              <w:ind w:left="20"/>
              <w:spacing w:after="0" w:line="217" w:lineRule="exact"/>
              <w:rPr>
                <w:sz w:val="20"/>
                <w:szCs w:val="20"/>
                <w:color w:val="auto"/>
              </w:rPr>
            </w:pPr>
            <w:r>
              <w:rPr>
                <w:rFonts w:ascii="Calibri" w:cs="Calibri" w:eastAsia="Calibri" w:hAnsi="Calibri"/>
                <w:sz w:val="18"/>
                <w:szCs w:val="18"/>
                <w:color w:val="auto"/>
              </w:rPr>
              <w:t>Broadcom Inc. Current</w:t>
            </w:r>
          </w:p>
        </w:tc>
        <w:tc>
          <w:tcPr>
            <w:tcW w:w="1160" w:type="dxa"/>
            <w:vAlign w:val="bottom"/>
          </w:tcPr>
          <w:p>
            <w:pPr>
              <w:spacing w:after="0" w:line="217" w:lineRule="exact"/>
              <w:rPr>
                <w:sz w:val="20"/>
                <w:szCs w:val="20"/>
                <w:color w:val="auto"/>
              </w:rPr>
            </w:pPr>
            <w:r>
              <w:rPr>
                <w:rFonts w:ascii="Calibri" w:cs="Calibri" w:eastAsia="Calibri" w:hAnsi="Calibri"/>
                <w:sz w:val="18"/>
                <w:szCs w:val="18"/>
                <w:color w:val="auto"/>
              </w:rPr>
              <w:t>001-38449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jc w:val="center"/>
              <w:ind w:right="213"/>
              <w:spacing w:after="0" w:line="217" w:lineRule="exact"/>
              <w:rPr>
                <w:sz w:val="20"/>
                <w:szCs w:val="20"/>
                <w:color w:val="auto"/>
              </w:rPr>
            </w:pPr>
            <w:r>
              <w:rPr>
                <w:rFonts w:ascii="Calibri" w:cs="Calibri" w:eastAsia="Calibri" w:hAnsi="Calibri"/>
                <w:sz w:val="18"/>
                <w:szCs w:val="18"/>
                <w:color w:val="auto"/>
                <w:w w:val="96"/>
              </w:rPr>
              <w:t>4.1</w:t>
            </w:r>
          </w:p>
        </w:tc>
        <w:tc>
          <w:tcPr>
            <w:tcW w:w="100" w:type="dxa"/>
            <w:vAlign w:val="bottom"/>
          </w:tcPr>
          <w:p>
            <w:pPr>
              <w:spacing w:after="0"/>
              <w:rPr>
                <w:sz w:val="18"/>
                <w:szCs w:val="18"/>
                <w:color w:val="auto"/>
              </w:rPr>
            </w:pPr>
          </w:p>
        </w:tc>
        <w:tc>
          <w:tcPr>
            <w:tcW w:w="1140" w:type="dxa"/>
            <w:vAlign w:val="bottom"/>
          </w:tcPr>
          <w:p>
            <w:pPr>
              <w:jc w:val="right"/>
              <w:ind w:right="233"/>
              <w:spacing w:after="0" w:line="217" w:lineRule="exact"/>
              <w:rPr>
                <w:sz w:val="20"/>
                <w:szCs w:val="20"/>
                <w:color w:val="auto"/>
              </w:rPr>
            </w:pPr>
            <w:r>
              <w:rPr>
                <w:rFonts w:ascii="Calibri" w:cs="Calibri" w:eastAsia="Calibri" w:hAnsi="Calibri"/>
                <w:sz w:val="18"/>
                <w:szCs w:val="18"/>
                <w:color w:val="auto"/>
                <w:w w:val="95"/>
              </w:rPr>
              <w:t>04-09-2018</w:t>
            </w:r>
          </w:p>
        </w:tc>
        <w:tc>
          <w:tcPr>
            <w:tcW w:w="0" w:type="dxa"/>
            <w:vAlign w:val="bottom"/>
          </w:tcPr>
          <w:p>
            <w:pPr>
              <w:spacing w:after="0"/>
              <w:rPr>
                <w:sz w:val="1"/>
                <w:szCs w:val="1"/>
                <w:color w:val="auto"/>
              </w:rPr>
            </w:pPr>
          </w:p>
        </w:tc>
      </w:tr>
      <w:tr>
        <w:trPr>
          <w:trHeight w:val="152"/>
        </w:trPr>
        <w:tc>
          <w:tcPr>
            <w:tcW w:w="8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20" w:type="dxa"/>
            <w:vAlign w:val="bottom"/>
            <w:tcBorders>
              <w:top w:val="single" w:sz="8" w:color="0000FF"/>
            </w:tcBorders>
            <w:gridSpan w:val="13"/>
          </w:tcPr>
          <w:p>
            <w:pPr>
              <w:spacing w:after="0" w:line="152" w:lineRule="exact"/>
              <w:rPr>
                <w:rFonts w:ascii="Calibri" w:cs="Calibri" w:eastAsia="Calibri" w:hAnsi="Calibri"/>
                <w:sz w:val="15"/>
                <w:szCs w:val="15"/>
                <w:color w:val="0000FF"/>
              </w:rPr>
            </w:pPr>
            <w:hyperlink r:id="rId119">
              <w:r>
                <w:rPr>
                  <w:rFonts w:ascii="Calibri" w:cs="Calibri" w:eastAsia="Calibri" w:hAnsi="Calibri"/>
                  <w:sz w:val="15"/>
                  <w:szCs w:val="15"/>
                  <w:color w:val="0000FF"/>
                </w:rPr>
                <w:t>Indenture, dated as of April 9, 2018.</w:t>
              </w:r>
            </w:hyperlink>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2"/>
          </w:tcPr>
          <w:p>
            <w:pPr>
              <w:spacing w:after="0"/>
              <w:rPr>
                <w:sz w:val="13"/>
                <w:szCs w:val="13"/>
                <w:color w:val="auto"/>
              </w:rPr>
            </w:pPr>
          </w:p>
        </w:tc>
        <w:tc>
          <w:tcPr>
            <w:tcW w:w="2000" w:type="dxa"/>
            <w:vAlign w:val="bottom"/>
            <w:gridSpan w:val="2"/>
          </w:tcPr>
          <w:p>
            <w:pPr>
              <w:ind w:left="20"/>
              <w:spacing w:after="0" w:line="152" w:lineRule="exact"/>
              <w:rPr>
                <w:sz w:val="20"/>
                <w:szCs w:val="20"/>
                <w:color w:val="auto"/>
              </w:rPr>
            </w:pPr>
            <w:r>
              <w:rPr>
                <w:rFonts w:ascii="Calibri" w:cs="Calibri" w:eastAsia="Calibri" w:hAnsi="Calibri"/>
                <w:sz w:val="15"/>
                <w:szCs w:val="15"/>
                <w:color w:val="auto"/>
              </w:rPr>
              <w:t>Report on Form 8-K</w:t>
            </w: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20" w:type="dxa"/>
            <w:vAlign w:val="bottom"/>
            <w:gridSpan w:val="2"/>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860" w:type="dxa"/>
            <w:vAlign w:val="bottom"/>
          </w:tcPr>
          <w:p>
            <w:pPr>
              <w:jc w:val="right"/>
              <w:spacing w:after="0" w:line="217" w:lineRule="exact"/>
              <w:rPr>
                <w:sz w:val="20"/>
                <w:szCs w:val="20"/>
                <w:color w:val="auto"/>
              </w:rPr>
            </w:pPr>
            <w:r>
              <w:rPr>
                <w:rFonts w:ascii="Calibri" w:cs="Calibri" w:eastAsia="Calibri" w:hAnsi="Calibri"/>
                <w:sz w:val="18"/>
                <w:szCs w:val="18"/>
                <w:color w:val="auto"/>
              </w:rPr>
              <w:t>4.5</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60" w:type="dxa"/>
            <w:vAlign w:val="bottom"/>
            <w:gridSpan w:val="28"/>
          </w:tcPr>
          <w:p>
            <w:pPr>
              <w:spacing w:after="0" w:line="217" w:lineRule="exact"/>
              <w:rPr>
                <w:rFonts w:ascii="Calibri" w:cs="Calibri" w:eastAsia="Calibri" w:hAnsi="Calibri"/>
                <w:sz w:val="18"/>
                <w:szCs w:val="18"/>
                <w:color w:val="0000FF"/>
                <w:w w:val="97"/>
              </w:rPr>
            </w:pPr>
            <w:hyperlink r:id="rId120">
              <w:r>
                <w:rPr>
                  <w:rFonts w:ascii="Calibri" w:cs="Calibri" w:eastAsia="Calibri" w:hAnsi="Calibri"/>
                  <w:sz w:val="18"/>
                  <w:szCs w:val="18"/>
                  <w:color w:val="0000FF"/>
                  <w:w w:val="97"/>
                </w:rPr>
                <w:t>Second Supplement Indenture to the January 2017</w:t>
              </w:r>
            </w:hyperlink>
          </w:p>
        </w:tc>
        <w:tc>
          <w:tcPr>
            <w:tcW w:w="2000" w:type="dxa"/>
            <w:vAlign w:val="bottom"/>
            <w:gridSpan w:val="2"/>
          </w:tcPr>
          <w:p>
            <w:pPr>
              <w:ind w:left="20"/>
              <w:spacing w:after="0" w:line="217" w:lineRule="exact"/>
              <w:rPr>
                <w:sz w:val="20"/>
                <w:szCs w:val="20"/>
                <w:color w:val="auto"/>
              </w:rPr>
            </w:pPr>
            <w:r>
              <w:rPr>
                <w:rFonts w:ascii="Calibri" w:cs="Calibri" w:eastAsia="Calibri" w:hAnsi="Calibri"/>
                <w:sz w:val="18"/>
                <w:szCs w:val="18"/>
                <w:color w:val="auto"/>
              </w:rPr>
              <w:t>Broadcom Inc. Current</w:t>
            </w:r>
          </w:p>
        </w:tc>
        <w:tc>
          <w:tcPr>
            <w:tcW w:w="1160" w:type="dxa"/>
            <w:vAlign w:val="bottom"/>
          </w:tcPr>
          <w:p>
            <w:pPr>
              <w:spacing w:after="0" w:line="217" w:lineRule="exact"/>
              <w:rPr>
                <w:sz w:val="20"/>
                <w:szCs w:val="20"/>
                <w:color w:val="auto"/>
              </w:rPr>
            </w:pPr>
            <w:r>
              <w:rPr>
                <w:rFonts w:ascii="Calibri" w:cs="Calibri" w:eastAsia="Calibri" w:hAnsi="Calibri"/>
                <w:sz w:val="18"/>
                <w:szCs w:val="18"/>
                <w:color w:val="auto"/>
              </w:rPr>
              <w:t>001-38449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jc w:val="center"/>
              <w:ind w:right="213"/>
              <w:spacing w:after="0" w:line="217" w:lineRule="exact"/>
              <w:rPr>
                <w:sz w:val="20"/>
                <w:szCs w:val="20"/>
                <w:color w:val="auto"/>
              </w:rPr>
            </w:pPr>
            <w:r>
              <w:rPr>
                <w:rFonts w:ascii="Calibri" w:cs="Calibri" w:eastAsia="Calibri" w:hAnsi="Calibri"/>
                <w:sz w:val="18"/>
                <w:szCs w:val="18"/>
                <w:color w:val="auto"/>
                <w:w w:val="96"/>
              </w:rPr>
              <w:t>4.1</w:t>
            </w:r>
          </w:p>
        </w:tc>
        <w:tc>
          <w:tcPr>
            <w:tcW w:w="100" w:type="dxa"/>
            <w:vAlign w:val="bottom"/>
          </w:tcPr>
          <w:p>
            <w:pPr>
              <w:spacing w:after="0"/>
              <w:rPr>
                <w:sz w:val="18"/>
                <w:szCs w:val="18"/>
                <w:color w:val="auto"/>
              </w:rPr>
            </w:pPr>
          </w:p>
        </w:tc>
        <w:tc>
          <w:tcPr>
            <w:tcW w:w="1140" w:type="dxa"/>
            <w:vAlign w:val="bottom"/>
          </w:tcPr>
          <w:p>
            <w:pPr>
              <w:jc w:val="right"/>
              <w:ind w:right="233"/>
              <w:spacing w:after="0" w:line="217" w:lineRule="exact"/>
              <w:rPr>
                <w:sz w:val="20"/>
                <w:szCs w:val="20"/>
                <w:color w:val="auto"/>
              </w:rPr>
            </w:pPr>
            <w:r>
              <w:rPr>
                <w:rFonts w:ascii="Calibri" w:cs="Calibri" w:eastAsia="Calibri" w:hAnsi="Calibri"/>
                <w:sz w:val="18"/>
                <w:szCs w:val="18"/>
                <w:color w:val="auto"/>
                <w:w w:val="95"/>
              </w:rPr>
              <w:t>01-25-2019</w:t>
            </w:r>
          </w:p>
        </w:tc>
        <w:tc>
          <w:tcPr>
            <w:tcW w:w="0" w:type="dxa"/>
            <w:vAlign w:val="bottom"/>
          </w:tcPr>
          <w:p>
            <w:pPr>
              <w:spacing w:after="0"/>
              <w:rPr>
                <w:sz w:val="1"/>
                <w:szCs w:val="1"/>
                <w:color w:val="auto"/>
              </w:rPr>
            </w:pPr>
          </w:p>
        </w:tc>
      </w:tr>
      <w:tr>
        <w:trPr>
          <w:trHeight w:val="152"/>
        </w:trPr>
        <w:tc>
          <w:tcPr>
            <w:tcW w:w="8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0" w:type="dxa"/>
            <w:vAlign w:val="bottom"/>
            <w:tcBorders>
              <w:top w:val="single" w:sz="8" w:color="0000FF"/>
              <w:bottom w:val="single" w:sz="8" w:color="0000FF"/>
            </w:tcBorders>
            <w:gridSpan w:val="7"/>
          </w:tcPr>
          <w:p>
            <w:pPr>
              <w:spacing w:after="0" w:line="152" w:lineRule="exact"/>
              <w:rPr>
                <w:rFonts w:ascii="Calibri" w:cs="Calibri" w:eastAsia="Calibri" w:hAnsi="Calibri"/>
                <w:sz w:val="15"/>
                <w:szCs w:val="15"/>
                <w:color w:val="0000FF"/>
              </w:rPr>
            </w:pPr>
            <w:hyperlink r:id="rId120">
              <w:r>
                <w:rPr>
                  <w:rFonts w:ascii="Calibri" w:cs="Calibri" w:eastAsia="Calibri" w:hAnsi="Calibri"/>
                  <w:sz w:val="15"/>
                  <w:szCs w:val="15"/>
                  <w:color w:val="0000FF"/>
                </w:rPr>
                <w:t>Indenture, dated as of January 25, 2019.</w:t>
              </w:r>
            </w:hyperlink>
          </w:p>
        </w:tc>
        <w:tc>
          <w:tcPr>
            <w:tcW w:w="740" w:type="dxa"/>
            <w:vAlign w:val="bottom"/>
            <w:tcBorders>
              <w:top w:val="single" w:sz="8" w:color="0000FF"/>
            </w:tcBorders>
            <w:gridSpan w:val="19"/>
          </w:tcPr>
          <w:p>
            <w:pPr>
              <w:spacing w:after="0"/>
              <w:rPr>
                <w:sz w:val="13"/>
                <w:szCs w:val="13"/>
                <w:color w:val="auto"/>
              </w:rPr>
            </w:pPr>
          </w:p>
        </w:tc>
        <w:tc>
          <w:tcPr>
            <w:tcW w:w="120" w:type="dxa"/>
            <w:vAlign w:val="bottom"/>
            <w:gridSpan w:val="2"/>
          </w:tcPr>
          <w:p>
            <w:pPr>
              <w:spacing w:after="0"/>
              <w:rPr>
                <w:sz w:val="13"/>
                <w:szCs w:val="13"/>
                <w:color w:val="auto"/>
              </w:rPr>
            </w:pPr>
          </w:p>
        </w:tc>
        <w:tc>
          <w:tcPr>
            <w:tcW w:w="2000" w:type="dxa"/>
            <w:vAlign w:val="bottom"/>
            <w:gridSpan w:val="2"/>
          </w:tcPr>
          <w:p>
            <w:pPr>
              <w:ind w:left="20"/>
              <w:spacing w:after="0" w:line="152" w:lineRule="exact"/>
              <w:rPr>
                <w:sz w:val="20"/>
                <w:szCs w:val="20"/>
                <w:color w:val="auto"/>
              </w:rPr>
            </w:pPr>
            <w:r>
              <w:rPr>
                <w:rFonts w:ascii="Calibri" w:cs="Calibri" w:eastAsia="Calibri" w:hAnsi="Calibri"/>
                <w:sz w:val="15"/>
                <w:szCs w:val="15"/>
                <w:color w:val="auto"/>
              </w:rPr>
              <w:t>Report on Form 8-K</w:t>
            </w: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8"/>
        </w:trPr>
        <w:tc>
          <w:tcPr>
            <w:tcW w:w="860" w:type="dxa"/>
            <w:vAlign w:val="bottom"/>
          </w:tcPr>
          <w:p>
            <w:pPr>
              <w:jc w:val="right"/>
              <w:spacing w:after="0" w:line="217" w:lineRule="exact"/>
              <w:rPr>
                <w:sz w:val="20"/>
                <w:szCs w:val="20"/>
                <w:color w:val="auto"/>
              </w:rPr>
            </w:pPr>
            <w:r>
              <w:rPr>
                <w:rFonts w:ascii="Calibri" w:cs="Calibri" w:eastAsia="Calibri" w:hAnsi="Calibri"/>
                <w:sz w:val="18"/>
                <w:szCs w:val="18"/>
                <w:color w:val="auto"/>
              </w:rPr>
              <w:t>4.6</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60" w:type="dxa"/>
            <w:vAlign w:val="bottom"/>
            <w:gridSpan w:val="28"/>
          </w:tcPr>
          <w:p>
            <w:pPr>
              <w:spacing w:after="0" w:line="217" w:lineRule="exact"/>
              <w:rPr>
                <w:rFonts w:ascii="Calibri" w:cs="Calibri" w:eastAsia="Calibri" w:hAnsi="Calibri"/>
                <w:sz w:val="18"/>
                <w:szCs w:val="18"/>
                <w:color w:val="0000FF"/>
              </w:rPr>
            </w:pPr>
            <w:hyperlink r:id="rId118">
              <w:r>
                <w:rPr>
                  <w:rFonts w:ascii="Calibri" w:cs="Calibri" w:eastAsia="Calibri" w:hAnsi="Calibri"/>
                  <w:sz w:val="18"/>
                  <w:szCs w:val="18"/>
                  <w:color w:val="0000FF"/>
                </w:rPr>
                <w:t>Form of 3.625% Senior Notes due 2024 (included</w:t>
              </w:r>
            </w:hyperlink>
          </w:p>
        </w:tc>
        <w:tc>
          <w:tcPr>
            <w:tcW w:w="2000" w:type="dxa"/>
            <w:vAlign w:val="bottom"/>
            <w:gridSpan w:val="2"/>
          </w:tcPr>
          <w:p>
            <w:pPr>
              <w:ind w:left="20"/>
              <w:spacing w:after="0" w:line="217" w:lineRule="exact"/>
              <w:rPr>
                <w:sz w:val="20"/>
                <w:szCs w:val="20"/>
                <w:color w:val="auto"/>
              </w:rPr>
            </w:pPr>
            <w:r>
              <w:rPr>
                <w:rFonts w:ascii="Calibri" w:cs="Calibri" w:eastAsia="Calibri" w:hAnsi="Calibri"/>
                <w:sz w:val="18"/>
                <w:szCs w:val="18"/>
                <w:color w:val="auto"/>
              </w:rPr>
              <w:t>Broadcom Limited Current</w:t>
            </w:r>
          </w:p>
        </w:tc>
        <w:tc>
          <w:tcPr>
            <w:tcW w:w="1160" w:type="dxa"/>
            <w:vAlign w:val="bottom"/>
          </w:tcPr>
          <w:p>
            <w:pPr>
              <w:spacing w:after="0" w:line="217" w:lineRule="exact"/>
              <w:rPr>
                <w:sz w:val="20"/>
                <w:szCs w:val="20"/>
                <w:color w:val="auto"/>
              </w:rPr>
            </w:pPr>
            <w:r>
              <w:rPr>
                <w:rFonts w:ascii="Calibri" w:cs="Calibri" w:eastAsia="Calibri" w:hAnsi="Calibri"/>
                <w:sz w:val="18"/>
                <w:szCs w:val="18"/>
                <w:color w:val="auto"/>
              </w:rPr>
              <w:t>001-37690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jc w:val="center"/>
              <w:ind w:right="213"/>
              <w:spacing w:after="0" w:line="217" w:lineRule="exact"/>
              <w:rPr>
                <w:sz w:val="20"/>
                <w:szCs w:val="20"/>
                <w:color w:val="auto"/>
              </w:rPr>
            </w:pPr>
            <w:r>
              <w:rPr>
                <w:rFonts w:ascii="Calibri" w:cs="Calibri" w:eastAsia="Calibri" w:hAnsi="Calibri"/>
                <w:sz w:val="18"/>
                <w:szCs w:val="18"/>
                <w:color w:val="auto"/>
                <w:w w:val="96"/>
              </w:rPr>
              <w:t>4.1</w:t>
            </w:r>
          </w:p>
        </w:tc>
        <w:tc>
          <w:tcPr>
            <w:tcW w:w="100" w:type="dxa"/>
            <w:vAlign w:val="bottom"/>
          </w:tcPr>
          <w:p>
            <w:pPr>
              <w:spacing w:after="0"/>
              <w:rPr>
                <w:sz w:val="18"/>
                <w:szCs w:val="18"/>
                <w:color w:val="auto"/>
              </w:rPr>
            </w:pPr>
          </w:p>
        </w:tc>
        <w:tc>
          <w:tcPr>
            <w:tcW w:w="1140" w:type="dxa"/>
            <w:vAlign w:val="bottom"/>
          </w:tcPr>
          <w:p>
            <w:pPr>
              <w:jc w:val="right"/>
              <w:ind w:right="233"/>
              <w:spacing w:after="0" w:line="217" w:lineRule="exact"/>
              <w:rPr>
                <w:sz w:val="20"/>
                <w:szCs w:val="20"/>
                <w:color w:val="auto"/>
              </w:rPr>
            </w:pPr>
            <w:r>
              <w:rPr>
                <w:rFonts w:ascii="Calibri" w:cs="Calibri" w:eastAsia="Calibri" w:hAnsi="Calibri"/>
                <w:sz w:val="18"/>
                <w:szCs w:val="18"/>
                <w:color w:val="auto"/>
                <w:w w:val="95"/>
              </w:rPr>
              <w:t>01-20-2017</w:t>
            </w:r>
          </w:p>
        </w:tc>
        <w:tc>
          <w:tcPr>
            <w:tcW w:w="0" w:type="dxa"/>
            <w:vAlign w:val="bottom"/>
          </w:tcPr>
          <w:p>
            <w:pPr>
              <w:spacing w:after="0"/>
              <w:rPr>
                <w:sz w:val="1"/>
                <w:szCs w:val="1"/>
                <w:color w:val="auto"/>
              </w:rPr>
            </w:pPr>
          </w:p>
        </w:tc>
      </w:tr>
      <w:tr>
        <w:trPr>
          <w:trHeight w:val="152"/>
        </w:trPr>
        <w:tc>
          <w:tcPr>
            <w:tcW w:w="8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00" w:type="dxa"/>
            <w:vAlign w:val="bottom"/>
            <w:tcBorders>
              <w:top w:val="single" w:sz="8" w:color="0000FF"/>
            </w:tcBorders>
            <w:gridSpan w:val="20"/>
          </w:tcPr>
          <w:p>
            <w:pPr>
              <w:spacing w:after="0" w:line="152" w:lineRule="exact"/>
              <w:rPr>
                <w:rFonts w:ascii="Calibri" w:cs="Calibri" w:eastAsia="Calibri" w:hAnsi="Calibri"/>
                <w:sz w:val="15"/>
                <w:szCs w:val="15"/>
                <w:color w:val="0000FF"/>
              </w:rPr>
            </w:pPr>
            <w:hyperlink r:id="rId118">
              <w:r>
                <w:rPr>
                  <w:rFonts w:ascii="Calibri" w:cs="Calibri" w:eastAsia="Calibri" w:hAnsi="Calibri"/>
                  <w:sz w:val="15"/>
                  <w:szCs w:val="15"/>
                  <w:color w:val="0000FF"/>
                </w:rPr>
                <w:t>in Exhibit 4.5).</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gridSpan w:val="3"/>
          </w:tcPr>
          <w:p>
            <w:pPr>
              <w:spacing w:after="0"/>
              <w:rPr>
                <w:sz w:val="13"/>
                <w:szCs w:val="13"/>
                <w:color w:val="auto"/>
              </w:rPr>
            </w:pPr>
          </w:p>
        </w:tc>
        <w:tc>
          <w:tcPr>
            <w:tcW w:w="2000" w:type="dxa"/>
            <w:vAlign w:val="bottom"/>
            <w:gridSpan w:val="2"/>
          </w:tcPr>
          <w:p>
            <w:pPr>
              <w:ind w:left="20"/>
              <w:spacing w:after="0" w:line="152" w:lineRule="exact"/>
              <w:rPr>
                <w:sz w:val="20"/>
                <w:szCs w:val="20"/>
                <w:color w:val="auto"/>
              </w:rPr>
            </w:pPr>
            <w:r>
              <w:rPr>
                <w:rFonts w:ascii="Calibri" w:cs="Calibri" w:eastAsia="Calibri" w:hAnsi="Calibri"/>
                <w:sz w:val="15"/>
                <w:szCs w:val="15"/>
                <w:color w:val="auto"/>
              </w:rPr>
              <w:t>Report on Form 8-K</w:t>
            </w: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860" w:type="dxa"/>
            <w:vAlign w:val="bottom"/>
          </w:tcPr>
          <w:p>
            <w:pPr>
              <w:jc w:val="right"/>
              <w:spacing w:after="0" w:line="217" w:lineRule="exact"/>
              <w:rPr>
                <w:sz w:val="20"/>
                <w:szCs w:val="20"/>
                <w:color w:val="auto"/>
              </w:rPr>
            </w:pPr>
            <w:r>
              <w:rPr>
                <w:rFonts w:ascii="Calibri" w:cs="Calibri" w:eastAsia="Calibri" w:hAnsi="Calibri"/>
                <w:sz w:val="18"/>
                <w:szCs w:val="18"/>
                <w:color w:val="auto"/>
              </w:rPr>
              <w:t>4.7</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60" w:type="dxa"/>
            <w:vAlign w:val="bottom"/>
            <w:gridSpan w:val="28"/>
          </w:tcPr>
          <w:p>
            <w:pPr>
              <w:spacing w:after="0" w:line="217" w:lineRule="exact"/>
              <w:rPr>
                <w:rFonts w:ascii="Calibri" w:cs="Calibri" w:eastAsia="Calibri" w:hAnsi="Calibri"/>
                <w:sz w:val="18"/>
                <w:szCs w:val="18"/>
                <w:color w:val="0000FF"/>
              </w:rPr>
            </w:pPr>
            <w:hyperlink r:id="rId118">
              <w:r>
                <w:rPr>
                  <w:rFonts w:ascii="Calibri" w:cs="Calibri" w:eastAsia="Calibri" w:hAnsi="Calibri"/>
                  <w:sz w:val="18"/>
                  <w:szCs w:val="18"/>
                  <w:color w:val="0000FF"/>
                </w:rPr>
                <w:t>Form of 3.875% Senior Notes due 2027 (included</w:t>
              </w:r>
            </w:hyperlink>
          </w:p>
        </w:tc>
        <w:tc>
          <w:tcPr>
            <w:tcW w:w="2000" w:type="dxa"/>
            <w:vAlign w:val="bottom"/>
            <w:gridSpan w:val="2"/>
          </w:tcPr>
          <w:p>
            <w:pPr>
              <w:ind w:left="20"/>
              <w:spacing w:after="0" w:line="217" w:lineRule="exact"/>
              <w:rPr>
                <w:sz w:val="20"/>
                <w:szCs w:val="20"/>
                <w:color w:val="auto"/>
              </w:rPr>
            </w:pPr>
            <w:r>
              <w:rPr>
                <w:rFonts w:ascii="Calibri" w:cs="Calibri" w:eastAsia="Calibri" w:hAnsi="Calibri"/>
                <w:sz w:val="18"/>
                <w:szCs w:val="18"/>
                <w:color w:val="auto"/>
              </w:rPr>
              <w:t>Broadcom Limited Current</w:t>
            </w:r>
          </w:p>
        </w:tc>
        <w:tc>
          <w:tcPr>
            <w:tcW w:w="1160" w:type="dxa"/>
            <w:vAlign w:val="bottom"/>
          </w:tcPr>
          <w:p>
            <w:pPr>
              <w:spacing w:after="0" w:line="217" w:lineRule="exact"/>
              <w:rPr>
                <w:sz w:val="20"/>
                <w:szCs w:val="20"/>
                <w:color w:val="auto"/>
              </w:rPr>
            </w:pPr>
            <w:r>
              <w:rPr>
                <w:rFonts w:ascii="Calibri" w:cs="Calibri" w:eastAsia="Calibri" w:hAnsi="Calibri"/>
                <w:sz w:val="18"/>
                <w:szCs w:val="18"/>
                <w:color w:val="auto"/>
              </w:rPr>
              <w:t>001-37690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jc w:val="center"/>
              <w:ind w:right="213"/>
              <w:spacing w:after="0" w:line="217" w:lineRule="exact"/>
              <w:rPr>
                <w:sz w:val="20"/>
                <w:szCs w:val="20"/>
                <w:color w:val="auto"/>
              </w:rPr>
            </w:pPr>
            <w:r>
              <w:rPr>
                <w:rFonts w:ascii="Calibri" w:cs="Calibri" w:eastAsia="Calibri" w:hAnsi="Calibri"/>
                <w:sz w:val="18"/>
                <w:szCs w:val="18"/>
                <w:color w:val="auto"/>
                <w:w w:val="96"/>
              </w:rPr>
              <w:t>4.1</w:t>
            </w:r>
          </w:p>
        </w:tc>
        <w:tc>
          <w:tcPr>
            <w:tcW w:w="100" w:type="dxa"/>
            <w:vAlign w:val="bottom"/>
          </w:tcPr>
          <w:p>
            <w:pPr>
              <w:spacing w:after="0"/>
              <w:rPr>
                <w:sz w:val="18"/>
                <w:szCs w:val="18"/>
                <w:color w:val="auto"/>
              </w:rPr>
            </w:pPr>
          </w:p>
        </w:tc>
        <w:tc>
          <w:tcPr>
            <w:tcW w:w="1140" w:type="dxa"/>
            <w:vAlign w:val="bottom"/>
          </w:tcPr>
          <w:p>
            <w:pPr>
              <w:jc w:val="right"/>
              <w:ind w:right="233"/>
              <w:spacing w:after="0" w:line="217" w:lineRule="exact"/>
              <w:rPr>
                <w:sz w:val="20"/>
                <w:szCs w:val="20"/>
                <w:color w:val="auto"/>
              </w:rPr>
            </w:pPr>
            <w:r>
              <w:rPr>
                <w:rFonts w:ascii="Calibri" w:cs="Calibri" w:eastAsia="Calibri" w:hAnsi="Calibri"/>
                <w:sz w:val="18"/>
                <w:szCs w:val="18"/>
                <w:color w:val="auto"/>
                <w:w w:val="95"/>
              </w:rPr>
              <w:t>01-20-2017</w:t>
            </w:r>
          </w:p>
        </w:tc>
        <w:tc>
          <w:tcPr>
            <w:tcW w:w="0" w:type="dxa"/>
            <w:vAlign w:val="bottom"/>
          </w:tcPr>
          <w:p>
            <w:pPr>
              <w:spacing w:after="0"/>
              <w:rPr>
                <w:sz w:val="1"/>
                <w:szCs w:val="1"/>
                <w:color w:val="auto"/>
              </w:rPr>
            </w:pPr>
          </w:p>
        </w:tc>
      </w:tr>
      <w:tr>
        <w:trPr>
          <w:trHeight w:val="152"/>
        </w:trPr>
        <w:tc>
          <w:tcPr>
            <w:tcW w:w="8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00" w:type="dxa"/>
            <w:vAlign w:val="bottom"/>
            <w:tcBorders>
              <w:top w:val="single" w:sz="8" w:color="0000FF"/>
            </w:tcBorders>
            <w:gridSpan w:val="20"/>
          </w:tcPr>
          <w:p>
            <w:pPr>
              <w:spacing w:after="0" w:line="152" w:lineRule="exact"/>
              <w:rPr>
                <w:rFonts w:ascii="Calibri" w:cs="Calibri" w:eastAsia="Calibri" w:hAnsi="Calibri"/>
                <w:sz w:val="15"/>
                <w:szCs w:val="15"/>
                <w:color w:val="0000FF"/>
              </w:rPr>
            </w:pPr>
            <w:hyperlink r:id="rId118">
              <w:r>
                <w:rPr>
                  <w:rFonts w:ascii="Calibri" w:cs="Calibri" w:eastAsia="Calibri" w:hAnsi="Calibri"/>
                  <w:sz w:val="15"/>
                  <w:szCs w:val="15"/>
                  <w:color w:val="0000FF"/>
                </w:rPr>
                <w:t>in Exhibit 4.5).</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gridSpan w:val="3"/>
          </w:tcPr>
          <w:p>
            <w:pPr>
              <w:spacing w:after="0"/>
              <w:rPr>
                <w:sz w:val="13"/>
                <w:szCs w:val="13"/>
                <w:color w:val="auto"/>
              </w:rPr>
            </w:pPr>
          </w:p>
        </w:tc>
        <w:tc>
          <w:tcPr>
            <w:tcW w:w="2000" w:type="dxa"/>
            <w:vAlign w:val="bottom"/>
            <w:gridSpan w:val="2"/>
          </w:tcPr>
          <w:p>
            <w:pPr>
              <w:ind w:left="20"/>
              <w:spacing w:after="0" w:line="152" w:lineRule="exact"/>
              <w:rPr>
                <w:sz w:val="20"/>
                <w:szCs w:val="20"/>
                <w:color w:val="auto"/>
              </w:rPr>
            </w:pPr>
            <w:r>
              <w:rPr>
                <w:rFonts w:ascii="Calibri" w:cs="Calibri" w:eastAsia="Calibri" w:hAnsi="Calibri"/>
                <w:sz w:val="15"/>
                <w:szCs w:val="15"/>
                <w:color w:val="auto"/>
              </w:rPr>
              <w:t>Report on Form 8-K</w:t>
            </w: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860" w:type="dxa"/>
            <w:vAlign w:val="bottom"/>
          </w:tcPr>
          <w:p>
            <w:pPr>
              <w:jc w:val="right"/>
              <w:spacing w:after="0" w:line="217" w:lineRule="exact"/>
              <w:rPr>
                <w:sz w:val="20"/>
                <w:szCs w:val="20"/>
                <w:color w:val="auto"/>
              </w:rPr>
            </w:pPr>
            <w:r>
              <w:rPr>
                <w:rFonts w:ascii="Calibri" w:cs="Calibri" w:eastAsia="Calibri" w:hAnsi="Calibri"/>
                <w:sz w:val="18"/>
                <w:szCs w:val="18"/>
                <w:color w:val="auto"/>
              </w:rPr>
              <w:t>4.8</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60" w:type="dxa"/>
            <w:vAlign w:val="bottom"/>
            <w:gridSpan w:val="28"/>
          </w:tcPr>
          <w:p>
            <w:pPr>
              <w:spacing w:after="0" w:line="217" w:lineRule="exact"/>
              <w:rPr>
                <w:rFonts w:ascii="Calibri" w:cs="Calibri" w:eastAsia="Calibri" w:hAnsi="Calibri"/>
                <w:sz w:val="18"/>
                <w:szCs w:val="18"/>
                <w:color w:val="0000FF"/>
              </w:rPr>
            </w:pPr>
            <w:hyperlink r:id="rId121">
              <w:r>
                <w:rPr>
                  <w:rFonts w:ascii="Calibri" w:cs="Calibri" w:eastAsia="Calibri" w:hAnsi="Calibri"/>
                  <w:sz w:val="18"/>
                  <w:szCs w:val="18"/>
                  <w:color w:val="0000FF"/>
                </w:rPr>
                <w:t>Indenture, dated as of October 17, 2017, by and</w:t>
              </w:r>
            </w:hyperlink>
          </w:p>
        </w:tc>
        <w:tc>
          <w:tcPr>
            <w:tcW w:w="2000" w:type="dxa"/>
            <w:vAlign w:val="bottom"/>
            <w:gridSpan w:val="2"/>
          </w:tcPr>
          <w:p>
            <w:pPr>
              <w:ind w:left="20"/>
              <w:spacing w:after="0" w:line="217" w:lineRule="exact"/>
              <w:rPr>
                <w:sz w:val="20"/>
                <w:szCs w:val="20"/>
                <w:color w:val="auto"/>
              </w:rPr>
            </w:pPr>
            <w:r>
              <w:rPr>
                <w:rFonts w:ascii="Calibri" w:cs="Calibri" w:eastAsia="Calibri" w:hAnsi="Calibri"/>
                <w:sz w:val="18"/>
                <w:szCs w:val="18"/>
                <w:color w:val="auto"/>
              </w:rPr>
              <w:t>Broadcom Limited Current</w:t>
            </w:r>
          </w:p>
        </w:tc>
        <w:tc>
          <w:tcPr>
            <w:tcW w:w="1160" w:type="dxa"/>
            <w:vAlign w:val="bottom"/>
          </w:tcPr>
          <w:p>
            <w:pPr>
              <w:spacing w:after="0" w:line="217" w:lineRule="exact"/>
              <w:rPr>
                <w:sz w:val="20"/>
                <w:szCs w:val="20"/>
                <w:color w:val="auto"/>
              </w:rPr>
            </w:pPr>
            <w:r>
              <w:rPr>
                <w:rFonts w:ascii="Calibri" w:cs="Calibri" w:eastAsia="Calibri" w:hAnsi="Calibri"/>
                <w:sz w:val="18"/>
                <w:szCs w:val="18"/>
                <w:color w:val="auto"/>
              </w:rPr>
              <w:t>001-37690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jc w:val="center"/>
              <w:ind w:right="213"/>
              <w:spacing w:after="0" w:line="217" w:lineRule="exact"/>
              <w:rPr>
                <w:sz w:val="20"/>
                <w:szCs w:val="20"/>
                <w:color w:val="auto"/>
              </w:rPr>
            </w:pPr>
            <w:r>
              <w:rPr>
                <w:rFonts w:ascii="Calibri" w:cs="Calibri" w:eastAsia="Calibri" w:hAnsi="Calibri"/>
                <w:sz w:val="18"/>
                <w:szCs w:val="18"/>
                <w:color w:val="auto"/>
                <w:w w:val="96"/>
              </w:rPr>
              <w:t>4.1</w:t>
            </w:r>
          </w:p>
        </w:tc>
        <w:tc>
          <w:tcPr>
            <w:tcW w:w="100" w:type="dxa"/>
            <w:vAlign w:val="bottom"/>
          </w:tcPr>
          <w:p>
            <w:pPr>
              <w:spacing w:after="0"/>
              <w:rPr>
                <w:sz w:val="18"/>
                <w:szCs w:val="18"/>
                <w:color w:val="auto"/>
              </w:rPr>
            </w:pPr>
          </w:p>
        </w:tc>
        <w:tc>
          <w:tcPr>
            <w:tcW w:w="1140" w:type="dxa"/>
            <w:vAlign w:val="bottom"/>
          </w:tcPr>
          <w:p>
            <w:pPr>
              <w:jc w:val="right"/>
              <w:ind w:right="233"/>
              <w:spacing w:after="0" w:line="217" w:lineRule="exact"/>
              <w:rPr>
                <w:sz w:val="20"/>
                <w:szCs w:val="20"/>
                <w:color w:val="auto"/>
              </w:rPr>
            </w:pPr>
            <w:r>
              <w:rPr>
                <w:rFonts w:ascii="Calibri" w:cs="Calibri" w:eastAsia="Calibri" w:hAnsi="Calibri"/>
                <w:sz w:val="18"/>
                <w:szCs w:val="18"/>
                <w:color w:val="auto"/>
                <w:w w:val="95"/>
              </w:rPr>
              <w:t>10-17-2017</w:t>
            </w:r>
          </w:p>
        </w:tc>
        <w:tc>
          <w:tcPr>
            <w:tcW w:w="0" w:type="dxa"/>
            <w:vAlign w:val="bottom"/>
          </w:tcPr>
          <w:p>
            <w:pPr>
              <w:spacing w:after="0"/>
              <w:rPr>
                <w:sz w:val="1"/>
                <w:szCs w:val="1"/>
                <w:color w:val="auto"/>
              </w:rPr>
            </w:pPr>
          </w:p>
        </w:tc>
      </w:tr>
      <w:tr>
        <w:trPr>
          <w:trHeight w:val="152"/>
        </w:trPr>
        <w:tc>
          <w:tcPr>
            <w:tcW w:w="8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340" w:type="dxa"/>
            <w:vAlign w:val="bottom"/>
            <w:tcBorders>
              <w:top w:val="single" w:sz="8" w:color="0000FF"/>
            </w:tcBorders>
            <w:gridSpan w:val="19"/>
          </w:tcPr>
          <w:p>
            <w:pPr>
              <w:spacing w:after="0" w:line="152" w:lineRule="exact"/>
              <w:rPr>
                <w:rFonts w:ascii="Calibri" w:cs="Calibri" w:eastAsia="Calibri" w:hAnsi="Calibri"/>
                <w:sz w:val="15"/>
                <w:szCs w:val="15"/>
                <w:color w:val="0000FF"/>
              </w:rPr>
            </w:pPr>
            <w:hyperlink r:id="rId121">
              <w:r>
                <w:rPr>
                  <w:rFonts w:ascii="Calibri" w:cs="Calibri" w:eastAsia="Calibri" w:hAnsi="Calibri"/>
                  <w:sz w:val="15"/>
                  <w:szCs w:val="15"/>
                  <w:color w:val="0000FF"/>
                </w:rPr>
                <w:t>among the Co-Issuers, the guarantors and</w:t>
              </w:r>
            </w:hyperlink>
          </w:p>
        </w:tc>
        <w:tc>
          <w:tcPr>
            <w:tcW w:w="8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gridSpan w:val="3"/>
          </w:tcPr>
          <w:p>
            <w:pPr>
              <w:spacing w:after="0"/>
              <w:rPr>
                <w:sz w:val="13"/>
                <w:szCs w:val="13"/>
                <w:color w:val="auto"/>
              </w:rPr>
            </w:pPr>
          </w:p>
        </w:tc>
        <w:tc>
          <w:tcPr>
            <w:tcW w:w="2000" w:type="dxa"/>
            <w:vAlign w:val="bottom"/>
            <w:gridSpan w:val="2"/>
          </w:tcPr>
          <w:p>
            <w:pPr>
              <w:ind w:left="20"/>
              <w:spacing w:after="0" w:line="152" w:lineRule="exact"/>
              <w:rPr>
                <w:sz w:val="20"/>
                <w:szCs w:val="20"/>
                <w:color w:val="auto"/>
              </w:rPr>
            </w:pPr>
            <w:r>
              <w:rPr>
                <w:rFonts w:ascii="Calibri" w:cs="Calibri" w:eastAsia="Calibri" w:hAnsi="Calibri"/>
                <w:sz w:val="15"/>
                <w:szCs w:val="15"/>
                <w:color w:val="auto"/>
              </w:rPr>
              <w:t>Report on Form 8-K</w:t>
            </w: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900" w:type="dxa"/>
            <w:vAlign w:val="bottom"/>
            <w:tcBorders>
              <w:top w:val="single" w:sz="8" w:color="0000FF"/>
            </w:tcBorders>
            <w:gridSpan w:val="9"/>
          </w:tcPr>
          <w:p>
            <w:pPr>
              <w:spacing w:after="0" w:line="165" w:lineRule="exact"/>
              <w:rPr>
                <w:rFonts w:ascii="Calibri" w:cs="Calibri" w:eastAsia="Calibri" w:hAnsi="Calibri"/>
                <w:sz w:val="18"/>
                <w:szCs w:val="18"/>
                <w:color w:val="0000FF"/>
                <w:w w:val="95"/>
              </w:rPr>
            </w:pPr>
            <w:hyperlink r:id="rId121">
              <w:r>
                <w:rPr>
                  <w:rFonts w:ascii="Calibri" w:cs="Calibri" w:eastAsia="Calibri" w:hAnsi="Calibri"/>
                  <w:sz w:val="18"/>
                  <w:szCs w:val="18"/>
                  <w:color w:val="0000FF"/>
                  <w:w w:val="95"/>
                </w:rPr>
                <w:t>Wilmington Trust, Natonal Associaton, as</w:t>
              </w:r>
            </w:hyperlink>
          </w:p>
        </w:tc>
        <w:tc>
          <w:tcPr>
            <w:tcW w:w="80" w:type="dxa"/>
            <w:vAlign w:val="bottom"/>
            <w:gridSpan w:val="2"/>
          </w:tcPr>
          <w:p>
            <w:pPr>
              <w:spacing w:after="0"/>
              <w:rPr>
                <w:sz w:val="14"/>
                <w:szCs w:val="14"/>
                <w:color w:val="auto"/>
              </w:rPr>
            </w:pPr>
          </w:p>
        </w:tc>
        <w:tc>
          <w:tcPr>
            <w:tcW w:w="680" w:type="dxa"/>
            <w:vAlign w:val="bottom"/>
            <w:gridSpan w:val="17"/>
          </w:tcPr>
          <w:p>
            <w:pPr>
              <w:spacing w:after="0" w:line="165" w:lineRule="exact"/>
              <w:rPr>
                <w:rFonts w:ascii="Calibri" w:cs="Calibri" w:eastAsia="Calibri" w:hAnsi="Calibri"/>
                <w:sz w:val="18"/>
                <w:szCs w:val="18"/>
                <w:color w:val="0000FF"/>
              </w:rPr>
            </w:pPr>
            <w:hyperlink r:id="rId121">
              <w:r>
                <w:rPr>
                  <w:rFonts w:ascii="Calibri" w:cs="Calibri" w:eastAsia="Calibri" w:hAnsi="Calibri"/>
                  <w:sz w:val="18"/>
                  <w:szCs w:val="18"/>
                  <w:color w:val="0000FF"/>
                </w:rPr>
                <w:t>trustee.</w:t>
              </w:r>
            </w:hyperlink>
          </w:p>
        </w:tc>
        <w:tc>
          <w:tcPr>
            <w:tcW w:w="1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860" w:type="dxa"/>
            <w:vAlign w:val="bottom"/>
          </w:tcPr>
          <w:p>
            <w:pPr>
              <w:jc w:val="right"/>
              <w:spacing w:after="0" w:line="205" w:lineRule="exact"/>
              <w:rPr>
                <w:sz w:val="20"/>
                <w:szCs w:val="20"/>
                <w:color w:val="auto"/>
              </w:rPr>
            </w:pPr>
            <w:r>
              <w:rPr>
                <w:rFonts w:ascii="Calibri" w:cs="Calibri" w:eastAsia="Calibri" w:hAnsi="Calibri"/>
                <w:sz w:val="18"/>
                <w:szCs w:val="18"/>
                <w:color w:val="auto"/>
              </w:rPr>
              <w:t>4.9</w:t>
            </w: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500" w:type="dxa"/>
            <w:vAlign w:val="bottom"/>
            <w:tcBorders>
              <w:top w:val="single" w:sz="8" w:color="0000FF"/>
            </w:tcBorders>
            <w:gridSpan w:val="24"/>
          </w:tcPr>
          <w:p>
            <w:pPr>
              <w:spacing w:after="0" w:line="205" w:lineRule="exact"/>
              <w:rPr>
                <w:rFonts w:ascii="Calibri" w:cs="Calibri" w:eastAsia="Calibri" w:hAnsi="Calibri"/>
                <w:sz w:val="18"/>
                <w:szCs w:val="18"/>
                <w:color w:val="0000FF"/>
              </w:rPr>
            </w:pPr>
            <w:hyperlink r:id="rId122">
              <w:r>
                <w:rPr>
                  <w:rFonts w:ascii="Calibri" w:cs="Calibri" w:eastAsia="Calibri" w:hAnsi="Calibri"/>
                  <w:sz w:val="18"/>
                  <w:szCs w:val="18"/>
                  <w:color w:val="0000FF"/>
                </w:rPr>
                <w:t>Supplemental Indenture to October 2017</w:t>
              </w:r>
            </w:hyperlink>
          </w:p>
        </w:tc>
        <w:tc>
          <w:tcPr>
            <w:tcW w:w="160" w:type="dxa"/>
            <w:vAlign w:val="bottom"/>
            <w:gridSpan w:val="4"/>
          </w:tcPr>
          <w:p>
            <w:pPr>
              <w:spacing w:after="0"/>
              <w:rPr>
                <w:sz w:val="17"/>
                <w:szCs w:val="17"/>
                <w:color w:val="auto"/>
              </w:rPr>
            </w:pPr>
          </w:p>
        </w:tc>
        <w:tc>
          <w:tcPr>
            <w:tcW w:w="2000" w:type="dxa"/>
            <w:vAlign w:val="bottom"/>
            <w:gridSpan w:val="2"/>
          </w:tcPr>
          <w:p>
            <w:pPr>
              <w:ind w:left="20"/>
              <w:spacing w:after="0" w:line="205" w:lineRule="exact"/>
              <w:rPr>
                <w:sz w:val="20"/>
                <w:szCs w:val="20"/>
                <w:color w:val="auto"/>
              </w:rPr>
            </w:pPr>
            <w:r>
              <w:rPr>
                <w:rFonts w:ascii="Calibri" w:cs="Calibri" w:eastAsia="Calibri" w:hAnsi="Calibri"/>
                <w:sz w:val="18"/>
                <w:szCs w:val="18"/>
                <w:color w:val="auto"/>
              </w:rPr>
              <w:t>Broadcom Inc. Current</w:t>
            </w:r>
          </w:p>
        </w:tc>
        <w:tc>
          <w:tcPr>
            <w:tcW w:w="1160" w:type="dxa"/>
            <w:vAlign w:val="bottom"/>
          </w:tcPr>
          <w:p>
            <w:pPr>
              <w:spacing w:after="0" w:line="205" w:lineRule="exact"/>
              <w:rPr>
                <w:sz w:val="20"/>
                <w:szCs w:val="20"/>
                <w:color w:val="auto"/>
              </w:rPr>
            </w:pPr>
            <w:r>
              <w:rPr>
                <w:rFonts w:ascii="Calibri" w:cs="Calibri" w:eastAsia="Calibri" w:hAnsi="Calibri"/>
                <w:sz w:val="18"/>
                <w:szCs w:val="18"/>
                <w:color w:val="auto"/>
              </w:rPr>
              <w:t>001-38449</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Pr>
          <w:p>
            <w:pPr>
              <w:jc w:val="center"/>
              <w:ind w:right="213"/>
              <w:spacing w:after="0" w:line="205" w:lineRule="exact"/>
              <w:rPr>
                <w:sz w:val="20"/>
                <w:szCs w:val="20"/>
                <w:color w:val="auto"/>
              </w:rPr>
            </w:pPr>
            <w:r>
              <w:rPr>
                <w:rFonts w:ascii="Calibri" w:cs="Calibri" w:eastAsia="Calibri" w:hAnsi="Calibri"/>
                <w:sz w:val="18"/>
                <w:szCs w:val="18"/>
                <w:color w:val="auto"/>
                <w:w w:val="96"/>
              </w:rPr>
              <w:t>4.2</w:t>
            </w:r>
          </w:p>
        </w:tc>
        <w:tc>
          <w:tcPr>
            <w:tcW w:w="100" w:type="dxa"/>
            <w:vAlign w:val="bottom"/>
          </w:tcPr>
          <w:p>
            <w:pPr>
              <w:spacing w:after="0"/>
              <w:rPr>
                <w:sz w:val="17"/>
                <w:szCs w:val="17"/>
                <w:color w:val="auto"/>
              </w:rPr>
            </w:pPr>
          </w:p>
        </w:tc>
        <w:tc>
          <w:tcPr>
            <w:tcW w:w="1140" w:type="dxa"/>
            <w:vAlign w:val="bottom"/>
          </w:tcPr>
          <w:p>
            <w:pPr>
              <w:jc w:val="right"/>
              <w:ind w:right="233"/>
              <w:spacing w:after="0" w:line="205" w:lineRule="exact"/>
              <w:rPr>
                <w:sz w:val="20"/>
                <w:szCs w:val="20"/>
                <w:color w:val="auto"/>
              </w:rPr>
            </w:pPr>
            <w:r>
              <w:rPr>
                <w:rFonts w:ascii="Calibri" w:cs="Calibri" w:eastAsia="Calibri" w:hAnsi="Calibri"/>
                <w:sz w:val="18"/>
                <w:szCs w:val="18"/>
                <w:color w:val="auto"/>
                <w:w w:val="95"/>
              </w:rPr>
              <w:t>04-09-2018</w:t>
            </w:r>
          </w:p>
        </w:tc>
        <w:tc>
          <w:tcPr>
            <w:tcW w:w="0" w:type="dxa"/>
            <w:vAlign w:val="bottom"/>
          </w:tcPr>
          <w:p>
            <w:pPr>
              <w:spacing w:after="0"/>
              <w:rPr>
                <w:sz w:val="1"/>
                <w:szCs w:val="1"/>
                <w:color w:val="auto"/>
              </w:rPr>
            </w:pPr>
          </w:p>
        </w:tc>
      </w:tr>
      <w:tr>
        <w:trPr>
          <w:trHeight w:val="152"/>
        </w:trPr>
        <w:tc>
          <w:tcPr>
            <w:tcW w:w="8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60" w:type="dxa"/>
            <w:vAlign w:val="bottom"/>
            <w:tcBorders>
              <w:top w:val="single" w:sz="8" w:color="0000FF"/>
            </w:tcBorders>
            <w:gridSpan w:val="8"/>
          </w:tcPr>
          <w:p>
            <w:pPr>
              <w:spacing w:after="0" w:line="152" w:lineRule="exact"/>
              <w:rPr>
                <w:rFonts w:ascii="Calibri" w:cs="Calibri" w:eastAsia="Calibri" w:hAnsi="Calibri"/>
                <w:sz w:val="15"/>
                <w:szCs w:val="15"/>
                <w:color w:val="0000FF"/>
              </w:rPr>
            </w:pPr>
            <w:hyperlink r:id="rId122">
              <w:r>
                <w:rPr>
                  <w:rFonts w:ascii="Calibri" w:cs="Calibri" w:eastAsia="Calibri" w:hAnsi="Calibri"/>
                  <w:sz w:val="15"/>
                  <w:szCs w:val="15"/>
                  <w:color w:val="0000FF"/>
                </w:rPr>
                <w:t>Indenture, dated as of April 9, 2018.</w:t>
              </w:r>
            </w:hyperlink>
          </w:p>
        </w:tc>
        <w:tc>
          <w:tcPr>
            <w:tcW w:w="12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gridSpan w:val="2"/>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gridSpan w:val="3"/>
          </w:tcPr>
          <w:p>
            <w:pPr>
              <w:spacing w:after="0"/>
              <w:rPr>
                <w:sz w:val="13"/>
                <w:szCs w:val="13"/>
                <w:color w:val="auto"/>
              </w:rPr>
            </w:pPr>
          </w:p>
        </w:tc>
        <w:tc>
          <w:tcPr>
            <w:tcW w:w="10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2"/>
          </w:tcPr>
          <w:p>
            <w:pPr>
              <w:spacing w:after="0"/>
              <w:rPr>
                <w:sz w:val="13"/>
                <w:szCs w:val="13"/>
                <w:color w:val="auto"/>
              </w:rPr>
            </w:pPr>
          </w:p>
        </w:tc>
        <w:tc>
          <w:tcPr>
            <w:tcW w:w="140" w:type="dxa"/>
            <w:vAlign w:val="bottom"/>
            <w:gridSpan w:val="3"/>
          </w:tcPr>
          <w:p>
            <w:pPr>
              <w:spacing w:after="0"/>
              <w:rPr>
                <w:sz w:val="13"/>
                <w:szCs w:val="13"/>
                <w:color w:val="auto"/>
              </w:rPr>
            </w:pPr>
          </w:p>
        </w:tc>
        <w:tc>
          <w:tcPr>
            <w:tcW w:w="2000" w:type="dxa"/>
            <w:vAlign w:val="bottom"/>
            <w:gridSpan w:val="2"/>
          </w:tcPr>
          <w:p>
            <w:pPr>
              <w:ind w:left="20"/>
              <w:spacing w:after="0" w:line="152" w:lineRule="exact"/>
              <w:rPr>
                <w:sz w:val="20"/>
                <w:szCs w:val="20"/>
                <w:color w:val="auto"/>
              </w:rPr>
            </w:pPr>
            <w:r>
              <w:rPr>
                <w:rFonts w:ascii="Calibri" w:cs="Calibri" w:eastAsia="Calibri" w:hAnsi="Calibri"/>
                <w:sz w:val="15"/>
                <w:szCs w:val="15"/>
                <w:color w:val="auto"/>
              </w:rPr>
              <w:t>Report on Form 8-K</w:t>
            </w: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1420" w:type="dxa"/>
            <w:vAlign w:val="bottom"/>
            <w:gridSpan w:val="2"/>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860" w:type="dxa"/>
            <w:vAlign w:val="bottom"/>
          </w:tcPr>
          <w:p>
            <w:pPr>
              <w:jc w:val="right"/>
              <w:spacing w:after="0" w:line="217" w:lineRule="exact"/>
              <w:rPr>
                <w:sz w:val="20"/>
                <w:szCs w:val="20"/>
                <w:color w:val="auto"/>
              </w:rPr>
            </w:pPr>
            <w:r>
              <w:rPr>
                <w:rFonts w:ascii="Calibri" w:cs="Calibri" w:eastAsia="Calibri" w:hAnsi="Calibri"/>
                <w:sz w:val="18"/>
                <w:szCs w:val="18"/>
                <w:color w:val="auto"/>
              </w:rPr>
              <w:t>4.10</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60" w:type="dxa"/>
            <w:vAlign w:val="bottom"/>
            <w:gridSpan w:val="28"/>
          </w:tcPr>
          <w:p>
            <w:pPr>
              <w:spacing w:after="0" w:line="217" w:lineRule="exact"/>
              <w:rPr>
                <w:rFonts w:ascii="Calibri" w:cs="Calibri" w:eastAsia="Calibri" w:hAnsi="Calibri"/>
                <w:sz w:val="18"/>
                <w:szCs w:val="18"/>
                <w:color w:val="0000FF"/>
              </w:rPr>
            </w:pPr>
            <w:hyperlink r:id="rId123">
              <w:r>
                <w:rPr>
                  <w:rFonts w:ascii="Calibri" w:cs="Calibri" w:eastAsia="Calibri" w:hAnsi="Calibri"/>
                  <w:sz w:val="18"/>
                  <w:szCs w:val="18"/>
                  <w:color w:val="0000FF"/>
                </w:rPr>
                <w:t>Second Supplemental Indenture to October 2017</w:t>
              </w:r>
            </w:hyperlink>
          </w:p>
        </w:tc>
        <w:tc>
          <w:tcPr>
            <w:tcW w:w="2000" w:type="dxa"/>
            <w:vAlign w:val="bottom"/>
            <w:gridSpan w:val="2"/>
          </w:tcPr>
          <w:p>
            <w:pPr>
              <w:ind w:left="20"/>
              <w:spacing w:after="0" w:line="217" w:lineRule="exact"/>
              <w:rPr>
                <w:sz w:val="20"/>
                <w:szCs w:val="20"/>
                <w:color w:val="auto"/>
              </w:rPr>
            </w:pPr>
            <w:r>
              <w:rPr>
                <w:rFonts w:ascii="Calibri" w:cs="Calibri" w:eastAsia="Calibri" w:hAnsi="Calibri"/>
                <w:sz w:val="18"/>
                <w:szCs w:val="18"/>
                <w:color w:val="auto"/>
              </w:rPr>
              <w:t>Broadcom Inc. Current</w:t>
            </w:r>
          </w:p>
        </w:tc>
        <w:tc>
          <w:tcPr>
            <w:tcW w:w="1160" w:type="dxa"/>
            <w:vAlign w:val="bottom"/>
          </w:tcPr>
          <w:p>
            <w:pPr>
              <w:spacing w:after="0" w:line="217" w:lineRule="exact"/>
              <w:rPr>
                <w:sz w:val="20"/>
                <w:szCs w:val="20"/>
                <w:color w:val="auto"/>
              </w:rPr>
            </w:pPr>
            <w:r>
              <w:rPr>
                <w:rFonts w:ascii="Calibri" w:cs="Calibri" w:eastAsia="Calibri" w:hAnsi="Calibri"/>
                <w:sz w:val="18"/>
                <w:szCs w:val="18"/>
                <w:color w:val="auto"/>
              </w:rPr>
              <w:t>001-38449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jc w:val="center"/>
              <w:ind w:right="213"/>
              <w:spacing w:after="0" w:line="217" w:lineRule="exact"/>
              <w:rPr>
                <w:sz w:val="20"/>
                <w:szCs w:val="20"/>
                <w:color w:val="auto"/>
              </w:rPr>
            </w:pPr>
            <w:r>
              <w:rPr>
                <w:rFonts w:ascii="Calibri" w:cs="Calibri" w:eastAsia="Calibri" w:hAnsi="Calibri"/>
                <w:sz w:val="18"/>
                <w:szCs w:val="18"/>
                <w:color w:val="auto"/>
                <w:w w:val="96"/>
              </w:rPr>
              <w:t>4.2</w:t>
            </w:r>
          </w:p>
        </w:tc>
        <w:tc>
          <w:tcPr>
            <w:tcW w:w="100" w:type="dxa"/>
            <w:vAlign w:val="bottom"/>
          </w:tcPr>
          <w:p>
            <w:pPr>
              <w:spacing w:after="0"/>
              <w:rPr>
                <w:sz w:val="18"/>
                <w:szCs w:val="18"/>
                <w:color w:val="auto"/>
              </w:rPr>
            </w:pPr>
          </w:p>
        </w:tc>
        <w:tc>
          <w:tcPr>
            <w:tcW w:w="1140" w:type="dxa"/>
            <w:vAlign w:val="bottom"/>
          </w:tcPr>
          <w:p>
            <w:pPr>
              <w:jc w:val="right"/>
              <w:ind w:right="233"/>
              <w:spacing w:after="0" w:line="217" w:lineRule="exact"/>
              <w:rPr>
                <w:sz w:val="20"/>
                <w:szCs w:val="20"/>
                <w:color w:val="auto"/>
              </w:rPr>
            </w:pPr>
            <w:r>
              <w:rPr>
                <w:rFonts w:ascii="Calibri" w:cs="Calibri" w:eastAsia="Calibri" w:hAnsi="Calibri"/>
                <w:sz w:val="18"/>
                <w:szCs w:val="18"/>
                <w:color w:val="auto"/>
                <w:w w:val="95"/>
              </w:rPr>
              <w:t>01-25-2019</w:t>
            </w:r>
          </w:p>
        </w:tc>
        <w:tc>
          <w:tcPr>
            <w:tcW w:w="0" w:type="dxa"/>
            <w:vAlign w:val="bottom"/>
          </w:tcPr>
          <w:p>
            <w:pPr>
              <w:spacing w:after="0"/>
              <w:rPr>
                <w:sz w:val="1"/>
                <w:szCs w:val="1"/>
                <w:color w:val="auto"/>
              </w:rPr>
            </w:pPr>
          </w:p>
        </w:tc>
      </w:tr>
      <w:tr>
        <w:trPr>
          <w:trHeight w:val="152"/>
        </w:trPr>
        <w:tc>
          <w:tcPr>
            <w:tcW w:w="8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780" w:type="dxa"/>
            <w:vAlign w:val="bottom"/>
            <w:tcBorders>
              <w:top w:val="single" w:sz="8" w:color="0000FF"/>
              <w:bottom w:val="single" w:sz="8" w:color="0000FF"/>
            </w:tcBorders>
            <w:gridSpan w:val="6"/>
          </w:tcPr>
          <w:p>
            <w:pPr>
              <w:spacing w:after="0" w:line="152" w:lineRule="exact"/>
              <w:rPr>
                <w:rFonts w:ascii="Calibri" w:cs="Calibri" w:eastAsia="Calibri" w:hAnsi="Calibri"/>
                <w:sz w:val="15"/>
                <w:szCs w:val="15"/>
                <w:color w:val="0000FF"/>
              </w:rPr>
            </w:pPr>
            <w:hyperlink r:id="rId123">
              <w:r>
                <w:rPr>
                  <w:rFonts w:ascii="Calibri" w:cs="Calibri" w:eastAsia="Calibri" w:hAnsi="Calibri"/>
                  <w:sz w:val="15"/>
                  <w:szCs w:val="15"/>
                  <w:color w:val="0000FF"/>
                </w:rPr>
                <w:t>Indenture, dates as of January 25, 2019.</w:t>
              </w:r>
            </w:hyperlink>
          </w:p>
        </w:tc>
        <w:tc>
          <w:tcPr>
            <w:tcW w:w="640" w:type="dxa"/>
            <w:vAlign w:val="bottom"/>
            <w:tcBorders>
              <w:top w:val="single" w:sz="8" w:color="0000FF"/>
            </w:tcBorders>
            <w:gridSpan w:val="15"/>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2"/>
          </w:tcPr>
          <w:p>
            <w:pPr>
              <w:spacing w:after="0"/>
              <w:rPr>
                <w:sz w:val="13"/>
                <w:szCs w:val="13"/>
                <w:color w:val="auto"/>
              </w:rPr>
            </w:pPr>
          </w:p>
        </w:tc>
        <w:tc>
          <w:tcPr>
            <w:tcW w:w="140" w:type="dxa"/>
            <w:vAlign w:val="bottom"/>
            <w:gridSpan w:val="3"/>
          </w:tcPr>
          <w:p>
            <w:pPr>
              <w:spacing w:after="0"/>
              <w:rPr>
                <w:sz w:val="13"/>
                <w:szCs w:val="13"/>
                <w:color w:val="auto"/>
              </w:rPr>
            </w:pPr>
          </w:p>
        </w:tc>
        <w:tc>
          <w:tcPr>
            <w:tcW w:w="2000" w:type="dxa"/>
            <w:vAlign w:val="bottom"/>
            <w:gridSpan w:val="2"/>
          </w:tcPr>
          <w:p>
            <w:pPr>
              <w:ind w:left="20"/>
              <w:spacing w:after="0" w:line="152" w:lineRule="exact"/>
              <w:rPr>
                <w:sz w:val="20"/>
                <w:szCs w:val="20"/>
                <w:color w:val="auto"/>
              </w:rPr>
            </w:pPr>
            <w:r>
              <w:rPr>
                <w:rFonts w:ascii="Calibri" w:cs="Calibri" w:eastAsia="Calibri" w:hAnsi="Calibri"/>
                <w:sz w:val="15"/>
                <w:szCs w:val="15"/>
                <w:color w:val="auto"/>
              </w:rPr>
              <w:t>Report on Form 8-K</w:t>
            </w: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8"/>
        </w:trPr>
        <w:tc>
          <w:tcPr>
            <w:tcW w:w="860" w:type="dxa"/>
            <w:vAlign w:val="bottom"/>
          </w:tcPr>
          <w:p>
            <w:pPr>
              <w:jc w:val="right"/>
              <w:spacing w:after="0" w:line="217" w:lineRule="exact"/>
              <w:rPr>
                <w:sz w:val="20"/>
                <w:szCs w:val="20"/>
                <w:color w:val="auto"/>
              </w:rPr>
            </w:pPr>
            <w:r>
              <w:rPr>
                <w:rFonts w:ascii="Calibri" w:cs="Calibri" w:eastAsia="Calibri" w:hAnsi="Calibri"/>
                <w:sz w:val="18"/>
                <w:szCs w:val="18"/>
                <w:color w:val="auto"/>
              </w:rPr>
              <w:t>4.11</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60" w:type="dxa"/>
            <w:vAlign w:val="bottom"/>
            <w:gridSpan w:val="28"/>
          </w:tcPr>
          <w:p>
            <w:pPr>
              <w:spacing w:after="0" w:line="217" w:lineRule="exact"/>
              <w:rPr>
                <w:rFonts w:ascii="Calibri" w:cs="Calibri" w:eastAsia="Calibri" w:hAnsi="Calibri"/>
                <w:sz w:val="18"/>
                <w:szCs w:val="18"/>
                <w:color w:val="0000FF"/>
              </w:rPr>
            </w:pPr>
            <w:hyperlink r:id="rId121">
              <w:r>
                <w:rPr>
                  <w:rFonts w:ascii="Calibri" w:cs="Calibri" w:eastAsia="Calibri" w:hAnsi="Calibri"/>
                  <w:sz w:val="18"/>
                  <w:szCs w:val="18"/>
                  <w:color w:val="0000FF"/>
                </w:rPr>
                <w:t>Form of 2.650% Senior Notes due 2023 (included</w:t>
              </w:r>
            </w:hyperlink>
          </w:p>
        </w:tc>
        <w:tc>
          <w:tcPr>
            <w:tcW w:w="2000" w:type="dxa"/>
            <w:vAlign w:val="bottom"/>
            <w:gridSpan w:val="2"/>
          </w:tcPr>
          <w:p>
            <w:pPr>
              <w:ind w:left="20"/>
              <w:spacing w:after="0" w:line="217" w:lineRule="exact"/>
              <w:rPr>
                <w:sz w:val="20"/>
                <w:szCs w:val="20"/>
                <w:color w:val="auto"/>
              </w:rPr>
            </w:pPr>
            <w:r>
              <w:rPr>
                <w:rFonts w:ascii="Calibri" w:cs="Calibri" w:eastAsia="Calibri" w:hAnsi="Calibri"/>
                <w:sz w:val="18"/>
                <w:szCs w:val="18"/>
                <w:color w:val="auto"/>
              </w:rPr>
              <w:t>Broadcom Limited Current</w:t>
            </w:r>
          </w:p>
        </w:tc>
        <w:tc>
          <w:tcPr>
            <w:tcW w:w="1160" w:type="dxa"/>
            <w:vAlign w:val="bottom"/>
          </w:tcPr>
          <w:p>
            <w:pPr>
              <w:spacing w:after="0" w:line="217" w:lineRule="exact"/>
              <w:rPr>
                <w:sz w:val="20"/>
                <w:szCs w:val="20"/>
                <w:color w:val="auto"/>
              </w:rPr>
            </w:pPr>
            <w:r>
              <w:rPr>
                <w:rFonts w:ascii="Calibri" w:cs="Calibri" w:eastAsia="Calibri" w:hAnsi="Calibri"/>
                <w:sz w:val="18"/>
                <w:szCs w:val="18"/>
                <w:color w:val="auto"/>
              </w:rPr>
              <w:t>001-37690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jc w:val="center"/>
              <w:ind w:right="213"/>
              <w:spacing w:after="0" w:line="217" w:lineRule="exact"/>
              <w:rPr>
                <w:sz w:val="20"/>
                <w:szCs w:val="20"/>
                <w:color w:val="auto"/>
              </w:rPr>
            </w:pPr>
            <w:r>
              <w:rPr>
                <w:rFonts w:ascii="Calibri" w:cs="Calibri" w:eastAsia="Calibri" w:hAnsi="Calibri"/>
                <w:sz w:val="18"/>
                <w:szCs w:val="18"/>
                <w:color w:val="auto"/>
                <w:w w:val="96"/>
              </w:rPr>
              <w:t>4.1</w:t>
            </w:r>
          </w:p>
        </w:tc>
        <w:tc>
          <w:tcPr>
            <w:tcW w:w="100" w:type="dxa"/>
            <w:vAlign w:val="bottom"/>
          </w:tcPr>
          <w:p>
            <w:pPr>
              <w:spacing w:after="0"/>
              <w:rPr>
                <w:sz w:val="18"/>
                <w:szCs w:val="18"/>
                <w:color w:val="auto"/>
              </w:rPr>
            </w:pPr>
          </w:p>
        </w:tc>
        <w:tc>
          <w:tcPr>
            <w:tcW w:w="1140" w:type="dxa"/>
            <w:vAlign w:val="bottom"/>
          </w:tcPr>
          <w:p>
            <w:pPr>
              <w:jc w:val="right"/>
              <w:ind w:right="233"/>
              <w:spacing w:after="0" w:line="217" w:lineRule="exact"/>
              <w:rPr>
                <w:sz w:val="20"/>
                <w:szCs w:val="20"/>
                <w:color w:val="auto"/>
              </w:rPr>
            </w:pPr>
            <w:r>
              <w:rPr>
                <w:rFonts w:ascii="Calibri" w:cs="Calibri" w:eastAsia="Calibri" w:hAnsi="Calibri"/>
                <w:sz w:val="18"/>
                <w:szCs w:val="18"/>
                <w:color w:val="auto"/>
                <w:w w:val="95"/>
              </w:rPr>
              <w:t>10-17-2017</w:t>
            </w:r>
          </w:p>
        </w:tc>
        <w:tc>
          <w:tcPr>
            <w:tcW w:w="0" w:type="dxa"/>
            <w:vAlign w:val="bottom"/>
          </w:tcPr>
          <w:p>
            <w:pPr>
              <w:spacing w:after="0"/>
              <w:rPr>
                <w:sz w:val="1"/>
                <w:szCs w:val="1"/>
                <w:color w:val="auto"/>
              </w:rPr>
            </w:pPr>
          </w:p>
        </w:tc>
      </w:tr>
      <w:tr>
        <w:trPr>
          <w:trHeight w:val="152"/>
        </w:trPr>
        <w:tc>
          <w:tcPr>
            <w:tcW w:w="8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80" w:type="dxa"/>
            <w:vAlign w:val="bottom"/>
            <w:tcBorders>
              <w:top w:val="single" w:sz="8" w:color="0000FF"/>
              <w:bottom w:val="single" w:sz="8" w:color="0000FF"/>
            </w:tcBorders>
            <w:gridSpan w:val="3"/>
          </w:tcPr>
          <w:p>
            <w:pPr>
              <w:spacing w:after="0" w:line="152" w:lineRule="exact"/>
              <w:rPr>
                <w:rFonts w:ascii="Calibri" w:cs="Calibri" w:eastAsia="Calibri" w:hAnsi="Calibri"/>
                <w:sz w:val="15"/>
                <w:szCs w:val="15"/>
                <w:color w:val="0000FF"/>
              </w:rPr>
            </w:pPr>
            <w:hyperlink r:id="rId121">
              <w:r>
                <w:rPr>
                  <w:rFonts w:ascii="Calibri" w:cs="Calibri" w:eastAsia="Calibri" w:hAnsi="Calibri"/>
                  <w:sz w:val="15"/>
                  <w:szCs w:val="15"/>
                  <w:color w:val="0000FF"/>
                </w:rPr>
                <w:t>in Exhibit 4.11).</w:t>
              </w:r>
            </w:hyperlink>
          </w:p>
        </w:tc>
        <w:tc>
          <w:tcPr>
            <w:tcW w:w="2320" w:type="dxa"/>
            <w:vAlign w:val="bottom"/>
            <w:tcBorders>
              <w:top w:val="single" w:sz="8" w:color="0000FF"/>
            </w:tcBorders>
            <w:gridSpan w:val="17"/>
          </w:tcPr>
          <w:p>
            <w:pPr>
              <w:spacing w:after="0"/>
              <w:rPr>
                <w:sz w:val="13"/>
                <w:szCs w:val="13"/>
                <w:color w:val="auto"/>
              </w:rPr>
            </w:pPr>
          </w:p>
        </w:tc>
        <w:tc>
          <w:tcPr>
            <w:tcW w:w="60" w:type="dxa"/>
            <w:vAlign w:val="bottom"/>
            <w:gridSpan w:val="3"/>
          </w:tcPr>
          <w:p>
            <w:pPr>
              <w:spacing w:after="0"/>
              <w:rPr>
                <w:sz w:val="13"/>
                <w:szCs w:val="13"/>
                <w:color w:val="auto"/>
              </w:rPr>
            </w:pPr>
          </w:p>
        </w:tc>
        <w:tc>
          <w:tcPr>
            <w:tcW w:w="60" w:type="dxa"/>
            <w:vAlign w:val="bottom"/>
            <w:gridSpan w:val="2"/>
          </w:tcPr>
          <w:p>
            <w:pPr>
              <w:spacing w:after="0"/>
              <w:rPr>
                <w:sz w:val="13"/>
                <w:szCs w:val="13"/>
                <w:color w:val="auto"/>
              </w:rPr>
            </w:pPr>
          </w:p>
        </w:tc>
        <w:tc>
          <w:tcPr>
            <w:tcW w:w="140" w:type="dxa"/>
            <w:vAlign w:val="bottom"/>
            <w:gridSpan w:val="3"/>
          </w:tcPr>
          <w:p>
            <w:pPr>
              <w:spacing w:after="0"/>
              <w:rPr>
                <w:sz w:val="13"/>
                <w:szCs w:val="13"/>
                <w:color w:val="auto"/>
              </w:rPr>
            </w:pPr>
          </w:p>
        </w:tc>
        <w:tc>
          <w:tcPr>
            <w:tcW w:w="2000" w:type="dxa"/>
            <w:vAlign w:val="bottom"/>
            <w:gridSpan w:val="2"/>
          </w:tcPr>
          <w:p>
            <w:pPr>
              <w:ind w:left="20"/>
              <w:spacing w:after="0" w:line="152" w:lineRule="exact"/>
              <w:rPr>
                <w:sz w:val="20"/>
                <w:szCs w:val="20"/>
                <w:color w:val="auto"/>
              </w:rPr>
            </w:pPr>
            <w:r>
              <w:rPr>
                <w:rFonts w:ascii="Calibri" w:cs="Calibri" w:eastAsia="Calibri" w:hAnsi="Calibri"/>
                <w:sz w:val="15"/>
                <w:szCs w:val="15"/>
                <w:color w:val="auto"/>
              </w:rPr>
              <w:t>Report on Form 8-K</w:t>
            </w: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8"/>
        </w:trPr>
        <w:tc>
          <w:tcPr>
            <w:tcW w:w="860" w:type="dxa"/>
            <w:vAlign w:val="bottom"/>
          </w:tcPr>
          <w:p>
            <w:pPr>
              <w:jc w:val="right"/>
              <w:spacing w:after="0" w:line="217" w:lineRule="exact"/>
              <w:rPr>
                <w:sz w:val="20"/>
                <w:szCs w:val="20"/>
                <w:color w:val="auto"/>
              </w:rPr>
            </w:pPr>
            <w:r>
              <w:rPr>
                <w:rFonts w:ascii="Calibri" w:cs="Calibri" w:eastAsia="Calibri" w:hAnsi="Calibri"/>
                <w:sz w:val="18"/>
                <w:szCs w:val="18"/>
                <w:color w:val="auto"/>
              </w:rPr>
              <w:t>4.12</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60" w:type="dxa"/>
            <w:vAlign w:val="bottom"/>
            <w:gridSpan w:val="28"/>
          </w:tcPr>
          <w:p>
            <w:pPr>
              <w:spacing w:after="0" w:line="217" w:lineRule="exact"/>
              <w:rPr>
                <w:rFonts w:ascii="Calibri" w:cs="Calibri" w:eastAsia="Calibri" w:hAnsi="Calibri"/>
                <w:sz w:val="18"/>
                <w:szCs w:val="18"/>
                <w:color w:val="0000FF"/>
              </w:rPr>
            </w:pPr>
            <w:hyperlink r:id="rId121">
              <w:r>
                <w:rPr>
                  <w:rFonts w:ascii="Calibri" w:cs="Calibri" w:eastAsia="Calibri" w:hAnsi="Calibri"/>
                  <w:sz w:val="18"/>
                  <w:szCs w:val="18"/>
                  <w:color w:val="0000FF"/>
                </w:rPr>
                <w:t>Form of 3.125% Senior Notes due 2025 (included</w:t>
              </w:r>
            </w:hyperlink>
          </w:p>
        </w:tc>
        <w:tc>
          <w:tcPr>
            <w:tcW w:w="2000" w:type="dxa"/>
            <w:vAlign w:val="bottom"/>
            <w:gridSpan w:val="2"/>
          </w:tcPr>
          <w:p>
            <w:pPr>
              <w:ind w:left="20"/>
              <w:spacing w:after="0" w:line="217" w:lineRule="exact"/>
              <w:rPr>
                <w:sz w:val="20"/>
                <w:szCs w:val="20"/>
                <w:color w:val="auto"/>
              </w:rPr>
            </w:pPr>
            <w:r>
              <w:rPr>
                <w:rFonts w:ascii="Calibri" w:cs="Calibri" w:eastAsia="Calibri" w:hAnsi="Calibri"/>
                <w:sz w:val="18"/>
                <w:szCs w:val="18"/>
                <w:color w:val="auto"/>
              </w:rPr>
              <w:t>Broadcom Limited Current</w:t>
            </w:r>
          </w:p>
        </w:tc>
        <w:tc>
          <w:tcPr>
            <w:tcW w:w="1160" w:type="dxa"/>
            <w:vAlign w:val="bottom"/>
          </w:tcPr>
          <w:p>
            <w:pPr>
              <w:spacing w:after="0" w:line="217" w:lineRule="exact"/>
              <w:rPr>
                <w:sz w:val="20"/>
                <w:szCs w:val="20"/>
                <w:color w:val="auto"/>
              </w:rPr>
            </w:pPr>
            <w:r>
              <w:rPr>
                <w:rFonts w:ascii="Calibri" w:cs="Calibri" w:eastAsia="Calibri" w:hAnsi="Calibri"/>
                <w:sz w:val="18"/>
                <w:szCs w:val="18"/>
                <w:color w:val="auto"/>
              </w:rPr>
              <w:t>001-37690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jc w:val="center"/>
              <w:ind w:right="213"/>
              <w:spacing w:after="0" w:line="217" w:lineRule="exact"/>
              <w:rPr>
                <w:sz w:val="20"/>
                <w:szCs w:val="20"/>
                <w:color w:val="auto"/>
              </w:rPr>
            </w:pPr>
            <w:r>
              <w:rPr>
                <w:rFonts w:ascii="Calibri" w:cs="Calibri" w:eastAsia="Calibri" w:hAnsi="Calibri"/>
                <w:sz w:val="18"/>
                <w:szCs w:val="18"/>
                <w:color w:val="auto"/>
                <w:w w:val="96"/>
              </w:rPr>
              <w:t>4.1</w:t>
            </w:r>
          </w:p>
        </w:tc>
        <w:tc>
          <w:tcPr>
            <w:tcW w:w="100" w:type="dxa"/>
            <w:vAlign w:val="bottom"/>
          </w:tcPr>
          <w:p>
            <w:pPr>
              <w:spacing w:after="0"/>
              <w:rPr>
                <w:sz w:val="18"/>
                <w:szCs w:val="18"/>
                <w:color w:val="auto"/>
              </w:rPr>
            </w:pPr>
          </w:p>
        </w:tc>
        <w:tc>
          <w:tcPr>
            <w:tcW w:w="1140" w:type="dxa"/>
            <w:vAlign w:val="bottom"/>
          </w:tcPr>
          <w:p>
            <w:pPr>
              <w:jc w:val="right"/>
              <w:ind w:right="233"/>
              <w:spacing w:after="0" w:line="217" w:lineRule="exact"/>
              <w:rPr>
                <w:sz w:val="20"/>
                <w:szCs w:val="20"/>
                <w:color w:val="auto"/>
              </w:rPr>
            </w:pPr>
            <w:r>
              <w:rPr>
                <w:rFonts w:ascii="Calibri" w:cs="Calibri" w:eastAsia="Calibri" w:hAnsi="Calibri"/>
                <w:sz w:val="18"/>
                <w:szCs w:val="18"/>
                <w:color w:val="auto"/>
                <w:w w:val="95"/>
              </w:rPr>
              <w:t>10-17-2017</w:t>
            </w:r>
          </w:p>
        </w:tc>
        <w:tc>
          <w:tcPr>
            <w:tcW w:w="0" w:type="dxa"/>
            <w:vAlign w:val="bottom"/>
          </w:tcPr>
          <w:p>
            <w:pPr>
              <w:spacing w:after="0"/>
              <w:rPr>
                <w:sz w:val="1"/>
                <w:szCs w:val="1"/>
                <w:color w:val="auto"/>
              </w:rPr>
            </w:pPr>
          </w:p>
        </w:tc>
      </w:tr>
      <w:tr>
        <w:trPr>
          <w:trHeight w:val="152"/>
        </w:trPr>
        <w:tc>
          <w:tcPr>
            <w:tcW w:w="8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80" w:type="dxa"/>
            <w:vAlign w:val="bottom"/>
            <w:tcBorders>
              <w:top w:val="single" w:sz="8" w:color="0000FF"/>
              <w:bottom w:val="single" w:sz="8" w:color="0000FF"/>
            </w:tcBorders>
            <w:gridSpan w:val="3"/>
          </w:tcPr>
          <w:p>
            <w:pPr>
              <w:spacing w:after="0" w:line="152" w:lineRule="exact"/>
              <w:rPr>
                <w:rFonts w:ascii="Calibri" w:cs="Calibri" w:eastAsia="Calibri" w:hAnsi="Calibri"/>
                <w:sz w:val="15"/>
                <w:szCs w:val="15"/>
                <w:color w:val="0000FF"/>
              </w:rPr>
            </w:pPr>
            <w:hyperlink r:id="rId121">
              <w:r>
                <w:rPr>
                  <w:rFonts w:ascii="Calibri" w:cs="Calibri" w:eastAsia="Calibri" w:hAnsi="Calibri"/>
                  <w:sz w:val="15"/>
                  <w:szCs w:val="15"/>
                  <w:color w:val="0000FF"/>
                </w:rPr>
                <w:t>in Exhibit 4.11).</w:t>
              </w:r>
            </w:hyperlink>
          </w:p>
        </w:tc>
        <w:tc>
          <w:tcPr>
            <w:tcW w:w="2320" w:type="dxa"/>
            <w:vAlign w:val="bottom"/>
            <w:tcBorders>
              <w:top w:val="single" w:sz="8" w:color="0000FF"/>
            </w:tcBorders>
            <w:gridSpan w:val="17"/>
          </w:tcPr>
          <w:p>
            <w:pPr>
              <w:spacing w:after="0"/>
              <w:rPr>
                <w:sz w:val="13"/>
                <w:szCs w:val="13"/>
                <w:color w:val="auto"/>
              </w:rPr>
            </w:pPr>
          </w:p>
        </w:tc>
        <w:tc>
          <w:tcPr>
            <w:tcW w:w="60" w:type="dxa"/>
            <w:vAlign w:val="bottom"/>
            <w:gridSpan w:val="3"/>
          </w:tcPr>
          <w:p>
            <w:pPr>
              <w:spacing w:after="0"/>
              <w:rPr>
                <w:sz w:val="13"/>
                <w:szCs w:val="13"/>
                <w:color w:val="auto"/>
              </w:rPr>
            </w:pPr>
          </w:p>
        </w:tc>
        <w:tc>
          <w:tcPr>
            <w:tcW w:w="60" w:type="dxa"/>
            <w:vAlign w:val="bottom"/>
            <w:gridSpan w:val="2"/>
          </w:tcPr>
          <w:p>
            <w:pPr>
              <w:spacing w:after="0"/>
              <w:rPr>
                <w:sz w:val="13"/>
                <w:szCs w:val="13"/>
                <w:color w:val="auto"/>
              </w:rPr>
            </w:pPr>
          </w:p>
        </w:tc>
        <w:tc>
          <w:tcPr>
            <w:tcW w:w="140" w:type="dxa"/>
            <w:vAlign w:val="bottom"/>
            <w:gridSpan w:val="3"/>
          </w:tcPr>
          <w:p>
            <w:pPr>
              <w:spacing w:after="0"/>
              <w:rPr>
                <w:sz w:val="13"/>
                <w:szCs w:val="13"/>
                <w:color w:val="auto"/>
              </w:rPr>
            </w:pPr>
          </w:p>
        </w:tc>
        <w:tc>
          <w:tcPr>
            <w:tcW w:w="2000" w:type="dxa"/>
            <w:vAlign w:val="bottom"/>
            <w:gridSpan w:val="2"/>
          </w:tcPr>
          <w:p>
            <w:pPr>
              <w:ind w:left="20"/>
              <w:spacing w:after="0" w:line="152" w:lineRule="exact"/>
              <w:rPr>
                <w:sz w:val="20"/>
                <w:szCs w:val="20"/>
                <w:color w:val="auto"/>
              </w:rPr>
            </w:pPr>
            <w:r>
              <w:rPr>
                <w:rFonts w:ascii="Calibri" w:cs="Calibri" w:eastAsia="Calibri" w:hAnsi="Calibri"/>
                <w:sz w:val="15"/>
                <w:szCs w:val="15"/>
                <w:color w:val="auto"/>
              </w:rPr>
              <w:t>Report on Form 8-K</w:t>
            </w: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8"/>
        </w:trPr>
        <w:tc>
          <w:tcPr>
            <w:tcW w:w="860" w:type="dxa"/>
            <w:vAlign w:val="bottom"/>
          </w:tcPr>
          <w:p>
            <w:pPr>
              <w:jc w:val="right"/>
              <w:spacing w:after="0" w:line="217" w:lineRule="exact"/>
              <w:rPr>
                <w:sz w:val="20"/>
                <w:szCs w:val="20"/>
                <w:color w:val="auto"/>
              </w:rPr>
            </w:pPr>
            <w:r>
              <w:rPr>
                <w:rFonts w:ascii="Calibri" w:cs="Calibri" w:eastAsia="Calibri" w:hAnsi="Calibri"/>
                <w:sz w:val="18"/>
                <w:szCs w:val="18"/>
                <w:color w:val="auto"/>
              </w:rPr>
              <w:t>4.13</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60" w:type="dxa"/>
            <w:vAlign w:val="bottom"/>
            <w:gridSpan w:val="28"/>
          </w:tcPr>
          <w:p>
            <w:pPr>
              <w:spacing w:after="0" w:line="217" w:lineRule="exact"/>
              <w:rPr>
                <w:rFonts w:ascii="Calibri" w:cs="Calibri" w:eastAsia="Calibri" w:hAnsi="Calibri"/>
                <w:sz w:val="18"/>
                <w:szCs w:val="18"/>
                <w:color w:val="0000FF"/>
              </w:rPr>
            </w:pPr>
            <w:hyperlink r:id="rId121">
              <w:r>
                <w:rPr>
                  <w:rFonts w:ascii="Calibri" w:cs="Calibri" w:eastAsia="Calibri" w:hAnsi="Calibri"/>
                  <w:sz w:val="18"/>
                  <w:szCs w:val="18"/>
                  <w:color w:val="0000FF"/>
                </w:rPr>
                <w:t>Form of 3.500% Senior Notes due 2028 (included</w:t>
              </w:r>
            </w:hyperlink>
          </w:p>
        </w:tc>
        <w:tc>
          <w:tcPr>
            <w:tcW w:w="2000" w:type="dxa"/>
            <w:vAlign w:val="bottom"/>
            <w:gridSpan w:val="2"/>
          </w:tcPr>
          <w:p>
            <w:pPr>
              <w:ind w:left="20"/>
              <w:spacing w:after="0" w:line="217" w:lineRule="exact"/>
              <w:rPr>
                <w:sz w:val="20"/>
                <w:szCs w:val="20"/>
                <w:color w:val="auto"/>
              </w:rPr>
            </w:pPr>
            <w:r>
              <w:rPr>
                <w:rFonts w:ascii="Calibri" w:cs="Calibri" w:eastAsia="Calibri" w:hAnsi="Calibri"/>
                <w:sz w:val="18"/>
                <w:szCs w:val="18"/>
                <w:color w:val="auto"/>
              </w:rPr>
              <w:t>Broadcom Limited Current</w:t>
            </w:r>
          </w:p>
        </w:tc>
        <w:tc>
          <w:tcPr>
            <w:tcW w:w="1160" w:type="dxa"/>
            <w:vAlign w:val="bottom"/>
          </w:tcPr>
          <w:p>
            <w:pPr>
              <w:spacing w:after="0" w:line="217" w:lineRule="exact"/>
              <w:rPr>
                <w:sz w:val="20"/>
                <w:szCs w:val="20"/>
                <w:color w:val="auto"/>
              </w:rPr>
            </w:pPr>
            <w:r>
              <w:rPr>
                <w:rFonts w:ascii="Calibri" w:cs="Calibri" w:eastAsia="Calibri" w:hAnsi="Calibri"/>
                <w:sz w:val="18"/>
                <w:szCs w:val="18"/>
                <w:color w:val="auto"/>
              </w:rPr>
              <w:t>001-37690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jc w:val="center"/>
              <w:ind w:right="213"/>
              <w:spacing w:after="0" w:line="217" w:lineRule="exact"/>
              <w:rPr>
                <w:sz w:val="20"/>
                <w:szCs w:val="20"/>
                <w:color w:val="auto"/>
              </w:rPr>
            </w:pPr>
            <w:r>
              <w:rPr>
                <w:rFonts w:ascii="Calibri" w:cs="Calibri" w:eastAsia="Calibri" w:hAnsi="Calibri"/>
                <w:sz w:val="18"/>
                <w:szCs w:val="18"/>
                <w:color w:val="auto"/>
                <w:w w:val="96"/>
              </w:rPr>
              <w:t>4.1</w:t>
            </w:r>
          </w:p>
        </w:tc>
        <w:tc>
          <w:tcPr>
            <w:tcW w:w="100" w:type="dxa"/>
            <w:vAlign w:val="bottom"/>
          </w:tcPr>
          <w:p>
            <w:pPr>
              <w:spacing w:after="0"/>
              <w:rPr>
                <w:sz w:val="18"/>
                <w:szCs w:val="18"/>
                <w:color w:val="auto"/>
              </w:rPr>
            </w:pPr>
          </w:p>
        </w:tc>
        <w:tc>
          <w:tcPr>
            <w:tcW w:w="1140" w:type="dxa"/>
            <w:vAlign w:val="bottom"/>
          </w:tcPr>
          <w:p>
            <w:pPr>
              <w:jc w:val="right"/>
              <w:ind w:right="233"/>
              <w:spacing w:after="0" w:line="217" w:lineRule="exact"/>
              <w:rPr>
                <w:sz w:val="20"/>
                <w:szCs w:val="20"/>
                <w:color w:val="auto"/>
              </w:rPr>
            </w:pPr>
            <w:r>
              <w:rPr>
                <w:rFonts w:ascii="Calibri" w:cs="Calibri" w:eastAsia="Calibri" w:hAnsi="Calibri"/>
                <w:sz w:val="18"/>
                <w:szCs w:val="18"/>
                <w:color w:val="auto"/>
                <w:w w:val="95"/>
              </w:rPr>
              <w:t>10-17-2017</w:t>
            </w:r>
          </w:p>
        </w:tc>
        <w:tc>
          <w:tcPr>
            <w:tcW w:w="0" w:type="dxa"/>
            <w:vAlign w:val="bottom"/>
          </w:tcPr>
          <w:p>
            <w:pPr>
              <w:spacing w:after="0"/>
              <w:rPr>
                <w:sz w:val="1"/>
                <w:szCs w:val="1"/>
                <w:color w:val="auto"/>
              </w:rPr>
            </w:pPr>
          </w:p>
        </w:tc>
      </w:tr>
      <w:tr>
        <w:trPr>
          <w:trHeight w:val="152"/>
        </w:trPr>
        <w:tc>
          <w:tcPr>
            <w:tcW w:w="8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80" w:type="dxa"/>
            <w:vAlign w:val="bottom"/>
            <w:tcBorders>
              <w:top w:val="single" w:sz="8" w:color="0000FF"/>
              <w:bottom w:val="single" w:sz="8" w:color="0000FF"/>
            </w:tcBorders>
            <w:gridSpan w:val="3"/>
          </w:tcPr>
          <w:p>
            <w:pPr>
              <w:spacing w:after="0" w:line="152" w:lineRule="exact"/>
              <w:rPr>
                <w:rFonts w:ascii="Calibri" w:cs="Calibri" w:eastAsia="Calibri" w:hAnsi="Calibri"/>
                <w:sz w:val="15"/>
                <w:szCs w:val="15"/>
                <w:color w:val="0000FF"/>
              </w:rPr>
            </w:pPr>
            <w:hyperlink r:id="rId121">
              <w:r>
                <w:rPr>
                  <w:rFonts w:ascii="Calibri" w:cs="Calibri" w:eastAsia="Calibri" w:hAnsi="Calibri"/>
                  <w:sz w:val="15"/>
                  <w:szCs w:val="15"/>
                  <w:color w:val="0000FF"/>
                </w:rPr>
                <w:t>in Exhibit 4.11).</w:t>
              </w:r>
            </w:hyperlink>
          </w:p>
        </w:tc>
        <w:tc>
          <w:tcPr>
            <w:tcW w:w="2320" w:type="dxa"/>
            <w:vAlign w:val="bottom"/>
            <w:tcBorders>
              <w:top w:val="single" w:sz="8" w:color="0000FF"/>
            </w:tcBorders>
            <w:gridSpan w:val="17"/>
          </w:tcPr>
          <w:p>
            <w:pPr>
              <w:spacing w:after="0"/>
              <w:rPr>
                <w:sz w:val="13"/>
                <w:szCs w:val="13"/>
                <w:color w:val="auto"/>
              </w:rPr>
            </w:pPr>
          </w:p>
        </w:tc>
        <w:tc>
          <w:tcPr>
            <w:tcW w:w="60" w:type="dxa"/>
            <w:vAlign w:val="bottom"/>
            <w:gridSpan w:val="3"/>
          </w:tcPr>
          <w:p>
            <w:pPr>
              <w:spacing w:after="0"/>
              <w:rPr>
                <w:sz w:val="13"/>
                <w:szCs w:val="13"/>
                <w:color w:val="auto"/>
              </w:rPr>
            </w:pPr>
          </w:p>
        </w:tc>
        <w:tc>
          <w:tcPr>
            <w:tcW w:w="60" w:type="dxa"/>
            <w:vAlign w:val="bottom"/>
            <w:gridSpan w:val="2"/>
          </w:tcPr>
          <w:p>
            <w:pPr>
              <w:spacing w:after="0"/>
              <w:rPr>
                <w:sz w:val="13"/>
                <w:szCs w:val="13"/>
                <w:color w:val="auto"/>
              </w:rPr>
            </w:pPr>
          </w:p>
        </w:tc>
        <w:tc>
          <w:tcPr>
            <w:tcW w:w="140" w:type="dxa"/>
            <w:vAlign w:val="bottom"/>
            <w:gridSpan w:val="3"/>
          </w:tcPr>
          <w:p>
            <w:pPr>
              <w:spacing w:after="0"/>
              <w:rPr>
                <w:sz w:val="13"/>
                <w:szCs w:val="13"/>
                <w:color w:val="auto"/>
              </w:rPr>
            </w:pPr>
          </w:p>
        </w:tc>
        <w:tc>
          <w:tcPr>
            <w:tcW w:w="2000" w:type="dxa"/>
            <w:vAlign w:val="bottom"/>
            <w:gridSpan w:val="2"/>
          </w:tcPr>
          <w:p>
            <w:pPr>
              <w:ind w:left="20"/>
              <w:spacing w:after="0" w:line="152" w:lineRule="exact"/>
              <w:rPr>
                <w:sz w:val="20"/>
                <w:szCs w:val="20"/>
                <w:color w:val="auto"/>
              </w:rPr>
            </w:pPr>
            <w:r>
              <w:rPr>
                <w:rFonts w:ascii="Calibri" w:cs="Calibri" w:eastAsia="Calibri" w:hAnsi="Calibri"/>
                <w:sz w:val="15"/>
                <w:szCs w:val="15"/>
                <w:color w:val="auto"/>
              </w:rPr>
              <w:t>Report on Form 8-K</w:t>
            </w: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8"/>
        </w:trPr>
        <w:tc>
          <w:tcPr>
            <w:tcW w:w="860" w:type="dxa"/>
            <w:vAlign w:val="bottom"/>
          </w:tcPr>
          <w:p>
            <w:pPr>
              <w:jc w:val="right"/>
              <w:spacing w:after="0" w:line="217" w:lineRule="exact"/>
              <w:rPr>
                <w:sz w:val="20"/>
                <w:szCs w:val="20"/>
                <w:color w:val="auto"/>
              </w:rPr>
            </w:pPr>
            <w:r>
              <w:rPr>
                <w:rFonts w:ascii="Calibri" w:cs="Calibri" w:eastAsia="Calibri" w:hAnsi="Calibri"/>
                <w:sz w:val="18"/>
                <w:szCs w:val="18"/>
                <w:color w:val="auto"/>
              </w:rPr>
              <w:t>4.14</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60" w:type="dxa"/>
            <w:vAlign w:val="bottom"/>
            <w:gridSpan w:val="28"/>
          </w:tcPr>
          <w:p>
            <w:pPr>
              <w:spacing w:after="0" w:line="217" w:lineRule="exact"/>
              <w:rPr>
                <w:rFonts w:ascii="Calibri" w:cs="Calibri" w:eastAsia="Calibri" w:hAnsi="Calibri"/>
                <w:sz w:val="18"/>
                <w:szCs w:val="18"/>
                <w:color w:val="0000FF"/>
                <w:w w:val="97"/>
              </w:rPr>
            </w:pPr>
            <w:hyperlink r:id="rId124">
              <w:r>
                <w:rPr>
                  <w:rFonts w:ascii="Calibri" w:cs="Calibri" w:eastAsia="Calibri" w:hAnsi="Calibri"/>
                  <w:sz w:val="18"/>
                  <w:szCs w:val="18"/>
                  <w:color w:val="0000FF"/>
                  <w:w w:val="97"/>
                </w:rPr>
                <w:t>Indenture, dated as of April 5, 2019, by and among</w:t>
              </w:r>
            </w:hyperlink>
          </w:p>
        </w:tc>
        <w:tc>
          <w:tcPr>
            <w:tcW w:w="2000" w:type="dxa"/>
            <w:vAlign w:val="bottom"/>
            <w:gridSpan w:val="2"/>
          </w:tcPr>
          <w:p>
            <w:pPr>
              <w:ind w:left="20"/>
              <w:spacing w:after="0" w:line="217" w:lineRule="exact"/>
              <w:rPr>
                <w:sz w:val="20"/>
                <w:szCs w:val="20"/>
                <w:color w:val="auto"/>
              </w:rPr>
            </w:pPr>
            <w:r>
              <w:rPr>
                <w:rFonts w:ascii="Calibri" w:cs="Calibri" w:eastAsia="Calibri" w:hAnsi="Calibri"/>
                <w:sz w:val="18"/>
                <w:szCs w:val="18"/>
                <w:color w:val="auto"/>
              </w:rPr>
              <w:t>Broadcom Inc. Current</w:t>
            </w:r>
          </w:p>
        </w:tc>
        <w:tc>
          <w:tcPr>
            <w:tcW w:w="1160" w:type="dxa"/>
            <w:vAlign w:val="bottom"/>
          </w:tcPr>
          <w:p>
            <w:pPr>
              <w:spacing w:after="0" w:line="217" w:lineRule="exact"/>
              <w:rPr>
                <w:sz w:val="20"/>
                <w:szCs w:val="20"/>
                <w:color w:val="auto"/>
              </w:rPr>
            </w:pPr>
            <w:r>
              <w:rPr>
                <w:rFonts w:ascii="Calibri" w:cs="Calibri" w:eastAsia="Calibri" w:hAnsi="Calibri"/>
                <w:sz w:val="18"/>
                <w:szCs w:val="18"/>
                <w:color w:val="auto"/>
              </w:rPr>
              <w:t>001-38449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jc w:val="center"/>
              <w:ind w:right="213"/>
              <w:spacing w:after="0" w:line="217" w:lineRule="exact"/>
              <w:rPr>
                <w:sz w:val="20"/>
                <w:szCs w:val="20"/>
                <w:color w:val="auto"/>
              </w:rPr>
            </w:pPr>
            <w:r>
              <w:rPr>
                <w:rFonts w:ascii="Calibri" w:cs="Calibri" w:eastAsia="Calibri" w:hAnsi="Calibri"/>
                <w:sz w:val="18"/>
                <w:szCs w:val="18"/>
                <w:color w:val="auto"/>
                <w:w w:val="96"/>
              </w:rPr>
              <w:t>4.1</w:t>
            </w:r>
          </w:p>
        </w:tc>
        <w:tc>
          <w:tcPr>
            <w:tcW w:w="100" w:type="dxa"/>
            <w:vAlign w:val="bottom"/>
          </w:tcPr>
          <w:p>
            <w:pPr>
              <w:spacing w:after="0"/>
              <w:rPr>
                <w:sz w:val="18"/>
                <w:szCs w:val="18"/>
                <w:color w:val="auto"/>
              </w:rPr>
            </w:pPr>
          </w:p>
        </w:tc>
        <w:tc>
          <w:tcPr>
            <w:tcW w:w="1140" w:type="dxa"/>
            <w:vAlign w:val="bottom"/>
          </w:tcPr>
          <w:p>
            <w:pPr>
              <w:jc w:val="right"/>
              <w:ind w:right="233"/>
              <w:spacing w:after="0" w:line="217" w:lineRule="exact"/>
              <w:rPr>
                <w:sz w:val="20"/>
                <w:szCs w:val="20"/>
                <w:color w:val="auto"/>
              </w:rPr>
            </w:pPr>
            <w:r>
              <w:rPr>
                <w:rFonts w:ascii="Calibri" w:cs="Calibri" w:eastAsia="Calibri" w:hAnsi="Calibri"/>
                <w:sz w:val="18"/>
                <w:szCs w:val="18"/>
                <w:color w:val="auto"/>
                <w:w w:val="95"/>
              </w:rPr>
              <w:t>04-05-2019</w:t>
            </w:r>
          </w:p>
        </w:tc>
        <w:tc>
          <w:tcPr>
            <w:tcW w:w="0" w:type="dxa"/>
            <w:vAlign w:val="bottom"/>
          </w:tcPr>
          <w:p>
            <w:pPr>
              <w:spacing w:after="0"/>
              <w:rPr>
                <w:sz w:val="1"/>
                <w:szCs w:val="1"/>
                <w:color w:val="auto"/>
              </w:rPr>
            </w:pPr>
          </w:p>
        </w:tc>
      </w:tr>
      <w:tr>
        <w:trPr>
          <w:trHeight w:val="152"/>
        </w:trPr>
        <w:tc>
          <w:tcPr>
            <w:tcW w:w="8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520" w:type="dxa"/>
            <w:vAlign w:val="bottom"/>
            <w:tcBorders>
              <w:top w:val="single" w:sz="8" w:color="0000FF"/>
            </w:tcBorders>
            <w:gridSpan w:val="25"/>
          </w:tcPr>
          <w:p>
            <w:pPr>
              <w:spacing w:after="0" w:line="152" w:lineRule="exact"/>
              <w:rPr>
                <w:rFonts w:ascii="Calibri" w:cs="Calibri" w:eastAsia="Calibri" w:hAnsi="Calibri"/>
                <w:sz w:val="15"/>
                <w:szCs w:val="15"/>
                <w:color w:val="0000FF"/>
              </w:rPr>
            </w:pPr>
            <w:hyperlink r:id="rId124">
              <w:r>
                <w:rPr>
                  <w:rFonts w:ascii="Calibri" w:cs="Calibri" w:eastAsia="Calibri" w:hAnsi="Calibri"/>
                  <w:sz w:val="15"/>
                  <w:szCs w:val="15"/>
                  <w:color w:val="0000FF"/>
                </w:rPr>
                <w:t>the Company, as Issuer, Broadcom Technologies</w:t>
              </w:r>
            </w:hyperlink>
          </w:p>
        </w:tc>
        <w:tc>
          <w:tcPr>
            <w:tcW w:w="140" w:type="dxa"/>
            <w:vAlign w:val="bottom"/>
            <w:gridSpan w:val="3"/>
          </w:tcPr>
          <w:p>
            <w:pPr>
              <w:spacing w:after="0"/>
              <w:rPr>
                <w:sz w:val="13"/>
                <w:szCs w:val="13"/>
                <w:color w:val="auto"/>
              </w:rPr>
            </w:pPr>
          </w:p>
        </w:tc>
        <w:tc>
          <w:tcPr>
            <w:tcW w:w="2000" w:type="dxa"/>
            <w:vAlign w:val="bottom"/>
            <w:gridSpan w:val="2"/>
          </w:tcPr>
          <w:p>
            <w:pPr>
              <w:ind w:left="20"/>
              <w:spacing w:after="0" w:line="152" w:lineRule="exact"/>
              <w:rPr>
                <w:sz w:val="20"/>
                <w:szCs w:val="20"/>
                <w:color w:val="auto"/>
              </w:rPr>
            </w:pPr>
            <w:r>
              <w:rPr>
                <w:rFonts w:ascii="Calibri" w:cs="Calibri" w:eastAsia="Calibri" w:hAnsi="Calibri"/>
                <w:sz w:val="15"/>
                <w:szCs w:val="15"/>
                <w:color w:val="auto"/>
              </w:rPr>
              <w:t>Report on Form 8-K</w:t>
            </w: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0" w:type="dxa"/>
            <w:vAlign w:val="bottom"/>
            <w:tcBorders>
              <w:top w:val="single" w:sz="8" w:color="0000FF"/>
              <w:bottom w:val="single" w:sz="8" w:color="0000FF"/>
            </w:tcBorders>
            <w:gridSpan w:val="12"/>
          </w:tcPr>
          <w:p>
            <w:pPr>
              <w:spacing w:after="0" w:line="165" w:lineRule="exact"/>
              <w:rPr>
                <w:rFonts w:ascii="Calibri" w:cs="Calibri" w:eastAsia="Calibri" w:hAnsi="Calibri"/>
                <w:sz w:val="18"/>
                <w:szCs w:val="18"/>
                <w:color w:val="0000FF"/>
                <w:w w:val="96"/>
              </w:rPr>
            </w:pPr>
            <w:hyperlink r:id="rId124">
              <w:r>
                <w:rPr>
                  <w:rFonts w:ascii="Calibri" w:cs="Calibri" w:eastAsia="Calibri" w:hAnsi="Calibri"/>
                  <w:sz w:val="18"/>
                  <w:szCs w:val="18"/>
                  <w:color w:val="0000FF"/>
                  <w:w w:val="96"/>
                </w:rPr>
                <w:t>Inc., Broadcom Corporaton and Broadcom</w:t>
              </w:r>
            </w:hyperlink>
          </w:p>
        </w:tc>
        <w:tc>
          <w:tcPr>
            <w:tcW w:w="320" w:type="dxa"/>
            <w:vAlign w:val="bottom"/>
            <w:tcBorders>
              <w:top w:val="single" w:sz="8" w:color="0000FF"/>
            </w:tcBorders>
            <w:gridSpan w:val="6"/>
          </w:tcPr>
          <w:p>
            <w:pPr>
              <w:spacing w:after="0"/>
              <w:rPr>
                <w:sz w:val="14"/>
                <w:szCs w:val="14"/>
                <w:color w:val="auto"/>
              </w:rPr>
            </w:pPr>
          </w:p>
        </w:tc>
        <w:tc>
          <w:tcPr>
            <w:tcW w:w="140" w:type="dxa"/>
            <w:vAlign w:val="bottom"/>
            <w:gridSpan w:val="5"/>
          </w:tcPr>
          <w:p>
            <w:pPr>
              <w:spacing w:after="0"/>
              <w:rPr>
                <w:sz w:val="14"/>
                <w:szCs w:val="14"/>
                <w:color w:val="auto"/>
              </w:rPr>
            </w:pPr>
          </w:p>
        </w:tc>
        <w:tc>
          <w:tcPr>
            <w:tcW w:w="200" w:type="dxa"/>
            <w:vAlign w:val="bottom"/>
            <w:gridSpan w:val="5"/>
          </w:tcPr>
          <w:p>
            <w:pPr>
              <w:spacing w:after="0"/>
              <w:rPr>
                <w:sz w:val="14"/>
                <w:szCs w:val="14"/>
                <w:color w:val="auto"/>
              </w:rPr>
            </w:pPr>
          </w:p>
        </w:tc>
        <w:tc>
          <w:tcPr>
            <w:tcW w:w="1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8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60" w:type="dxa"/>
            <w:vAlign w:val="bottom"/>
            <w:gridSpan w:val="28"/>
          </w:tcPr>
          <w:p>
            <w:pPr>
              <w:spacing w:after="0" w:line="152" w:lineRule="exact"/>
              <w:rPr>
                <w:rFonts w:ascii="Calibri" w:cs="Calibri" w:eastAsia="Calibri" w:hAnsi="Calibri"/>
                <w:sz w:val="15"/>
                <w:szCs w:val="15"/>
                <w:color w:val="0000FF"/>
              </w:rPr>
            </w:pPr>
            <w:hyperlink r:id="rId124">
              <w:r>
                <w:rPr>
                  <w:rFonts w:ascii="Calibri" w:cs="Calibri" w:eastAsia="Calibri" w:hAnsi="Calibri"/>
                  <w:sz w:val="15"/>
                  <w:szCs w:val="15"/>
                  <w:color w:val="0000FF"/>
                </w:rPr>
                <w:t>Cayman Finance Limited (the “2019 Guarantors”),</w:t>
              </w:r>
            </w:hyperlink>
          </w:p>
        </w:tc>
        <w:tc>
          <w:tcPr>
            <w:tcW w:w="1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8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60" w:type="dxa"/>
            <w:vAlign w:val="bottom"/>
            <w:tcBorders>
              <w:top w:val="single" w:sz="8" w:color="0000FF"/>
            </w:tcBorders>
            <w:gridSpan w:val="23"/>
          </w:tcPr>
          <w:p>
            <w:pPr>
              <w:spacing w:after="0" w:line="152" w:lineRule="exact"/>
              <w:rPr>
                <w:rFonts w:ascii="Calibri" w:cs="Calibri" w:eastAsia="Calibri" w:hAnsi="Calibri"/>
                <w:sz w:val="15"/>
                <w:szCs w:val="15"/>
                <w:color w:val="0000FF"/>
              </w:rPr>
            </w:pPr>
            <w:hyperlink r:id="rId124">
              <w:r>
                <w:rPr>
                  <w:rFonts w:ascii="Calibri" w:cs="Calibri" w:eastAsia="Calibri" w:hAnsi="Calibri"/>
                  <w:sz w:val="15"/>
                  <w:szCs w:val="15"/>
                  <w:color w:val="0000FF"/>
                </w:rPr>
                <w:t>and Wilmington Trust, Natonal Associaton, as</w:t>
              </w:r>
            </w:hyperlink>
          </w:p>
        </w:tc>
        <w:tc>
          <w:tcPr>
            <w:tcW w:w="200" w:type="dxa"/>
            <w:vAlign w:val="bottom"/>
            <w:gridSpan w:val="5"/>
          </w:tcPr>
          <w:p>
            <w:pPr>
              <w:spacing w:after="0"/>
              <w:rPr>
                <w:sz w:val="13"/>
                <w:szCs w:val="13"/>
                <w:color w:val="auto"/>
              </w:rPr>
            </w:pPr>
          </w:p>
        </w:tc>
        <w:tc>
          <w:tcPr>
            <w:tcW w:w="1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40" w:type="dxa"/>
            <w:vAlign w:val="bottom"/>
            <w:tcBorders>
              <w:top w:val="single" w:sz="8" w:color="0000FF"/>
              <w:bottom w:val="single" w:sz="8" w:color="0000FF"/>
            </w:tcBorders>
          </w:tcPr>
          <w:p>
            <w:pPr>
              <w:spacing w:after="0" w:line="165" w:lineRule="exact"/>
              <w:rPr>
                <w:rFonts w:ascii="Calibri" w:cs="Calibri" w:eastAsia="Calibri" w:hAnsi="Calibri"/>
                <w:sz w:val="18"/>
                <w:szCs w:val="18"/>
                <w:color w:val="0000FF"/>
                <w:w w:val="90"/>
              </w:rPr>
            </w:pPr>
            <w:hyperlink r:id="rId124">
              <w:r>
                <w:rPr>
                  <w:rFonts w:ascii="Calibri" w:cs="Calibri" w:eastAsia="Calibri" w:hAnsi="Calibri"/>
                  <w:sz w:val="18"/>
                  <w:szCs w:val="18"/>
                  <w:color w:val="0000FF"/>
                  <w:w w:val="90"/>
                </w:rPr>
                <w:t>trustee.</w:t>
              </w:r>
            </w:hyperlink>
          </w:p>
        </w:tc>
        <w:tc>
          <w:tcPr>
            <w:tcW w:w="2680" w:type="dxa"/>
            <w:vAlign w:val="bottom"/>
            <w:tcBorders>
              <w:top w:val="single" w:sz="8" w:color="0000FF"/>
            </w:tcBorders>
            <w:gridSpan w:val="14"/>
          </w:tcPr>
          <w:p>
            <w:pPr>
              <w:spacing w:after="0"/>
              <w:rPr>
                <w:sz w:val="14"/>
                <w:szCs w:val="14"/>
                <w:color w:val="auto"/>
              </w:rPr>
            </w:pPr>
          </w:p>
        </w:tc>
        <w:tc>
          <w:tcPr>
            <w:tcW w:w="440" w:type="dxa"/>
            <w:vAlign w:val="bottom"/>
            <w:gridSpan w:val="13"/>
          </w:tcPr>
          <w:p>
            <w:pPr>
              <w:spacing w:after="0"/>
              <w:rPr>
                <w:sz w:val="14"/>
                <w:szCs w:val="14"/>
                <w:color w:val="auto"/>
              </w:rPr>
            </w:pPr>
          </w:p>
        </w:tc>
        <w:tc>
          <w:tcPr>
            <w:tcW w:w="1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860" w:type="dxa"/>
            <w:vAlign w:val="bottom"/>
          </w:tcPr>
          <w:p>
            <w:pPr>
              <w:jc w:val="right"/>
              <w:spacing w:after="0" w:line="205" w:lineRule="exact"/>
              <w:rPr>
                <w:sz w:val="20"/>
                <w:szCs w:val="20"/>
                <w:color w:val="auto"/>
              </w:rPr>
            </w:pPr>
            <w:r>
              <w:rPr>
                <w:rFonts w:ascii="Calibri" w:cs="Calibri" w:eastAsia="Calibri" w:hAnsi="Calibri"/>
                <w:sz w:val="18"/>
                <w:szCs w:val="18"/>
                <w:color w:val="auto"/>
              </w:rPr>
              <w:t>4.15</w:t>
            </w: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60" w:type="dxa"/>
            <w:vAlign w:val="bottom"/>
            <w:gridSpan w:val="28"/>
          </w:tcPr>
          <w:p>
            <w:pPr>
              <w:spacing w:after="0" w:line="205" w:lineRule="exact"/>
              <w:rPr>
                <w:rFonts w:ascii="Calibri" w:cs="Calibri" w:eastAsia="Calibri" w:hAnsi="Calibri"/>
                <w:sz w:val="18"/>
                <w:szCs w:val="18"/>
                <w:color w:val="0000FF"/>
              </w:rPr>
            </w:pPr>
            <w:hyperlink r:id="rId124">
              <w:r>
                <w:rPr>
                  <w:rFonts w:ascii="Calibri" w:cs="Calibri" w:eastAsia="Calibri" w:hAnsi="Calibri"/>
                  <w:sz w:val="18"/>
                  <w:szCs w:val="18"/>
                  <w:color w:val="0000FF"/>
                </w:rPr>
                <w:t>Form of 3.625% Senior Notes due 2024 (included</w:t>
              </w:r>
            </w:hyperlink>
          </w:p>
        </w:tc>
        <w:tc>
          <w:tcPr>
            <w:tcW w:w="2000" w:type="dxa"/>
            <w:vAlign w:val="bottom"/>
            <w:gridSpan w:val="2"/>
          </w:tcPr>
          <w:p>
            <w:pPr>
              <w:ind w:left="20"/>
              <w:spacing w:after="0" w:line="205" w:lineRule="exact"/>
              <w:rPr>
                <w:sz w:val="20"/>
                <w:szCs w:val="20"/>
                <w:color w:val="auto"/>
              </w:rPr>
            </w:pPr>
            <w:r>
              <w:rPr>
                <w:rFonts w:ascii="Calibri" w:cs="Calibri" w:eastAsia="Calibri" w:hAnsi="Calibri"/>
                <w:sz w:val="18"/>
                <w:szCs w:val="18"/>
                <w:color w:val="auto"/>
              </w:rPr>
              <w:t>Broadcom Inc. Current</w:t>
            </w:r>
          </w:p>
        </w:tc>
        <w:tc>
          <w:tcPr>
            <w:tcW w:w="1160" w:type="dxa"/>
            <w:vAlign w:val="bottom"/>
          </w:tcPr>
          <w:p>
            <w:pPr>
              <w:spacing w:after="0" w:line="205" w:lineRule="exact"/>
              <w:rPr>
                <w:sz w:val="20"/>
                <w:szCs w:val="20"/>
                <w:color w:val="auto"/>
              </w:rPr>
            </w:pPr>
            <w:r>
              <w:rPr>
                <w:rFonts w:ascii="Calibri" w:cs="Calibri" w:eastAsia="Calibri" w:hAnsi="Calibri"/>
                <w:sz w:val="18"/>
                <w:szCs w:val="18"/>
                <w:color w:val="auto"/>
              </w:rPr>
              <w:t>001-38449</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Pr>
          <w:p>
            <w:pPr>
              <w:jc w:val="center"/>
              <w:ind w:right="213"/>
              <w:spacing w:after="0" w:line="205" w:lineRule="exact"/>
              <w:rPr>
                <w:sz w:val="20"/>
                <w:szCs w:val="20"/>
                <w:color w:val="auto"/>
              </w:rPr>
            </w:pPr>
            <w:r>
              <w:rPr>
                <w:rFonts w:ascii="Calibri" w:cs="Calibri" w:eastAsia="Calibri" w:hAnsi="Calibri"/>
                <w:sz w:val="18"/>
                <w:szCs w:val="18"/>
                <w:color w:val="auto"/>
                <w:w w:val="96"/>
              </w:rPr>
              <w:t>4.1</w:t>
            </w:r>
          </w:p>
        </w:tc>
        <w:tc>
          <w:tcPr>
            <w:tcW w:w="100" w:type="dxa"/>
            <w:vAlign w:val="bottom"/>
          </w:tcPr>
          <w:p>
            <w:pPr>
              <w:spacing w:after="0"/>
              <w:rPr>
                <w:sz w:val="17"/>
                <w:szCs w:val="17"/>
                <w:color w:val="auto"/>
              </w:rPr>
            </w:pPr>
          </w:p>
        </w:tc>
        <w:tc>
          <w:tcPr>
            <w:tcW w:w="1140" w:type="dxa"/>
            <w:vAlign w:val="bottom"/>
          </w:tcPr>
          <w:p>
            <w:pPr>
              <w:jc w:val="right"/>
              <w:ind w:right="233"/>
              <w:spacing w:after="0" w:line="205" w:lineRule="exact"/>
              <w:rPr>
                <w:sz w:val="20"/>
                <w:szCs w:val="20"/>
                <w:color w:val="auto"/>
              </w:rPr>
            </w:pPr>
            <w:r>
              <w:rPr>
                <w:rFonts w:ascii="Calibri" w:cs="Calibri" w:eastAsia="Calibri" w:hAnsi="Calibri"/>
                <w:sz w:val="18"/>
                <w:szCs w:val="18"/>
                <w:color w:val="auto"/>
                <w:w w:val="95"/>
              </w:rPr>
              <w:t>04-05-2019</w:t>
            </w:r>
          </w:p>
        </w:tc>
        <w:tc>
          <w:tcPr>
            <w:tcW w:w="0" w:type="dxa"/>
            <w:vAlign w:val="bottom"/>
          </w:tcPr>
          <w:p>
            <w:pPr>
              <w:spacing w:after="0"/>
              <w:rPr>
                <w:sz w:val="1"/>
                <w:szCs w:val="1"/>
                <w:color w:val="auto"/>
              </w:rPr>
            </w:pPr>
          </w:p>
        </w:tc>
      </w:tr>
      <w:tr>
        <w:trPr>
          <w:trHeight w:val="152"/>
        </w:trPr>
        <w:tc>
          <w:tcPr>
            <w:tcW w:w="8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80" w:type="dxa"/>
            <w:vAlign w:val="bottom"/>
            <w:tcBorders>
              <w:top w:val="single" w:sz="8" w:color="0000FF"/>
              <w:bottom w:val="single" w:sz="8" w:color="0000FF"/>
            </w:tcBorders>
            <w:gridSpan w:val="3"/>
          </w:tcPr>
          <w:p>
            <w:pPr>
              <w:spacing w:after="0" w:line="152" w:lineRule="exact"/>
              <w:rPr>
                <w:rFonts w:ascii="Calibri" w:cs="Calibri" w:eastAsia="Calibri" w:hAnsi="Calibri"/>
                <w:sz w:val="15"/>
                <w:szCs w:val="15"/>
                <w:color w:val="0000FF"/>
              </w:rPr>
            </w:pPr>
            <w:hyperlink r:id="rId124">
              <w:r>
                <w:rPr>
                  <w:rFonts w:ascii="Calibri" w:cs="Calibri" w:eastAsia="Calibri" w:hAnsi="Calibri"/>
                  <w:sz w:val="15"/>
                  <w:szCs w:val="15"/>
                  <w:color w:val="0000FF"/>
                </w:rPr>
                <w:t>in Exhibit 4.17).</w:t>
              </w:r>
            </w:hyperlink>
          </w:p>
        </w:tc>
        <w:tc>
          <w:tcPr>
            <w:tcW w:w="2320" w:type="dxa"/>
            <w:vAlign w:val="bottom"/>
            <w:tcBorders>
              <w:top w:val="single" w:sz="8" w:color="0000FF"/>
            </w:tcBorders>
            <w:gridSpan w:val="17"/>
          </w:tcPr>
          <w:p>
            <w:pPr>
              <w:spacing w:after="0"/>
              <w:rPr>
                <w:sz w:val="13"/>
                <w:szCs w:val="13"/>
                <w:color w:val="auto"/>
              </w:rPr>
            </w:pPr>
          </w:p>
        </w:tc>
        <w:tc>
          <w:tcPr>
            <w:tcW w:w="260" w:type="dxa"/>
            <w:vAlign w:val="bottom"/>
            <w:gridSpan w:val="8"/>
          </w:tcPr>
          <w:p>
            <w:pPr>
              <w:spacing w:after="0"/>
              <w:rPr>
                <w:sz w:val="13"/>
                <w:szCs w:val="13"/>
                <w:color w:val="auto"/>
              </w:rPr>
            </w:pPr>
          </w:p>
        </w:tc>
        <w:tc>
          <w:tcPr>
            <w:tcW w:w="2000" w:type="dxa"/>
            <w:vAlign w:val="bottom"/>
            <w:gridSpan w:val="2"/>
          </w:tcPr>
          <w:p>
            <w:pPr>
              <w:ind w:left="20"/>
              <w:spacing w:after="0" w:line="152" w:lineRule="exact"/>
              <w:rPr>
                <w:sz w:val="20"/>
                <w:szCs w:val="20"/>
                <w:color w:val="auto"/>
              </w:rPr>
            </w:pPr>
            <w:r>
              <w:rPr>
                <w:rFonts w:ascii="Calibri" w:cs="Calibri" w:eastAsia="Calibri" w:hAnsi="Calibri"/>
                <w:sz w:val="15"/>
                <w:szCs w:val="15"/>
                <w:color w:val="auto"/>
              </w:rPr>
              <w:t>Report on Form 8-K</w:t>
            </w: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8"/>
        </w:trPr>
        <w:tc>
          <w:tcPr>
            <w:tcW w:w="860" w:type="dxa"/>
            <w:vAlign w:val="bottom"/>
          </w:tcPr>
          <w:p>
            <w:pPr>
              <w:jc w:val="right"/>
              <w:spacing w:after="0" w:line="217" w:lineRule="exact"/>
              <w:rPr>
                <w:sz w:val="20"/>
                <w:szCs w:val="20"/>
                <w:color w:val="auto"/>
              </w:rPr>
            </w:pPr>
            <w:r>
              <w:rPr>
                <w:rFonts w:ascii="Calibri" w:cs="Calibri" w:eastAsia="Calibri" w:hAnsi="Calibri"/>
                <w:sz w:val="18"/>
                <w:szCs w:val="18"/>
                <w:color w:val="auto"/>
              </w:rPr>
              <w:t>4.16</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60" w:type="dxa"/>
            <w:vAlign w:val="bottom"/>
            <w:gridSpan w:val="28"/>
          </w:tcPr>
          <w:p>
            <w:pPr>
              <w:spacing w:after="0" w:line="217" w:lineRule="exact"/>
              <w:rPr>
                <w:rFonts w:ascii="Calibri" w:cs="Calibri" w:eastAsia="Calibri" w:hAnsi="Calibri"/>
                <w:sz w:val="18"/>
                <w:szCs w:val="18"/>
                <w:color w:val="0000FF"/>
              </w:rPr>
            </w:pPr>
            <w:hyperlink r:id="rId124">
              <w:r>
                <w:rPr>
                  <w:rFonts w:ascii="Calibri" w:cs="Calibri" w:eastAsia="Calibri" w:hAnsi="Calibri"/>
                  <w:sz w:val="18"/>
                  <w:szCs w:val="18"/>
                  <w:color w:val="0000FF"/>
                </w:rPr>
                <w:t>Form of 4.750% Senior Notes due 2029 (included</w:t>
              </w:r>
            </w:hyperlink>
          </w:p>
        </w:tc>
        <w:tc>
          <w:tcPr>
            <w:tcW w:w="2000" w:type="dxa"/>
            <w:vAlign w:val="bottom"/>
            <w:gridSpan w:val="2"/>
          </w:tcPr>
          <w:p>
            <w:pPr>
              <w:ind w:left="20"/>
              <w:spacing w:after="0" w:line="217" w:lineRule="exact"/>
              <w:rPr>
                <w:sz w:val="20"/>
                <w:szCs w:val="20"/>
                <w:color w:val="auto"/>
              </w:rPr>
            </w:pPr>
            <w:r>
              <w:rPr>
                <w:rFonts w:ascii="Calibri" w:cs="Calibri" w:eastAsia="Calibri" w:hAnsi="Calibri"/>
                <w:sz w:val="18"/>
                <w:szCs w:val="18"/>
                <w:color w:val="auto"/>
              </w:rPr>
              <w:t>Broadcom Inc. Current</w:t>
            </w:r>
          </w:p>
        </w:tc>
        <w:tc>
          <w:tcPr>
            <w:tcW w:w="1160" w:type="dxa"/>
            <w:vAlign w:val="bottom"/>
          </w:tcPr>
          <w:p>
            <w:pPr>
              <w:spacing w:after="0" w:line="217" w:lineRule="exact"/>
              <w:rPr>
                <w:sz w:val="20"/>
                <w:szCs w:val="20"/>
                <w:color w:val="auto"/>
              </w:rPr>
            </w:pPr>
            <w:r>
              <w:rPr>
                <w:rFonts w:ascii="Calibri" w:cs="Calibri" w:eastAsia="Calibri" w:hAnsi="Calibri"/>
                <w:sz w:val="18"/>
                <w:szCs w:val="18"/>
                <w:color w:val="auto"/>
              </w:rPr>
              <w:t>001-38449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jc w:val="center"/>
              <w:ind w:right="213"/>
              <w:spacing w:after="0" w:line="217" w:lineRule="exact"/>
              <w:rPr>
                <w:sz w:val="20"/>
                <w:szCs w:val="20"/>
                <w:color w:val="auto"/>
              </w:rPr>
            </w:pPr>
            <w:r>
              <w:rPr>
                <w:rFonts w:ascii="Calibri" w:cs="Calibri" w:eastAsia="Calibri" w:hAnsi="Calibri"/>
                <w:sz w:val="18"/>
                <w:szCs w:val="18"/>
                <w:color w:val="auto"/>
                <w:w w:val="96"/>
              </w:rPr>
              <w:t>4.1</w:t>
            </w:r>
          </w:p>
        </w:tc>
        <w:tc>
          <w:tcPr>
            <w:tcW w:w="100" w:type="dxa"/>
            <w:vAlign w:val="bottom"/>
          </w:tcPr>
          <w:p>
            <w:pPr>
              <w:spacing w:after="0"/>
              <w:rPr>
                <w:sz w:val="18"/>
                <w:szCs w:val="18"/>
                <w:color w:val="auto"/>
              </w:rPr>
            </w:pPr>
          </w:p>
        </w:tc>
        <w:tc>
          <w:tcPr>
            <w:tcW w:w="1140" w:type="dxa"/>
            <w:vAlign w:val="bottom"/>
          </w:tcPr>
          <w:p>
            <w:pPr>
              <w:jc w:val="right"/>
              <w:ind w:right="233"/>
              <w:spacing w:after="0" w:line="217" w:lineRule="exact"/>
              <w:rPr>
                <w:sz w:val="20"/>
                <w:szCs w:val="20"/>
                <w:color w:val="auto"/>
              </w:rPr>
            </w:pPr>
            <w:r>
              <w:rPr>
                <w:rFonts w:ascii="Calibri" w:cs="Calibri" w:eastAsia="Calibri" w:hAnsi="Calibri"/>
                <w:sz w:val="18"/>
                <w:szCs w:val="18"/>
                <w:color w:val="auto"/>
                <w:w w:val="95"/>
              </w:rPr>
              <w:t>04-05-2019</w:t>
            </w:r>
          </w:p>
        </w:tc>
        <w:tc>
          <w:tcPr>
            <w:tcW w:w="0" w:type="dxa"/>
            <w:vAlign w:val="bottom"/>
          </w:tcPr>
          <w:p>
            <w:pPr>
              <w:spacing w:after="0"/>
              <w:rPr>
                <w:sz w:val="1"/>
                <w:szCs w:val="1"/>
                <w:color w:val="auto"/>
              </w:rPr>
            </w:pPr>
          </w:p>
        </w:tc>
      </w:tr>
      <w:tr>
        <w:trPr>
          <w:trHeight w:val="152"/>
        </w:trPr>
        <w:tc>
          <w:tcPr>
            <w:tcW w:w="8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80" w:type="dxa"/>
            <w:vAlign w:val="bottom"/>
            <w:tcBorders>
              <w:top w:val="single" w:sz="8" w:color="0000FF"/>
              <w:bottom w:val="single" w:sz="8" w:color="0000FF"/>
            </w:tcBorders>
            <w:gridSpan w:val="3"/>
          </w:tcPr>
          <w:p>
            <w:pPr>
              <w:spacing w:after="0" w:line="152" w:lineRule="exact"/>
              <w:rPr>
                <w:rFonts w:ascii="Calibri" w:cs="Calibri" w:eastAsia="Calibri" w:hAnsi="Calibri"/>
                <w:sz w:val="15"/>
                <w:szCs w:val="15"/>
                <w:color w:val="0000FF"/>
              </w:rPr>
            </w:pPr>
            <w:hyperlink r:id="rId124">
              <w:r>
                <w:rPr>
                  <w:rFonts w:ascii="Calibri" w:cs="Calibri" w:eastAsia="Calibri" w:hAnsi="Calibri"/>
                  <w:sz w:val="15"/>
                  <w:szCs w:val="15"/>
                  <w:color w:val="0000FF"/>
                </w:rPr>
                <w:t>in Exhibit 4.17).</w:t>
              </w:r>
            </w:hyperlink>
          </w:p>
        </w:tc>
        <w:tc>
          <w:tcPr>
            <w:tcW w:w="2320" w:type="dxa"/>
            <w:vAlign w:val="bottom"/>
            <w:tcBorders>
              <w:top w:val="single" w:sz="8" w:color="0000FF"/>
            </w:tcBorders>
            <w:gridSpan w:val="17"/>
          </w:tcPr>
          <w:p>
            <w:pPr>
              <w:spacing w:after="0"/>
              <w:rPr>
                <w:sz w:val="13"/>
                <w:szCs w:val="13"/>
                <w:color w:val="auto"/>
              </w:rPr>
            </w:pPr>
          </w:p>
        </w:tc>
        <w:tc>
          <w:tcPr>
            <w:tcW w:w="260" w:type="dxa"/>
            <w:vAlign w:val="bottom"/>
            <w:gridSpan w:val="8"/>
          </w:tcPr>
          <w:p>
            <w:pPr>
              <w:spacing w:after="0"/>
              <w:rPr>
                <w:sz w:val="13"/>
                <w:szCs w:val="13"/>
                <w:color w:val="auto"/>
              </w:rPr>
            </w:pPr>
          </w:p>
        </w:tc>
        <w:tc>
          <w:tcPr>
            <w:tcW w:w="2000" w:type="dxa"/>
            <w:vAlign w:val="bottom"/>
            <w:gridSpan w:val="2"/>
          </w:tcPr>
          <w:p>
            <w:pPr>
              <w:ind w:left="20"/>
              <w:spacing w:after="0" w:line="152" w:lineRule="exact"/>
              <w:rPr>
                <w:sz w:val="20"/>
                <w:szCs w:val="20"/>
                <w:color w:val="auto"/>
              </w:rPr>
            </w:pPr>
            <w:r>
              <w:rPr>
                <w:rFonts w:ascii="Calibri" w:cs="Calibri" w:eastAsia="Calibri" w:hAnsi="Calibri"/>
                <w:sz w:val="15"/>
                <w:szCs w:val="15"/>
                <w:color w:val="auto"/>
              </w:rPr>
              <w:t>Report on Form 8-K</w:t>
            </w: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8"/>
        </w:trPr>
        <w:tc>
          <w:tcPr>
            <w:tcW w:w="860" w:type="dxa"/>
            <w:vAlign w:val="bottom"/>
          </w:tcPr>
          <w:p>
            <w:pPr>
              <w:jc w:val="right"/>
              <w:spacing w:after="0" w:line="217" w:lineRule="exact"/>
              <w:rPr>
                <w:sz w:val="20"/>
                <w:szCs w:val="20"/>
                <w:color w:val="auto"/>
              </w:rPr>
            </w:pPr>
            <w:r>
              <w:rPr>
                <w:rFonts w:ascii="Calibri" w:cs="Calibri" w:eastAsia="Calibri" w:hAnsi="Calibri"/>
                <w:sz w:val="18"/>
                <w:szCs w:val="18"/>
                <w:color w:val="auto"/>
              </w:rPr>
              <w:t>4.17</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60" w:type="dxa"/>
            <w:vAlign w:val="bottom"/>
            <w:gridSpan w:val="28"/>
          </w:tcPr>
          <w:p>
            <w:pPr>
              <w:spacing w:after="0" w:line="217" w:lineRule="exact"/>
              <w:rPr>
                <w:rFonts w:ascii="Calibri" w:cs="Calibri" w:eastAsia="Calibri" w:hAnsi="Calibri"/>
                <w:sz w:val="18"/>
                <w:szCs w:val="18"/>
                <w:color w:val="0000FF"/>
                <w:w w:val="97"/>
              </w:rPr>
            </w:pPr>
            <w:hyperlink r:id="rId125">
              <w:r>
                <w:rPr>
                  <w:rFonts w:ascii="Calibri" w:cs="Calibri" w:eastAsia="Calibri" w:hAnsi="Calibri"/>
                  <w:sz w:val="18"/>
                  <w:szCs w:val="18"/>
                  <w:color w:val="0000FF"/>
                  <w:w w:val="97"/>
                </w:rPr>
                <w:t>Indenture, dated as of April 9, 2020, by and among</w:t>
              </w:r>
            </w:hyperlink>
          </w:p>
        </w:tc>
        <w:tc>
          <w:tcPr>
            <w:tcW w:w="2000" w:type="dxa"/>
            <w:vAlign w:val="bottom"/>
            <w:gridSpan w:val="2"/>
          </w:tcPr>
          <w:p>
            <w:pPr>
              <w:ind w:left="20"/>
              <w:spacing w:after="0" w:line="217" w:lineRule="exact"/>
              <w:rPr>
                <w:sz w:val="20"/>
                <w:szCs w:val="20"/>
                <w:color w:val="auto"/>
              </w:rPr>
            </w:pPr>
            <w:r>
              <w:rPr>
                <w:rFonts w:ascii="Calibri" w:cs="Calibri" w:eastAsia="Calibri" w:hAnsi="Calibri"/>
                <w:sz w:val="18"/>
                <w:szCs w:val="18"/>
                <w:color w:val="auto"/>
              </w:rPr>
              <w:t>Broadcom Inc. Current</w:t>
            </w:r>
          </w:p>
        </w:tc>
        <w:tc>
          <w:tcPr>
            <w:tcW w:w="1160" w:type="dxa"/>
            <w:vAlign w:val="bottom"/>
          </w:tcPr>
          <w:p>
            <w:pPr>
              <w:spacing w:after="0" w:line="217" w:lineRule="exact"/>
              <w:rPr>
                <w:sz w:val="20"/>
                <w:szCs w:val="20"/>
                <w:color w:val="auto"/>
              </w:rPr>
            </w:pPr>
            <w:r>
              <w:rPr>
                <w:rFonts w:ascii="Calibri" w:cs="Calibri" w:eastAsia="Calibri" w:hAnsi="Calibri"/>
                <w:sz w:val="18"/>
                <w:szCs w:val="18"/>
                <w:color w:val="auto"/>
              </w:rPr>
              <w:t>001-38449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jc w:val="center"/>
              <w:ind w:right="213"/>
              <w:spacing w:after="0" w:line="217" w:lineRule="exact"/>
              <w:rPr>
                <w:sz w:val="20"/>
                <w:szCs w:val="20"/>
                <w:color w:val="auto"/>
              </w:rPr>
            </w:pPr>
            <w:r>
              <w:rPr>
                <w:rFonts w:ascii="Calibri" w:cs="Calibri" w:eastAsia="Calibri" w:hAnsi="Calibri"/>
                <w:sz w:val="18"/>
                <w:szCs w:val="18"/>
                <w:color w:val="auto"/>
                <w:w w:val="96"/>
              </w:rPr>
              <w:t>4.1</w:t>
            </w:r>
          </w:p>
        </w:tc>
        <w:tc>
          <w:tcPr>
            <w:tcW w:w="100" w:type="dxa"/>
            <w:vAlign w:val="bottom"/>
          </w:tcPr>
          <w:p>
            <w:pPr>
              <w:spacing w:after="0"/>
              <w:rPr>
                <w:sz w:val="18"/>
                <w:szCs w:val="18"/>
                <w:color w:val="auto"/>
              </w:rPr>
            </w:pPr>
          </w:p>
        </w:tc>
        <w:tc>
          <w:tcPr>
            <w:tcW w:w="1140" w:type="dxa"/>
            <w:vAlign w:val="bottom"/>
          </w:tcPr>
          <w:p>
            <w:pPr>
              <w:jc w:val="right"/>
              <w:ind w:right="233"/>
              <w:spacing w:after="0" w:line="217" w:lineRule="exact"/>
              <w:rPr>
                <w:sz w:val="20"/>
                <w:szCs w:val="20"/>
                <w:color w:val="auto"/>
              </w:rPr>
            </w:pPr>
            <w:r>
              <w:rPr>
                <w:rFonts w:ascii="Calibri" w:cs="Calibri" w:eastAsia="Calibri" w:hAnsi="Calibri"/>
                <w:sz w:val="18"/>
                <w:szCs w:val="18"/>
                <w:color w:val="auto"/>
                <w:w w:val="95"/>
              </w:rPr>
              <w:t>04-09-2020</w:t>
            </w:r>
          </w:p>
        </w:tc>
        <w:tc>
          <w:tcPr>
            <w:tcW w:w="0" w:type="dxa"/>
            <w:vAlign w:val="bottom"/>
          </w:tcPr>
          <w:p>
            <w:pPr>
              <w:spacing w:after="0"/>
              <w:rPr>
                <w:sz w:val="1"/>
                <w:szCs w:val="1"/>
                <w:color w:val="auto"/>
              </w:rPr>
            </w:pPr>
          </w:p>
        </w:tc>
      </w:tr>
      <w:tr>
        <w:trPr>
          <w:trHeight w:val="152"/>
        </w:trPr>
        <w:tc>
          <w:tcPr>
            <w:tcW w:w="8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520" w:type="dxa"/>
            <w:vAlign w:val="bottom"/>
            <w:tcBorders>
              <w:top w:val="single" w:sz="8" w:color="0000FF"/>
            </w:tcBorders>
            <w:gridSpan w:val="25"/>
          </w:tcPr>
          <w:p>
            <w:pPr>
              <w:spacing w:after="0" w:line="152" w:lineRule="exact"/>
              <w:rPr>
                <w:rFonts w:ascii="Calibri" w:cs="Calibri" w:eastAsia="Calibri" w:hAnsi="Calibri"/>
                <w:sz w:val="15"/>
                <w:szCs w:val="15"/>
                <w:color w:val="0000FF"/>
              </w:rPr>
            </w:pPr>
            <w:hyperlink r:id="rId125">
              <w:r>
                <w:rPr>
                  <w:rFonts w:ascii="Calibri" w:cs="Calibri" w:eastAsia="Calibri" w:hAnsi="Calibri"/>
                  <w:sz w:val="15"/>
                  <w:szCs w:val="15"/>
                  <w:color w:val="0000FF"/>
                </w:rPr>
                <w:t>the Company, as Issuer, Broadcom Technologies</w:t>
              </w:r>
            </w:hyperlink>
          </w:p>
        </w:tc>
        <w:tc>
          <w:tcPr>
            <w:tcW w:w="140" w:type="dxa"/>
            <w:vAlign w:val="bottom"/>
            <w:gridSpan w:val="3"/>
          </w:tcPr>
          <w:p>
            <w:pPr>
              <w:spacing w:after="0"/>
              <w:rPr>
                <w:sz w:val="13"/>
                <w:szCs w:val="13"/>
                <w:color w:val="auto"/>
              </w:rPr>
            </w:pPr>
          </w:p>
        </w:tc>
        <w:tc>
          <w:tcPr>
            <w:tcW w:w="2000" w:type="dxa"/>
            <w:vAlign w:val="bottom"/>
            <w:gridSpan w:val="2"/>
          </w:tcPr>
          <w:p>
            <w:pPr>
              <w:ind w:left="20"/>
              <w:spacing w:after="0" w:line="152" w:lineRule="exact"/>
              <w:rPr>
                <w:sz w:val="20"/>
                <w:szCs w:val="20"/>
                <w:color w:val="auto"/>
              </w:rPr>
            </w:pPr>
            <w:r>
              <w:rPr>
                <w:rFonts w:ascii="Calibri" w:cs="Calibri" w:eastAsia="Calibri" w:hAnsi="Calibri"/>
                <w:sz w:val="15"/>
                <w:szCs w:val="15"/>
                <w:color w:val="auto"/>
              </w:rPr>
              <w:t>Report on Form 8-K</w:t>
            </w: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980" w:type="dxa"/>
            <w:vAlign w:val="bottom"/>
            <w:tcBorders>
              <w:top w:val="single" w:sz="8" w:color="0000FF"/>
              <w:bottom w:val="single" w:sz="8" w:color="0000FF"/>
            </w:tcBorders>
            <w:gridSpan w:val="11"/>
          </w:tcPr>
          <w:p>
            <w:pPr>
              <w:spacing w:after="0" w:line="165" w:lineRule="exact"/>
              <w:rPr>
                <w:rFonts w:ascii="Calibri" w:cs="Calibri" w:eastAsia="Calibri" w:hAnsi="Calibri"/>
                <w:sz w:val="18"/>
                <w:szCs w:val="18"/>
                <w:color w:val="0000FF"/>
                <w:w w:val="96"/>
              </w:rPr>
            </w:pPr>
            <w:hyperlink r:id="rId125">
              <w:r>
                <w:rPr>
                  <w:rFonts w:ascii="Calibri" w:cs="Calibri" w:eastAsia="Calibri" w:hAnsi="Calibri"/>
                  <w:sz w:val="18"/>
                  <w:szCs w:val="18"/>
                  <w:color w:val="0000FF"/>
                  <w:w w:val="96"/>
                </w:rPr>
                <w:t>Inc. and Broadcom Corporaton (the “2020</w:t>
              </w:r>
            </w:hyperlink>
          </w:p>
        </w:tc>
        <w:tc>
          <w:tcPr>
            <w:tcW w:w="340" w:type="dxa"/>
            <w:vAlign w:val="bottom"/>
            <w:tcBorders>
              <w:top w:val="single" w:sz="8" w:color="0000FF"/>
            </w:tcBorders>
            <w:gridSpan w:val="7"/>
          </w:tcPr>
          <w:p>
            <w:pPr>
              <w:spacing w:after="0"/>
              <w:rPr>
                <w:sz w:val="14"/>
                <w:szCs w:val="14"/>
                <w:color w:val="auto"/>
              </w:rPr>
            </w:pPr>
          </w:p>
        </w:tc>
        <w:tc>
          <w:tcPr>
            <w:tcW w:w="340" w:type="dxa"/>
            <w:vAlign w:val="bottom"/>
            <w:gridSpan w:val="10"/>
          </w:tcPr>
          <w:p>
            <w:pPr>
              <w:spacing w:after="0"/>
              <w:rPr>
                <w:sz w:val="14"/>
                <w:szCs w:val="14"/>
                <w:color w:val="auto"/>
              </w:rPr>
            </w:pPr>
          </w:p>
        </w:tc>
        <w:tc>
          <w:tcPr>
            <w:tcW w:w="1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8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60" w:type="dxa"/>
            <w:vAlign w:val="bottom"/>
            <w:gridSpan w:val="28"/>
          </w:tcPr>
          <w:p>
            <w:pPr>
              <w:spacing w:after="0" w:line="152" w:lineRule="exact"/>
              <w:rPr>
                <w:rFonts w:ascii="Calibri" w:cs="Calibri" w:eastAsia="Calibri" w:hAnsi="Calibri"/>
                <w:sz w:val="15"/>
                <w:szCs w:val="15"/>
                <w:color w:val="0000FF"/>
              </w:rPr>
            </w:pPr>
            <w:hyperlink r:id="rId125">
              <w:r>
                <w:rPr>
                  <w:rFonts w:ascii="Calibri" w:cs="Calibri" w:eastAsia="Calibri" w:hAnsi="Calibri"/>
                  <w:sz w:val="15"/>
                  <w:szCs w:val="15"/>
                  <w:color w:val="0000FF"/>
                </w:rPr>
                <w:t>Guarantors”), and Wilmington Trust, Natonal</w:t>
              </w:r>
            </w:hyperlink>
          </w:p>
        </w:tc>
        <w:tc>
          <w:tcPr>
            <w:tcW w:w="1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8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140" w:type="dxa"/>
            <w:vAlign w:val="bottom"/>
            <w:tcBorders>
              <w:top w:val="single" w:sz="8" w:color="0000FF"/>
            </w:tcBorders>
            <w:gridSpan w:val="14"/>
          </w:tcPr>
          <w:p>
            <w:pPr>
              <w:spacing w:after="0" w:line="152" w:lineRule="exact"/>
              <w:rPr>
                <w:rFonts w:ascii="Calibri" w:cs="Calibri" w:eastAsia="Calibri" w:hAnsi="Calibri"/>
                <w:sz w:val="15"/>
                <w:szCs w:val="15"/>
                <w:color w:val="0000FF"/>
              </w:rPr>
            </w:pPr>
            <w:hyperlink r:id="rId125">
              <w:r>
                <w:rPr>
                  <w:rFonts w:ascii="Calibri" w:cs="Calibri" w:eastAsia="Calibri" w:hAnsi="Calibri"/>
                  <w:sz w:val="15"/>
                  <w:szCs w:val="15"/>
                  <w:color w:val="0000FF"/>
                </w:rPr>
                <w:t>Associaton, as trustee.</w:t>
              </w:r>
            </w:hyperlink>
          </w:p>
        </w:tc>
        <w:tc>
          <w:tcPr>
            <w:tcW w:w="520" w:type="dxa"/>
            <w:vAlign w:val="bottom"/>
            <w:gridSpan w:val="14"/>
          </w:tcPr>
          <w:p>
            <w:pPr>
              <w:spacing w:after="0"/>
              <w:rPr>
                <w:sz w:val="13"/>
                <w:szCs w:val="13"/>
                <w:color w:val="auto"/>
              </w:rPr>
            </w:pPr>
          </w:p>
        </w:tc>
        <w:tc>
          <w:tcPr>
            <w:tcW w:w="1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09"/>
        </w:trPr>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520" w:type="dxa"/>
            <w:vAlign w:val="bottom"/>
            <w:tcBorders>
              <w:top w:val="single" w:sz="8" w:color="0000FF"/>
            </w:tcBorders>
          </w:tcPr>
          <w:p>
            <w:pPr>
              <w:spacing w:after="0"/>
              <w:rPr>
                <w:sz w:val="24"/>
                <w:szCs w:val="24"/>
                <w:color w:val="auto"/>
              </w:rPr>
            </w:pP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00" w:type="dxa"/>
            <w:vAlign w:val="bottom"/>
          </w:tcPr>
          <w:p>
            <w:pPr>
              <w:ind w:left="700"/>
              <w:spacing w:after="0"/>
              <w:rPr>
                <w:sz w:val="20"/>
                <w:szCs w:val="20"/>
                <w:color w:val="auto"/>
              </w:rPr>
            </w:pPr>
            <w:r>
              <w:rPr>
                <w:rFonts w:ascii="Calibri" w:cs="Calibri" w:eastAsia="Calibri" w:hAnsi="Calibri"/>
                <w:sz w:val="18"/>
                <w:szCs w:val="18"/>
                <w:color w:val="auto"/>
              </w:rPr>
              <w:t>92</w:t>
            </w: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2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Calibri" w:cs="Calibri" w:eastAsia="Calibri" w:hAnsi="Calibri"/>
          <w:sz w:val="14"/>
          <w:szCs w:val="14"/>
          <w:color w:val="auto"/>
        </w:rPr>
        <w:t>Filed</w:t>
      </w:r>
    </w:p>
    <w:p>
      <w:pPr>
        <w:jc w:val="center"/>
        <w:spacing w:after="0" w:line="203" w:lineRule="auto"/>
        <w:rPr>
          <w:sz w:val="20"/>
          <w:szCs w:val="20"/>
          <w:color w:val="auto"/>
        </w:rPr>
      </w:pPr>
      <w:r>
        <w:rPr>
          <w:rFonts w:ascii="Calibri" w:cs="Calibri" w:eastAsia="Calibri" w:hAnsi="Calibri"/>
          <w:sz w:val="14"/>
          <w:szCs w:val="14"/>
          <w:color w:val="auto"/>
        </w:rPr>
        <w:t>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-81915</wp:posOffset>
            </wp:positionH>
            <wp:positionV relativeFrom="paragraph">
              <wp:posOffset>20955</wp:posOffset>
            </wp:positionV>
            <wp:extent cx="50292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27">
                      <a:extLst>
                        <a:ext uri="{28A0092B-C50C-407E-A947-70E740481C1C}"/>
                      </a:extLst>
                    </a:blip>
                    <a:srcRect/>
                    <a:stretch>
                      <a:fillRect/>
                    </a:stretch>
                  </pic:blipFill>
                  <pic:spPr bwMode="auto">
                    <a:xfrm>
                      <a:off x="0" y="0"/>
                      <a:ext cx="502920" cy="8255"/>
                    </a:xfrm>
                    <a:prstGeom prst="rect">
                      <a:avLst/>
                    </a:prstGeom>
                    <a:noFill/>
                  </pic:spPr>
                </pic:pic>
              </a:graphicData>
            </a:graphic>
          </wp:anchor>
        </w:drawing>
      </w:r>
    </w:p>
    <w:p>
      <w:pPr>
        <w:sectPr>
          <w:pgSz w:w="11900" w:h="16838" w:orient="portrait"/>
          <w:cols w:equalWidth="0" w:num="2">
            <w:col w:w="10340" w:space="240"/>
            <w:col w:w="540"/>
          </w:cols>
          <w:pgMar w:left="320" w:top="109" w:right="459" w:bottom="1440" w:gutter="0" w:footer="0" w:header="0"/>
        </w:sectPr>
      </w:pPr>
    </w:p>
    <w:bookmarkStart w:id="94" w:name="page95"/>
    <w:bookmarkEnd w:id="94"/>
    <w:p>
      <w:pPr>
        <w:spacing w:after="0"/>
        <w:rPr>
          <w:sz w:val="20"/>
          <w:szCs w:val="20"/>
          <w:color w:val="auto"/>
        </w:rPr>
      </w:pPr>
      <w:r>
        <w:rPr>
          <w:rFonts w:ascii="Calibri" w:cs="Calibri" w:eastAsia="Calibri" w:hAnsi="Calibri"/>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gridSpan w:val="3"/>
          </w:tcPr>
          <w:p>
            <w:pPr>
              <w:spacing w:after="0"/>
              <w:rPr>
                <w:sz w:val="20"/>
                <w:szCs w:val="20"/>
                <w:color w:val="auto"/>
              </w:rPr>
            </w:pPr>
            <w:r>
              <w:rPr>
                <w:rFonts w:ascii="Calibri" w:cs="Calibri" w:eastAsia="Calibri" w:hAnsi="Calibri"/>
                <w:sz w:val="14"/>
                <w:szCs w:val="14"/>
                <w:color w:val="auto"/>
                <w:w w:val="99"/>
              </w:rPr>
              <w:t>Incorporated by Reference</w:t>
            </w: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1160" w:type="dxa"/>
            <w:vAlign w:val="bottom"/>
            <w:gridSpan w:val="2"/>
            <w:vMerge w:val="restart"/>
          </w:tcPr>
          <w:p>
            <w:pPr>
              <w:jc w:val="center"/>
              <w:ind w:right="300"/>
              <w:spacing w:after="0"/>
              <w:rPr>
                <w:sz w:val="20"/>
                <w:szCs w:val="20"/>
                <w:color w:val="auto"/>
              </w:rPr>
            </w:pPr>
            <w:r>
              <w:rPr>
                <w:rFonts w:ascii="Calibri" w:cs="Calibri" w:eastAsia="Calibri" w:hAnsi="Calibri"/>
                <w:sz w:val="14"/>
                <w:szCs w:val="14"/>
                <w:color w:val="auto"/>
                <w:w w:val="98"/>
              </w:rPr>
              <w:t>Exhibit</w:t>
            </w:r>
          </w:p>
        </w:tc>
        <w:tc>
          <w:tcPr>
            <w:tcW w:w="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0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9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11"/>
        </w:trPr>
        <w:tc>
          <w:tcPr>
            <w:tcW w:w="1160" w:type="dxa"/>
            <w:vAlign w:val="bottom"/>
            <w:gridSpan w:val="2"/>
            <w:vMerge w:val="continue"/>
          </w:tcPr>
          <w:p>
            <w:pPr>
              <w:spacing w:after="0"/>
              <w:rPr>
                <w:sz w:val="9"/>
                <w:szCs w:val="9"/>
                <w:color w:val="auto"/>
              </w:rPr>
            </w:pPr>
          </w:p>
        </w:tc>
        <w:tc>
          <w:tcPr>
            <w:tcW w:w="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40" w:type="dxa"/>
            <w:vAlign w:val="bottom"/>
          </w:tcPr>
          <w:p>
            <w:pPr>
              <w:spacing w:after="0"/>
              <w:rPr>
                <w:sz w:val="9"/>
                <w:szCs w:val="9"/>
                <w:color w:val="auto"/>
              </w:rPr>
            </w:pPr>
          </w:p>
        </w:tc>
        <w:tc>
          <w:tcPr>
            <w:tcW w:w="2580" w:type="dxa"/>
            <w:vAlign w:val="bottom"/>
            <w:gridSpan w:val="9"/>
            <w:vMerge w:val="restart"/>
          </w:tcPr>
          <w:p>
            <w:pPr>
              <w:ind w:left="360"/>
              <w:spacing w:after="0"/>
              <w:rPr>
                <w:sz w:val="20"/>
                <w:szCs w:val="20"/>
                <w:color w:val="auto"/>
              </w:rPr>
            </w:pPr>
            <w:r>
              <w:rPr>
                <w:rFonts w:ascii="Calibri" w:cs="Calibri" w:eastAsia="Calibri" w:hAnsi="Calibri"/>
                <w:sz w:val="14"/>
                <w:szCs w:val="14"/>
                <w:color w:val="auto"/>
              </w:rPr>
              <w:t>Descripton</w:t>
            </w:r>
          </w:p>
        </w:tc>
        <w:tc>
          <w:tcPr>
            <w:tcW w:w="2000" w:type="dxa"/>
            <w:vAlign w:val="bottom"/>
            <w:gridSpan w:val="2"/>
            <w:vMerge w:val="restart"/>
          </w:tcPr>
          <w:p>
            <w:pPr>
              <w:ind w:left="800"/>
              <w:spacing w:after="0"/>
              <w:rPr>
                <w:sz w:val="20"/>
                <w:szCs w:val="20"/>
                <w:color w:val="auto"/>
              </w:rPr>
            </w:pPr>
            <w:r>
              <w:rPr>
                <w:rFonts w:ascii="Calibri" w:cs="Calibri" w:eastAsia="Calibri" w:hAnsi="Calibri"/>
                <w:sz w:val="14"/>
                <w:szCs w:val="14"/>
                <w:color w:val="auto"/>
              </w:rPr>
              <w:t>Form</w:t>
            </w:r>
          </w:p>
        </w:tc>
        <w:tc>
          <w:tcPr>
            <w:tcW w:w="1540" w:type="dxa"/>
            <w:vAlign w:val="bottom"/>
            <w:gridSpan w:val="3"/>
            <w:vMerge w:val="restart"/>
          </w:tcPr>
          <w:p>
            <w:pPr>
              <w:ind w:left="360"/>
              <w:spacing w:after="0"/>
              <w:rPr>
                <w:sz w:val="20"/>
                <w:szCs w:val="20"/>
                <w:color w:val="auto"/>
              </w:rPr>
            </w:pPr>
            <w:r>
              <w:rPr>
                <w:rFonts w:ascii="Calibri" w:cs="Calibri" w:eastAsia="Calibri" w:hAnsi="Calibri"/>
                <w:sz w:val="14"/>
                <w:szCs w:val="14"/>
                <w:color w:val="auto"/>
              </w:rPr>
              <w:t>File No.</w:t>
            </w:r>
          </w:p>
        </w:tc>
        <w:tc>
          <w:tcPr>
            <w:tcW w:w="820" w:type="dxa"/>
            <w:vAlign w:val="bottom"/>
            <w:gridSpan w:val="2"/>
            <w:vMerge w:val="restart"/>
          </w:tcPr>
          <w:p>
            <w:pPr>
              <w:jc w:val="center"/>
              <w:ind w:right="400"/>
              <w:spacing w:after="0"/>
              <w:rPr>
                <w:sz w:val="20"/>
                <w:szCs w:val="20"/>
                <w:color w:val="auto"/>
              </w:rPr>
            </w:pPr>
            <w:r>
              <w:rPr>
                <w:rFonts w:ascii="Calibri" w:cs="Calibri" w:eastAsia="Calibri" w:hAnsi="Calibri"/>
                <w:sz w:val="14"/>
                <w:szCs w:val="14"/>
                <w:color w:val="auto"/>
                <w:w w:val="98"/>
              </w:rPr>
              <w:t>Exhibit</w:t>
            </w:r>
          </w:p>
        </w:tc>
        <w:tc>
          <w:tcPr>
            <w:tcW w:w="1140" w:type="dxa"/>
            <w:vAlign w:val="bottom"/>
            <w:vMerge w:val="restart"/>
          </w:tcPr>
          <w:p>
            <w:pPr>
              <w:jc w:val="right"/>
              <w:ind w:right="173"/>
              <w:spacing w:after="0"/>
              <w:rPr>
                <w:sz w:val="20"/>
                <w:szCs w:val="20"/>
                <w:color w:val="auto"/>
              </w:rPr>
            </w:pPr>
            <w:r>
              <w:rPr>
                <w:rFonts w:ascii="Calibri" w:cs="Calibri" w:eastAsia="Calibri" w:hAnsi="Calibri"/>
                <w:sz w:val="14"/>
                <w:szCs w:val="14"/>
                <w:color w:val="auto"/>
              </w:rPr>
              <w:t>Filing Date</w:t>
            </w:r>
          </w:p>
        </w:tc>
        <w:tc>
          <w:tcPr>
            <w:tcW w:w="0" w:type="dxa"/>
            <w:vAlign w:val="bottom"/>
          </w:tcPr>
          <w:p>
            <w:pPr>
              <w:spacing w:after="0"/>
              <w:rPr>
                <w:sz w:val="1"/>
                <w:szCs w:val="1"/>
                <w:color w:val="auto"/>
              </w:rPr>
            </w:pPr>
          </w:p>
        </w:tc>
      </w:tr>
      <w:tr>
        <w:trPr>
          <w:trHeight w:val="168"/>
        </w:trPr>
        <w:tc>
          <w:tcPr>
            <w:tcW w:w="1160" w:type="dxa"/>
            <w:vAlign w:val="bottom"/>
            <w:gridSpan w:val="2"/>
          </w:tcPr>
          <w:p>
            <w:pPr>
              <w:jc w:val="center"/>
              <w:ind w:right="300"/>
              <w:spacing w:after="0" w:line="168" w:lineRule="exact"/>
              <w:rPr>
                <w:sz w:val="20"/>
                <w:szCs w:val="20"/>
                <w:color w:val="auto"/>
              </w:rPr>
            </w:pPr>
            <w:r>
              <w:rPr>
                <w:rFonts w:ascii="Calibri" w:cs="Calibri" w:eastAsia="Calibri" w:hAnsi="Calibri"/>
                <w:sz w:val="14"/>
                <w:szCs w:val="14"/>
                <w:color w:val="auto"/>
                <w:w w:val="98"/>
              </w:rPr>
              <w:t>Number</w:t>
            </w:r>
          </w:p>
        </w:tc>
        <w:tc>
          <w:tcPr>
            <w:tcW w:w="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580" w:type="dxa"/>
            <w:vAlign w:val="bottom"/>
            <w:gridSpan w:val="9"/>
            <w:vMerge w:val="continue"/>
          </w:tcPr>
          <w:p>
            <w:pPr>
              <w:spacing w:after="0"/>
              <w:rPr>
                <w:sz w:val="14"/>
                <w:szCs w:val="14"/>
                <w:color w:val="auto"/>
              </w:rPr>
            </w:pPr>
          </w:p>
        </w:tc>
        <w:tc>
          <w:tcPr>
            <w:tcW w:w="2000" w:type="dxa"/>
            <w:vAlign w:val="bottom"/>
            <w:gridSpan w:val="2"/>
            <w:vMerge w:val="continue"/>
          </w:tcPr>
          <w:p>
            <w:pPr>
              <w:spacing w:after="0"/>
              <w:rPr>
                <w:sz w:val="14"/>
                <w:szCs w:val="14"/>
                <w:color w:val="auto"/>
              </w:rPr>
            </w:pPr>
          </w:p>
        </w:tc>
        <w:tc>
          <w:tcPr>
            <w:tcW w:w="1540" w:type="dxa"/>
            <w:vAlign w:val="bottom"/>
            <w:gridSpan w:val="3"/>
            <w:vMerge w:val="continue"/>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2"/>
        </w:trPr>
        <w:tc>
          <w:tcPr>
            <w:tcW w:w="86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860" w:type="dxa"/>
            <w:vAlign w:val="bottom"/>
          </w:tcPr>
          <w:p>
            <w:pPr>
              <w:jc w:val="right"/>
              <w:spacing w:after="0" w:line="165" w:lineRule="exact"/>
              <w:rPr>
                <w:sz w:val="20"/>
                <w:szCs w:val="20"/>
                <w:color w:val="auto"/>
              </w:rPr>
            </w:pPr>
            <w:r>
              <w:rPr>
                <w:rFonts w:ascii="Calibri" w:cs="Calibri" w:eastAsia="Calibri" w:hAnsi="Calibri"/>
                <w:sz w:val="18"/>
                <w:szCs w:val="18"/>
                <w:color w:val="auto"/>
              </w:rPr>
              <w:t>4.18</w:t>
            </w: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560" w:type="dxa"/>
            <w:vAlign w:val="bottom"/>
            <w:gridSpan w:val="10"/>
          </w:tcPr>
          <w:p>
            <w:pPr>
              <w:spacing w:after="0" w:line="165" w:lineRule="exact"/>
              <w:rPr>
                <w:rFonts w:ascii="Calibri" w:cs="Calibri" w:eastAsia="Calibri" w:hAnsi="Calibri"/>
                <w:sz w:val="18"/>
                <w:szCs w:val="18"/>
                <w:color w:val="0000FF"/>
                <w:w w:val="98"/>
              </w:rPr>
            </w:pPr>
            <w:hyperlink r:id="rId125">
              <w:r>
                <w:rPr>
                  <w:rFonts w:ascii="Calibri" w:cs="Calibri" w:eastAsia="Calibri" w:hAnsi="Calibri"/>
                  <w:sz w:val="18"/>
                  <w:szCs w:val="18"/>
                  <w:color w:val="0000FF"/>
                  <w:w w:val="98"/>
                </w:rPr>
                <w:t>Form of 5.000% Senior Notes due 2030 (included</w:t>
              </w:r>
            </w:hyperlink>
          </w:p>
        </w:tc>
        <w:tc>
          <w:tcPr>
            <w:tcW w:w="100" w:type="dxa"/>
            <w:vAlign w:val="bottom"/>
          </w:tcPr>
          <w:p>
            <w:pPr>
              <w:spacing w:after="0"/>
              <w:rPr>
                <w:sz w:val="14"/>
                <w:szCs w:val="14"/>
                <w:color w:val="auto"/>
              </w:rPr>
            </w:pPr>
          </w:p>
        </w:tc>
        <w:tc>
          <w:tcPr>
            <w:tcW w:w="1900" w:type="dxa"/>
            <w:vAlign w:val="bottom"/>
          </w:tcPr>
          <w:p>
            <w:pPr>
              <w:ind w:left="20"/>
              <w:spacing w:after="0" w:line="165" w:lineRule="exact"/>
              <w:rPr>
                <w:sz w:val="20"/>
                <w:szCs w:val="20"/>
                <w:color w:val="auto"/>
              </w:rPr>
            </w:pPr>
            <w:r>
              <w:rPr>
                <w:rFonts w:ascii="Calibri" w:cs="Calibri" w:eastAsia="Calibri" w:hAnsi="Calibri"/>
                <w:sz w:val="18"/>
                <w:szCs w:val="18"/>
                <w:color w:val="auto"/>
              </w:rPr>
              <w:t>Broadcom Inc. Current</w:t>
            </w:r>
          </w:p>
        </w:tc>
        <w:tc>
          <w:tcPr>
            <w:tcW w:w="100" w:type="dxa"/>
            <w:vAlign w:val="bottom"/>
          </w:tcPr>
          <w:p>
            <w:pPr>
              <w:spacing w:after="0"/>
              <w:rPr>
                <w:sz w:val="14"/>
                <w:szCs w:val="14"/>
                <w:color w:val="auto"/>
              </w:rPr>
            </w:pPr>
          </w:p>
        </w:tc>
        <w:tc>
          <w:tcPr>
            <w:tcW w:w="1160" w:type="dxa"/>
            <w:vAlign w:val="bottom"/>
          </w:tcPr>
          <w:p>
            <w:pPr>
              <w:spacing w:after="0" w:line="165" w:lineRule="exact"/>
              <w:rPr>
                <w:sz w:val="20"/>
                <w:szCs w:val="20"/>
                <w:color w:val="auto"/>
              </w:rPr>
            </w:pPr>
            <w:r>
              <w:rPr>
                <w:rFonts w:ascii="Calibri" w:cs="Calibri" w:eastAsia="Calibri" w:hAnsi="Calibri"/>
                <w:sz w:val="18"/>
                <w:szCs w:val="18"/>
                <w:color w:val="auto"/>
              </w:rPr>
              <w:t>001-38449</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20" w:type="dxa"/>
            <w:vAlign w:val="bottom"/>
          </w:tcPr>
          <w:p>
            <w:pPr>
              <w:jc w:val="center"/>
              <w:ind w:right="213"/>
              <w:spacing w:after="0" w:line="165" w:lineRule="exact"/>
              <w:rPr>
                <w:sz w:val="20"/>
                <w:szCs w:val="20"/>
                <w:color w:val="auto"/>
              </w:rPr>
            </w:pPr>
            <w:r>
              <w:rPr>
                <w:rFonts w:ascii="Calibri" w:cs="Calibri" w:eastAsia="Calibri" w:hAnsi="Calibri"/>
                <w:sz w:val="18"/>
                <w:szCs w:val="18"/>
                <w:color w:val="auto"/>
                <w:w w:val="96"/>
              </w:rPr>
              <w:t>4.1</w:t>
            </w:r>
          </w:p>
        </w:tc>
        <w:tc>
          <w:tcPr>
            <w:tcW w:w="100" w:type="dxa"/>
            <w:vAlign w:val="bottom"/>
          </w:tcPr>
          <w:p>
            <w:pPr>
              <w:spacing w:after="0"/>
              <w:rPr>
                <w:sz w:val="14"/>
                <w:szCs w:val="14"/>
                <w:color w:val="auto"/>
              </w:rPr>
            </w:pPr>
          </w:p>
        </w:tc>
        <w:tc>
          <w:tcPr>
            <w:tcW w:w="1140" w:type="dxa"/>
            <w:vAlign w:val="bottom"/>
          </w:tcPr>
          <w:p>
            <w:pPr>
              <w:jc w:val="right"/>
              <w:ind w:right="233"/>
              <w:spacing w:after="0" w:line="165" w:lineRule="exact"/>
              <w:rPr>
                <w:sz w:val="20"/>
                <w:szCs w:val="20"/>
                <w:color w:val="auto"/>
              </w:rPr>
            </w:pPr>
            <w:r>
              <w:rPr>
                <w:rFonts w:ascii="Calibri" w:cs="Calibri" w:eastAsia="Calibri" w:hAnsi="Calibri"/>
                <w:sz w:val="18"/>
                <w:szCs w:val="18"/>
                <w:color w:val="auto"/>
                <w:w w:val="95"/>
              </w:rPr>
              <w:t>04-09-2020</w:t>
            </w:r>
          </w:p>
        </w:tc>
        <w:tc>
          <w:tcPr>
            <w:tcW w:w="0" w:type="dxa"/>
            <w:vAlign w:val="bottom"/>
          </w:tcPr>
          <w:p>
            <w:pPr>
              <w:spacing w:after="0"/>
              <w:rPr>
                <w:sz w:val="1"/>
                <w:szCs w:val="1"/>
                <w:color w:val="auto"/>
              </w:rPr>
            </w:pPr>
          </w:p>
        </w:tc>
      </w:tr>
      <w:tr>
        <w:trPr>
          <w:trHeight w:val="152"/>
        </w:trPr>
        <w:tc>
          <w:tcPr>
            <w:tcW w:w="8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00" w:type="dxa"/>
            <w:vAlign w:val="bottom"/>
            <w:tcBorders>
              <w:top w:val="single" w:sz="8" w:color="0000FF"/>
            </w:tcBorders>
            <w:gridSpan w:val="6"/>
          </w:tcPr>
          <w:p>
            <w:pPr>
              <w:spacing w:after="0" w:line="152" w:lineRule="exact"/>
              <w:rPr>
                <w:rFonts w:ascii="Calibri" w:cs="Calibri" w:eastAsia="Calibri" w:hAnsi="Calibri"/>
                <w:sz w:val="15"/>
                <w:szCs w:val="15"/>
                <w:color w:val="0000FF"/>
              </w:rPr>
            </w:pPr>
            <w:hyperlink r:id="rId125">
              <w:r>
                <w:rPr>
                  <w:rFonts w:ascii="Calibri" w:cs="Calibri" w:eastAsia="Calibri" w:hAnsi="Calibri"/>
                  <w:sz w:val="15"/>
                  <w:szCs w:val="15"/>
                  <w:color w:val="0000FF"/>
                </w:rPr>
                <w:t>in Exhibit 4.21)</w:t>
              </w:r>
              <w:r>
                <w:rPr>
                  <w:rFonts w:ascii="Calibri" w:cs="Calibri" w:eastAsia="Calibri" w:hAnsi="Calibri"/>
                  <w:sz w:val="15"/>
                  <w:szCs w:val="15"/>
                  <w:color w:val="000000"/>
                </w:rPr>
                <w:t>.</w:t>
              </w:r>
            </w:hyperlink>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gridSpan w:val="2"/>
          </w:tcPr>
          <w:p>
            <w:pPr>
              <w:spacing w:after="0"/>
              <w:rPr>
                <w:sz w:val="13"/>
                <w:szCs w:val="13"/>
                <w:color w:val="auto"/>
              </w:rPr>
            </w:pPr>
          </w:p>
        </w:tc>
        <w:tc>
          <w:tcPr>
            <w:tcW w:w="2000" w:type="dxa"/>
            <w:vAlign w:val="bottom"/>
            <w:gridSpan w:val="2"/>
          </w:tcPr>
          <w:p>
            <w:pPr>
              <w:ind w:left="20"/>
              <w:spacing w:after="0" w:line="152" w:lineRule="exact"/>
              <w:rPr>
                <w:sz w:val="20"/>
                <w:szCs w:val="20"/>
                <w:color w:val="auto"/>
              </w:rPr>
            </w:pPr>
            <w:r>
              <w:rPr>
                <w:rFonts w:ascii="Calibri" w:cs="Calibri" w:eastAsia="Calibri" w:hAnsi="Calibri"/>
                <w:sz w:val="15"/>
                <w:szCs w:val="15"/>
                <w:color w:val="auto"/>
              </w:rPr>
              <w:t>Report on Form 8-K</w:t>
            </w: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860" w:type="dxa"/>
            <w:vAlign w:val="bottom"/>
          </w:tcPr>
          <w:p>
            <w:pPr>
              <w:jc w:val="right"/>
              <w:spacing w:after="0" w:line="217" w:lineRule="exact"/>
              <w:rPr>
                <w:sz w:val="20"/>
                <w:szCs w:val="20"/>
                <w:color w:val="auto"/>
              </w:rPr>
            </w:pPr>
            <w:r>
              <w:rPr>
                <w:rFonts w:ascii="Calibri" w:cs="Calibri" w:eastAsia="Calibri" w:hAnsi="Calibri"/>
                <w:sz w:val="18"/>
                <w:szCs w:val="18"/>
                <w:color w:val="auto"/>
              </w:rPr>
              <w:t>4.19</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60" w:type="dxa"/>
            <w:vAlign w:val="bottom"/>
            <w:gridSpan w:val="11"/>
          </w:tcPr>
          <w:p>
            <w:pPr>
              <w:spacing w:after="0" w:line="217" w:lineRule="exact"/>
              <w:rPr>
                <w:rFonts w:ascii="Calibri" w:cs="Calibri" w:eastAsia="Calibri" w:hAnsi="Calibri"/>
                <w:sz w:val="18"/>
                <w:szCs w:val="18"/>
                <w:color w:val="0000FF"/>
                <w:w w:val="98"/>
              </w:rPr>
            </w:pPr>
            <w:hyperlink r:id="rId128">
              <w:r>
                <w:rPr>
                  <w:rFonts w:ascii="Calibri" w:cs="Calibri" w:eastAsia="Calibri" w:hAnsi="Calibri"/>
                  <w:sz w:val="18"/>
                  <w:szCs w:val="18"/>
                  <w:color w:val="0000FF"/>
                  <w:w w:val="98"/>
                </w:rPr>
                <w:t>Indenture, dated as of May 8, 2020, by and among</w:t>
              </w:r>
            </w:hyperlink>
          </w:p>
        </w:tc>
        <w:tc>
          <w:tcPr>
            <w:tcW w:w="2000" w:type="dxa"/>
            <w:vAlign w:val="bottom"/>
            <w:gridSpan w:val="2"/>
          </w:tcPr>
          <w:p>
            <w:pPr>
              <w:ind w:left="20"/>
              <w:spacing w:after="0" w:line="217" w:lineRule="exact"/>
              <w:rPr>
                <w:sz w:val="20"/>
                <w:szCs w:val="20"/>
                <w:color w:val="auto"/>
              </w:rPr>
            </w:pPr>
            <w:r>
              <w:rPr>
                <w:rFonts w:ascii="Calibri" w:cs="Calibri" w:eastAsia="Calibri" w:hAnsi="Calibri"/>
                <w:sz w:val="18"/>
                <w:szCs w:val="18"/>
                <w:color w:val="auto"/>
              </w:rPr>
              <w:t>Broadcom Inc. Current</w:t>
            </w:r>
          </w:p>
        </w:tc>
        <w:tc>
          <w:tcPr>
            <w:tcW w:w="1160" w:type="dxa"/>
            <w:vAlign w:val="bottom"/>
          </w:tcPr>
          <w:p>
            <w:pPr>
              <w:spacing w:after="0" w:line="217" w:lineRule="exact"/>
              <w:rPr>
                <w:sz w:val="20"/>
                <w:szCs w:val="20"/>
                <w:color w:val="auto"/>
              </w:rPr>
            </w:pPr>
            <w:r>
              <w:rPr>
                <w:rFonts w:ascii="Calibri" w:cs="Calibri" w:eastAsia="Calibri" w:hAnsi="Calibri"/>
                <w:sz w:val="18"/>
                <w:szCs w:val="18"/>
                <w:color w:val="auto"/>
              </w:rPr>
              <w:t>001-38449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jc w:val="center"/>
              <w:ind w:right="213"/>
              <w:spacing w:after="0" w:line="217" w:lineRule="exact"/>
              <w:rPr>
                <w:sz w:val="20"/>
                <w:szCs w:val="20"/>
                <w:color w:val="auto"/>
              </w:rPr>
            </w:pPr>
            <w:r>
              <w:rPr>
                <w:rFonts w:ascii="Calibri" w:cs="Calibri" w:eastAsia="Calibri" w:hAnsi="Calibri"/>
                <w:sz w:val="18"/>
                <w:szCs w:val="18"/>
                <w:color w:val="auto"/>
                <w:w w:val="96"/>
              </w:rPr>
              <w:t>4.1</w:t>
            </w:r>
          </w:p>
        </w:tc>
        <w:tc>
          <w:tcPr>
            <w:tcW w:w="100" w:type="dxa"/>
            <w:vAlign w:val="bottom"/>
          </w:tcPr>
          <w:p>
            <w:pPr>
              <w:spacing w:after="0"/>
              <w:rPr>
                <w:sz w:val="18"/>
                <w:szCs w:val="18"/>
                <w:color w:val="auto"/>
              </w:rPr>
            </w:pPr>
          </w:p>
        </w:tc>
        <w:tc>
          <w:tcPr>
            <w:tcW w:w="1140" w:type="dxa"/>
            <w:vAlign w:val="bottom"/>
          </w:tcPr>
          <w:p>
            <w:pPr>
              <w:jc w:val="right"/>
              <w:ind w:right="233"/>
              <w:spacing w:after="0" w:line="217" w:lineRule="exact"/>
              <w:rPr>
                <w:sz w:val="20"/>
                <w:szCs w:val="20"/>
                <w:color w:val="auto"/>
              </w:rPr>
            </w:pPr>
            <w:r>
              <w:rPr>
                <w:rFonts w:ascii="Calibri" w:cs="Calibri" w:eastAsia="Calibri" w:hAnsi="Calibri"/>
                <w:sz w:val="18"/>
                <w:szCs w:val="18"/>
                <w:color w:val="auto"/>
                <w:w w:val="95"/>
              </w:rPr>
              <w:t>05-08-2020</w:t>
            </w:r>
          </w:p>
        </w:tc>
        <w:tc>
          <w:tcPr>
            <w:tcW w:w="0" w:type="dxa"/>
            <w:vAlign w:val="bottom"/>
          </w:tcPr>
          <w:p>
            <w:pPr>
              <w:spacing w:after="0"/>
              <w:rPr>
                <w:sz w:val="1"/>
                <w:szCs w:val="1"/>
                <w:color w:val="auto"/>
              </w:rPr>
            </w:pPr>
          </w:p>
        </w:tc>
      </w:tr>
      <w:tr>
        <w:trPr>
          <w:trHeight w:val="152"/>
        </w:trPr>
        <w:tc>
          <w:tcPr>
            <w:tcW w:w="8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500" w:type="dxa"/>
            <w:vAlign w:val="bottom"/>
            <w:tcBorders>
              <w:top w:val="single" w:sz="8" w:color="0000FF"/>
            </w:tcBorders>
            <w:gridSpan w:val="8"/>
          </w:tcPr>
          <w:p>
            <w:pPr>
              <w:spacing w:after="0" w:line="152" w:lineRule="exact"/>
              <w:rPr>
                <w:rFonts w:ascii="Calibri" w:cs="Calibri" w:eastAsia="Calibri" w:hAnsi="Calibri"/>
                <w:sz w:val="15"/>
                <w:szCs w:val="15"/>
                <w:color w:val="0000FF"/>
              </w:rPr>
            </w:pPr>
            <w:hyperlink r:id="rId128">
              <w:r>
                <w:rPr>
                  <w:rFonts w:ascii="Calibri" w:cs="Calibri" w:eastAsia="Calibri" w:hAnsi="Calibri"/>
                  <w:sz w:val="15"/>
                  <w:szCs w:val="15"/>
                  <w:color w:val="0000FF"/>
                </w:rPr>
                <w:t>the Company, as Issuer, the 2020 Guarantors, and</w:t>
              </w:r>
            </w:hyperlink>
          </w:p>
        </w:tc>
        <w:tc>
          <w:tcPr>
            <w:tcW w:w="20" w:type="dxa"/>
            <w:vAlign w:val="bottom"/>
          </w:tcPr>
          <w:p>
            <w:pPr>
              <w:spacing w:after="0"/>
              <w:rPr>
                <w:sz w:val="13"/>
                <w:szCs w:val="13"/>
                <w:color w:val="auto"/>
              </w:rPr>
            </w:pPr>
          </w:p>
        </w:tc>
        <w:tc>
          <w:tcPr>
            <w:tcW w:w="140" w:type="dxa"/>
            <w:vAlign w:val="bottom"/>
            <w:gridSpan w:val="2"/>
          </w:tcPr>
          <w:p>
            <w:pPr>
              <w:spacing w:after="0"/>
              <w:rPr>
                <w:sz w:val="13"/>
                <w:szCs w:val="13"/>
                <w:color w:val="auto"/>
              </w:rPr>
            </w:pPr>
          </w:p>
        </w:tc>
        <w:tc>
          <w:tcPr>
            <w:tcW w:w="2000" w:type="dxa"/>
            <w:vAlign w:val="bottom"/>
            <w:gridSpan w:val="2"/>
          </w:tcPr>
          <w:p>
            <w:pPr>
              <w:ind w:left="20"/>
              <w:spacing w:after="0" w:line="152" w:lineRule="exact"/>
              <w:rPr>
                <w:sz w:val="20"/>
                <w:szCs w:val="20"/>
                <w:color w:val="auto"/>
              </w:rPr>
            </w:pPr>
            <w:r>
              <w:rPr>
                <w:rFonts w:ascii="Calibri" w:cs="Calibri" w:eastAsia="Calibri" w:hAnsi="Calibri"/>
                <w:sz w:val="15"/>
                <w:szCs w:val="15"/>
                <w:color w:val="auto"/>
              </w:rPr>
              <w:t>Report on Form 8-K</w:t>
            </w: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40" w:type="dxa"/>
            <w:vAlign w:val="bottom"/>
            <w:tcBorders>
              <w:top w:val="single" w:sz="8" w:color="0000FF"/>
              <w:bottom w:val="single" w:sz="8" w:color="0000FF"/>
            </w:tcBorders>
            <w:gridSpan w:val="7"/>
          </w:tcPr>
          <w:p>
            <w:pPr>
              <w:spacing w:after="0" w:line="165" w:lineRule="exact"/>
              <w:rPr>
                <w:rFonts w:ascii="Calibri" w:cs="Calibri" w:eastAsia="Calibri" w:hAnsi="Calibri"/>
                <w:sz w:val="18"/>
                <w:szCs w:val="18"/>
                <w:color w:val="0000FF"/>
                <w:w w:val="94"/>
              </w:rPr>
            </w:pPr>
            <w:hyperlink r:id="rId128">
              <w:r>
                <w:rPr>
                  <w:rFonts w:ascii="Calibri" w:cs="Calibri" w:eastAsia="Calibri" w:hAnsi="Calibri"/>
                  <w:sz w:val="18"/>
                  <w:szCs w:val="18"/>
                  <w:color w:val="0000FF"/>
                  <w:w w:val="94"/>
                </w:rPr>
                <w:t>Wilmington Trust, Natonal Associaton, as trustee.</w:t>
              </w:r>
            </w:hyperlink>
          </w:p>
        </w:tc>
        <w:tc>
          <w:tcPr>
            <w:tcW w:w="6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140" w:type="dxa"/>
            <w:vAlign w:val="bottom"/>
            <w:gridSpan w:val="2"/>
          </w:tcPr>
          <w:p>
            <w:pPr>
              <w:spacing w:after="0"/>
              <w:rPr>
                <w:sz w:val="14"/>
                <w:szCs w:val="14"/>
                <w:color w:val="auto"/>
              </w:rPr>
            </w:pPr>
          </w:p>
        </w:tc>
        <w:tc>
          <w:tcPr>
            <w:tcW w:w="1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860" w:type="dxa"/>
            <w:vAlign w:val="bottom"/>
          </w:tcPr>
          <w:p>
            <w:pPr>
              <w:jc w:val="right"/>
              <w:spacing w:after="0" w:line="205" w:lineRule="exact"/>
              <w:rPr>
                <w:sz w:val="20"/>
                <w:szCs w:val="20"/>
                <w:color w:val="auto"/>
              </w:rPr>
            </w:pPr>
            <w:r>
              <w:rPr>
                <w:rFonts w:ascii="Calibri" w:cs="Calibri" w:eastAsia="Calibri" w:hAnsi="Calibri"/>
                <w:sz w:val="18"/>
                <w:szCs w:val="18"/>
                <w:color w:val="auto"/>
              </w:rPr>
              <w:t>4.20</w:t>
            </w: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60" w:type="dxa"/>
            <w:vAlign w:val="bottom"/>
            <w:gridSpan w:val="11"/>
          </w:tcPr>
          <w:p>
            <w:pPr>
              <w:spacing w:after="0" w:line="205" w:lineRule="exact"/>
              <w:rPr>
                <w:rFonts w:ascii="Calibri" w:cs="Calibri" w:eastAsia="Calibri" w:hAnsi="Calibri"/>
                <w:sz w:val="18"/>
                <w:szCs w:val="18"/>
                <w:color w:val="0000FF"/>
              </w:rPr>
            </w:pPr>
            <w:hyperlink r:id="rId128">
              <w:r>
                <w:rPr>
                  <w:rFonts w:ascii="Calibri" w:cs="Calibri" w:eastAsia="Calibri" w:hAnsi="Calibri"/>
                  <w:sz w:val="18"/>
                  <w:szCs w:val="18"/>
                  <w:color w:val="0000FF"/>
                </w:rPr>
                <w:t>Form of 2.250% Senior Notes due 2023 (included</w:t>
              </w:r>
            </w:hyperlink>
          </w:p>
        </w:tc>
        <w:tc>
          <w:tcPr>
            <w:tcW w:w="2000" w:type="dxa"/>
            <w:vAlign w:val="bottom"/>
            <w:gridSpan w:val="2"/>
          </w:tcPr>
          <w:p>
            <w:pPr>
              <w:ind w:left="20"/>
              <w:spacing w:after="0" w:line="205" w:lineRule="exact"/>
              <w:rPr>
                <w:sz w:val="20"/>
                <w:szCs w:val="20"/>
                <w:color w:val="auto"/>
              </w:rPr>
            </w:pPr>
            <w:r>
              <w:rPr>
                <w:rFonts w:ascii="Calibri" w:cs="Calibri" w:eastAsia="Calibri" w:hAnsi="Calibri"/>
                <w:sz w:val="18"/>
                <w:szCs w:val="18"/>
                <w:color w:val="auto"/>
              </w:rPr>
              <w:t>Broadcom Inc. Current</w:t>
            </w:r>
          </w:p>
        </w:tc>
        <w:tc>
          <w:tcPr>
            <w:tcW w:w="1160" w:type="dxa"/>
            <w:vAlign w:val="bottom"/>
          </w:tcPr>
          <w:p>
            <w:pPr>
              <w:spacing w:after="0" w:line="205" w:lineRule="exact"/>
              <w:rPr>
                <w:sz w:val="20"/>
                <w:szCs w:val="20"/>
                <w:color w:val="auto"/>
              </w:rPr>
            </w:pPr>
            <w:r>
              <w:rPr>
                <w:rFonts w:ascii="Calibri" w:cs="Calibri" w:eastAsia="Calibri" w:hAnsi="Calibri"/>
                <w:sz w:val="18"/>
                <w:szCs w:val="18"/>
                <w:color w:val="auto"/>
              </w:rPr>
              <w:t>001-38449</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Pr>
          <w:p>
            <w:pPr>
              <w:jc w:val="center"/>
              <w:ind w:right="213"/>
              <w:spacing w:after="0" w:line="205" w:lineRule="exact"/>
              <w:rPr>
                <w:sz w:val="20"/>
                <w:szCs w:val="20"/>
                <w:color w:val="auto"/>
              </w:rPr>
            </w:pPr>
            <w:r>
              <w:rPr>
                <w:rFonts w:ascii="Calibri" w:cs="Calibri" w:eastAsia="Calibri" w:hAnsi="Calibri"/>
                <w:sz w:val="18"/>
                <w:szCs w:val="18"/>
                <w:color w:val="auto"/>
                <w:w w:val="96"/>
              </w:rPr>
              <w:t>4.1</w:t>
            </w:r>
          </w:p>
        </w:tc>
        <w:tc>
          <w:tcPr>
            <w:tcW w:w="100" w:type="dxa"/>
            <w:vAlign w:val="bottom"/>
          </w:tcPr>
          <w:p>
            <w:pPr>
              <w:spacing w:after="0"/>
              <w:rPr>
                <w:sz w:val="17"/>
                <w:szCs w:val="17"/>
                <w:color w:val="auto"/>
              </w:rPr>
            </w:pPr>
          </w:p>
        </w:tc>
        <w:tc>
          <w:tcPr>
            <w:tcW w:w="1140" w:type="dxa"/>
            <w:vAlign w:val="bottom"/>
          </w:tcPr>
          <w:p>
            <w:pPr>
              <w:jc w:val="right"/>
              <w:ind w:right="233"/>
              <w:spacing w:after="0" w:line="205" w:lineRule="exact"/>
              <w:rPr>
                <w:sz w:val="20"/>
                <w:szCs w:val="20"/>
                <w:color w:val="auto"/>
              </w:rPr>
            </w:pPr>
            <w:r>
              <w:rPr>
                <w:rFonts w:ascii="Calibri" w:cs="Calibri" w:eastAsia="Calibri" w:hAnsi="Calibri"/>
                <w:sz w:val="18"/>
                <w:szCs w:val="18"/>
                <w:color w:val="auto"/>
                <w:w w:val="95"/>
              </w:rPr>
              <w:t>05-08-2020</w:t>
            </w:r>
          </w:p>
        </w:tc>
        <w:tc>
          <w:tcPr>
            <w:tcW w:w="0" w:type="dxa"/>
            <w:vAlign w:val="bottom"/>
          </w:tcPr>
          <w:p>
            <w:pPr>
              <w:spacing w:after="0"/>
              <w:rPr>
                <w:sz w:val="1"/>
                <w:szCs w:val="1"/>
                <w:color w:val="auto"/>
              </w:rPr>
            </w:pPr>
          </w:p>
        </w:tc>
      </w:tr>
      <w:tr>
        <w:trPr>
          <w:trHeight w:val="152"/>
        </w:trPr>
        <w:tc>
          <w:tcPr>
            <w:tcW w:w="8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80" w:type="dxa"/>
            <w:vAlign w:val="bottom"/>
            <w:tcBorders>
              <w:top w:val="single" w:sz="8" w:color="0000FF"/>
              <w:bottom w:val="single" w:sz="8" w:color="0000FF"/>
            </w:tcBorders>
            <w:gridSpan w:val="2"/>
          </w:tcPr>
          <w:p>
            <w:pPr>
              <w:spacing w:after="0" w:line="152" w:lineRule="exact"/>
              <w:rPr>
                <w:rFonts w:ascii="Calibri" w:cs="Calibri" w:eastAsia="Calibri" w:hAnsi="Calibri"/>
                <w:sz w:val="15"/>
                <w:szCs w:val="15"/>
                <w:color w:val="0000FF"/>
              </w:rPr>
            </w:pPr>
            <w:hyperlink r:id="rId128">
              <w:r>
                <w:rPr>
                  <w:rFonts w:ascii="Calibri" w:cs="Calibri" w:eastAsia="Calibri" w:hAnsi="Calibri"/>
                  <w:sz w:val="15"/>
                  <w:szCs w:val="15"/>
                  <w:color w:val="0000FF"/>
                </w:rPr>
                <w:t>in Exhibit 4.24).</w:t>
              </w:r>
            </w:hyperlink>
          </w:p>
        </w:tc>
        <w:tc>
          <w:tcPr>
            <w:tcW w:w="2320" w:type="dxa"/>
            <w:vAlign w:val="bottom"/>
            <w:tcBorders>
              <w:top w:val="single" w:sz="8" w:color="0000FF"/>
            </w:tcBorders>
            <w:gridSpan w:val="4"/>
          </w:tcPr>
          <w:p>
            <w:pPr>
              <w:spacing w:after="0"/>
              <w:rPr>
                <w:sz w:val="13"/>
                <w:szCs w:val="13"/>
                <w:color w:val="auto"/>
              </w:rPr>
            </w:pPr>
          </w:p>
        </w:tc>
        <w:tc>
          <w:tcPr>
            <w:tcW w:w="120" w:type="dxa"/>
            <w:vAlign w:val="bottom"/>
            <w:gridSpan w:val="3"/>
          </w:tcPr>
          <w:p>
            <w:pPr>
              <w:spacing w:after="0"/>
              <w:rPr>
                <w:sz w:val="13"/>
                <w:szCs w:val="13"/>
                <w:color w:val="auto"/>
              </w:rPr>
            </w:pPr>
          </w:p>
        </w:tc>
        <w:tc>
          <w:tcPr>
            <w:tcW w:w="140" w:type="dxa"/>
            <w:vAlign w:val="bottom"/>
            <w:gridSpan w:val="2"/>
          </w:tcPr>
          <w:p>
            <w:pPr>
              <w:spacing w:after="0"/>
              <w:rPr>
                <w:sz w:val="13"/>
                <w:szCs w:val="13"/>
                <w:color w:val="auto"/>
              </w:rPr>
            </w:pPr>
          </w:p>
        </w:tc>
        <w:tc>
          <w:tcPr>
            <w:tcW w:w="2000" w:type="dxa"/>
            <w:vAlign w:val="bottom"/>
            <w:gridSpan w:val="2"/>
          </w:tcPr>
          <w:p>
            <w:pPr>
              <w:ind w:left="20"/>
              <w:spacing w:after="0" w:line="152" w:lineRule="exact"/>
              <w:rPr>
                <w:sz w:val="20"/>
                <w:szCs w:val="20"/>
                <w:color w:val="auto"/>
              </w:rPr>
            </w:pPr>
            <w:r>
              <w:rPr>
                <w:rFonts w:ascii="Calibri" w:cs="Calibri" w:eastAsia="Calibri" w:hAnsi="Calibri"/>
                <w:sz w:val="15"/>
                <w:szCs w:val="15"/>
                <w:color w:val="auto"/>
              </w:rPr>
              <w:t>Report on Form 8-K</w:t>
            </w: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8"/>
        </w:trPr>
        <w:tc>
          <w:tcPr>
            <w:tcW w:w="860" w:type="dxa"/>
            <w:vAlign w:val="bottom"/>
          </w:tcPr>
          <w:p>
            <w:pPr>
              <w:jc w:val="right"/>
              <w:spacing w:after="0" w:line="217" w:lineRule="exact"/>
              <w:rPr>
                <w:sz w:val="20"/>
                <w:szCs w:val="20"/>
                <w:color w:val="auto"/>
              </w:rPr>
            </w:pPr>
            <w:r>
              <w:rPr>
                <w:rFonts w:ascii="Calibri" w:cs="Calibri" w:eastAsia="Calibri" w:hAnsi="Calibri"/>
                <w:sz w:val="18"/>
                <w:szCs w:val="18"/>
                <w:color w:val="auto"/>
              </w:rPr>
              <w:t>4.21</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60" w:type="dxa"/>
            <w:vAlign w:val="bottom"/>
            <w:gridSpan w:val="11"/>
          </w:tcPr>
          <w:p>
            <w:pPr>
              <w:spacing w:after="0" w:line="217" w:lineRule="exact"/>
              <w:rPr>
                <w:rFonts w:ascii="Calibri" w:cs="Calibri" w:eastAsia="Calibri" w:hAnsi="Calibri"/>
                <w:sz w:val="18"/>
                <w:szCs w:val="18"/>
                <w:color w:val="0000FF"/>
              </w:rPr>
            </w:pPr>
            <w:hyperlink r:id="rId128">
              <w:r>
                <w:rPr>
                  <w:rFonts w:ascii="Calibri" w:cs="Calibri" w:eastAsia="Calibri" w:hAnsi="Calibri"/>
                  <w:sz w:val="18"/>
                  <w:szCs w:val="18"/>
                  <w:color w:val="0000FF"/>
                </w:rPr>
                <w:t>Form of 3.150% Senior Notes due 2025 (included</w:t>
              </w:r>
            </w:hyperlink>
          </w:p>
        </w:tc>
        <w:tc>
          <w:tcPr>
            <w:tcW w:w="2000" w:type="dxa"/>
            <w:vAlign w:val="bottom"/>
            <w:gridSpan w:val="2"/>
          </w:tcPr>
          <w:p>
            <w:pPr>
              <w:ind w:left="20"/>
              <w:spacing w:after="0" w:line="217" w:lineRule="exact"/>
              <w:rPr>
                <w:sz w:val="20"/>
                <w:szCs w:val="20"/>
                <w:color w:val="auto"/>
              </w:rPr>
            </w:pPr>
            <w:r>
              <w:rPr>
                <w:rFonts w:ascii="Calibri" w:cs="Calibri" w:eastAsia="Calibri" w:hAnsi="Calibri"/>
                <w:sz w:val="18"/>
                <w:szCs w:val="18"/>
                <w:color w:val="auto"/>
              </w:rPr>
              <w:t>Broadcom Inc. Current</w:t>
            </w:r>
          </w:p>
        </w:tc>
        <w:tc>
          <w:tcPr>
            <w:tcW w:w="1160" w:type="dxa"/>
            <w:vAlign w:val="bottom"/>
          </w:tcPr>
          <w:p>
            <w:pPr>
              <w:spacing w:after="0" w:line="217" w:lineRule="exact"/>
              <w:rPr>
                <w:sz w:val="20"/>
                <w:szCs w:val="20"/>
                <w:color w:val="auto"/>
              </w:rPr>
            </w:pPr>
            <w:r>
              <w:rPr>
                <w:rFonts w:ascii="Calibri" w:cs="Calibri" w:eastAsia="Calibri" w:hAnsi="Calibri"/>
                <w:sz w:val="18"/>
                <w:szCs w:val="18"/>
                <w:color w:val="auto"/>
              </w:rPr>
              <w:t>001-38449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jc w:val="center"/>
              <w:ind w:right="213"/>
              <w:spacing w:after="0" w:line="217" w:lineRule="exact"/>
              <w:rPr>
                <w:sz w:val="20"/>
                <w:szCs w:val="20"/>
                <w:color w:val="auto"/>
              </w:rPr>
            </w:pPr>
            <w:r>
              <w:rPr>
                <w:rFonts w:ascii="Calibri" w:cs="Calibri" w:eastAsia="Calibri" w:hAnsi="Calibri"/>
                <w:sz w:val="18"/>
                <w:szCs w:val="18"/>
                <w:color w:val="auto"/>
                <w:w w:val="96"/>
              </w:rPr>
              <w:t>4.1</w:t>
            </w:r>
          </w:p>
        </w:tc>
        <w:tc>
          <w:tcPr>
            <w:tcW w:w="100" w:type="dxa"/>
            <w:vAlign w:val="bottom"/>
          </w:tcPr>
          <w:p>
            <w:pPr>
              <w:spacing w:after="0"/>
              <w:rPr>
                <w:sz w:val="18"/>
                <w:szCs w:val="18"/>
                <w:color w:val="auto"/>
              </w:rPr>
            </w:pPr>
          </w:p>
        </w:tc>
        <w:tc>
          <w:tcPr>
            <w:tcW w:w="1140" w:type="dxa"/>
            <w:vAlign w:val="bottom"/>
          </w:tcPr>
          <w:p>
            <w:pPr>
              <w:jc w:val="right"/>
              <w:ind w:right="233"/>
              <w:spacing w:after="0" w:line="217" w:lineRule="exact"/>
              <w:rPr>
                <w:sz w:val="20"/>
                <w:szCs w:val="20"/>
                <w:color w:val="auto"/>
              </w:rPr>
            </w:pPr>
            <w:r>
              <w:rPr>
                <w:rFonts w:ascii="Calibri" w:cs="Calibri" w:eastAsia="Calibri" w:hAnsi="Calibri"/>
                <w:sz w:val="18"/>
                <w:szCs w:val="18"/>
                <w:color w:val="auto"/>
                <w:w w:val="95"/>
              </w:rPr>
              <w:t>05-08-2020</w:t>
            </w:r>
          </w:p>
        </w:tc>
        <w:tc>
          <w:tcPr>
            <w:tcW w:w="0" w:type="dxa"/>
            <w:vAlign w:val="bottom"/>
          </w:tcPr>
          <w:p>
            <w:pPr>
              <w:spacing w:after="0"/>
              <w:rPr>
                <w:sz w:val="1"/>
                <w:szCs w:val="1"/>
                <w:color w:val="auto"/>
              </w:rPr>
            </w:pPr>
          </w:p>
        </w:tc>
      </w:tr>
      <w:tr>
        <w:trPr>
          <w:trHeight w:val="152"/>
        </w:trPr>
        <w:tc>
          <w:tcPr>
            <w:tcW w:w="8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80" w:type="dxa"/>
            <w:vAlign w:val="bottom"/>
            <w:tcBorders>
              <w:top w:val="single" w:sz="8" w:color="0000FF"/>
              <w:bottom w:val="single" w:sz="8" w:color="0000FF"/>
            </w:tcBorders>
            <w:gridSpan w:val="2"/>
          </w:tcPr>
          <w:p>
            <w:pPr>
              <w:spacing w:after="0" w:line="152" w:lineRule="exact"/>
              <w:rPr>
                <w:rFonts w:ascii="Calibri" w:cs="Calibri" w:eastAsia="Calibri" w:hAnsi="Calibri"/>
                <w:sz w:val="15"/>
                <w:szCs w:val="15"/>
                <w:color w:val="0000FF"/>
              </w:rPr>
            </w:pPr>
            <w:hyperlink r:id="rId128">
              <w:r>
                <w:rPr>
                  <w:rFonts w:ascii="Calibri" w:cs="Calibri" w:eastAsia="Calibri" w:hAnsi="Calibri"/>
                  <w:sz w:val="15"/>
                  <w:szCs w:val="15"/>
                  <w:color w:val="0000FF"/>
                </w:rPr>
                <w:t>in Exhibit 4.24).</w:t>
              </w:r>
            </w:hyperlink>
          </w:p>
        </w:tc>
        <w:tc>
          <w:tcPr>
            <w:tcW w:w="2320" w:type="dxa"/>
            <w:vAlign w:val="bottom"/>
            <w:tcBorders>
              <w:top w:val="single" w:sz="8" w:color="0000FF"/>
            </w:tcBorders>
            <w:gridSpan w:val="4"/>
          </w:tcPr>
          <w:p>
            <w:pPr>
              <w:spacing w:after="0"/>
              <w:rPr>
                <w:sz w:val="13"/>
                <w:szCs w:val="13"/>
                <w:color w:val="auto"/>
              </w:rPr>
            </w:pPr>
          </w:p>
        </w:tc>
        <w:tc>
          <w:tcPr>
            <w:tcW w:w="120" w:type="dxa"/>
            <w:vAlign w:val="bottom"/>
            <w:gridSpan w:val="3"/>
          </w:tcPr>
          <w:p>
            <w:pPr>
              <w:spacing w:after="0"/>
              <w:rPr>
                <w:sz w:val="13"/>
                <w:szCs w:val="13"/>
                <w:color w:val="auto"/>
              </w:rPr>
            </w:pPr>
          </w:p>
        </w:tc>
        <w:tc>
          <w:tcPr>
            <w:tcW w:w="140" w:type="dxa"/>
            <w:vAlign w:val="bottom"/>
            <w:gridSpan w:val="2"/>
          </w:tcPr>
          <w:p>
            <w:pPr>
              <w:spacing w:after="0"/>
              <w:rPr>
                <w:sz w:val="13"/>
                <w:szCs w:val="13"/>
                <w:color w:val="auto"/>
              </w:rPr>
            </w:pPr>
          </w:p>
        </w:tc>
        <w:tc>
          <w:tcPr>
            <w:tcW w:w="2000" w:type="dxa"/>
            <w:vAlign w:val="bottom"/>
            <w:gridSpan w:val="2"/>
          </w:tcPr>
          <w:p>
            <w:pPr>
              <w:ind w:left="20"/>
              <w:spacing w:after="0" w:line="152" w:lineRule="exact"/>
              <w:rPr>
                <w:sz w:val="20"/>
                <w:szCs w:val="20"/>
                <w:color w:val="auto"/>
              </w:rPr>
            </w:pPr>
            <w:r>
              <w:rPr>
                <w:rFonts w:ascii="Calibri" w:cs="Calibri" w:eastAsia="Calibri" w:hAnsi="Calibri"/>
                <w:sz w:val="15"/>
                <w:szCs w:val="15"/>
                <w:color w:val="auto"/>
              </w:rPr>
              <w:t>Report on Form 8-K</w:t>
            </w: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8"/>
        </w:trPr>
        <w:tc>
          <w:tcPr>
            <w:tcW w:w="860" w:type="dxa"/>
            <w:vAlign w:val="bottom"/>
          </w:tcPr>
          <w:p>
            <w:pPr>
              <w:jc w:val="right"/>
              <w:spacing w:after="0" w:line="217" w:lineRule="exact"/>
              <w:rPr>
                <w:sz w:val="20"/>
                <w:szCs w:val="20"/>
                <w:color w:val="auto"/>
              </w:rPr>
            </w:pPr>
            <w:r>
              <w:rPr>
                <w:rFonts w:ascii="Calibri" w:cs="Calibri" w:eastAsia="Calibri" w:hAnsi="Calibri"/>
                <w:sz w:val="18"/>
                <w:szCs w:val="18"/>
                <w:color w:val="auto"/>
              </w:rPr>
              <w:t>4.22</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60" w:type="dxa"/>
            <w:vAlign w:val="bottom"/>
            <w:gridSpan w:val="11"/>
          </w:tcPr>
          <w:p>
            <w:pPr>
              <w:spacing w:after="0" w:line="217" w:lineRule="exact"/>
              <w:rPr>
                <w:rFonts w:ascii="Calibri" w:cs="Calibri" w:eastAsia="Calibri" w:hAnsi="Calibri"/>
                <w:sz w:val="18"/>
                <w:szCs w:val="18"/>
                <w:color w:val="0000FF"/>
              </w:rPr>
            </w:pPr>
            <w:hyperlink r:id="rId128">
              <w:r>
                <w:rPr>
                  <w:rFonts w:ascii="Calibri" w:cs="Calibri" w:eastAsia="Calibri" w:hAnsi="Calibri"/>
                  <w:sz w:val="18"/>
                  <w:szCs w:val="18"/>
                  <w:color w:val="0000FF"/>
                </w:rPr>
                <w:t>Form of 4.150% Senior Notes due 2030 (included</w:t>
              </w:r>
            </w:hyperlink>
          </w:p>
        </w:tc>
        <w:tc>
          <w:tcPr>
            <w:tcW w:w="2000" w:type="dxa"/>
            <w:vAlign w:val="bottom"/>
            <w:gridSpan w:val="2"/>
          </w:tcPr>
          <w:p>
            <w:pPr>
              <w:ind w:left="20"/>
              <w:spacing w:after="0" w:line="217" w:lineRule="exact"/>
              <w:rPr>
                <w:sz w:val="20"/>
                <w:szCs w:val="20"/>
                <w:color w:val="auto"/>
              </w:rPr>
            </w:pPr>
            <w:r>
              <w:rPr>
                <w:rFonts w:ascii="Calibri" w:cs="Calibri" w:eastAsia="Calibri" w:hAnsi="Calibri"/>
                <w:sz w:val="18"/>
                <w:szCs w:val="18"/>
                <w:color w:val="auto"/>
              </w:rPr>
              <w:t>Broadcom Inc. Current</w:t>
            </w:r>
          </w:p>
        </w:tc>
        <w:tc>
          <w:tcPr>
            <w:tcW w:w="1160" w:type="dxa"/>
            <w:vAlign w:val="bottom"/>
          </w:tcPr>
          <w:p>
            <w:pPr>
              <w:spacing w:after="0" w:line="217" w:lineRule="exact"/>
              <w:rPr>
                <w:sz w:val="20"/>
                <w:szCs w:val="20"/>
                <w:color w:val="auto"/>
              </w:rPr>
            </w:pPr>
            <w:r>
              <w:rPr>
                <w:rFonts w:ascii="Calibri" w:cs="Calibri" w:eastAsia="Calibri" w:hAnsi="Calibri"/>
                <w:sz w:val="18"/>
                <w:szCs w:val="18"/>
                <w:color w:val="auto"/>
              </w:rPr>
              <w:t>001-38449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jc w:val="center"/>
              <w:ind w:right="213"/>
              <w:spacing w:after="0" w:line="217" w:lineRule="exact"/>
              <w:rPr>
                <w:sz w:val="20"/>
                <w:szCs w:val="20"/>
                <w:color w:val="auto"/>
              </w:rPr>
            </w:pPr>
            <w:r>
              <w:rPr>
                <w:rFonts w:ascii="Calibri" w:cs="Calibri" w:eastAsia="Calibri" w:hAnsi="Calibri"/>
                <w:sz w:val="18"/>
                <w:szCs w:val="18"/>
                <w:color w:val="auto"/>
                <w:w w:val="96"/>
              </w:rPr>
              <w:t>4.1</w:t>
            </w:r>
          </w:p>
        </w:tc>
        <w:tc>
          <w:tcPr>
            <w:tcW w:w="100" w:type="dxa"/>
            <w:vAlign w:val="bottom"/>
          </w:tcPr>
          <w:p>
            <w:pPr>
              <w:spacing w:after="0"/>
              <w:rPr>
                <w:sz w:val="18"/>
                <w:szCs w:val="18"/>
                <w:color w:val="auto"/>
              </w:rPr>
            </w:pPr>
          </w:p>
        </w:tc>
        <w:tc>
          <w:tcPr>
            <w:tcW w:w="1140" w:type="dxa"/>
            <w:vAlign w:val="bottom"/>
          </w:tcPr>
          <w:p>
            <w:pPr>
              <w:jc w:val="right"/>
              <w:ind w:right="233"/>
              <w:spacing w:after="0" w:line="217" w:lineRule="exact"/>
              <w:rPr>
                <w:sz w:val="20"/>
                <w:szCs w:val="20"/>
                <w:color w:val="auto"/>
              </w:rPr>
            </w:pPr>
            <w:r>
              <w:rPr>
                <w:rFonts w:ascii="Calibri" w:cs="Calibri" w:eastAsia="Calibri" w:hAnsi="Calibri"/>
                <w:sz w:val="18"/>
                <w:szCs w:val="18"/>
                <w:color w:val="auto"/>
                <w:w w:val="95"/>
              </w:rPr>
              <w:t>05-08-2020</w:t>
            </w:r>
          </w:p>
        </w:tc>
        <w:tc>
          <w:tcPr>
            <w:tcW w:w="0" w:type="dxa"/>
            <w:vAlign w:val="bottom"/>
          </w:tcPr>
          <w:p>
            <w:pPr>
              <w:spacing w:after="0"/>
              <w:rPr>
                <w:sz w:val="1"/>
                <w:szCs w:val="1"/>
                <w:color w:val="auto"/>
              </w:rPr>
            </w:pPr>
          </w:p>
        </w:tc>
      </w:tr>
      <w:tr>
        <w:trPr>
          <w:trHeight w:val="152"/>
        </w:trPr>
        <w:tc>
          <w:tcPr>
            <w:tcW w:w="8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80" w:type="dxa"/>
            <w:vAlign w:val="bottom"/>
            <w:tcBorders>
              <w:top w:val="single" w:sz="8" w:color="0000FF"/>
              <w:bottom w:val="single" w:sz="8" w:color="0000FF"/>
            </w:tcBorders>
            <w:gridSpan w:val="2"/>
          </w:tcPr>
          <w:p>
            <w:pPr>
              <w:spacing w:after="0" w:line="152" w:lineRule="exact"/>
              <w:rPr>
                <w:rFonts w:ascii="Calibri" w:cs="Calibri" w:eastAsia="Calibri" w:hAnsi="Calibri"/>
                <w:sz w:val="15"/>
                <w:szCs w:val="15"/>
                <w:color w:val="0000FF"/>
              </w:rPr>
            </w:pPr>
            <w:hyperlink r:id="rId128">
              <w:r>
                <w:rPr>
                  <w:rFonts w:ascii="Calibri" w:cs="Calibri" w:eastAsia="Calibri" w:hAnsi="Calibri"/>
                  <w:sz w:val="15"/>
                  <w:szCs w:val="15"/>
                  <w:color w:val="0000FF"/>
                </w:rPr>
                <w:t>in Exhibit 4.24).</w:t>
              </w:r>
            </w:hyperlink>
          </w:p>
        </w:tc>
        <w:tc>
          <w:tcPr>
            <w:tcW w:w="2320" w:type="dxa"/>
            <w:vAlign w:val="bottom"/>
            <w:tcBorders>
              <w:top w:val="single" w:sz="8" w:color="0000FF"/>
            </w:tcBorders>
            <w:gridSpan w:val="4"/>
          </w:tcPr>
          <w:p>
            <w:pPr>
              <w:spacing w:after="0"/>
              <w:rPr>
                <w:sz w:val="13"/>
                <w:szCs w:val="13"/>
                <w:color w:val="auto"/>
              </w:rPr>
            </w:pPr>
          </w:p>
        </w:tc>
        <w:tc>
          <w:tcPr>
            <w:tcW w:w="120" w:type="dxa"/>
            <w:vAlign w:val="bottom"/>
            <w:gridSpan w:val="3"/>
          </w:tcPr>
          <w:p>
            <w:pPr>
              <w:spacing w:after="0"/>
              <w:rPr>
                <w:sz w:val="13"/>
                <w:szCs w:val="13"/>
                <w:color w:val="auto"/>
              </w:rPr>
            </w:pPr>
          </w:p>
        </w:tc>
        <w:tc>
          <w:tcPr>
            <w:tcW w:w="140" w:type="dxa"/>
            <w:vAlign w:val="bottom"/>
            <w:gridSpan w:val="2"/>
          </w:tcPr>
          <w:p>
            <w:pPr>
              <w:spacing w:after="0"/>
              <w:rPr>
                <w:sz w:val="13"/>
                <w:szCs w:val="13"/>
                <w:color w:val="auto"/>
              </w:rPr>
            </w:pPr>
          </w:p>
        </w:tc>
        <w:tc>
          <w:tcPr>
            <w:tcW w:w="2000" w:type="dxa"/>
            <w:vAlign w:val="bottom"/>
            <w:gridSpan w:val="2"/>
          </w:tcPr>
          <w:p>
            <w:pPr>
              <w:ind w:left="20"/>
              <w:spacing w:after="0" w:line="152" w:lineRule="exact"/>
              <w:rPr>
                <w:sz w:val="20"/>
                <w:szCs w:val="20"/>
                <w:color w:val="auto"/>
              </w:rPr>
            </w:pPr>
            <w:r>
              <w:rPr>
                <w:rFonts w:ascii="Calibri" w:cs="Calibri" w:eastAsia="Calibri" w:hAnsi="Calibri"/>
                <w:sz w:val="15"/>
                <w:szCs w:val="15"/>
                <w:color w:val="auto"/>
              </w:rPr>
              <w:t>Report on Form 8-K</w:t>
            </w: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8"/>
        </w:trPr>
        <w:tc>
          <w:tcPr>
            <w:tcW w:w="860" w:type="dxa"/>
            <w:vAlign w:val="bottom"/>
          </w:tcPr>
          <w:p>
            <w:pPr>
              <w:jc w:val="right"/>
              <w:spacing w:after="0" w:line="217" w:lineRule="exact"/>
              <w:rPr>
                <w:sz w:val="20"/>
                <w:szCs w:val="20"/>
                <w:color w:val="auto"/>
              </w:rPr>
            </w:pPr>
            <w:r>
              <w:rPr>
                <w:rFonts w:ascii="Calibri" w:cs="Calibri" w:eastAsia="Calibri" w:hAnsi="Calibri"/>
                <w:sz w:val="18"/>
                <w:szCs w:val="18"/>
                <w:color w:val="auto"/>
              </w:rPr>
              <w:t>4.23</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60" w:type="dxa"/>
            <w:vAlign w:val="bottom"/>
            <w:gridSpan w:val="11"/>
          </w:tcPr>
          <w:p>
            <w:pPr>
              <w:spacing w:after="0" w:line="217" w:lineRule="exact"/>
              <w:rPr>
                <w:rFonts w:ascii="Calibri" w:cs="Calibri" w:eastAsia="Calibri" w:hAnsi="Calibri"/>
                <w:sz w:val="18"/>
                <w:szCs w:val="18"/>
                <w:color w:val="0000FF"/>
              </w:rPr>
            </w:pPr>
            <w:hyperlink r:id="rId128">
              <w:r>
                <w:rPr>
                  <w:rFonts w:ascii="Calibri" w:cs="Calibri" w:eastAsia="Calibri" w:hAnsi="Calibri"/>
                  <w:sz w:val="18"/>
                  <w:szCs w:val="18"/>
                  <w:color w:val="0000FF"/>
                </w:rPr>
                <w:t>Form of 4.300% Senior Notes due 2032 (included</w:t>
              </w:r>
            </w:hyperlink>
          </w:p>
        </w:tc>
        <w:tc>
          <w:tcPr>
            <w:tcW w:w="2000" w:type="dxa"/>
            <w:vAlign w:val="bottom"/>
            <w:gridSpan w:val="2"/>
          </w:tcPr>
          <w:p>
            <w:pPr>
              <w:ind w:left="20"/>
              <w:spacing w:after="0" w:line="217" w:lineRule="exact"/>
              <w:rPr>
                <w:sz w:val="20"/>
                <w:szCs w:val="20"/>
                <w:color w:val="auto"/>
              </w:rPr>
            </w:pPr>
            <w:r>
              <w:rPr>
                <w:rFonts w:ascii="Calibri" w:cs="Calibri" w:eastAsia="Calibri" w:hAnsi="Calibri"/>
                <w:sz w:val="18"/>
                <w:szCs w:val="18"/>
                <w:color w:val="auto"/>
              </w:rPr>
              <w:t>Broadcom Inc. Current</w:t>
            </w:r>
          </w:p>
        </w:tc>
        <w:tc>
          <w:tcPr>
            <w:tcW w:w="1160" w:type="dxa"/>
            <w:vAlign w:val="bottom"/>
          </w:tcPr>
          <w:p>
            <w:pPr>
              <w:spacing w:after="0" w:line="217" w:lineRule="exact"/>
              <w:rPr>
                <w:sz w:val="20"/>
                <w:szCs w:val="20"/>
                <w:color w:val="auto"/>
              </w:rPr>
            </w:pPr>
            <w:r>
              <w:rPr>
                <w:rFonts w:ascii="Calibri" w:cs="Calibri" w:eastAsia="Calibri" w:hAnsi="Calibri"/>
                <w:sz w:val="18"/>
                <w:szCs w:val="18"/>
                <w:color w:val="auto"/>
              </w:rPr>
              <w:t>001-38449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jc w:val="center"/>
              <w:ind w:right="213"/>
              <w:spacing w:after="0" w:line="217" w:lineRule="exact"/>
              <w:rPr>
                <w:sz w:val="20"/>
                <w:szCs w:val="20"/>
                <w:color w:val="auto"/>
              </w:rPr>
            </w:pPr>
            <w:r>
              <w:rPr>
                <w:rFonts w:ascii="Calibri" w:cs="Calibri" w:eastAsia="Calibri" w:hAnsi="Calibri"/>
                <w:sz w:val="18"/>
                <w:szCs w:val="18"/>
                <w:color w:val="auto"/>
                <w:w w:val="96"/>
              </w:rPr>
              <w:t>4.1</w:t>
            </w:r>
          </w:p>
        </w:tc>
        <w:tc>
          <w:tcPr>
            <w:tcW w:w="100" w:type="dxa"/>
            <w:vAlign w:val="bottom"/>
          </w:tcPr>
          <w:p>
            <w:pPr>
              <w:spacing w:after="0"/>
              <w:rPr>
                <w:sz w:val="18"/>
                <w:szCs w:val="18"/>
                <w:color w:val="auto"/>
              </w:rPr>
            </w:pPr>
          </w:p>
        </w:tc>
        <w:tc>
          <w:tcPr>
            <w:tcW w:w="1140" w:type="dxa"/>
            <w:vAlign w:val="bottom"/>
          </w:tcPr>
          <w:p>
            <w:pPr>
              <w:jc w:val="right"/>
              <w:ind w:right="233"/>
              <w:spacing w:after="0" w:line="217" w:lineRule="exact"/>
              <w:rPr>
                <w:sz w:val="20"/>
                <w:szCs w:val="20"/>
                <w:color w:val="auto"/>
              </w:rPr>
            </w:pPr>
            <w:r>
              <w:rPr>
                <w:rFonts w:ascii="Calibri" w:cs="Calibri" w:eastAsia="Calibri" w:hAnsi="Calibri"/>
                <w:sz w:val="18"/>
                <w:szCs w:val="18"/>
                <w:color w:val="auto"/>
                <w:w w:val="95"/>
              </w:rPr>
              <w:t>05-08-2020</w:t>
            </w:r>
          </w:p>
        </w:tc>
        <w:tc>
          <w:tcPr>
            <w:tcW w:w="0" w:type="dxa"/>
            <w:vAlign w:val="bottom"/>
          </w:tcPr>
          <w:p>
            <w:pPr>
              <w:spacing w:after="0"/>
              <w:rPr>
                <w:sz w:val="1"/>
                <w:szCs w:val="1"/>
                <w:color w:val="auto"/>
              </w:rPr>
            </w:pPr>
          </w:p>
        </w:tc>
      </w:tr>
      <w:tr>
        <w:trPr>
          <w:trHeight w:val="152"/>
        </w:trPr>
        <w:tc>
          <w:tcPr>
            <w:tcW w:w="8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80" w:type="dxa"/>
            <w:vAlign w:val="bottom"/>
            <w:tcBorders>
              <w:top w:val="single" w:sz="8" w:color="0000FF"/>
              <w:bottom w:val="single" w:sz="8" w:color="0000FF"/>
            </w:tcBorders>
            <w:gridSpan w:val="2"/>
          </w:tcPr>
          <w:p>
            <w:pPr>
              <w:spacing w:after="0" w:line="152" w:lineRule="exact"/>
              <w:rPr>
                <w:rFonts w:ascii="Calibri" w:cs="Calibri" w:eastAsia="Calibri" w:hAnsi="Calibri"/>
                <w:sz w:val="15"/>
                <w:szCs w:val="15"/>
                <w:color w:val="0000FF"/>
              </w:rPr>
            </w:pPr>
            <w:hyperlink r:id="rId128">
              <w:r>
                <w:rPr>
                  <w:rFonts w:ascii="Calibri" w:cs="Calibri" w:eastAsia="Calibri" w:hAnsi="Calibri"/>
                  <w:sz w:val="15"/>
                  <w:szCs w:val="15"/>
                  <w:color w:val="0000FF"/>
                </w:rPr>
                <w:t>in Exhibit 4.24).</w:t>
              </w:r>
            </w:hyperlink>
          </w:p>
        </w:tc>
        <w:tc>
          <w:tcPr>
            <w:tcW w:w="2320" w:type="dxa"/>
            <w:vAlign w:val="bottom"/>
            <w:tcBorders>
              <w:top w:val="single" w:sz="8" w:color="0000FF"/>
            </w:tcBorders>
            <w:gridSpan w:val="4"/>
          </w:tcPr>
          <w:p>
            <w:pPr>
              <w:spacing w:after="0"/>
              <w:rPr>
                <w:sz w:val="13"/>
                <w:szCs w:val="13"/>
                <w:color w:val="auto"/>
              </w:rPr>
            </w:pPr>
          </w:p>
        </w:tc>
        <w:tc>
          <w:tcPr>
            <w:tcW w:w="120" w:type="dxa"/>
            <w:vAlign w:val="bottom"/>
            <w:gridSpan w:val="3"/>
          </w:tcPr>
          <w:p>
            <w:pPr>
              <w:spacing w:after="0"/>
              <w:rPr>
                <w:sz w:val="13"/>
                <w:szCs w:val="13"/>
                <w:color w:val="auto"/>
              </w:rPr>
            </w:pPr>
          </w:p>
        </w:tc>
        <w:tc>
          <w:tcPr>
            <w:tcW w:w="140" w:type="dxa"/>
            <w:vAlign w:val="bottom"/>
            <w:gridSpan w:val="2"/>
          </w:tcPr>
          <w:p>
            <w:pPr>
              <w:spacing w:after="0"/>
              <w:rPr>
                <w:sz w:val="13"/>
                <w:szCs w:val="13"/>
                <w:color w:val="auto"/>
              </w:rPr>
            </w:pPr>
          </w:p>
        </w:tc>
        <w:tc>
          <w:tcPr>
            <w:tcW w:w="2000" w:type="dxa"/>
            <w:vAlign w:val="bottom"/>
            <w:gridSpan w:val="2"/>
          </w:tcPr>
          <w:p>
            <w:pPr>
              <w:ind w:left="20"/>
              <w:spacing w:after="0" w:line="152" w:lineRule="exact"/>
              <w:rPr>
                <w:sz w:val="20"/>
                <w:szCs w:val="20"/>
                <w:color w:val="auto"/>
              </w:rPr>
            </w:pPr>
            <w:r>
              <w:rPr>
                <w:rFonts w:ascii="Calibri" w:cs="Calibri" w:eastAsia="Calibri" w:hAnsi="Calibri"/>
                <w:sz w:val="15"/>
                <w:szCs w:val="15"/>
                <w:color w:val="auto"/>
              </w:rPr>
              <w:t>Report on Form 8-K</w:t>
            </w: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8"/>
        </w:trPr>
        <w:tc>
          <w:tcPr>
            <w:tcW w:w="860" w:type="dxa"/>
            <w:vAlign w:val="bottom"/>
          </w:tcPr>
          <w:p>
            <w:pPr>
              <w:jc w:val="right"/>
              <w:spacing w:after="0" w:line="217" w:lineRule="exact"/>
              <w:rPr>
                <w:sz w:val="20"/>
                <w:szCs w:val="20"/>
                <w:color w:val="auto"/>
              </w:rPr>
            </w:pPr>
            <w:r>
              <w:rPr>
                <w:rFonts w:ascii="Calibri" w:cs="Calibri" w:eastAsia="Calibri" w:hAnsi="Calibri"/>
                <w:sz w:val="18"/>
                <w:szCs w:val="18"/>
                <w:color w:val="auto"/>
              </w:rPr>
              <w:t>4.24</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80" w:type="dxa"/>
            <w:vAlign w:val="bottom"/>
            <w:tcBorders>
              <w:bottom w:val="single" w:sz="8" w:color="0000FF"/>
            </w:tcBorders>
            <w:gridSpan w:val="3"/>
          </w:tcPr>
          <w:p>
            <w:pPr>
              <w:spacing w:after="0" w:line="217" w:lineRule="exact"/>
              <w:rPr>
                <w:rFonts w:ascii="Calibri" w:cs="Calibri" w:eastAsia="Calibri" w:hAnsi="Calibri"/>
                <w:sz w:val="18"/>
                <w:szCs w:val="18"/>
                <w:color w:val="0000FF"/>
                <w:w w:val="94"/>
              </w:rPr>
            </w:pPr>
            <w:hyperlink r:id="rId129">
              <w:r>
                <w:rPr>
                  <w:rFonts w:ascii="Calibri" w:cs="Calibri" w:eastAsia="Calibri" w:hAnsi="Calibri"/>
                  <w:sz w:val="18"/>
                  <w:szCs w:val="18"/>
                  <w:color w:val="0000FF"/>
                  <w:w w:val="94"/>
                </w:rPr>
                <w:t>Indenture, dated as of May 21, 2020, by and</w:t>
              </w:r>
            </w:hyperlink>
          </w:p>
        </w:tc>
        <w:tc>
          <w:tcPr>
            <w:tcW w:w="580" w:type="dxa"/>
            <w:vAlign w:val="bottom"/>
            <w:gridSpan w:val="8"/>
          </w:tcPr>
          <w:p>
            <w:pPr>
              <w:spacing w:after="0"/>
              <w:rPr>
                <w:sz w:val="18"/>
                <w:szCs w:val="18"/>
                <w:color w:val="auto"/>
              </w:rPr>
            </w:pPr>
          </w:p>
        </w:tc>
        <w:tc>
          <w:tcPr>
            <w:tcW w:w="2000" w:type="dxa"/>
            <w:vAlign w:val="bottom"/>
            <w:gridSpan w:val="2"/>
          </w:tcPr>
          <w:p>
            <w:pPr>
              <w:ind w:left="20"/>
              <w:spacing w:after="0" w:line="217" w:lineRule="exact"/>
              <w:rPr>
                <w:sz w:val="20"/>
                <w:szCs w:val="20"/>
                <w:color w:val="auto"/>
              </w:rPr>
            </w:pPr>
            <w:r>
              <w:rPr>
                <w:rFonts w:ascii="Calibri" w:cs="Calibri" w:eastAsia="Calibri" w:hAnsi="Calibri"/>
                <w:sz w:val="18"/>
                <w:szCs w:val="18"/>
                <w:color w:val="auto"/>
              </w:rPr>
              <w:t>Broadcom Inc. Current</w:t>
            </w:r>
          </w:p>
        </w:tc>
        <w:tc>
          <w:tcPr>
            <w:tcW w:w="1160" w:type="dxa"/>
            <w:vAlign w:val="bottom"/>
          </w:tcPr>
          <w:p>
            <w:pPr>
              <w:spacing w:after="0" w:line="217" w:lineRule="exact"/>
              <w:rPr>
                <w:sz w:val="20"/>
                <w:szCs w:val="20"/>
                <w:color w:val="auto"/>
              </w:rPr>
            </w:pPr>
            <w:r>
              <w:rPr>
                <w:rFonts w:ascii="Calibri" w:cs="Calibri" w:eastAsia="Calibri" w:hAnsi="Calibri"/>
                <w:sz w:val="18"/>
                <w:szCs w:val="18"/>
                <w:color w:val="auto"/>
              </w:rPr>
              <w:t>001-38449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jc w:val="center"/>
              <w:ind w:right="213"/>
              <w:spacing w:after="0" w:line="217" w:lineRule="exact"/>
              <w:rPr>
                <w:sz w:val="20"/>
                <w:szCs w:val="20"/>
                <w:color w:val="auto"/>
              </w:rPr>
            </w:pPr>
            <w:r>
              <w:rPr>
                <w:rFonts w:ascii="Calibri" w:cs="Calibri" w:eastAsia="Calibri" w:hAnsi="Calibri"/>
                <w:sz w:val="18"/>
                <w:szCs w:val="18"/>
                <w:color w:val="auto"/>
                <w:w w:val="96"/>
              </w:rPr>
              <w:t>4.1</w:t>
            </w:r>
          </w:p>
        </w:tc>
        <w:tc>
          <w:tcPr>
            <w:tcW w:w="100" w:type="dxa"/>
            <w:vAlign w:val="bottom"/>
          </w:tcPr>
          <w:p>
            <w:pPr>
              <w:spacing w:after="0"/>
              <w:rPr>
                <w:sz w:val="18"/>
                <w:szCs w:val="18"/>
                <w:color w:val="auto"/>
              </w:rPr>
            </w:pPr>
          </w:p>
        </w:tc>
        <w:tc>
          <w:tcPr>
            <w:tcW w:w="1140" w:type="dxa"/>
            <w:vAlign w:val="bottom"/>
          </w:tcPr>
          <w:p>
            <w:pPr>
              <w:jc w:val="right"/>
              <w:ind w:right="233"/>
              <w:spacing w:after="0" w:line="217" w:lineRule="exact"/>
              <w:rPr>
                <w:sz w:val="20"/>
                <w:szCs w:val="20"/>
                <w:color w:val="auto"/>
              </w:rPr>
            </w:pPr>
            <w:r>
              <w:rPr>
                <w:rFonts w:ascii="Calibri" w:cs="Calibri" w:eastAsia="Calibri" w:hAnsi="Calibri"/>
                <w:sz w:val="18"/>
                <w:szCs w:val="18"/>
                <w:color w:val="auto"/>
                <w:w w:val="95"/>
              </w:rPr>
              <w:t>05-21-2020</w:t>
            </w:r>
          </w:p>
        </w:tc>
        <w:tc>
          <w:tcPr>
            <w:tcW w:w="0" w:type="dxa"/>
            <w:vAlign w:val="bottom"/>
          </w:tcPr>
          <w:p>
            <w:pPr>
              <w:spacing w:after="0"/>
              <w:rPr>
                <w:sz w:val="1"/>
                <w:szCs w:val="1"/>
                <w:color w:val="auto"/>
              </w:rPr>
            </w:pPr>
          </w:p>
        </w:tc>
      </w:tr>
      <w:tr>
        <w:trPr>
          <w:trHeight w:val="152"/>
        </w:trPr>
        <w:tc>
          <w:tcPr>
            <w:tcW w:w="8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60" w:type="dxa"/>
            <w:vAlign w:val="bottom"/>
            <w:gridSpan w:val="11"/>
          </w:tcPr>
          <w:p>
            <w:pPr>
              <w:spacing w:after="0" w:line="152" w:lineRule="exact"/>
              <w:rPr>
                <w:rFonts w:ascii="Calibri" w:cs="Calibri" w:eastAsia="Calibri" w:hAnsi="Calibri"/>
                <w:sz w:val="15"/>
                <w:szCs w:val="15"/>
                <w:color w:val="0000FF"/>
              </w:rPr>
            </w:pPr>
            <w:hyperlink r:id="rId129">
              <w:r>
                <w:rPr>
                  <w:rFonts w:ascii="Calibri" w:cs="Calibri" w:eastAsia="Calibri" w:hAnsi="Calibri"/>
                  <w:sz w:val="15"/>
                  <w:szCs w:val="15"/>
                  <w:color w:val="0000FF"/>
                </w:rPr>
                <w:t>among the Company, the 2020 Guarantors and</w:t>
              </w:r>
            </w:hyperlink>
          </w:p>
        </w:tc>
        <w:tc>
          <w:tcPr>
            <w:tcW w:w="2000" w:type="dxa"/>
            <w:vAlign w:val="bottom"/>
            <w:gridSpan w:val="2"/>
          </w:tcPr>
          <w:p>
            <w:pPr>
              <w:ind w:left="20"/>
              <w:spacing w:after="0" w:line="152" w:lineRule="exact"/>
              <w:rPr>
                <w:sz w:val="20"/>
                <w:szCs w:val="20"/>
                <w:color w:val="auto"/>
              </w:rPr>
            </w:pPr>
            <w:r>
              <w:rPr>
                <w:rFonts w:ascii="Calibri" w:cs="Calibri" w:eastAsia="Calibri" w:hAnsi="Calibri"/>
                <w:sz w:val="15"/>
                <w:szCs w:val="15"/>
                <w:color w:val="auto"/>
              </w:rPr>
              <w:t>Report on Form 8-K</w:t>
            </w: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gridSpan w:val="2"/>
            <w:shd w:val="clear" w:color="auto" w:fill="0000FF"/>
          </w:tcPr>
          <w:p>
            <w:pPr>
              <w:spacing w:after="0" w:line="20" w:lineRule="exact"/>
              <w:rPr>
                <w:sz w:val="1"/>
                <w:szCs w:val="1"/>
                <w:color w:val="auto"/>
              </w:rPr>
            </w:pPr>
          </w:p>
        </w:tc>
        <w:tc>
          <w:tcPr>
            <w:tcW w:w="216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520" w:type="dxa"/>
            <w:vAlign w:val="bottom"/>
            <w:tcBorders>
              <w:bottom w:val="single" w:sz="8" w:color="0000FF"/>
            </w:tcBorders>
            <w:gridSpan w:val="9"/>
          </w:tcPr>
          <w:p>
            <w:pPr>
              <w:spacing w:after="0" w:line="165" w:lineRule="exact"/>
              <w:rPr>
                <w:rFonts w:ascii="Calibri" w:cs="Calibri" w:eastAsia="Calibri" w:hAnsi="Calibri"/>
                <w:sz w:val="18"/>
                <w:szCs w:val="18"/>
                <w:color w:val="0000FF"/>
                <w:w w:val="96"/>
              </w:rPr>
            </w:pPr>
            <w:hyperlink r:id="rId129">
              <w:r>
                <w:rPr>
                  <w:rFonts w:ascii="Calibri" w:cs="Calibri" w:eastAsia="Calibri" w:hAnsi="Calibri"/>
                  <w:sz w:val="18"/>
                  <w:szCs w:val="18"/>
                  <w:color w:val="0000FF"/>
                  <w:w w:val="96"/>
                </w:rPr>
                <w:t>Wilmington Trust, Natonal Associaton, as trustee.</w:t>
              </w:r>
            </w:hyperlink>
          </w:p>
        </w:tc>
        <w:tc>
          <w:tcPr>
            <w:tcW w:w="140" w:type="dxa"/>
            <w:vAlign w:val="bottom"/>
            <w:gridSpan w:val="2"/>
          </w:tcPr>
          <w:p>
            <w:pPr>
              <w:spacing w:after="0"/>
              <w:rPr>
                <w:sz w:val="14"/>
                <w:szCs w:val="14"/>
                <w:color w:val="auto"/>
              </w:rPr>
            </w:pPr>
          </w:p>
        </w:tc>
        <w:tc>
          <w:tcPr>
            <w:tcW w:w="1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860" w:type="dxa"/>
            <w:vAlign w:val="bottom"/>
          </w:tcPr>
          <w:p>
            <w:pPr>
              <w:jc w:val="right"/>
              <w:spacing w:after="0" w:line="205" w:lineRule="exact"/>
              <w:rPr>
                <w:sz w:val="20"/>
                <w:szCs w:val="20"/>
                <w:color w:val="auto"/>
              </w:rPr>
            </w:pPr>
            <w:r>
              <w:rPr>
                <w:rFonts w:ascii="Calibri" w:cs="Calibri" w:eastAsia="Calibri" w:hAnsi="Calibri"/>
                <w:sz w:val="18"/>
                <w:szCs w:val="18"/>
                <w:color w:val="auto"/>
              </w:rPr>
              <w:t>4.25</w:t>
            </w: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60" w:type="dxa"/>
            <w:vAlign w:val="bottom"/>
            <w:gridSpan w:val="11"/>
          </w:tcPr>
          <w:p>
            <w:pPr>
              <w:spacing w:after="0" w:line="205" w:lineRule="exact"/>
              <w:rPr>
                <w:rFonts w:ascii="Calibri" w:cs="Calibri" w:eastAsia="Calibri" w:hAnsi="Calibri"/>
                <w:sz w:val="18"/>
                <w:szCs w:val="18"/>
                <w:color w:val="0000FF"/>
              </w:rPr>
            </w:pPr>
            <w:hyperlink r:id="rId129">
              <w:r>
                <w:rPr>
                  <w:rFonts w:ascii="Calibri" w:cs="Calibri" w:eastAsia="Calibri" w:hAnsi="Calibri"/>
                  <w:sz w:val="18"/>
                  <w:szCs w:val="18"/>
                  <w:color w:val="0000FF"/>
                </w:rPr>
                <w:t>Form of 3.459% Senior Notes due 2026 (included</w:t>
              </w:r>
            </w:hyperlink>
          </w:p>
        </w:tc>
        <w:tc>
          <w:tcPr>
            <w:tcW w:w="2000" w:type="dxa"/>
            <w:vAlign w:val="bottom"/>
            <w:gridSpan w:val="2"/>
          </w:tcPr>
          <w:p>
            <w:pPr>
              <w:ind w:left="20"/>
              <w:spacing w:after="0" w:line="205" w:lineRule="exact"/>
              <w:rPr>
                <w:sz w:val="20"/>
                <w:szCs w:val="20"/>
                <w:color w:val="auto"/>
              </w:rPr>
            </w:pPr>
            <w:r>
              <w:rPr>
                <w:rFonts w:ascii="Calibri" w:cs="Calibri" w:eastAsia="Calibri" w:hAnsi="Calibri"/>
                <w:sz w:val="18"/>
                <w:szCs w:val="18"/>
                <w:color w:val="auto"/>
              </w:rPr>
              <w:t>Broadcom Inc. Current</w:t>
            </w:r>
          </w:p>
        </w:tc>
        <w:tc>
          <w:tcPr>
            <w:tcW w:w="1160" w:type="dxa"/>
            <w:vAlign w:val="bottom"/>
          </w:tcPr>
          <w:p>
            <w:pPr>
              <w:spacing w:after="0" w:line="205" w:lineRule="exact"/>
              <w:rPr>
                <w:sz w:val="20"/>
                <w:szCs w:val="20"/>
                <w:color w:val="auto"/>
              </w:rPr>
            </w:pPr>
            <w:r>
              <w:rPr>
                <w:rFonts w:ascii="Calibri" w:cs="Calibri" w:eastAsia="Calibri" w:hAnsi="Calibri"/>
                <w:sz w:val="18"/>
                <w:szCs w:val="18"/>
                <w:color w:val="auto"/>
              </w:rPr>
              <w:t>001-38449</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Pr>
          <w:p>
            <w:pPr>
              <w:jc w:val="center"/>
              <w:ind w:right="213"/>
              <w:spacing w:after="0" w:line="205" w:lineRule="exact"/>
              <w:rPr>
                <w:sz w:val="20"/>
                <w:szCs w:val="20"/>
                <w:color w:val="auto"/>
              </w:rPr>
            </w:pPr>
            <w:r>
              <w:rPr>
                <w:rFonts w:ascii="Calibri" w:cs="Calibri" w:eastAsia="Calibri" w:hAnsi="Calibri"/>
                <w:sz w:val="18"/>
                <w:szCs w:val="18"/>
                <w:color w:val="auto"/>
                <w:w w:val="96"/>
              </w:rPr>
              <w:t>4.1</w:t>
            </w:r>
          </w:p>
        </w:tc>
        <w:tc>
          <w:tcPr>
            <w:tcW w:w="100" w:type="dxa"/>
            <w:vAlign w:val="bottom"/>
          </w:tcPr>
          <w:p>
            <w:pPr>
              <w:spacing w:after="0"/>
              <w:rPr>
                <w:sz w:val="17"/>
                <w:szCs w:val="17"/>
                <w:color w:val="auto"/>
              </w:rPr>
            </w:pPr>
          </w:p>
        </w:tc>
        <w:tc>
          <w:tcPr>
            <w:tcW w:w="1140" w:type="dxa"/>
            <w:vAlign w:val="bottom"/>
          </w:tcPr>
          <w:p>
            <w:pPr>
              <w:jc w:val="right"/>
              <w:ind w:right="233"/>
              <w:spacing w:after="0" w:line="205" w:lineRule="exact"/>
              <w:rPr>
                <w:sz w:val="20"/>
                <w:szCs w:val="20"/>
                <w:color w:val="auto"/>
              </w:rPr>
            </w:pPr>
            <w:r>
              <w:rPr>
                <w:rFonts w:ascii="Calibri" w:cs="Calibri" w:eastAsia="Calibri" w:hAnsi="Calibri"/>
                <w:sz w:val="18"/>
                <w:szCs w:val="18"/>
                <w:color w:val="auto"/>
                <w:w w:val="95"/>
              </w:rPr>
              <w:t>05-21-2020</w:t>
            </w:r>
          </w:p>
        </w:tc>
        <w:tc>
          <w:tcPr>
            <w:tcW w:w="0" w:type="dxa"/>
            <w:vAlign w:val="bottom"/>
          </w:tcPr>
          <w:p>
            <w:pPr>
              <w:spacing w:after="0"/>
              <w:rPr>
                <w:sz w:val="1"/>
                <w:szCs w:val="1"/>
                <w:color w:val="auto"/>
              </w:rPr>
            </w:pPr>
          </w:p>
        </w:tc>
      </w:tr>
      <w:tr>
        <w:trPr>
          <w:trHeight w:val="152"/>
        </w:trPr>
        <w:tc>
          <w:tcPr>
            <w:tcW w:w="8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80" w:type="dxa"/>
            <w:vAlign w:val="bottom"/>
            <w:tcBorders>
              <w:top w:val="single" w:sz="8" w:color="0000FF"/>
              <w:bottom w:val="single" w:sz="8" w:color="0000FF"/>
            </w:tcBorders>
            <w:gridSpan w:val="2"/>
          </w:tcPr>
          <w:p>
            <w:pPr>
              <w:spacing w:after="0" w:line="152" w:lineRule="exact"/>
              <w:rPr>
                <w:rFonts w:ascii="Calibri" w:cs="Calibri" w:eastAsia="Calibri" w:hAnsi="Calibri"/>
                <w:sz w:val="15"/>
                <w:szCs w:val="15"/>
                <w:color w:val="0000FF"/>
              </w:rPr>
            </w:pPr>
            <w:hyperlink r:id="rId129">
              <w:r>
                <w:rPr>
                  <w:rFonts w:ascii="Calibri" w:cs="Calibri" w:eastAsia="Calibri" w:hAnsi="Calibri"/>
                  <w:sz w:val="15"/>
                  <w:szCs w:val="15"/>
                  <w:color w:val="0000FF"/>
                </w:rPr>
                <w:t>in Exhibit 4.29).</w:t>
              </w:r>
            </w:hyperlink>
          </w:p>
        </w:tc>
        <w:tc>
          <w:tcPr>
            <w:tcW w:w="2320" w:type="dxa"/>
            <w:vAlign w:val="bottom"/>
            <w:tcBorders>
              <w:top w:val="single" w:sz="8" w:color="0000FF"/>
            </w:tcBorders>
            <w:gridSpan w:val="4"/>
          </w:tcPr>
          <w:p>
            <w:pPr>
              <w:spacing w:after="0"/>
              <w:rPr>
                <w:sz w:val="13"/>
                <w:szCs w:val="13"/>
                <w:color w:val="auto"/>
              </w:rPr>
            </w:pPr>
          </w:p>
        </w:tc>
        <w:tc>
          <w:tcPr>
            <w:tcW w:w="120" w:type="dxa"/>
            <w:vAlign w:val="bottom"/>
            <w:gridSpan w:val="3"/>
          </w:tcPr>
          <w:p>
            <w:pPr>
              <w:spacing w:after="0"/>
              <w:rPr>
                <w:sz w:val="13"/>
                <w:szCs w:val="13"/>
                <w:color w:val="auto"/>
              </w:rPr>
            </w:pPr>
          </w:p>
        </w:tc>
        <w:tc>
          <w:tcPr>
            <w:tcW w:w="140" w:type="dxa"/>
            <w:vAlign w:val="bottom"/>
            <w:gridSpan w:val="2"/>
          </w:tcPr>
          <w:p>
            <w:pPr>
              <w:spacing w:after="0"/>
              <w:rPr>
                <w:sz w:val="13"/>
                <w:szCs w:val="13"/>
                <w:color w:val="auto"/>
              </w:rPr>
            </w:pPr>
          </w:p>
        </w:tc>
        <w:tc>
          <w:tcPr>
            <w:tcW w:w="2000" w:type="dxa"/>
            <w:vAlign w:val="bottom"/>
            <w:gridSpan w:val="2"/>
          </w:tcPr>
          <w:p>
            <w:pPr>
              <w:ind w:left="20"/>
              <w:spacing w:after="0" w:line="152" w:lineRule="exact"/>
              <w:rPr>
                <w:sz w:val="20"/>
                <w:szCs w:val="20"/>
                <w:color w:val="auto"/>
              </w:rPr>
            </w:pPr>
            <w:r>
              <w:rPr>
                <w:rFonts w:ascii="Calibri" w:cs="Calibri" w:eastAsia="Calibri" w:hAnsi="Calibri"/>
                <w:sz w:val="15"/>
                <w:szCs w:val="15"/>
                <w:color w:val="auto"/>
              </w:rPr>
              <w:t>Report on Form 8-K</w:t>
            </w: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8"/>
        </w:trPr>
        <w:tc>
          <w:tcPr>
            <w:tcW w:w="860" w:type="dxa"/>
            <w:vAlign w:val="bottom"/>
          </w:tcPr>
          <w:p>
            <w:pPr>
              <w:jc w:val="right"/>
              <w:spacing w:after="0" w:line="217" w:lineRule="exact"/>
              <w:rPr>
                <w:sz w:val="20"/>
                <w:szCs w:val="20"/>
                <w:color w:val="auto"/>
              </w:rPr>
            </w:pPr>
            <w:r>
              <w:rPr>
                <w:rFonts w:ascii="Calibri" w:cs="Calibri" w:eastAsia="Calibri" w:hAnsi="Calibri"/>
                <w:sz w:val="18"/>
                <w:szCs w:val="18"/>
                <w:color w:val="auto"/>
              </w:rPr>
              <w:t>4.26</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60" w:type="dxa"/>
            <w:vAlign w:val="bottom"/>
            <w:gridSpan w:val="11"/>
          </w:tcPr>
          <w:p>
            <w:pPr>
              <w:spacing w:after="0" w:line="217" w:lineRule="exact"/>
              <w:rPr>
                <w:rFonts w:ascii="Calibri" w:cs="Calibri" w:eastAsia="Calibri" w:hAnsi="Calibri"/>
                <w:sz w:val="18"/>
                <w:szCs w:val="18"/>
                <w:color w:val="0000FF"/>
              </w:rPr>
            </w:pPr>
            <w:hyperlink r:id="rId129">
              <w:r>
                <w:rPr>
                  <w:rFonts w:ascii="Calibri" w:cs="Calibri" w:eastAsia="Calibri" w:hAnsi="Calibri"/>
                  <w:sz w:val="18"/>
                  <w:szCs w:val="18"/>
                  <w:color w:val="0000FF"/>
                </w:rPr>
                <w:t>Form of 4.110% Senior Notes due 2028 (included</w:t>
              </w:r>
            </w:hyperlink>
          </w:p>
        </w:tc>
        <w:tc>
          <w:tcPr>
            <w:tcW w:w="2000" w:type="dxa"/>
            <w:vAlign w:val="bottom"/>
            <w:gridSpan w:val="2"/>
          </w:tcPr>
          <w:p>
            <w:pPr>
              <w:ind w:left="20"/>
              <w:spacing w:after="0" w:line="217" w:lineRule="exact"/>
              <w:rPr>
                <w:sz w:val="20"/>
                <w:szCs w:val="20"/>
                <w:color w:val="auto"/>
              </w:rPr>
            </w:pPr>
            <w:r>
              <w:rPr>
                <w:rFonts w:ascii="Calibri" w:cs="Calibri" w:eastAsia="Calibri" w:hAnsi="Calibri"/>
                <w:sz w:val="18"/>
                <w:szCs w:val="18"/>
                <w:color w:val="auto"/>
              </w:rPr>
              <w:t>Broadcom Inc. Current</w:t>
            </w:r>
          </w:p>
        </w:tc>
        <w:tc>
          <w:tcPr>
            <w:tcW w:w="1160" w:type="dxa"/>
            <w:vAlign w:val="bottom"/>
          </w:tcPr>
          <w:p>
            <w:pPr>
              <w:spacing w:after="0" w:line="217" w:lineRule="exact"/>
              <w:rPr>
                <w:sz w:val="20"/>
                <w:szCs w:val="20"/>
                <w:color w:val="auto"/>
              </w:rPr>
            </w:pPr>
            <w:r>
              <w:rPr>
                <w:rFonts w:ascii="Calibri" w:cs="Calibri" w:eastAsia="Calibri" w:hAnsi="Calibri"/>
                <w:sz w:val="18"/>
                <w:szCs w:val="18"/>
                <w:color w:val="auto"/>
              </w:rPr>
              <w:t>001-38449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jc w:val="center"/>
              <w:ind w:right="213"/>
              <w:spacing w:after="0" w:line="217" w:lineRule="exact"/>
              <w:rPr>
                <w:sz w:val="20"/>
                <w:szCs w:val="20"/>
                <w:color w:val="auto"/>
              </w:rPr>
            </w:pPr>
            <w:r>
              <w:rPr>
                <w:rFonts w:ascii="Calibri" w:cs="Calibri" w:eastAsia="Calibri" w:hAnsi="Calibri"/>
                <w:sz w:val="18"/>
                <w:szCs w:val="18"/>
                <w:color w:val="auto"/>
                <w:w w:val="96"/>
              </w:rPr>
              <w:t>4.1</w:t>
            </w:r>
          </w:p>
        </w:tc>
        <w:tc>
          <w:tcPr>
            <w:tcW w:w="100" w:type="dxa"/>
            <w:vAlign w:val="bottom"/>
          </w:tcPr>
          <w:p>
            <w:pPr>
              <w:spacing w:after="0"/>
              <w:rPr>
                <w:sz w:val="18"/>
                <w:szCs w:val="18"/>
                <w:color w:val="auto"/>
              </w:rPr>
            </w:pPr>
          </w:p>
        </w:tc>
        <w:tc>
          <w:tcPr>
            <w:tcW w:w="1140" w:type="dxa"/>
            <w:vAlign w:val="bottom"/>
          </w:tcPr>
          <w:p>
            <w:pPr>
              <w:jc w:val="right"/>
              <w:ind w:right="233"/>
              <w:spacing w:after="0" w:line="217" w:lineRule="exact"/>
              <w:rPr>
                <w:sz w:val="20"/>
                <w:szCs w:val="20"/>
                <w:color w:val="auto"/>
              </w:rPr>
            </w:pPr>
            <w:r>
              <w:rPr>
                <w:rFonts w:ascii="Calibri" w:cs="Calibri" w:eastAsia="Calibri" w:hAnsi="Calibri"/>
                <w:sz w:val="18"/>
                <w:szCs w:val="18"/>
                <w:color w:val="auto"/>
                <w:w w:val="95"/>
              </w:rPr>
              <w:t>05-21-2020</w:t>
            </w:r>
          </w:p>
        </w:tc>
        <w:tc>
          <w:tcPr>
            <w:tcW w:w="0" w:type="dxa"/>
            <w:vAlign w:val="bottom"/>
          </w:tcPr>
          <w:p>
            <w:pPr>
              <w:spacing w:after="0"/>
              <w:rPr>
                <w:sz w:val="1"/>
                <w:szCs w:val="1"/>
                <w:color w:val="auto"/>
              </w:rPr>
            </w:pPr>
          </w:p>
        </w:tc>
      </w:tr>
      <w:tr>
        <w:trPr>
          <w:trHeight w:val="152"/>
        </w:trPr>
        <w:tc>
          <w:tcPr>
            <w:tcW w:w="8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80" w:type="dxa"/>
            <w:vAlign w:val="bottom"/>
            <w:tcBorders>
              <w:top w:val="single" w:sz="8" w:color="0000FF"/>
              <w:bottom w:val="single" w:sz="8" w:color="0000FF"/>
            </w:tcBorders>
            <w:gridSpan w:val="2"/>
          </w:tcPr>
          <w:p>
            <w:pPr>
              <w:spacing w:after="0" w:line="152" w:lineRule="exact"/>
              <w:rPr>
                <w:rFonts w:ascii="Calibri" w:cs="Calibri" w:eastAsia="Calibri" w:hAnsi="Calibri"/>
                <w:sz w:val="15"/>
                <w:szCs w:val="15"/>
                <w:color w:val="0000FF"/>
              </w:rPr>
            </w:pPr>
            <w:hyperlink r:id="rId129">
              <w:r>
                <w:rPr>
                  <w:rFonts w:ascii="Calibri" w:cs="Calibri" w:eastAsia="Calibri" w:hAnsi="Calibri"/>
                  <w:sz w:val="15"/>
                  <w:szCs w:val="15"/>
                  <w:color w:val="0000FF"/>
                </w:rPr>
                <w:t>in Exhibit 4.29).</w:t>
              </w:r>
            </w:hyperlink>
          </w:p>
        </w:tc>
        <w:tc>
          <w:tcPr>
            <w:tcW w:w="2320" w:type="dxa"/>
            <w:vAlign w:val="bottom"/>
            <w:tcBorders>
              <w:top w:val="single" w:sz="8" w:color="0000FF"/>
            </w:tcBorders>
            <w:gridSpan w:val="4"/>
          </w:tcPr>
          <w:p>
            <w:pPr>
              <w:spacing w:after="0"/>
              <w:rPr>
                <w:sz w:val="13"/>
                <w:szCs w:val="13"/>
                <w:color w:val="auto"/>
              </w:rPr>
            </w:pPr>
          </w:p>
        </w:tc>
        <w:tc>
          <w:tcPr>
            <w:tcW w:w="120" w:type="dxa"/>
            <w:vAlign w:val="bottom"/>
            <w:gridSpan w:val="3"/>
          </w:tcPr>
          <w:p>
            <w:pPr>
              <w:spacing w:after="0"/>
              <w:rPr>
                <w:sz w:val="13"/>
                <w:szCs w:val="13"/>
                <w:color w:val="auto"/>
              </w:rPr>
            </w:pPr>
          </w:p>
        </w:tc>
        <w:tc>
          <w:tcPr>
            <w:tcW w:w="140" w:type="dxa"/>
            <w:vAlign w:val="bottom"/>
            <w:gridSpan w:val="2"/>
          </w:tcPr>
          <w:p>
            <w:pPr>
              <w:spacing w:after="0"/>
              <w:rPr>
                <w:sz w:val="13"/>
                <w:szCs w:val="13"/>
                <w:color w:val="auto"/>
              </w:rPr>
            </w:pPr>
          </w:p>
        </w:tc>
        <w:tc>
          <w:tcPr>
            <w:tcW w:w="2000" w:type="dxa"/>
            <w:vAlign w:val="bottom"/>
            <w:gridSpan w:val="2"/>
          </w:tcPr>
          <w:p>
            <w:pPr>
              <w:ind w:left="20"/>
              <w:spacing w:after="0" w:line="152" w:lineRule="exact"/>
              <w:rPr>
                <w:sz w:val="20"/>
                <w:szCs w:val="20"/>
                <w:color w:val="auto"/>
              </w:rPr>
            </w:pPr>
            <w:r>
              <w:rPr>
                <w:rFonts w:ascii="Calibri" w:cs="Calibri" w:eastAsia="Calibri" w:hAnsi="Calibri"/>
                <w:sz w:val="15"/>
                <w:szCs w:val="15"/>
                <w:color w:val="auto"/>
              </w:rPr>
              <w:t>Report on Form 8-K</w:t>
            </w: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8"/>
        </w:trPr>
        <w:tc>
          <w:tcPr>
            <w:tcW w:w="860" w:type="dxa"/>
            <w:vAlign w:val="bottom"/>
          </w:tcPr>
          <w:p>
            <w:pPr>
              <w:jc w:val="right"/>
              <w:spacing w:after="0" w:line="217" w:lineRule="exact"/>
              <w:rPr>
                <w:sz w:val="20"/>
                <w:szCs w:val="20"/>
                <w:color w:val="auto"/>
              </w:rPr>
            </w:pPr>
            <w:r>
              <w:rPr>
                <w:rFonts w:ascii="Calibri" w:cs="Calibri" w:eastAsia="Calibri" w:hAnsi="Calibri"/>
                <w:sz w:val="18"/>
                <w:szCs w:val="18"/>
                <w:color w:val="auto"/>
              </w:rPr>
              <w:t>4.27</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60" w:type="dxa"/>
            <w:vAlign w:val="bottom"/>
            <w:gridSpan w:val="11"/>
          </w:tcPr>
          <w:p>
            <w:pPr>
              <w:spacing w:after="0" w:line="217" w:lineRule="exact"/>
              <w:rPr>
                <w:rFonts w:ascii="Calibri" w:cs="Calibri" w:eastAsia="Calibri" w:hAnsi="Calibri"/>
                <w:sz w:val="18"/>
                <w:szCs w:val="18"/>
                <w:color w:val="0000FF"/>
              </w:rPr>
            </w:pPr>
            <w:hyperlink r:id="rId130">
              <w:r>
                <w:rPr>
                  <w:rFonts w:ascii="Calibri" w:cs="Calibri" w:eastAsia="Calibri" w:hAnsi="Calibri"/>
                  <w:sz w:val="18"/>
                  <w:szCs w:val="18"/>
                  <w:color w:val="0000FF"/>
                </w:rPr>
                <w:t>Indenture, dated as of January 19, 2021, by and</w:t>
              </w:r>
            </w:hyperlink>
          </w:p>
        </w:tc>
        <w:tc>
          <w:tcPr>
            <w:tcW w:w="2000" w:type="dxa"/>
            <w:vAlign w:val="bottom"/>
            <w:gridSpan w:val="2"/>
          </w:tcPr>
          <w:p>
            <w:pPr>
              <w:ind w:left="20"/>
              <w:spacing w:after="0" w:line="217" w:lineRule="exact"/>
              <w:rPr>
                <w:sz w:val="20"/>
                <w:szCs w:val="20"/>
                <w:color w:val="auto"/>
              </w:rPr>
            </w:pPr>
            <w:r>
              <w:rPr>
                <w:rFonts w:ascii="Calibri" w:cs="Calibri" w:eastAsia="Calibri" w:hAnsi="Calibri"/>
                <w:sz w:val="18"/>
                <w:szCs w:val="18"/>
                <w:color w:val="auto"/>
              </w:rPr>
              <w:t>Broadcom Inc. Current</w:t>
            </w:r>
          </w:p>
        </w:tc>
        <w:tc>
          <w:tcPr>
            <w:tcW w:w="1160" w:type="dxa"/>
            <w:vAlign w:val="bottom"/>
          </w:tcPr>
          <w:p>
            <w:pPr>
              <w:spacing w:after="0" w:line="217" w:lineRule="exact"/>
              <w:rPr>
                <w:sz w:val="20"/>
                <w:szCs w:val="20"/>
                <w:color w:val="auto"/>
              </w:rPr>
            </w:pPr>
            <w:r>
              <w:rPr>
                <w:rFonts w:ascii="Calibri" w:cs="Calibri" w:eastAsia="Calibri" w:hAnsi="Calibri"/>
                <w:sz w:val="18"/>
                <w:szCs w:val="18"/>
                <w:color w:val="auto"/>
              </w:rPr>
              <w:t>001-38449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jc w:val="center"/>
              <w:ind w:right="213"/>
              <w:spacing w:after="0" w:line="217" w:lineRule="exact"/>
              <w:rPr>
                <w:sz w:val="20"/>
                <w:szCs w:val="20"/>
                <w:color w:val="auto"/>
              </w:rPr>
            </w:pPr>
            <w:r>
              <w:rPr>
                <w:rFonts w:ascii="Calibri" w:cs="Calibri" w:eastAsia="Calibri" w:hAnsi="Calibri"/>
                <w:sz w:val="18"/>
                <w:szCs w:val="18"/>
                <w:color w:val="auto"/>
                <w:w w:val="96"/>
              </w:rPr>
              <w:t>4.1</w:t>
            </w:r>
          </w:p>
        </w:tc>
        <w:tc>
          <w:tcPr>
            <w:tcW w:w="100" w:type="dxa"/>
            <w:vAlign w:val="bottom"/>
          </w:tcPr>
          <w:p>
            <w:pPr>
              <w:spacing w:after="0"/>
              <w:rPr>
                <w:sz w:val="18"/>
                <w:szCs w:val="18"/>
                <w:color w:val="auto"/>
              </w:rPr>
            </w:pPr>
          </w:p>
        </w:tc>
        <w:tc>
          <w:tcPr>
            <w:tcW w:w="1140" w:type="dxa"/>
            <w:vAlign w:val="bottom"/>
          </w:tcPr>
          <w:p>
            <w:pPr>
              <w:jc w:val="right"/>
              <w:ind w:right="233"/>
              <w:spacing w:after="0" w:line="217" w:lineRule="exact"/>
              <w:rPr>
                <w:sz w:val="20"/>
                <w:szCs w:val="20"/>
                <w:color w:val="auto"/>
              </w:rPr>
            </w:pPr>
            <w:r>
              <w:rPr>
                <w:rFonts w:ascii="Calibri" w:cs="Calibri" w:eastAsia="Calibri" w:hAnsi="Calibri"/>
                <w:sz w:val="18"/>
                <w:szCs w:val="18"/>
                <w:color w:val="auto"/>
                <w:w w:val="95"/>
              </w:rPr>
              <w:t>01-19-2021</w:t>
            </w:r>
          </w:p>
        </w:tc>
        <w:tc>
          <w:tcPr>
            <w:tcW w:w="0" w:type="dxa"/>
            <w:vAlign w:val="bottom"/>
          </w:tcPr>
          <w:p>
            <w:pPr>
              <w:spacing w:after="0"/>
              <w:rPr>
                <w:sz w:val="1"/>
                <w:szCs w:val="1"/>
                <w:color w:val="auto"/>
              </w:rPr>
            </w:pPr>
          </w:p>
        </w:tc>
      </w:tr>
      <w:tr>
        <w:trPr>
          <w:trHeight w:val="152"/>
        </w:trPr>
        <w:tc>
          <w:tcPr>
            <w:tcW w:w="8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300" w:type="dxa"/>
            <w:vAlign w:val="bottom"/>
            <w:tcBorders>
              <w:top w:val="single" w:sz="8" w:color="0000FF"/>
            </w:tcBorders>
            <w:gridSpan w:val="5"/>
          </w:tcPr>
          <w:p>
            <w:pPr>
              <w:spacing w:after="0" w:line="152" w:lineRule="exact"/>
              <w:rPr>
                <w:rFonts w:ascii="Calibri" w:cs="Calibri" w:eastAsia="Calibri" w:hAnsi="Calibri"/>
                <w:sz w:val="15"/>
                <w:szCs w:val="15"/>
                <w:color w:val="0000FF"/>
              </w:rPr>
            </w:pPr>
            <w:hyperlink r:id="rId130">
              <w:r>
                <w:rPr>
                  <w:rFonts w:ascii="Calibri" w:cs="Calibri" w:eastAsia="Calibri" w:hAnsi="Calibri"/>
                  <w:sz w:val="15"/>
                  <w:szCs w:val="15"/>
                  <w:color w:val="0000FF"/>
                </w:rPr>
                <w:t>among the Company, the 2020 Guarantors and</w:t>
              </w:r>
            </w:hyperlink>
          </w:p>
        </w:tc>
        <w:tc>
          <w:tcPr>
            <w:tcW w:w="220" w:type="dxa"/>
            <w:vAlign w:val="bottom"/>
            <w:gridSpan w:val="4"/>
          </w:tcPr>
          <w:p>
            <w:pPr>
              <w:spacing w:after="0"/>
              <w:rPr>
                <w:sz w:val="13"/>
                <w:szCs w:val="13"/>
                <w:color w:val="auto"/>
              </w:rPr>
            </w:pPr>
          </w:p>
        </w:tc>
        <w:tc>
          <w:tcPr>
            <w:tcW w:w="140" w:type="dxa"/>
            <w:vAlign w:val="bottom"/>
            <w:gridSpan w:val="2"/>
          </w:tcPr>
          <w:p>
            <w:pPr>
              <w:spacing w:after="0"/>
              <w:rPr>
                <w:sz w:val="13"/>
                <w:szCs w:val="13"/>
                <w:color w:val="auto"/>
              </w:rPr>
            </w:pPr>
          </w:p>
        </w:tc>
        <w:tc>
          <w:tcPr>
            <w:tcW w:w="2000" w:type="dxa"/>
            <w:vAlign w:val="bottom"/>
            <w:gridSpan w:val="2"/>
          </w:tcPr>
          <w:p>
            <w:pPr>
              <w:ind w:left="20"/>
              <w:spacing w:after="0" w:line="152" w:lineRule="exact"/>
              <w:rPr>
                <w:sz w:val="20"/>
                <w:szCs w:val="20"/>
                <w:color w:val="auto"/>
              </w:rPr>
            </w:pPr>
            <w:r>
              <w:rPr>
                <w:rFonts w:ascii="Calibri" w:cs="Calibri" w:eastAsia="Calibri" w:hAnsi="Calibri"/>
                <w:sz w:val="15"/>
                <w:szCs w:val="15"/>
                <w:color w:val="auto"/>
              </w:rPr>
              <w:t>Report on Form 8-K</w:t>
            </w: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gridSpan w:val="2"/>
            <w:shd w:val="clear" w:color="auto" w:fill="0000FF"/>
          </w:tcPr>
          <w:p>
            <w:pPr>
              <w:spacing w:after="0" w:line="20" w:lineRule="exact"/>
              <w:rPr>
                <w:sz w:val="1"/>
                <w:szCs w:val="1"/>
                <w:color w:val="auto"/>
              </w:rPr>
            </w:pPr>
          </w:p>
        </w:tc>
        <w:tc>
          <w:tcPr>
            <w:tcW w:w="2160" w:type="dxa"/>
            <w:vAlign w:val="bottom"/>
            <w:gridSpan w:val="2"/>
            <w:shd w:val="clear" w:color="auto" w:fill="0000FF"/>
          </w:tcPr>
          <w:p>
            <w:pPr>
              <w:spacing w:after="0" w:line="20" w:lineRule="exact"/>
              <w:rPr>
                <w:sz w:val="1"/>
                <w:szCs w:val="1"/>
                <w:color w:val="auto"/>
              </w:rPr>
            </w:pPr>
          </w:p>
        </w:tc>
        <w:tc>
          <w:tcPr>
            <w:tcW w:w="280" w:type="dxa"/>
            <w:vAlign w:val="bottom"/>
            <w:gridSpan w:val="5"/>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60" w:type="dxa"/>
            <w:vAlign w:val="bottom"/>
            <w:gridSpan w:val="11"/>
          </w:tcPr>
          <w:p>
            <w:pPr>
              <w:spacing w:after="0" w:line="165" w:lineRule="exact"/>
              <w:rPr>
                <w:rFonts w:ascii="Calibri" w:cs="Calibri" w:eastAsia="Calibri" w:hAnsi="Calibri"/>
                <w:sz w:val="18"/>
                <w:szCs w:val="18"/>
                <w:color w:val="0000FF"/>
                <w:w w:val="99"/>
              </w:rPr>
            </w:pPr>
            <w:hyperlink r:id="rId130">
              <w:r>
                <w:rPr>
                  <w:rFonts w:ascii="Calibri" w:cs="Calibri" w:eastAsia="Calibri" w:hAnsi="Calibri"/>
                  <w:sz w:val="18"/>
                  <w:szCs w:val="18"/>
                  <w:color w:val="0000FF"/>
                  <w:w w:val="99"/>
                </w:rPr>
                <w:t>Wilmington Trust, Natonal Associaton, as Trustee.</w:t>
              </w:r>
            </w:hyperlink>
          </w:p>
        </w:tc>
        <w:tc>
          <w:tcPr>
            <w:tcW w:w="1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860" w:type="dxa"/>
            <w:vAlign w:val="bottom"/>
          </w:tcPr>
          <w:p>
            <w:pPr>
              <w:jc w:val="right"/>
              <w:spacing w:after="0" w:line="205" w:lineRule="exact"/>
              <w:rPr>
                <w:sz w:val="20"/>
                <w:szCs w:val="20"/>
                <w:color w:val="auto"/>
              </w:rPr>
            </w:pPr>
            <w:r>
              <w:rPr>
                <w:rFonts w:ascii="Calibri" w:cs="Calibri" w:eastAsia="Calibri" w:hAnsi="Calibri"/>
                <w:sz w:val="18"/>
                <w:szCs w:val="18"/>
                <w:color w:val="auto"/>
              </w:rPr>
              <w:t>4.28</w:t>
            </w: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520" w:type="dxa"/>
            <w:vAlign w:val="bottom"/>
            <w:tcBorders>
              <w:top w:val="single" w:sz="8" w:color="0000FF"/>
            </w:tcBorders>
            <w:gridSpan w:val="9"/>
          </w:tcPr>
          <w:p>
            <w:pPr>
              <w:spacing w:after="0" w:line="205" w:lineRule="exact"/>
              <w:rPr>
                <w:rFonts w:ascii="Calibri" w:cs="Calibri" w:eastAsia="Calibri" w:hAnsi="Calibri"/>
                <w:sz w:val="18"/>
                <w:szCs w:val="18"/>
                <w:color w:val="0000FF"/>
                <w:w w:val="97"/>
              </w:rPr>
            </w:pPr>
            <w:hyperlink r:id="rId130">
              <w:r>
                <w:rPr>
                  <w:rFonts w:ascii="Calibri" w:cs="Calibri" w:eastAsia="Calibri" w:hAnsi="Calibri"/>
                  <w:sz w:val="18"/>
                  <w:szCs w:val="18"/>
                  <w:color w:val="0000FF"/>
                  <w:w w:val="97"/>
                </w:rPr>
                <w:t>Form of 1.950% Senior Notes due 2028 (included</w:t>
              </w:r>
            </w:hyperlink>
          </w:p>
        </w:tc>
        <w:tc>
          <w:tcPr>
            <w:tcW w:w="140" w:type="dxa"/>
            <w:vAlign w:val="bottom"/>
            <w:gridSpan w:val="2"/>
          </w:tcPr>
          <w:p>
            <w:pPr>
              <w:spacing w:after="0"/>
              <w:rPr>
                <w:sz w:val="17"/>
                <w:szCs w:val="17"/>
                <w:color w:val="auto"/>
              </w:rPr>
            </w:pPr>
          </w:p>
        </w:tc>
        <w:tc>
          <w:tcPr>
            <w:tcW w:w="2000" w:type="dxa"/>
            <w:vAlign w:val="bottom"/>
            <w:gridSpan w:val="2"/>
          </w:tcPr>
          <w:p>
            <w:pPr>
              <w:ind w:left="20"/>
              <w:spacing w:after="0" w:line="205" w:lineRule="exact"/>
              <w:rPr>
                <w:sz w:val="20"/>
                <w:szCs w:val="20"/>
                <w:color w:val="auto"/>
              </w:rPr>
            </w:pPr>
            <w:r>
              <w:rPr>
                <w:rFonts w:ascii="Calibri" w:cs="Calibri" w:eastAsia="Calibri" w:hAnsi="Calibri"/>
                <w:sz w:val="18"/>
                <w:szCs w:val="18"/>
                <w:color w:val="auto"/>
              </w:rPr>
              <w:t>Broadcom Inc. Current</w:t>
            </w:r>
          </w:p>
        </w:tc>
        <w:tc>
          <w:tcPr>
            <w:tcW w:w="1160" w:type="dxa"/>
            <w:vAlign w:val="bottom"/>
          </w:tcPr>
          <w:p>
            <w:pPr>
              <w:spacing w:after="0" w:line="205" w:lineRule="exact"/>
              <w:rPr>
                <w:sz w:val="20"/>
                <w:szCs w:val="20"/>
                <w:color w:val="auto"/>
              </w:rPr>
            </w:pPr>
            <w:r>
              <w:rPr>
                <w:rFonts w:ascii="Calibri" w:cs="Calibri" w:eastAsia="Calibri" w:hAnsi="Calibri"/>
                <w:sz w:val="18"/>
                <w:szCs w:val="18"/>
                <w:color w:val="auto"/>
              </w:rPr>
              <w:t>001-38449</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Pr>
          <w:p>
            <w:pPr>
              <w:jc w:val="center"/>
              <w:ind w:right="213"/>
              <w:spacing w:after="0" w:line="205" w:lineRule="exact"/>
              <w:rPr>
                <w:sz w:val="20"/>
                <w:szCs w:val="20"/>
                <w:color w:val="auto"/>
              </w:rPr>
            </w:pPr>
            <w:r>
              <w:rPr>
                <w:rFonts w:ascii="Calibri" w:cs="Calibri" w:eastAsia="Calibri" w:hAnsi="Calibri"/>
                <w:sz w:val="18"/>
                <w:szCs w:val="18"/>
                <w:color w:val="auto"/>
                <w:w w:val="96"/>
              </w:rPr>
              <w:t>4.1</w:t>
            </w:r>
          </w:p>
        </w:tc>
        <w:tc>
          <w:tcPr>
            <w:tcW w:w="100" w:type="dxa"/>
            <w:vAlign w:val="bottom"/>
          </w:tcPr>
          <w:p>
            <w:pPr>
              <w:spacing w:after="0"/>
              <w:rPr>
                <w:sz w:val="17"/>
                <w:szCs w:val="17"/>
                <w:color w:val="auto"/>
              </w:rPr>
            </w:pPr>
          </w:p>
        </w:tc>
        <w:tc>
          <w:tcPr>
            <w:tcW w:w="1140" w:type="dxa"/>
            <w:vAlign w:val="bottom"/>
          </w:tcPr>
          <w:p>
            <w:pPr>
              <w:jc w:val="right"/>
              <w:ind w:right="233"/>
              <w:spacing w:after="0" w:line="205" w:lineRule="exact"/>
              <w:rPr>
                <w:sz w:val="20"/>
                <w:szCs w:val="20"/>
                <w:color w:val="auto"/>
              </w:rPr>
            </w:pPr>
            <w:r>
              <w:rPr>
                <w:rFonts w:ascii="Calibri" w:cs="Calibri" w:eastAsia="Calibri" w:hAnsi="Calibri"/>
                <w:sz w:val="18"/>
                <w:szCs w:val="18"/>
                <w:color w:val="auto"/>
                <w:w w:val="95"/>
              </w:rPr>
              <w:t>01-19-2021</w:t>
            </w:r>
          </w:p>
        </w:tc>
        <w:tc>
          <w:tcPr>
            <w:tcW w:w="0" w:type="dxa"/>
            <w:vAlign w:val="bottom"/>
          </w:tcPr>
          <w:p>
            <w:pPr>
              <w:spacing w:after="0"/>
              <w:rPr>
                <w:sz w:val="1"/>
                <w:szCs w:val="1"/>
                <w:color w:val="auto"/>
              </w:rPr>
            </w:pPr>
          </w:p>
        </w:tc>
      </w:tr>
      <w:tr>
        <w:trPr>
          <w:trHeight w:val="152"/>
        </w:trPr>
        <w:tc>
          <w:tcPr>
            <w:tcW w:w="8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80" w:type="dxa"/>
            <w:vAlign w:val="bottom"/>
            <w:tcBorders>
              <w:top w:val="single" w:sz="8" w:color="0000FF"/>
              <w:bottom w:val="single" w:sz="8" w:color="0000FF"/>
            </w:tcBorders>
            <w:gridSpan w:val="2"/>
          </w:tcPr>
          <w:p>
            <w:pPr>
              <w:spacing w:after="0" w:line="152" w:lineRule="exact"/>
              <w:rPr>
                <w:rFonts w:ascii="Calibri" w:cs="Calibri" w:eastAsia="Calibri" w:hAnsi="Calibri"/>
                <w:sz w:val="15"/>
                <w:szCs w:val="15"/>
                <w:color w:val="0000FF"/>
              </w:rPr>
            </w:pPr>
            <w:hyperlink r:id="rId130">
              <w:r>
                <w:rPr>
                  <w:rFonts w:ascii="Calibri" w:cs="Calibri" w:eastAsia="Calibri" w:hAnsi="Calibri"/>
                  <w:sz w:val="15"/>
                  <w:szCs w:val="15"/>
                  <w:color w:val="0000FF"/>
                </w:rPr>
                <w:t>in Exhibit 4.32).</w:t>
              </w:r>
            </w:hyperlink>
          </w:p>
        </w:tc>
        <w:tc>
          <w:tcPr>
            <w:tcW w:w="2320" w:type="dxa"/>
            <w:vAlign w:val="bottom"/>
            <w:tcBorders>
              <w:top w:val="single" w:sz="8" w:color="0000FF"/>
            </w:tcBorders>
            <w:gridSpan w:val="4"/>
          </w:tcPr>
          <w:p>
            <w:pPr>
              <w:spacing w:after="0"/>
              <w:rPr>
                <w:sz w:val="13"/>
                <w:szCs w:val="13"/>
                <w:color w:val="auto"/>
              </w:rPr>
            </w:pPr>
          </w:p>
        </w:tc>
        <w:tc>
          <w:tcPr>
            <w:tcW w:w="260" w:type="dxa"/>
            <w:vAlign w:val="bottom"/>
            <w:gridSpan w:val="5"/>
          </w:tcPr>
          <w:p>
            <w:pPr>
              <w:spacing w:after="0"/>
              <w:rPr>
                <w:sz w:val="13"/>
                <w:szCs w:val="13"/>
                <w:color w:val="auto"/>
              </w:rPr>
            </w:pPr>
          </w:p>
        </w:tc>
        <w:tc>
          <w:tcPr>
            <w:tcW w:w="2000" w:type="dxa"/>
            <w:vAlign w:val="bottom"/>
            <w:gridSpan w:val="2"/>
          </w:tcPr>
          <w:p>
            <w:pPr>
              <w:ind w:left="20"/>
              <w:spacing w:after="0" w:line="152" w:lineRule="exact"/>
              <w:rPr>
                <w:sz w:val="20"/>
                <w:szCs w:val="20"/>
                <w:color w:val="auto"/>
              </w:rPr>
            </w:pPr>
            <w:r>
              <w:rPr>
                <w:rFonts w:ascii="Calibri" w:cs="Calibri" w:eastAsia="Calibri" w:hAnsi="Calibri"/>
                <w:sz w:val="15"/>
                <w:szCs w:val="15"/>
                <w:color w:val="auto"/>
              </w:rPr>
              <w:t>Report on Form 8-K</w:t>
            </w: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8"/>
        </w:trPr>
        <w:tc>
          <w:tcPr>
            <w:tcW w:w="860" w:type="dxa"/>
            <w:vAlign w:val="bottom"/>
          </w:tcPr>
          <w:p>
            <w:pPr>
              <w:jc w:val="right"/>
              <w:spacing w:after="0" w:line="217" w:lineRule="exact"/>
              <w:rPr>
                <w:sz w:val="20"/>
                <w:szCs w:val="20"/>
                <w:color w:val="auto"/>
              </w:rPr>
            </w:pPr>
            <w:r>
              <w:rPr>
                <w:rFonts w:ascii="Calibri" w:cs="Calibri" w:eastAsia="Calibri" w:hAnsi="Calibri"/>
                <w:sz w:val="18"/>
                <w:szCs w:val="18"/>
                <w:color w:val="auto"/>
              </w:rPr>
              <w:t>4.29</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60" w:type="dxa"/>
            <w:vAlign w:val="bottom"/>
            <w:gridSpan w:val="11"/>
          </w:tcPr>
          <w:p>
            <w:pPr>
              <w:spacing w:after="0" w:line="217" w:lineRule="exact"/>
              <w:rPr>
                <w:rFonts w:ascii="Calibri" w:cs="Calibri" w:eastAsia="Calibri" w:hAnsi="Calibri"/>
                <w:sz w:val="18"/>
                <w:szCs w:val="18"/>
                <w:color w:val="0000FF"/>
              </w:rPr>
            </w:pPr>
            <w:hyperlink r:id="rId130">
              <w:r>
                <w:rPr>
                  <w:rFonts w:ascii="Calibri" w:cs="Calibri" w:eastAsia="Calibri" w:hAnsi="Calibri"/>
                  <w:sz w:val="18"/>
                  <w:szCs w:val="18"/>
                  <w:color w:val="0000FF"/>
                </w:rPr>
                <w:t>Form of 2.450% Senior Notes due 2031 (included</w:t>
              </w:r>
            </w:hyperlink>
          </w:p>
        </w:tc>
        <w:tc>
          <w:tcPr>
            <w:tcW w:w="2000" w:type="dxa"/>
            <w:vAlign w:val="bottom"/>
            <w:gridSpan w:val="2"/>
          </w:tcPr>
          <w:p>
            <w:pPr>
              <w:ind w:left="20"/>
              <w:spacing w:after="0" w:line="217" w:lineRule="exact"/>
              <w:rPr>
                <w:sz w:val="20"/>
                <w:szCs w:val="20"/>
                <w:color w:val="auto"/>
              </w:rPr>
            </w:pPr>
            <w:r>
              <w:rPr>
                <w:rFonts w:ascii="Calibri" w:cs="Calibri" w:eastAsia="Calibri" w:hAnsi="Calibri"/>
                <w:sz w:val="18"/>
                <w:szCs w:val="18"/>
                <w:color w:val="auto"/>
              </w:rPr>
              <w:t>Broadcom Inc. Current</w:t>
            </w:r>
          </w:p>
        </w:tc>
        <w:tc>
          <w:tcPr>
            <w:tcW w:w="1160" w:type="dxa"/>
            <w:vAlign w:val="bottom"/>
          </w:tcPr>
          <w:p>
            <w:pPr>
              <w:spacing w:after="0" w:line="217" w:lineRule="exact"/>
              <w:rPr>
                <w:sz w:val="20"/>
                <w:szCs w:val="20"/>
                <w:color w:val="auto"/>
              </w:rPr>
            </w:pPr>
            <w:r>
              <w:rPr>
                <w:rFonts w:ascii="Calibri" w:cs="Calibri" w:eastAsia="Calibri" w:hAnsi="Calibri"/>
                <w:sz w:val="18"/>
                <w:szCs w:val="18"/>
                <w:color w:val="auto"/>
              </w:rPr>
              <w:t>001-38449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jc w:val="center"/>
              <w:ind w:right="213"/>
              <w:spacing w:after="0" w:line="217" w:lineRule="exact"/>
              <w:rPr>
                <w:sz w:val="20"/>
                <w:szCs w:val="20"/>
                <w:color w:val="auto"/>
              </w:rPr>
            </w:pPr>
            <w:r>
              <w:rPr>
                <w:rFonts w:ascii="Calibri" w:cs="Calibri" w:eastAsia="Calibri" w:hAnsi="Calibri"/>
                <w:sz w:val="18"/>
                <w:szCs w:val="18"/>
                <w:color w:val="auto"/>
                <w:w w:val="96"/>
              </w:rPr>
              <w:t>4.1</w:t>
            </w:r>
          </w:p>
        </w:tc>
        <w:tc>
          <w:tcPr>
            <w:tcW w:w="100" w:type="dxa"/>
            <w:vAlign w:val="bottom"/>
          </w:tcPr>
          <w:p>
            <w:pPr>
              <w:spacing w:after="0"/>
              <w:rPr>
                <w:sz w:val="18"/>
                <w:szCs w:val="18"/>
                <w:color w:val="auto"/>
              </w:rPr>
            </w:pPr>
          </w:p>
        </w:tc>
        <w:tc>
          <w:tcPr>
            <w:tcW w:w="1140" w:type="dxa"/>
            <w:vAlign w:val="bottom"/>
          </w:tcPr>
          <w:p>
            <w:pPr>
              <w:jc w:val="right"/>
              <w:ind w:right="233"/>
              <w:spacing w:after="0" w:line="217" w:lineRule="exact"/>
              <w:rPr>
                <w:sz w:val="20"/>
                <w:szCs w:val="20"/>
                <w:color w:val="auto"/>
              </w:rPr>
            </w:pPr>
            <w:r>
              <w:rPr>
                <w:rFonts w:ascii="Calibri" w:cs="Calibri" w:eastAsia="Calibri" w:hAnsi="Calibri"/>
                <w:sz w:val="18"/>
                <w:szCs w:val="18"/>
                <w:color w:val="auto"/>
                <w:w w:val="95"/>
              </w:rPr>
              <w:t>01-19-2021</w:t>
            </w:r>
          </w:p>
        </w:tc>
        <w:tc>
          <w:tcPr>
            <w:tcW w:w="0" w:type="dxa"/>
            <w:vAlign w:val="bottom"/>
          </w:tcPr>
          <w:p>
            <w:pPr>
              <w:spacing w:after="0"/>
              <w:rPr>
                <w:sz w:val="1"/>
                <w:szCs w:val="1"/>
                <w:color w:val="auto"/>
              </w:rPr>
            </w:pPr>
          </w:p>
        </w:tc>
      </w:tr>
      <w:tr>
        <w:trPr>
          <w:trHeight w:val="152"/>
        </w:trPr>
        <w:tc>
          <w:tcPr>
            <w:tcW w:w="8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80" w:type="dxa"/>
            <w:vAlign w:val="bottom"/>
            <w:tcBorders>
              <w:top w:val="single" w:sz="8" w:color="0000FF"/>
              <w:bottom w:val="single" w:sz="8" w:color="0000FF"/>
            </w:tcBorders>
            <w:gridSpan w:val="2"/>
          </w:tcPr>
          <w:p>
            <w:pPr>
              <w:spacing w:after="0" w:line="152" w:lineRule="exact"/>
              <w:rPr>
                <w:rFonts w:ascii="Calibri" w:cs="Calibri" w:eastAsia="Calibri" w:hAnsi="Calibri"/>
                <w:sz w:val="15"/>
                <w:szCs w:val="15"/>
                <w:color w:val="0000FF"/>
              </w:rPr>
            </w:pPr>
            <w:hyperlink r:id="rId130">
              <w:r>
                <w:rPr>
                  <w:rFonts w:ascii="Calibri" w:cs="Calibri" w:eastAsia="Calibri" w:hAnsi="Calibri"/>
                  <w:sz w:val="15"/>
                  <w:szCs w:val="15"/>
                  <w:color w:val="0000FF"/>
                </w:rPr>
                <w:t>in Exhibit 4.32).</w:t>
              </w:r>
            </w:hyperlink>
          </w:p>
        </w:tc>
        <w:tc>
          <w:tcPr>
            <w:tcW w:w="2320" w:type="dxa"/>
            <w:vAlign w:val="bottom"/>
            <w:tcBorders>
              <w:top w:val="single" w:sz="8" w:color="0000FF"/>
            </w:tcBorders>
            <w:gridSpan w:val="4"/>
          </w:tcPr>
          <w:p>
            <w:pPr>
              <w:spacing w:after="0"/>
              <w:rPr>
                <w:sz w:val="13"/>
                <w:szCs w:val="13"/>
                <w:color w:val="auto"/>
              </w:rPr>
            </w:pPr>
          </w:p>
        </w:tc>
        <w:tc>
          <w:tcPr>
            <w:tcW w:w="260" w:type="dxa"/>
            <w:vAlign w:val="bottom"/>
            <w:gridSpan w:val="5"/>
          </w:tcPr>
          <w:p>
            <w:pPr>
              <w:spacing w:after="0"/>
              <w:rPr>
                <w:sz w:val="13"/>
                <w:szCs w:val="13"/>
                <w:color w:val="auto"/>
              </w:rPr>
            </w:pPr>
          </w:p>
        </w:tc>
        <w:tc>
          <w:tcPr>
            <w:tcW w:w="2000" w:type="dxa"/>
            <w:vAlign w:val="bottom"/>
            <w:gridSpan w:val="2"/>
          </w:tcPr>
          <w:p>
            <w:pPr>
              <w:ind w:left="20"/>
              <w:spacing w:after="0" w:line="152" w:lineRule="exact"/>
              <w:rPr>
                <w:sz w:val="20"/>
                <w:szCs w:val="20"/>
                <w:color w:val="auto"/>
              </w:rPr>
            </w:pPr>
            <w:r>
              <w:rPr>
                <w:rFonts w:ascii="Calibri" w:cs="Calibri" w:eastAsia="Calibri" w:hAnsi="Calibri"/>
                <w:sz w:val="15"/>
                <w:szCs w:val="15"/>
                <w:color w:val="auto"/>
              </w:rPr>
              <w:t>Report on Form 8-K</w:t>
            </w: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8"/>
        </w:trPr>
        <w:tc>
          <w:tcPr>
            <w:tcW w:w="860" w:type="dxa"/>
            <w:vAlign w:val="bottom"/>
          </w:tcPr>
          <w:p>
            <w:pPr>
              <w:jc w:val="right"/>
              <w:spacing w:after="0" w:line="217" w:lineRule="exact"/>
              <w:rPr>
                <w:sz w:val="20"/>
                <w:szCs w:val="20"/>
                <w:color w:val="auto"/>
              </w:rPr>
            </w:pPr>
            <w:r>
              <w:rPr>
                <w:rFonts w:ascii="Calibri" w:cs="Calibri" w:eastAsia="Calibri" w:hAnsi="Calibri"/>
                <w:sz w:val="18"/>
                <w:szCs w:val="18"/>
                <w:color w:val="auto"/>
              </w:rPr>
              <w:t>4.30</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60" w:type="dxa"/>
            <w:vAlign w:val="bottom"/>
            <w:gridSpan w:val="11"/>
          </w:tcPr>
          <w:p>
            <w:pPr>
              <w:spacing w:after="0" w:line="217" w:lineRule="exact"/>
              <w:rPr>
                <w:rFonts w:ascii="Calibri" w:cs="Calibri" w:eastAsia="Calibri" w:hAnsi="Calibri"/>
                <w:sz w:val="18"/>
                <w:szCs w:val="18"/>
                <w:color w:val="0000FF"/>
              </w:rPr>
            </w:pPr>
            <w:hyperlink r:id="rId130">
              <w:r>
                <w:rPr>
                  <w:rFonts w:ascii="Calibri" w:cs="Calibri" w:eastAsia="Calibri" w:hAnsi="Calibri"/>
                  <w:sz w:val="18"/>
                  <w:szCs w:val="18"/>
                  <w:color w:val="0000FF"/>
                </w:rPr>
                <w:t>Form of 2.600% Senior Notes due 2033 (included</w:t>
              </w:r>
            </w:hyperlink>
          </w:p>
        </w:tc>
        <w:tc>
          <w:tcPr>
            <w:tcW w:w="2000" w:type="dxa"/>
            <w:vAlign w:val="bottom"/>
            <w:gridSpan w:val="2"/>
          </w:tcPr>
          <w:p>
            <w:pPr>
              <w:ind w:left="20"/>
              <w:spacing w:after="0" w:line="217" w:lineRule="exact"/>
              <w:rPr>
                <w:sz w:val="20"/>
                <w:szCs w:val="20"/>
                <w:color w:val="auto"/>
              </w:rPr>
            </w:pPr>
            <w:r>
              <w:rPr>
                <w:rFonts w:ascii="Calibri" w:cs="Calibri" w:eastAsia="Calibri" w:hAnsi="Calibri"/>
                <w:sz w:val="18"/>
                <w:szCs w:val="18"/>
                <w:color w:val="auto"/>
              </w:rPr>
              <w:t>Broadcom Inc. Current</w:t>
            </w:r>
          </w:p>
        </w:tc>
        <w:tc>
          <w:tcPr>
            <w:tcW w:w="1160" w:type="dxa"/>
            <w:vAlign w:val="bottom"/>
          </w:tcPr>
          <w:p>
            <w:pPr>
              <w:spacing w:after="0" w:line="217" w:lineRule="exact"/>
              <w:rPr>
                <w:sz w:val="20"/>
                <w:szCs w:val="20"/>
                <w:color w:val="auto"/>
              </w:rPr>
            </w:pPr>
            <w:r>
              <w:rPr>
                <w:rFonts w:ascii="Calibri" w:cs="Calibri" w:eastAsia="Calibri" w:hAnsi="Calibri"/>
                <w:sz w:val="18"/>
                <w:szCs w:val="18"/>
                <w:color w:val="auto"/>
              </w:rPr>
              <w:t>001-38449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jc w:val="center"/>
              <w:ind w:right="213"/>
              <w:spacing w:after="0" w:line="217" w:lineRule="exact"/>
              <w:rPr>
                <w:sz w:val="20"/>
                <w:szCs w:val="20"/>
                <w:color w:val="auto"/>
              </w:rPr>
            </w:pPr>
            <w:r>
              <w:rPr>
                <w:rFonts w:ascii="Calibri" w:cs="Calibri" w:eastAsia="Calibri" w:hAnsi="Calibri"/>
                <w:sz w:val="18"/>
                <w:szCs w:val="18"/>
                <w:color w:val="auto"/>
                <w:w w:val="96"/>
              </w:rPr>
              <w:t>4.1</w:t>
            </w:r>
          </w:p>
        </w:tc>
        <w:tc>
          <w:tcPr>
            <w:tcW w:w="100" w:type="dxa"/>
            <w:vAlign w:val="bottom"/>
          </w:tcPr>
          <w:p>
            <w:pPr>
              <w:spacing w:after="0"/>
              <w:rPr>
                <w:sz w:val="18"/>
                <w:szCs w:val="18"/>
                <w:color w:val="auto"/>
              </w:rPr>
            </w:pPr>
          </w:p>
        </w:tc>
        <w:tc>
          <w:tcPr>
            <w:tcW w:w="1140" w:type="dxa"/>
            <w:vAlign w:val="bottom"/>
          </w:tcPr>
          <w:p>
            <w:pPr>
              <w:jc w:val="right"/>
              <w:ind w:right="233"/>
              <w:spacing w:after="0" w:line="217" w:lineRule="exact"/>
              <w:rPr>
                <w:sz w:val="20"/>
                <w:szCs w:val="20"/>
                <w:color w:val="auto"/>
              </w:rPr>
            </w:pPr>
            <w:r>
              <w:rPr>
                <w:rFonts w:ascii="Calibri" w:cs="Calibri" w:eastAsia="Calibri" w:hAnsi="Calibri"/>
                <w:sz w:val="18"/>
                <w:szCs w:val="18"/>
                <w:color w:val="auto"/>
                <w:w w:val="95"/>
              </w:rPr>
              <w:t>01-19-2021</w:t>
            </w:r>
          </w:p>
        </w:tc>
        <w:tc>
          <w:tcPr>
            <w:tcW w:w="0" w:type="dxa"/>
            <w:vAlign w:val="bottom"/>
          </w:tcPr>
          <w:p>
            <w:pPr>
              <w:spacing w:after="0"/>
              <w:rPr>
                <w:sz w:val="1"/>
                <w:szCs w:val="1"/>
                <w:color w:val="auto"/>
              </w:rPr>
            </w:pPr>
          </w:p>
        </w:tc>
      </w:tr>
      <w:tr>
        <w:trPr>
          <w:trHeight w:val="152"/>
        </w:trPr>
        <w:tc>
          <w:tcPr>
            <w:tcW w:w="8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80" w:type="dxa"/>
            <w:vAlign w:val="bottom"/>
            <w:tcBorders>
              <w:top w:val="single" w:sz="8" w:color="0000FF"/>
              <w:bottom w:val="single" w:sz="8" w:color="0000FF"/>
            </w:tcBorders>
            <w:gridSpan w:val="2"/>
          </w:tcPr>
          <w:p>
            <w:pPr>
              <w:spacing w:after="0" w:line="152" w:lineRule="exact"/>
              <w:rPr>
                <w:rFonts w:ascii="Calibri" w:cs="Calibri" w:eastAsia="Calibri" w:hAnsi="Calibri"/>
                <w:sz w:val="15"/>
                <w:szCs w:val="15"/>
                <w:color w:val="0000FF"/>
              </w:rPr>
            </w:pPr>
            <w:hyperlink r:id="rId130">
              <w:r>
                <w:rPr>
                  <w:rFonts w:ascii="Calibri" w:cs="Calibri" w:eastAsia="Calibri" w:hAnsi="Calibri"/>
                  <w:sz w:val="15"/>
                  <w:szCs w:val="15"/>
                  <w:color w:val="0000FF"/>
                </w:rPr>
                <w:t>in Exhibit 4.32).</w:t>
              </w:r>
            </w:hyperlink>
          </w:p>
        </w:tc>
        <w:tc>
          <w:tcPr>
            <w:tcW w:w="2320" w:type="dxa"/>
            <w:vAlign w:val="bottom"/>
            <w:tcBorders>
              <w:top w:val="single" w:sz="8" w:color="0000FF"/>
            </w:tcBorders>
            <w:gridSpan w:val="4"/>
          </w:tcPr>
          <w:p>
            <w:pPr>
              <w:spacing w:after="0"/>
              <w:rPr>
                <w:sz w:val="13"/>
                <w:szCs w:val="13"/>
                <w:color w:val="auto"/>
              </w:rPr>
            </w:pPr>
          </w:p>
        </w:tc>
        <w:tc>
          <w:tcPr>
            <w:tcW w:w="260" w:type="dxa"/>
            <w:vAlign w:val="bottom"/>
            <w:gridSpan w:val="5"/>
          </w:tcPr>
          <w:p>
            <w:pPr>
              <w:spacing w:after="0"/>
              <w:rPr>
                <w:sz w:val="13"/>
                <w:szCs w:val="13"/>
                <w:color w:val="auto"/>
              </w:rPr>
            </w:pPr>
          </w:p>
        </w:tc>
        <w:tc>
          <w:tcPr>
            <w:tcW w:w="2000" w:type="dxa"/>
            <w:vAlign w:val="bottom"/>
            <w:gridSpan w:val="2"/>
          </w:tcPr>
          <w:p>
            <w:pPr>
              <w:ind w:left="20"/>
              <w:spacing w:after="0" w:line="152" w:lineRule="exact"/>
              <w:rPr>
                <w:sz w:val="20"/>
                <w:szCs w:val="20"/>
                <w:color w:val="auto"/>
              </w:rPr>
            </w:pPr>
            <w:r>
              <w:rPr>
                <w:rFonts w:ascii="Calibri" w:cs="Calibri" w:eastAsia="Calibri" w:hAnsi="Calibri"/>
                <w:sz w:val="15"/>
                <w:szCs w:val="15"/>
                <w:color w:val="auto"/>
              </w:rPr>
              <w:t>Report on Form 8-K</w:t>
            </w: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8"/>
        </w:trPr>
        <w:tc>
          <w:tcPr>
            <w:tcW w:w="860" w:type="dxa"/>
            <w:vAlign w:val="bottom"/>
          </w:tcPr>
          <w:p>
            <w:pPr>
              <w:jc w:val="right"/>
              <w:spacing w:after="0" w:line="217" w:lineRule="exact"/>
              <w:rPr>
                <w:sz w:val="20"/>
                <w:szCs w:val="20"/>
                <w:color w:val="auto"/>
              </w:rPr>
            </w:pPr>
            <w:r>
              <w:rPr>
                <w:rFonts w:ascii="Calibri" w:cs="Calibri" w:eastAsia="Calibri" w:hAnsi="Calibri"/>
                <w:sz w:val="18"/>
                <w:szCs w:val="18"/>
                <w:color w:val="auto"/>
              </w:rPr>
              <w:t>4.31</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60" w:type="dxa"/>
            <w:vAlign w:val="bottom"/>
            <w:gridSpan w:val="11"/>
          </w:tcPr>
          <w:p>
            <w:pPr>
              <w:spacing w:after="0" w:line="217" w:lineRule="exact"/>
              <w:rPr>
                <w:rFonts w:ascii="Calibri" w:cs="Calibri" w:eastAsia="Calibri" w:hAnsi="Calibri"/>
                <w:sz w:val="18"/>
                <w:szCs w:val="18"/>
                <w:color w:val="0000FF"/>
              </w:rPr>
            </w:pPr>
            <w:hyperlink r:id="rId130">
              <w:r>
                <w:rPr>
                  <w:rFonts w:ascii="Calibri" w:cs="Calibri" w:eastAsia="Calibri" w:hAnsi="Calibri"/>
                  <w:sz w:val="18"/>
                  <w:szCs w:val="18"/>
                  <w:color w:val="0000FF"/>
                </w:rPr>
                <w:t>Form of 3.500% Senior Notes due 2041 (included</w:t>
              </w:r>
            </w:hyperlink>
          </w:p>
        </w:tc>
        <w:tc>
          <w:tcPr>
            <w:tcW w:w="2000" w:type="dxa"/>
            <w:vAlign w:val="bottom"/>
            <w:gridSpan w:val="2"/>
          </w:tcPr>
          <w:p>
            <w:pPr>
              <w:ind w:left="20"/>
              <w:spacing w:after="0" w:line="217" w:lineRule="exact"/>
              <w:rPr>
                <w:sz w:val="20"/>
                <w:szCs w:val="20"/>
                <w:color w:val="auto"/>
              </w:rPr>
            </w:pPr>
            <w:r>
              <w:rPr>
                <w:rFonts w:ascii="Calibri" w:cs="Calibri" w:eastAsia="Calibri" w:hAnsi="Calibri"/>
                <w:sz w:val="18"/>
                <w:szCs w:val="18"/>
                <w:color w:val="auto"/>
              </w:rPr>
              <w:t>Broadcom Inc. Current</w:t>
            </w:r>
          </w:p>
        </w:tc>
        <w:tc>
          <w:tcPr>
            <w:tcW w:w="1160" w:type="dxa"/>
            <w:vAlign w:val="bottom"/>
          </w:tcPr>
          <w:p>
            <w:pPr>
              <w:spacing w:after="0" w:line="217" w:lineRule="exact"/>
              <w:rPr>
                <w:sz w:val="20"/>
                <w:szCs w:val="20"/>
                <w:color w:val="auto"/>
              </w:rPr>
            </w:pPr>
            <w:r>
              <w:rPr>
                <w:rFonts w:ascii="Calibri" w:cs="Calibri" w:eastAsia="Calibri" w:hAnsi="Calibri"/>
                <w:sz w:val="18"/>
                <w:szCs w:val="18"/>
                <w:color w:val="auto"/>
              </w:rPr>
              <w:t>001-38449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jc w:val="center"/>
              <w:ind w:right="213"/>
              <w:spacing w:after="0" w:line="217" w:lineRule="exact"/>
              <w:rPr>
                <w:sz w:val="20"/>
                <w:szCs w:val="20"/>
                <w:color w:val="auto"/>
              </w:rPr>
            </w:pPr>
            <w:r>
              <w:rPr>
                <w:rFonts w:ascii="Calibri" w:cs="Calibri" w:eastAsia="Calibri" w:hAnsi="Calibri"/>
                <w:sz w:val="18"/>
                <w:szCs w:val="18"/>
                <w:color w:val="auto"/>
                <w:w w:val="96"/>
              </w:rPr>
              <w:t>4.1</w:t>
            </w:r>
          </w:p>
        </w:tc>
        <w:tc>
          <w:tcPr>
            <w:tcW w:w="100" w:type="dxa"/>
            <w:vAlign w:val="bottom"/>
          </w:tcPr>
          <w:p>
            <w:pPr>
              <w:spacing w:after="0"/>
              <w:rPr>
                <w:sz w:val="18"/>
                <w:szCs w:val="18"/>
                <w:color w:val="auto"/>
              </w:rPr>
            </w:pPr>
          </w:p>
        </w:tc>
        <w:tc>
          <w:tcPr>
            <w:tcW w:w="1140" w:type="dxa"/>
            <w:vAlign w:val="bottom"/>
          </w:tcPr>
          <w:p>
            <w:pPr>
              <w:jc w:val="right"/>
              <w:ind w:right="233"/>
              <w:spacing w:after="0" w:line="217" w:lineRule="exact"/>
              <w:rPr>
                <w:sz w:val="20"/>
                <w:szCs w:val="20"/>
                <w:color w:val="auto"/>
              </w:rPr>
            </w:pPr>
            <w:r>
              <w:rPr>
                <w:rFonts w:ascii="Calibri" w:cs="Calibri" w:eastAsia="Calibri" w:hAnsi="Calibri"/>
                <w:sz w:val="18"/>
                <w:szCs w:val="18"/>
                <w:color w:val="auto"/>
                <w:w w:val="95"/>
              </w:rPr>
              <w:t>01-19-2021</w:t>
            </w:r>
          </w:p>
        </w:tc>
        <w:tc>
          <w:tcPr>
            <w:tcW w:w="0" w:type="dxa"/>
            <w:vAlign w:val="bottom"/>
          </w:tcPr>
          <w:p>
            <w:pPr>
              <w:spacing w:after="0"/>
              <w:rPr>
                <w:sz w:val="1"/>
                <w:szCs w:val="1"/>
                <w:color w:val="auto"/>
              </w:rPr>
            </w:pPr>
          </w:p>
        </w:tc>
      </w:tr>
      <w:tr>
        <w:trPr>
          <w:trHeight w:val="152"/>
        </w:trPr>
        <w:tc>
          <w:tcPr>
            <w:tcW w:w="8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80" w:type="dxa"/>
            <w:vAlign w:val="bottom"/>
            <w:tcBorders>
              <w:top w:val="single" w:sz="8" w:color="0000FF"/>
              <w:bottom w:val="single" w:sz="8" w:color="0000FF"/>
            </w:tcBorders>
            <w:gridSpan w:val="2"/>
          </w:tcPr>
          <w:p>
            <w:pPr>
              <w:spacing w:after="0" w:line="152" w:lineRule="exact"/>
              <w:rPr>
                <w:rFonts w:ascii="Calibri" w:cs="Calibri" w:eastAsia="Calibri" w:hAnsi="Calibri"/>
                <w:sz w:val="15"/>
                <w:szCs w:val="15"/>
                <w:color w:val="0000FF"/>
              </w:rPr>
            </w:pPr>
            <w:hyperlink r:id="rId130">
              <w:r>
                <w:rPr>
                  <w:rFonts w:ascii="Calibri" w:cs="Calibri" w:eastAsia="Calibri" w:hAnsi="Calibri"/>
                  <w:sz w:val="15"/>
                  <w:szCs w:val="15"/>
                  <w:color w:val="0000FF"/>
                </w:rPr>
                <w:t>in Exhibit 4.32).</w:t>
              </w:r>
            </w:hyperlink>
          </w:p>
        </w:tc>
        <w:tc>
          <w:tcPr>
            <w:tcW w:w="2320" w:type="dxa"/>
            <w:vAlign w:val="bottom"/>
            <w:tcBorders>
              <w:top w:val="single" w:sz="8" w:color="0000FF"/>
            </w:tcBorders>
            <w:gridSpan w:val="4"/>
          </w:tcPr>
          <w:p>
            <w:pPr>
              <w:spacing w:after="0"/>
              <w:rPr>
                <w:sz w:val="13"/>
                <w:szCs w:val="13"/>
                <w:color w:val="auto"/>
              </w:rPr>
            </w:pPr>
          </w:p>
        </w:tc>
        <w:tc>
          <w:tcPr>
            <w:tcW w:w="260" w:type="dxa"/>
            <w:vAlign w:val="bottom"/>
            <w:gridSpan w:val="5"/>
          </w:tcPr>
          <w:p>
            <w:pPr>
              <w:spacing w:after="0"/>
              <w:rPr>
                <w:sz w:val="13"/>
                <w:szCs w:val="13"/>
                <w:color w:val="auto"/>
              </w:rPr>
            </w:pPr>
          </w:p>
        </w:tc>
        <w:tc>
          <w:tcPr>
            <w:tcW w:w="2000" w:type="dxa"/>
            <w:vAlign w:val="bottom"/>
            <w:gridSpan w:val="2"/>
          </w:tcPr>
          <w:p>
            <w:pPr>
              <w:ind w:left="20"/>
              <w:spacing w:after="0" w:line="152" w:lineRule="exact"/>
              <w:rPr>
                <w:sz w:val="20"/>
                <w:szCs w:val="20"/>
                <w:color w:val="auto"/>
              </w:rPr>
            </w:pPr>
            <w:r>
              <w:rPr>
                <w:rFonts w:ascii="Calibri" w:cs="Calibri" w:eastAsia="Calibri" w:hAnsi="Calibri"/>
                <w:sz w:val="15"/>
                <w:szCs w:val="15"/>
                <w:color w:val="auto"/>
              </w:rPr>
              <w:t>Report on Form 8-K</w:t>
            </w: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8"/>
        </w:trPr>
        <w:tc>
          <w:tcPr>
            <w:tcW w:w="860" w:type="dxa"/>
            <w:vAlign w:val="bottom"/>
          </w:tcPr>
          <w:p>
            <w:pPr>
              <w:jc w:val="right"/>
              <w:spacing w:after="0" w:line="217" w:lineRule="exact"/>
              <w:rPr>
                <w:sz w:val="20"/>
                <w:szCs w:val="20"/>
                <w:color w:val="auto"/>
              </w:rPr>
            </w:pPr>
            <w:r>
              <w:rPr>
                <w:rFonts w:ascii="Calibri" w:cs="Calibri" w:eastAsia="Calibri" w:hAnsi="Calibri"/>
                <w:sz w:val="18"/>
                <w:szCs w:val="18"/>
                <w:color w:val="auto"/>
              </w:rPr>
              <w:t>4.32</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60" w:type="dxa"/>
            <w:vAlign w:val="bottom"/>
            <w:gridSpan w:val="11"/>
          </w:tcPr>
          <w:p>
            <w:pPr>
              <w:spacing w:after="0" w:line="217" w:lineRule="exact"/>
              <w:rPr>
                <w:rFonts w:ascii="Calibri" w:cs="Calibri" w:eastAsia="Calibri" w:hAnsi="Calibri"/>
                <w:sz w:val="18"/>
                <w:szCs w:val="18"/>
                <w:color w:val="0000FF"/>
              </w:rPr>
            </w:pPr>
            <w:hyperlink r:id="rId130">
              <w:r>
                <w:rPr>
                  <w:rFonts w:ascii="Calibri" w:cs="Calibri" w:eastAsia="Calibri" w:hAnsi="Calibri"/>
                  <w:sz w:val="18"/>
                  <w:szCs w:val="18"/>
                  <w:color w:val="0000FF"/>
                </w:rPr>
                <w:t>Form of 3.750% Senior Notes due 2051 (included</w:t>
              </w:r>
            </w:hyperlink>
          </w:p>
        </w:tc>
        <w:tc>
          <w:tcPr>
            <w:tcW w:w="2000" w:type="dxa"/>
            <w:vAlign w:val="bottom"/>
            <w:gridSpan w:val="2"/>
          </w:tcPr>
          <w:p>
            <w:pPr>
              <w:ind w:left="20"/>
              <w:spacing w:after="0" w:line="217" w:lineRule="exact"/>
              <w:rPr>
                <w:sz w:val="20"/>
                <w:szCs w:val="20"/>
                <w:color w:val="auto"/>
              </w:rPr>
            </w:pPr>
            <w:r>
              <w:rPr>
                <w:rFonts w:ascii="Calibri" w:cs="Calibri" w:eastAsia="Calibri" w:hAnsi="Calibri"/>
                <w:sz w:val="18"/>
                <w:szCs w:val="18"/>
                <w:color w:val="auto"/>
              </w:rPr>
              <w:t>Broadcom Inc. Current</w:t>
            </w:r>
          </w:p>
        </w:tc>
        <w:tc>
          <w:tcPr>
            <w:tcW w:w="1160" w:type="dxa"/>
            <w:vAlign w:val="bottom"/>
          </w:tcPr>
          <w:p>
            <w:pPr>
              <w:spacing w:after="0" w:line="217" w:lineRule="exact"/>
              <w:rPr>
                <w:sz w:val="20"/>
                <w:szCs w:val="20"/>
                <w:color w:val="auto"/>
              </w:rPr>
            </w:pPr>
            <w:r>
              <w:rPr>
                <w:rFonts w:ascii="Calibri" w:cs="Calibri" w:eastAsia="Calibri" w:hAnsi="Calibri"/>
                <w:sz w:val="18"/>
                <w:szCs w:val="18"/>
                <w:color w:val="auto"/>
              </w:rPr>
              <w:t>001-38449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jc w:val="center"/>
              <w:ind w:right="213"/>
              <w:spacing w:after="0" w:line="217" w:lineRule="exact"/>
              <w:rPr>
                <w:sz w:val="20"/>
                <w:szCs w:val="20"/>
                <w:color w:val="auto"/>
              </w:rPr>
            </w:pPr>
            <w:r>
              <w:rPr>
                <w:rFonts w:ascii="Calibri" w:cs="Calibri" w:eastAsia="Calibri" w:hAnsi="Calibri"/>
                <w:sz w:val="18"/>
                <w:szCs w:val="18"/>
                <w:color w:val="auto"/>
                <w:w w:val="96"/>
              </w:rPr>
              <w:t>4.1</w:t>
            </w:r>
          </w:p>
        </w:tc>
        <w:tc>
          <w:tcPr>
            <w:tcW w:w="100" w:type="dxa"/>
            <w:vAlign w:val="bottom"/>
          </w:tcPr>
          <w:p>
            <w:pPr>
              <w:spacing w:after="0"/>
              <w:rPr>
                <w:sz w:val="18"/>
                <w:szCs w:val="18"/>
                <w:color w:val="auto"/>
              </w:rPr>
            </w:pPr>
          </w:p>
        </w:tc>
        <w:tc>
          <w:tcPr>
            <w:tcW w:w="1140" w:type="dxa"/>
            <w:vAlign w:val="bottom"/>
          </w:tcPr>
          <w:p>
            <w:pPr>
              <w:jc w:val="right"/>
              <w:ind w:right="233"/>
              <w:spacing w:after="0" w:line="217" w:lineRule="exact"/>
              <w:rPr>
                <w:sz w:val="20"/>
                <w:szCs w:val="20"/>
                <w:color w:val="auto"/>
              </w:rPr>
            </w:pPr>
            <w:r>
              <w:rPr>
                <w:rFonts w:ascii="Calibri" w:cs="Calibri" w:eastAsia="Calibri" w:hAnsi="Calibri"/>
                <w:sz w:val="18"/>
                <w:szCs w:val="18"/>
                <w:color w:val="auto"/>
                <w:w w:val="95"/>
              </w:rPr>
              <w:t>01-19-2021</w:t>
            </w:r>
          </w:p>
        </w:tc>
        <w:tc>
          <w:tcPr>
            <w:tcW w:w="0" w:type="dxa"/>
            <w:vAlign w:val="bottom"/>
          </w:tcPr>
          <w:p>
            <w:pPr>
              <w:spacing w:after="0"/>
              <w:rPr>
                <w:sz w:val="1"/>
                <w:szCs w:val="1"/>
                <w:color w:val="auto"/>
              </w:rPr>
            </w:pPr>
          </w:p>
        </w:tc>
      </w:tr>
      <w:tr>
        <w:trPr>
          <w:trHeight w:val="152"/>
        </w:trPr>
        <w:tc>
          <w:tcPr>
            <w:tcW w:w="8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00" w:type="dxa"/>
            <w:vAlign w:val="bottom"/>
            <w:tcBorders>
              <w:top w:val="single" w:sz="8" w:color="0000FF"/>
            </w:tcBorders>
            <w:gridSpan w:val="6"/>
          </w:tcPr>
          <w:p>
            <w:pPr>
              <w:spacing w:after="0" w:line="152" w:lineRule="exact"/>
              <w:rPr>
                <w:rFonts w:ascii="Calibri" w:cs="Calibri" w:eastAsia="Calibri" w:hAnsi="Calibri"/>
                <w:sz w:val="15"/>
                <w:szCs w:val="15"/>
                <w:color w:val="0000FF"/>
              </w:rPr>
            </w:pPr>
            <w:hyperlink r:id="rId130">
              <w:r>
                <w:rPr>
                  <w:rFonts w:ascii="Calibri" w:cs="Calibri" w:eastAsia="Calibri" w:hAnsi="Calibri"/>
                  <w:sz w:val="15"/>
                  <w:szCs w:val="15"/>
                  <w:color w:val="0000FF"/>
                </w:rPr>
                <w:t>in Exhibit 4.32).</w:t>
              </w:r>
            </w:hyperlink>
          </w:p>
        </w:tc>
        <w:tc>
          <w:tcPr>
            <w:tcW w:w="260" w:type="dxa"/>
            <w:vAlign w:val="bottom"/>
            <w:gridSpan w:val="5"/>
          </w:tcPr>
          <w:p>
            <w:pPr>
              <w:spacing w:after="0"/>
              <w:rPr>
                <w:sz w:val="13"/>
                <w:szCs w:val="13"/>
                <w:color w:val="auto"/>
              </w:rPr>
            </w:pPr>
          </w:p>
        </w:tc>
        <w:tc>
          <w:tcPr>
            <w:tcW w:w="2000" w:type="dxa"/>
            <w:vAlign w:val="bottom"/>
            <w:gridSpan w:val="2"/>
          </w:tcPr>
          <w:p>
            <w:pPr>
              <w:ind w:left="20"/>
              <w:spacing w:after="0" w:line="152" w:lineRule="exact"/>
              <w:rPr>
                <w:sz w:val="20"/>
                <w:szCs w:val="20"/>
                <w:color w:val="auto"/>
              </w:rPr>
            </w:pPr>
            <w:r>
              <w:rPr>
                <w:rFonts w:ascii="Calibri" w:cs="Calibri" w:eastAsia="Calibri" w:hAnsi="Calibri"/>
                <w:sz w:val="15"/>
                <w:szCs w:val="15"/>
                <w:color w:val="auto"/>
              </w:rPr>
              <w:t>Report on Form 8-K</w:t>
            </w: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09"/>
        </w:trPr>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4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00" w:type="dxa"/>
            <w:vAlign w:val="bottom"/>
          </w:tcPr>
          <w:p>
            <w:pPr>
              <w:ind w:left="700"/>
              <w:spacing w:after="0"/>
              <w:rPr>
                <w:sz w:val="20"/>
                <w:szCs w:val="20"/>
                <w:color w:val="auto"/>
              </w:rPr>
            </w:pPr>
            <w:r>
              <w:rPr>
                <w:rFonts w:ascii="Calibri" w:cs="Calibri" w:eastAsia="Calibri" w:hAnsi="Calibri"/>
                <w:sz w:val="18"/>
                <w:szCs w:val="18"/>
                <w:color w:val="auto"/>
              </w:rPr>
              <w:t>93</w:t>
            </w: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3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Calibri" w:cs="Calibri" w:eastAsia="Calibri" w:hAnsi="Calibri"/>
          <w:sz w:val="14"/>
          <w:szCs w:val="14"/>
          <w:color w:val="auto"/>
        </w:rPr>
        <w:t>Filed</w:t>
      </w:r>
    </w:p>
    <w:p>
      <w:pPr>
        <w:jc w:val="center"/>
        <w:spacing w:after="0" w:line="203" w:lineRule="auto"/>
        <w:rPr>
          <w:sz w:val="20"/>
          <w:szCs w:val="20"/>
          <w:color w:val="auto"/>
        </w:rPr>
      </w:pPr>
      <w:r>
        <w:rPr>
          <w:rFonts w:ascii="Calibri" w:cs="Calibri" w:eastAsia="Calibri" w:hAnsi="Calibri"/>
          <w:sz w:val="14"/>
          <w:szCs w:val="14"/>
          <w:color w:val="auto"/>
        </w:rPr>
        <w:t>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-81915</wp:posOffset>
            </wp:positionH>
            <wp:positionV relativeFrom="paragraph">
              <wp:posOffset>20955</wp:posOffset>
            </wp:positionV>
            <wp:extent cx="50292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32">
                      <a:extLst>
                        <a:ext uri="{28A0092B-C50C-407E-A947-70E740481C1C}"/>
                      </a:extLst>
                    </a:blip>
                    <a:srcRect/>
                    <a:stretch>
                      <a:fillRect/>
                    </a:stretch>
                  </pic:blipFill>
                  <pic:spPr bwMode="auto">
                    <a:xfrm>
                      <a:off x="0" y="0"/>
                      <a:ext cx="502920" cy="8255"/>
                    </a:xfrm>
                    <a:prstGeom prst="rect">
                      <a:avLst/>
                    </a:prstGeom>
                    <a:noFill/>
                  </pic:spPr>
                </pic:pic>
              </a:graphicData>
            </a:graphic>
          </wp:anchor>
        </w:drawing>
      </w:r>
    </w:p>
    <w:p>
      <w:pPr>
        <w:sectPr>
          <w:pgSz w:w="11900" w:h="16838" w:orient="portrait"/>
          <w:cols w:equalWidth="0" w:num="2">
            <w:col w:w="10340" w:space="240"/>
            <w:col w:w="540"/>
          </w:cols>
          <w:pgMar w:left="320" w:top="109" w:right="459" w:bottom="1440" w:gutter="0" w:footer="0" w:header="0"/>
        </w:sectPr>
      </w:pPr>
    </w:p>
    <w:bookmarkStart w:id="95" w:name="page96"/>
    <w:bookmarkEnd w:id="95"/>
    <w:p>
      <w:pPr>
        <w:spacing w:after="0"/>
        <w:rPr>
          <w:sz w:val="20"/>
          <w:szCs w:val="20"/>
          <w:color w:val="auto"/>
        </w:rPr>
      </w:pPr>
      <w:r>
        <w:rPr>
          <w:rFonts w:ascii="Calibri" w:cs="Calibri" w:eastAsia="Calibri" w:hAnsi="Calibri"/>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gridSpan w:val="3"/>
          </w:tcPr>
          <w:p>
            <w:pPr>
              <w:spacing w:after="0"/>
              <w:rPr>
                <w:sz w:val="20"/>
                <w:szCs w:val="20"/>
                <w:color w:val="auto"/>
              </w:rPr>
            </w:pPr>
            <w:r>
              <w:rPr>
                <w:rFonts w:ascii="Calibri" w:cs="Calibri" w:eastAsia="Calibri" w:hAnsi="Calibri"/>
                <w:sz w:val="14"/>
                <w:szCs w:val="14"/>
                <w:color w:val="auto"/>
                <w:w w:val="99"/>
              </w:rPr>
              <w:t>Incorporated by Reference</w:t>
            </w: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1160" w:type="dxa"/>
            <w:vAlign w:val="bottom"/>
            <w:gridSpan w:val="2"/>
            <w:vMerge w:val="restart"/>
          </w:tcPr>
          <w:p>
            <w:pPr>
              <w:jc w:val="center"/>
              <w:ind w:right="300"/>
              <w:spacing w:after="0"/>
              <w:rPr>
                <w:sz w:val="20"/>
                <w:szCs w:val="20"/>
                <w:color w:val="auto"/>
              </w:rPr>
            </w:pPr>
            <w:r>
              <w:rPr>
                <w:rFonts w:ascii="Calibri" w:cs="Calibri" w:eastAsia="Calibri" w:hAnsi="Calibri"/>
                <w:sz w:val="14"/>
                <w:szCs w:val="14"/>
                <w:color w:val="auto"/>
                <w:w w:val="98"/>
              </w:rPr>
              <w:t>Exhibit</w:t>
            </w:r>
          </w:p>
        </w:tc>
        <w:tc>
          <w:tcPr>
            <w:tcW w:w="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60" w:type="dxa"/>
            <w:vAlign w:val="bottom"/>
          </w:tcPr>
          <w:p>
            <w:pPr>
              <w:spacing w:after="0"/>
              <w:rPr>
                <w:sz w:val="3"/>
                <w:szCs w:val="3"/>
                <w:color w:val="auto"/>
              </w:rPr>
            </w:pPr>
          </w:p>
        </w:tc>
        <w:tc>
          <w:tcPr>
            <w:tcW w:w="140" w:type="dxa"/>
            <w:vAlign w:val="bottom"/>
          </w:tcPr>
          <w:p>
            <w:pPr>
              <w:spacing w:after="0"/>
              <w:rPr>
                <w:sz w:val="3"/>
                <w:szCs w:val="3"/>
                <w:color w:val="auto"/>
              </w:rPr>
            </w:pPr>
          </w:p>
        </w:tc>
        <w:tc>
          <w:tcPr>
            <w:tcW w:w="4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9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11"/>
        </w:trPr>
        <w:tc>
          <w:tcPr>
            <w:tcW w:w="1160" w:type="dxa"/>
            <w:vAlign w:val="bottom"/>
            <w:gridSpan w:val="2"/>
            <w:vMerge w:val="continue"/>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46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340" w:type="dxa"/>
            <w:vAlign w:val="bottom"/>
          </w:tcPr>
          <w:p>
            <w:pPr>
              <w:spacing w:after="0"/>
              <w:rPr>
                <w:sz w:val="9"/>
                <w:szCs w:val="9"/>
                <w:color w:val="auto"/>
              </w:rPr>
            </w:pPr>
          </w:p>
        </w:tc>
        <w:tc>
          <w:tcPr>
            <w:tcW w:w="2240" w:type="dxa"/>
            <w:vAlign w:val="bottom"/>
            <w:gridSpan w:val="28"/>
            <w:vMerge w:val="restart"/>
          </w:tcPr>
          <w:p>
            <w:pPr>
              <w:ind w:left="20"/>
              <w:spacing w:after="0"/>
              <w:rPr>
                <w:sz w:val="20"/>
                <w:szCs w:val="20"/>
                <w:color w:val="auto"/>
              </w:rPr>
            </w:pPr>
            <w:r>
              <w:rPr>
                <w:rFonts w:ascii="Calibri" w:cs="Calibri" w:eastAsia="Calibri" w:hAnsi="Calibri"/>
                <w:sz w:val="14"/>
                <w:szCs w:val="14"/>
                <w:color w:val="auto"/>
              </w:rPr>
              <w:t>Descripton</w:t>
            </w:r>
          </w:p>
        </w:tc>
        <w:tc>
          <w:tcPr>
            <w:tcW w:w="2000" w:type="dxa"/>
            <w:vAlign w:val="bottom"/>
            <w:gridSpan w:val="2"/>
            <w:vMerge w:val="restart"/>
          </w:tcPr>
          <w:p>
            <w:pPr>
              <w:ind w:left="800"/>
              <w:spacing w:after="0"/>
              <w:rPr>
                <w:sz w:val="20"/>
                <w:szCs w:val="20"/>
                <w:color w:val="auto"/>
              </w:rPr>
            </w:pPr>
            <w:r>
              <w:rPr>
                <w:rFonts w:ascii="Calibri" w:cs="Calibri" w:eastAsia="Calibri" w:hAnsi="Calibri"/>
                <w:sz w:val="14"/>
                <w:szCs w:val="14"/>
                <w:color w:val="auto"/>
              </w:rPr>
              <w:t>Form</w:t>
            </w:r>
          </w:p>
        </w:tc>
        <w:tc>
          <w:tcPr>
            <w:tcW w:w="1540" w:type="dxa"/>
            <w:vAlign w:val="bottom"/>
            <w:gridSpan w:val="3"/>
            <w:vMerge w:val="restart"/>
          </w:tcPr>
          <w:p>
            <w:pPr>
              <w:ind w:left="360"/>
              <w:spacing w:after="0"/>
              <w:rPr>
                <w:sz w:val="20"/>
                <w:szCs w:val="20"/>
                <w:color w:val="auto"/>
              </w:rPr>
            </w:pPr>
            <w:r>
              <w:rPr>
                <w:rFonts w:ascii="Calibri" w:cs="Calibri" w:eastAsia="Calibri" w:hAnsi="Calibri"/>
                <w:sz w:val="14"/>
                <w:szCs w:val="14"/>
                <w:color w:val="auto"/>
              </w:rPr>
              <w:t>File No.</w:t>
            </w:r>
          </w:p>
        </w:tc>
        <w:tc>
          <w:tcPr>
            <w:tcW w:w="820" w:type="dxa"/>
            <w:vAlign w:val="bottom"/>
            <w:gridSpan w:val="2"/>
            <w:vMerge w:val="restart"/>
          </w:tcPr>
          <w:p>
            <w:pPr>
              <w:jc w:val="center"/>
              <w:ind w:right="400"/>
              <w:spacing w:after="0"/>
              <w:rPr>
                <w:sz w:val="20"/>
                <w:szCs w:val="20"/>
                <w:color w:val="auto"/>
              </w:rPr>
            </w:pPr>
            <w:r>
              <w:rPr>
                <w:rFonts w:ascii="Calibri" w:cs="Calibri" w:eastAsia="Calibri" w:hAnsi="Calibri"/>
                <w:sz w:val="14"/>
                <w:szCs w:val="14"/>
                <w:color w:val="auto"/>
                <w:w w:val="98"/>
              </w:rPr>
              <w:t>Exhibit</w:t>
            </w:r>
          </w:p>
        </w:tc>
        <w:tc>
          <w:tcPr>
            <w:tcW w:w="1140" w:type="dxa"/>
            <w:vAlign w:val="bottom"/>
            <w:vMerge w:val="restart"/>
          </w:tcPr>
          <w:p>
            <w:pPr>
              <w:jc w:val="right"/>
              <w:ind w:right="173"/>
              <w:spacing w:after="0"/>
              <w:rPr>
                <w:sz w:val="20"/>
                <w:szCs w:val="20"/>
                <w:color w:val="auto"/>
              </w:rPr>
            </w:pPr>
            <w:r>
              <w:rPr>
                <w:rFonts w:ascii="Calibri" w:cs="Calibri" w:eastAsia="Calibri" w:hAnsi="Calibri"/>
                <w:sz w:val="14"/>
                <w:szCs w:val="14"/>
                <w:color w:val="auto"/>
              </w:rPr>
              <w:t>Filing Date</w:t>
            </w:r>
          </w:p>
        </w:tc>
        <w:tc>
          <w:tcPr>
            <w:tcW w:w="0" w:type="dxa"/>
            <w:vAlign w:val="bottom"/>
          </w:tcPr>
          <w:p>
            <w:pPr>
              <w:spacing w:after="0"/>
              <w:rPr>
                <w:sz w:val="1"/>
                <w:szCs w:val="1"/>
                <w:color w:val="auto"/>
              </w:rPr>
            </w:pPr>
          </w:p>
        </w:tc>
      </w:tr>
      <w:tr>
        <w:trPr>
          <w:trHeight w:val="168"/>
        </w:trPr>
        <w:tc>
          <w:tcPr>
            <w:tcW w:w="1160" w:type="dxa"/>
            <w:vAlign w:val="bottom"/>
            <w:gridSpan w:val="2"/>
          </w:tcPr>
          <w:p>
            <w:pPr>
              <w:jc w:val="center"/>
              <w:ind w:right="300"/>
              <w:spacing w:after="0" w:line="168" w:lineRule="exact"/>
              <w:rPr>
                <w:sz w:val="20"/>
                <w:szCs w:val="20"/>
                <w:color w:val="auto"/>
              </w:rPr>
            </w:pPr>
            <w:r>
              <w:rPr>
                <w:rFonts w:ascii="Calibri" w:cs="Calibri" w:eastAsia="Calibri" w:hAnsi="Calibri"/>
                <w:sz w:val="14"/>
                <w:szCs w:val="14"/>
                <w:color w:val="auto"/>
                <w:w w:val="98"/>
              </w:rPr>
              <w:t>Number</w:t>
            </w: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40" w:type="dxa"/>
            <w:vAlign w:val="bottom"/>
            <w:gridSpan w:val="28"/>
            <w:vMerge w:val="continue"/>
          </w:tcPr>
          <w:p>
            <w:pPr>
              <w:spacing w:after="0"/>
              <w:rPr>
                <w:sz w:val="14"/>
                <w:szCs w:val="14"/>
                <w:color w:val="auto"/>
              </w:rPr>
            </w:pPr>
          </w:p>
        </w:tc>
        <w:tc>
          <w:tcPr>
            <w:tcW w:w="2000" w:type="dxa"/>
            <w:vAlign w:val="bottom"/>
            <w:gridSpan w:val="2"/>
            <w:vMerge w:val="continue"/>
          </w:tcPr>
          <w:p>
            <w:pPr>
              <w:spacing w:after="0"/>
              <w:rPr>
                <w:sz w:val="14"/>
                <w:szCs w:val="14"/>
                <w:color w:val="auto"/>
              </w:rPr>
            </w:pPr>
          </w:p>
        </w:tc>
        <w:tc>
          <w:tcPr>
            <w:tcW w:w="1540" w:type="dxa"/>
            <w:vAlign w:val="bottom"/>
            <w:gridSpan w:val="3"/>
            <w:vMerge w:val="continue"/>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2"/>
        </w:trPr>
        <w:tc>
          <w:tcPr>
            <w:tcW w:w="86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860" w:type="dxa"/>
            <w:vAlign w:val="bottom"/>
          </w:tcPr>
          <w:p>
            <w:pPr>
              <w:jc w:val="right"/>
              <w:spacing w:after="0" w:line="165" w:lineRule="exact"/>
              <w:rPr>
                <w:sz w:val="20"/>
                <w:szCs w:val="20"/>
                <w:color w:val="auto"/>
              </w:rPr>
            </w:pPr>
            <w:r>
              <w:rPr>
                <w:rFonts w:ascii="Calibri" w:cs="Calibri" w:eastAsia="Calibri" w:hAnsi="Calibri"/>
                <w:sz w:val="18"/>
                <w:szCs w:val="18"/>
                <w:color w:val="auto"/>
              </w:rPr>
              <w:t>4.33</w:t>
            </w: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580" w:type="dxa"/>
            <w:vAlign w:val="bottom"/>
            <w:gridSpan w:val="32"/>
          </w:tcPr>
          <w:p>
            <w:pPr>
              <w:spacing w:after="0" w:line="165" w:lineRule="exact"/>
              <w:rPr>
                <w:rFonts w:ascii="Calibri" w:cs="Calibri" w:eastAsia="Calibri" w:hAnsi="Calibri"/>
                <w:sz w:val="18"/>
                <w:szCs w:val="18"/>
                <w:color w:val="0000FF"/>
                <w:w w:val="96"/>
              </w:rPr>
            </w:pPr>
            <w:hyperlink r:id="rId133">
              <w:r>
                <w:rPr>
                  <w:rFonts w:ascii="Calibri" w:cs="Calibri" w:eastAsia="Calibri" w:hAnsi="Calibri"/>
                  <w:sz w:val="18"/>
                  <w:szCs w:val="18"/>
                  <w:color w:val="0000FF"/>
                  <w:w w:val="96"/>
                </w:rPr>
                <w:t>Registraton Rights Agreement, dated as of January</w:t>
              </w:r>
            </w:hyperlink>
          </w:p>
        </w:tc>
        <w:tc>
          <w:tcPr>
            <w:tcW w:w="80" w:type="dxa"/>
            <w:vAlign w:val="bottom"/>
          </w:tcPr>
          <w:p>
            <w:pPr>
              <w:spacing w:after="0"/>
              <w:rPr>
                <w:sz w:val="14"/>
                <w:szCs w:val="14"/>
                <w:color w:val="auto"/>
              </w:rPr>
            </w:pPr>
          </w:p>
        </w:tc>
        <w:tc>
          <w:tcPr>
            <w:tcW w:w="1900" w:type="dxa"/>
            <w:vAlign w:val="bottom"/>
          </w:tcPr>
          <w:p>
            <w:pPr>
              <w:ind w:left="20"/>
              <w:spacing w:after="0" w:line="165" w:lineRule="exact"/>
              <w:rPr>
                <w:sz w:val="20"/>
                <w:szCs w:val="20"/>
                <w:color w:val="auto"/>
              </w:rPr>
            </w:pPr>
            <w:r>
              <w:rPr>
                <w:rFonts w:ascii="Calibri" w:cs="Calibri" w:eastAsia="Calibri" w:hAnsi="Calibri"/>
                <w:sz w:val="18"/>
                <w:szCs w:val="18"/>
                <w:color w:val="auto"/>
              </w:rPr>
              <w:t>Broadcom Inc. Current</w:t>
            </w:r>
          </w:p>
        </w:tc>
        <w:tc>
          <w:tcPr>
            <w:tcW w:w="100" w:type="dxa"/>
            <w:vAlign w:val="bottom"/>
          </w:tcPr>
          <w:p>
            <w:pPr>
              <w:spacing w:after="0"/>
              <w:rPr>
                <w:sz w:val="14"/>
                <w:szCs w:val="14"/>
                <w:color w:val="auto"/>
              </w:rPr>
            </w:pPr>
          </w:p>
        </w:tc>
        <w:tc>
          <w:tcPr>
            <w:tcW w:w="1160" w:type="dxa"/>
            <w:vAlign w:val="bottom"/>
          </w:tcPr>
          <w:p>
            <w:pPr>
              <w:spacing w:after="0" w:line="165" w:lineRule="exact"/>
              <w:rPr>
                <w:sz w:val="20"/>
                <w:szCs w:val="20"/>
                <w:color w:val="auto"/>
              </w:rPr>
            </w:pPr>
            <w:r>
              <w:rPr>
                <w:rFonts w:ascii="Calibri" w:cs="Calibri" w:eastAsia="Calibri" w:hAnsi="Calibri"/>
                <w:sz w:val="18"/>
                <w:szCs w:val="18"/>
                <w:color w:val="auto"/>
              </w:rPr>
              <w:t>001-38449</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20" w:type="dxa"/>
            <w:vAlign w:val="bottom"/>
          </w:tcPr>
          <w:p>
            <w:pPr>
              <w:jc w:val="center"/>
              <w:ind w:right="213"/>
              <w:spacing w:after="0" w:line="165" w:lineRule="exact"/>
              <w:rPr>
                <w:sz w:val="20"/>
                <w:szCs w:val="20"/>
                <w:color w:val="auto"/>
              </w:rPr>
            </w:pPr>
            <w:r>
              <w:rPr>
                <w:rFonts w:ascii="Calibri" w:cs="Calibri" w:eastAsia="Calibri" w:hAnsi="Calibri"/>
                <w:sz w:val="18"/>
                <w:szCs w:val="18"/>
                <w:color w:val="auto"/>
                <w:w w:val="96"/>
              </w:rPr>
              <w:t>4.7</w:t>
            </w:r>
          </w:p>
        </w:tc>
        <w:tc>
          <w:tcPr>
            <w:tcW w:w="100" w:type="dxa"/>
            <w:vAlign w:val="bottom"/>
          </w:tcPr>
          <w:p>
            <w:pPr>
              <w:spacing w:after="0"/>
              <w:rPr>
                <w:sz w:val="14"/>
                <w:szCs w:val="14"/>
                <w:color w:val="auto"/>
              </w:rPr>
            </w:pPr>
          </w:p>
        </w:tc>
        <w:tc>
          <w:tcPr>
            <w:tcW w:w="1140" w:type="dxa"/>
            <w:vAlign w:val="bottom"/>
          </w:tcPr>
          <w:p>
            <w:pPr>
              <w:jc w:val="right"/>
              <w:ind w:right="233"/>
              <w:spacing w:after="0" w:line="165" w:lineRule="exact"/>
              <w:rPr>
                <w:sz w:val="20"/>
                <w:szCs w:val="20"/>
                <w:color w:val="auto"/>
              </w:rPr>
            </w:pPr>
            <w:r>
              <w:rPr>
                <w:rFonts w:ascii="Calibri" w:cs="Calibri" w:eastAsia="Calibri" w:hAnsi="Calibri"/>
                <w:sz w:val="18"/>
                <w:szCs w:val="18"/>
                <w:color w:val="auto"/>
                <w:w w:val="95"/>
              </w:rPr>
              <w:t>01-19-2021</w:t>
            </w:r>
          </w:p>
        </w:tc>
        <w:tc>
          <w:tcPr>
            <w:tcW w:w="0" w:type="dxa"/>
            <w:vAlign w:val="bottom"/>
          </w:tcPr>
          <w:p>
            <w:pPr>
              <w:spacing w:after="0"/>
              <w:rPr>
                <w:sz w:val="1"/>
                <w:szCs w:val="1"/>
                <w:color w:val="auto"/>
              </w:rPr>
            </w:pPr>
          </w:p>
        </w:tc>
      </w:tr>
      <w:tr>
        <w:trPr>
          <w:trHeight w:val="152"/>
        </w:trPr>
        <w:tc>
          <w:tcPr>
            <w:tcW w:w="8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560" w:type="dxa"/>
            <w:vAlign w:val="bottom"/>
            <w:tcBorders>
              <w:top w:val="single" w:sz="8" w:color="0000FF"/>
            </w:tcBorders>
            <w:gridSpan w:val="31"/>
          </w:tcPr>
          <w:p>
            <w:pPr>
              <w:spacing w:after="0" w:line="152" w:lineRule="exact"/>
              <w:rPr>
                <w:rFonts w:ascii="Calibri" w:cs="Calibri" w:eastAsia="Calibri" w:hAnsi="Calibri"/>
                <w:sz w:val="15"/>
                <w:szCs w:val="15"/>
                <w:color w:val="0000FF"/>
              </w:rPr>
            </w:pPr>
            <w:hyperlink r:id="rId133">
              <w:r>
                <w:rPr>
                  <w:rFonts w:ascii="Calibri" w:cs="Calibri" w:eastAsia="Calibri" w:hAnsi="Calibri"/>
                  <w:sz w:val="15"/>
                  <w:szCs w:val="15"/>
                  <w:color w:val="0000FF"/>
                </w:rPr>
                <w:t>19, 2021, by and among the Company, the 2020</w:t>
              </w:r>
            </w:hyperlink>
          </w:p>
        </w:tc>
        <w:tc>
          <w:tcPr>
            <w:tcW w:w="100" w:type="dxa"/>
            <w:vAlign w:val="bottom"/>
            <w:gridSpan w:val="2"/>
          </w:tcPr>
          <w:p>
            <w:pPr>
              <w:spacing w:after="0"/>
              <w:rPr>
                <w:sz w:val="13"/>
                <w:szCs w:val="13"/>
                <w:color w:val="auto"/>
              </w:rPr>
            </w:pPr>
          </w:p>
        </w:tc>
        <w:tc>
          <w:tcPr>
            <w:tcW w:w="2000" w:type="dxa"/>
            <w:vAlign w:val="bottom"/>
            <w:gridSpan w:val="2"/>
          </w:tcPr>
          <w:p>
            <w:pPr>
              <w:ind w:left="20"/>
              <w:spacing w:after="0" w:line="152" w:lineRule="exact"/>
              <w:rPr>
                <w:sz w:val="20"/>
                <w:szCs w:val="20"/>
                <w:color w:val="auto"/>
              </w:rPr>
            </w:pPr>
            <w:r>
              <w:rPr>
                <w:rFonts w:ascii="Calibri" w:cs="Calibri" w:eastAsia="Calibri" w:hAnsi="Calibri"/>
                <w:sz w:val="15"/>
                <w:szCs w:val="15"/>
                <w:color w:val="auto"/>
              </w:rPr>
              <w:t>Report on Form 8-K</w:t>
            </w: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300" w:type="dxa"/>
            <w:vAlign w:val="bottom"/>
            <w:tcBorders>
              <w:top w:val="single" w:sz="8" w:color="0000FF"/>
              <w:bottom w:val="single" w:sz="8" w:color="0000FF"/>
            </w:tcBorders>
            <w:gridSpan w:val="19"/>
          </w:tcPr>
          <w:p>
            <w:pPr>
              <w:spacing w:after="0" w:line="165" w:lineRule="exact"/>
              <w:rPr>
                <w:rFonts w:ascii="Calibri" w:cs="Calibri" w:eastAsia="Calibri" w:hAnsi="Calibri"/>
                <w:sz w:val="18"/>
                <w:szCs w:val="18"/>
                <w:color w:val="0000FF"/>
                <w:w w:val="94"/>
              </w:rPr>
            </w:pPr>
            <w:hyperlink r:id="rId133">
              <w:r>
                <w:rPr>
                  <w:rFonts w:ascii="Calibri" w:cs="Calibri" w:eastAsia="Calibri" w:hAnsi="Calibri"/>
                  <w:sz w:val="18"/>
                  <w:szCs w:val="18"/>
                  <w:color w:val="0000FF"/>
                  <w:w w:val="94"/>
                </w:rPr>
                <w:t>Guarantors and Morgan Stanley &amp; Co. LLC, BNP</w:t>
              </w:r>
            </w:hyperlink>
          </w:p>
        </w:tc>
        <w:tc>
          <w:tcPr>
            <w:tcW w:w="40" w:type="dxa"/>
            <w:vAlign w:val="bottom"/>
            <w:tcBorders>
              <w:top w:val="single" w:sz="8" w:color="0000FF"/>
            </w:tcBorders>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gridSpan w:val="3"/>
          </w:tcPr>
          <w:p>
            <w:pPr>
              <w:spacing w:after="0"/>
              <w:rPr>
                <w:sz w:val="14"/>
                <w:szCs w:val="14"/>
                <w:color w:val="auto"/>
              </w:rPr>
            </w:pPr>
          </w:p>
        </w:tc>
        <w:tc>
          <w:tcPr>
            <w:tcW w:w="1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8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60" w:type="dxa"/>
            <w:vAlign w:val="bottom"/>
            <w:gridSpan w:val="33"/>
          </w:tcPr>
          <w:p>
            <w:pPr>
              <w:spacing w:after="0" w:line="152" w:lineRule="exact"/>
              <w:rPr>
                <w:rFonts w:ascii="Calibri" w:cs="Calibri" w:eastAsia="Calibri" w:hAnsi="Calibri"/>
                <w:sz w:val="15"/>
                <w:szCs w:val="15"/>
                <w:color w:val="0000FF"/>
              </w:rPr>
            </w:pPr>
            <w:hyperlink r:id="rId133">
              <w:r>
                <w:rPr>
                  <w:rFonts w:ascii="Calibri" w:cs="Calibri" w:eastAsia="Calibri" w:hAnsi="Calibri"/>
                  <w:sz w:val="15"/>
                  <w:szCs w:val="15"/>
                  <w:color w:val="0000FF"/>
                </w:rPr>
                <w:t>Paribas Securites Corp., RBC Capital Markets, LLC,</w:t>
              </w:r>
            </w:hyperlink>
          </w:p>
        </w:tc>
        <w:tc>
          <w:tcPr>
            <w:tcW w:w="1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8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80" w:type="dxa"/>
            <w:vAlign w:val="bottom"/>
            <w:tcBorders>
              <w:top w:val="single" w:sz="8" w:color="0000FF"/>
            </w:tcBorders>
            <w:gridSpan w:val="27"/>
          </w:tcPr>
          <w:p>
            <w:pPr>
              <w:spacing w:after="0" w:line="152" w:lineRule="exact"/>
              <w:rPr>
                <w:rFonts w:ascii="Calibri" w:cs="Calibri" w:eastAsia="Calibri" w:hAnsi="Calibri"/>
                <w:sz w:val="15"/>
                <w:szCs w:val="15"/>
                <w:color w:val="0000FF"/>
              </w:rPr>
            </w:pPr>
            <w:hyperlink r:id="rId133">
              <w:r>
                <w:rPr>
                  <w:rFonts w:ascii="Calibri" w:cs="Calibri" w:eastAsia="Calibri" w:hAnsi="Calibri"/>
                  <w:sz w:val="15"/>
                  <w:szCs w:val="15"/>
                  <w:color w:val="0000FF"/>
                </w:rPr>
                <w:t>SMBC Nikko Securites America, Inc., and Truist</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3"/>
          </w:tcPr>
          <w:p>
            <w:pPr>
              <w:spacing w:after="0"/>
              <w:rPr>
                <w:sz w:val="13"/>
                <w:szCs w:val="13"/>
                <w:color w:val="auto"/>
              </w:rPr>
            </w:pPr>
          </w:p>
        </w:tc>
        <w:tc>
          <w:tcPr>
            <w:tcW w:w="1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80" w:type="dxa"/>
            <w:vAlign w:val="bottom"/>
            <w:tcBorders>
              <w:top w:val="single" w:sz="8" w:color="0000FF"/>
              <w:bottom w:val="single" w:sz="8" w:color="0000FF"/>
            </w:tcBorders>
            <w:gridSpan w:val="18"/>
          </w:tcPr>
          <w:p>
            <w:pPr>
              <w:spacing w:after="0" w:line="165" w:lineRule="exact"/>
              <w:rPr>
                <w:rFonts w:ascii="Calibri" w:cs="Calibri" w:eastAsia="Calibri" w:hAnsi="Calibri"/>
                <w:sz w:val="18"/>
                <w:szCs w:val="18"/>
                <w:color w:val="0000FF"/>
                <w:w w:val="94"/>
              </w:rPr>
            </w:pPr>
            <w:hyperlink r:id="rId133">
              <w:r>
                <w:rPr>
                  <w:rFonts w:ascii="Calibri" w:cs="Calibri" w:eastAsia="Calibri" w:hAnsi="Calibri"/>
                  <w:sz w:val="18"/>
                  <w:szCs w:val="18"/>
                  <w:color w:val="0000FF"/>
                  <w:w w:val="94"/>
                </w:rPr>
                <w:t>Securites, Inc., as representatves of the several</w:t>
              </w:r>
            </w:hyperlink>
          </w:p>
        </w:tc>
        <w:tc>
          <w:tcPr>
            <w:tcW w:w="40" w:type="dxa"/>
            <w:vAlign w:val="bottom"/>
            <w:tcBorders>
              <w:bottom w:val="single" w:sz="8" w:color="0000FF"/>
            </w:tcBorders>
            <w:gridSpan w:val="2"/>
          </w:tcPr>
          <w:p>
            <w:pPr>
              <w:spacing w:after="0"/>
              <w:rPr>
                <w:sz w:val="14"/>
                <w:szCs w:val="14"/>
                <w:color w:val="auto"/>
              </w:rPr>
            </w:pPr>
          </w:p>
        </w:tc>
        <w:tc>
          <w:tcPr>
            <w:tcW w:w="40" w:type="dxa"/>
            <w:vAlign w:val="bottom"/>
            <w:tcBorders>
              <w:bottom w:val="single" w:sz="8" w:color="0000FF"/>
            </w:tcBorders>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gridSpan w:val="3"/>
          </w:tcPr>
          <w:p>
            <w:pPr>
              <w:spacing w:after="0"/>
              <w:rPr>
                <w:sz w:val="14"/>
                <w:szCs w:val="14"/>
                <w:color w:val="auto"/>
              </w:rPr>
            </w:pPr>
          </w:p>
        </w:tc>
        <w:tc>
          <w:tcPr>
            <w:tcW w:w="1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8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360" w:type="dxa"/>
            <w:vAlign w:val="bottom"/>
            <w:gridSpan w:val="22"/>
          </w:tcPr>
          <w:p>
            <w:pPr>
              <w:spacing w:after="0" w:line="152" w:lineRule="exact"/>
              <w:rPr>
                <w:rFonts w:ascii="Calibri" w:cs="Calibri" w:eastAsia="Calibri" w:hAnsi="Calibri"/>
                <w:sz w:val="15"/>
                <w:szCs w:val="15"/>
                <w:color w:val="0000FF"/>
              </w:rPr>
            </w:pPr>
            <w:hyperlink r:id="rId133">
              <w:r>
                <w:rPr>
                  <w:rFonts w:ascii="Calibri" w:cs="Calibri" w:eastAsia="Calibri" w:hAnsi="Calibri"/>
                  <w:sz w:val="15"/>
                  <w:szCs w:val="15"/>
                  <w:color w:val="0000FF"/>
                </w:rPr>
                <w:t>inital purchasers of the January 2021 Senior</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3"/>
          </w:tcPr>
          <w:p>
            <w:pPr>
              <w:spacing w:after="0"/>
              <w:rPr>
                <w:sz w:val="13"/>
                <w:szCs w:val="13"/>
                <w:color w:val="auto"/>
              </w:rPr>
            </w:pPr>
          </w:p>
        </w:tc>
        <w:tc>
          <w:tcPr>
            <w:tcW w:w="1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8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80" w:type="dxa"/>
            <w:vAlign w:val="bottom"/>
            <w:tcBorders>
              <w:top w:val="single" w:sz="8" w:color="0000FF"/>
            </w:tcBorders>
            <w:gridSpan w:val="12"/>
          </w:tcPr>
          <w:p>
            <w:pPr>
              <w:spacing w:after="0" w:line="152" w:lineRule="exact"/>
              <w:rPr>
                <w:rFonts w:ascii="Calibri" w:cs="Calibri" w:eastAsia="Calibri" w:hAnsi="Calibri"/>
                <w:sz w:val="15"/>
                <w:szCs w:val="15"/>
                <w:color w:val="0000FF"/>
              </w:rPr>
            </w:pPr>
            <w:hyperlink r:id="rId133">
              <w:r>
                <w:rPr>
                  <w:rFonts w:ascii="Calibri" w:cs="Calibri" w:eastAsia="Calibri" w:hAnsi="Calibri"/>
                  <w:sz w:val="15"/>
                  <w:szCs w:val="15"/>
                  <w:color w:val="0000FF"/>
                </w:rPr>
                <w:t>Notes.</w:t>
              </w:r>
            </w:hyperlink>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3"/>
          </w:tcPr>
          <w:p>
            <w:pPr>
              <w:spacing w:after="0"/>
              <w:rPr>
                <w:sz w:val="13"/>
                <w:szCs w:val="13"/>
                <w:color w:val="auto"/>
              </w:rPr>
            </w:pPr>
          </w:p>
        </w:tc>
        <w:tc>
          <w:tcPr>
            <w:tcW w:w="1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860" w:type="dxa"/>
            <w:vAlign w:val="bottom"/>
          </w:tcPr>
          <w:p>
            <w:pPr>
              <w:jc w:val="right"/>
              <w:spacing w:after="0" w:line="217" w:lineRule="exact"/>
              <w:rPr>
                <w:sz w:val="20"/>
                <w:szCs w:val="20"/>
                <w:color w:val="auto"/>
              </w:rPr>
            </w:pPr>
            <w:r>
              <w:rPr>
                <w:rFonts w:ascii="Calibri" w:cs="Calibri" w:eastAsia="Calibri" w:hAnsi="Calibri"/>
                <w:sz w:val="18"/>
                <w:szCs w:val="18"/>
                <w:color w:val="auto"/>
              </w:rPr>
              <w:t>4.34</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60" w:type="dxa"/>
            <w:vAlign w:val="bottom"/>
            <w:gridSpan w:val="33"/>
          </w:tcPr>
          <w:p>
            <w:pPr>
              <w:spacing w:after="0" w:line="217" w:lineRule="exact"/>
              <w:rPr>
                <w:rFonts w:ascii="Calibri" w:cs="Calibri" w:eastAsia="Calibri" w:hAnsi="Calibri"/>
                <w:sz w:val="18"/>
                <w:szCs w:val="18"/>
                <w:color w:val="0000FF"/>
              </w:rPr>
            </w:pPr>
            <w:hyperlink r:id="rId134">
              <w:r>
                <w:rPr>
                  <w:rFonts w:ascii="Calibri" w:cs="Calibri" w:eastAsia="Calibri" w:hAnsi="Calibri"/>
                  <w:sz w:val="18"/>
                  <w:szCs w:val="18"/>
                  <w:color w:val="0000FF"/>
                </w:rPr>
                <w:t>Indenture, dated as of March 31, 2021, by and</w:t>
              </w:r>
            </w:hyperlink>
          </w:p>
        </w:tc>
        <w:tc>
          <w:tcPr>
            <w:tcW w:w="2000" w:type="dxa"/>
            <w:vAlign w:val="bottom"/>
            <w:gridSpan w:val="2"/>
          </w:tcPr>
          <w:p>
            <w:pPr>
              <w:ind w:left="20"/>
              <w:spacing w:after="0" w:line="217" w:lineRule="exact"/>
              <w:rPr>
                <w:sz w:val="20"/>
                <w:szCs w:val="20"/>
                <w:color w:val="auto"/>
              </w:rPr>
            </w:pPr>
            <w:r>
              <w:rPr>
                <w:rFonts w:ascii="Calibri" w:cs="Calibri" w:eastAsia="Calibri" w:hAnsi="Calibri"/>
                <w:sz w:val="18"/>
                <w:szCs w:val="18"/>
                <w:color w:val="auto"/>
              </w:rPr>
              <w:t>Broadcom Inc. Current</w:t>
            </w:r>
          </w:p>
        </w:tc>
        <w:tc>
          <w:tcPr>
            <w:tcW w:w="1160" w:type="dxa"/>
            <w:vAlign w:val="bottom"/>
          </w:tcPr>
          <w:p>
            <w:pPr>
              <w:spacing w:after="0" w:line="217" w:lineRule="exact"/>
              <w:rPr>
                <w:sz w:val="20"/>
                <w:szCs w:val="20"/>
                <w:color w:val="auto"/>
              </w:rPr>
            </w:pPr>
            <w:r>
              <w:rPr>
                <w:rFonts w:ascii="Calibri" w:cs="Calibri" w:eastAsia="Calibri" w:hAnsi="Calibri"/>
                <w:sz w:val="18"/>
                <w:szCs w:val="18"/>
                <w:color w:val="auto"/>
              </w:rPr>
              <w:t>001-38449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jc w:val="center"/>
              <w:ind w:right="213"/>
              <w:spacing w:after="0" w:line="217" w:lineRule="exact"/>
              <w:rPr>
                <w:sz w:val="20"/>
                <w:szCs w:val="20"/>
                <w:color w:val="auto"/>
              </w:rPr>
            </w:pPr>
            <w:r>
              <w:rPr>
                <w:rFonts w:ascii="Calibri" w:cs="Calibri" w:eastAsia="Calibri" w:hAnsi="Calibri"/>
                <w:sz w:val="18"/>
                <w:szCs w:val="18"/>
                <w:color w:val="auto"/>
                <w:w w:val="96"/>
              </w:rPr>
              <w:t>4.1</w:t>
            </w:r>
          </w:p>
        </w:tc>
        <w:tc>
          <w:tcPr>
            <w:tcW w:w="100" w:type="dxa"/>
            <w:vAlign w:val="bottom"/>
          </w:tcPr>
          <w:p>
            <w:pPr>
              <w:spacing w:after="0"/>
              <w:rPr>
                <w:sz w:val="18"/>
                <w:szCs w:val="18"/>
                <w:color w:val="auto"/>
              </w:rPr>
            </w:pPr>
          </w:p>
        </w:tc>
        <w:tc>
          <w:tcPr>
            <w:tcW w:w="1140" w:type="dxa"/>
            <w:vAlign w:val="bottom"/>
          </w:tcPr>
          <w:p>
            <w:pPr>
              <w:jc w:val="right"/>
              <w:ind w:right="233"/>
              <w:spacing w:after="0" w:line="217" w:lineRule="exact"/>
              <w:rPr>
                <w:sz w:val="20"/>
                <w:szCs w:val="20"/>
                <w:color w:val="auto"/>
              </w:rPr>
            </w:pPr>
            <w:r>
              <w:rPr>
                <w:rFonts w:ascii="Calibri" w:cs="Calibri" w:eastAsia="Calibri" w:hAnsi="Calibri"/>
                <w:sz w:val="18"/>
                <w:szCs w:val="18"/>
                <w:color w:val="auto"/>
                <w:w w:val="95"/>
              </w:rPr>
              <w:t>03-31-2021</w:t>
            </w:r>
          </w:p>
        </w:tc>
        <w:tc>
          <w:tcPr>
            <w:tcW w:w="0" w:type="dxa"/>
            <w:vAlign w:val="bottom"/>
          </w:tcPr>
          <w:p>
            <w:pPr>
              <w:spacing w:after="0"/>
              <w:rPr>
                <w:sz w:val="1"/>
                <w:szCs w:val="1"/>
                <w:color w:val="auto"/>
              </w:rPr>
            </w:pPr>
          </w:p>
        </w:tc>
      </w:tr>
      <w:tr>
        <w:trPr>
          <w:trHeight w:val="152"/>
        </w:trPr>
        <w:tc>
          <w:tcPr>
            <w:tcW w:w="8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20" w:type="dxa"/>
            <w:vAlign w:val="bottom"/>
            <w:tcBorders>
              <w:top w:val="single" w:sz="8" w:color="0000FF"/>
            </w:tcBorders>
            <w:gridSpan w:val="16"/>
          </w:tcPr>
          <w:p>
            <w:pPr>
              <w:spacing w:after="0" w:line="152" w:lineRule="exact"/>
              <w:rPr>
                <w:rFonts w:ascii="Calibri" w:cs="Calibri" w:eastAsia="Calibri" w:hAnsi="Calibri"/>
                <w:sz w:val="15"/>
                <w:szCs w:val="15"/>
                <w:color w:val="0000FF"/>
              </w:rPr>
            </w:pPr>
            <w:hyperlink r:id="rId134">
              <w:r>
                <w:rPr>
                  <w:rFonts w:ascii="Calibri" w:cs="Calibri" w:eastAsia="Calibri" w:hAnsi="Calibri"/>
                  <w:sz w:val="15"/>
                  <w:szCs w:val="15"/>
                  <w:color w:val="0000FF"/>
                </w:rPr>
                <w:t>between the Company and Wilmington Trust,</w:t>
              </w:r>
            </w:hyperlink>
          </w:p>
        </w:tc>
        <w:tc>
          <w:tcPr>
            <w:tcW w:w="4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3"/>
          </w:tcPr>
          <w:p>
            <w:pPr>
              <w:spacing w:after="0"/>
              <w:rPr>
                <w:sz w:val="13"/>
                <w:szCs w:val="13"/>
                <w:color w:val="auto"/>
              </w:rPr>
            </w:pPr>
          </w:p>
        </w:tc>
        <w:tc>
          <w:tcPr>
            <w:tcW w:w="2000" w:type="dxa"/>
            <w:vAlign w:val="bottom"/>
            <w:gridSpan w:val="2"/>
          </w:tcPr>
          <w:p>
            <w:pPr>
              <w:ind w:left="20"/>
              <w:spacing w:after="0" w:line="152" w:lineRule="exact"/>
              <w:rPr>
                <w:sz w:val="20"/>
                <w:szCs w:val="20"/>
                <w:color w:val="auto"/>
              </w:rPr>
            </w:pPr>
            <w:r>
              <w:rPr>
                <w:rFonts w:ascii="Calibri" w:cs="Calibri" w:eastAsia="Calibri" w:hAnsi="Calibri"/>
                <w:sz w:val="15"/>
                <w:szCs w:val="15"/>
                <w:color w:val="auto"/>
              </w:rPr>
              <w:t>Report on Form 8-K</w:t>
            </w: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160" w:type="dxa"/>
            <w:vAlign w:val="bottom"/>
            <w:tcBorders>
              <w:top w:val="single" w:sz="8" w:color="0000FF"/>
            </w:tcBorders>
            <w:gridSpan w:val="15"/>
          </w:tcPr>
          <w:p>
            <w:pPr>
              <w:spacing w:after="0" w:line="165" w:lineRule="exact"/>
              <w:rPr>
                <w:rFonts w:ascii="Calibri" w:cs="Calibri" w:eastAsia="Calibri" w:hAnsi="Calibri"/>
                <w:sz w:val="18"/>
                <w:szCs w:val="18"/>
                <w:color w:val="0000FF"/>
              </w:rPr>
            </w:pPr>
            <w:hyperlink r:id="rId134">
              <w:r>
                <w:rPr>
                  <w:rFonts w:ascii="Calibri" w:cs="Calibri" w:eastAsia="Calibri" w:hAnsi="Calibri"/>
                  <w:sz w:val="18"/>
                  <w:szCs w:val="18"/>
                  <w:color w:val="0000FF"/>
                </w:rPr>
                <w:t>Natonal Associaton, as Trustee</w:t>
              </w:r>
              <w:r>
                <w:rPr>
                  <w:rFonts w:ascii="Calibri" w:cs="Calibri" w:eastAsia="Calibri" w:hAnsi="Calibri"/>
                  <w:sz w:val="18"/>
                  <w:szCs w:val="18"/>
                  <w:color w:val="000000"/>
                </w:rPr>
                <w:t>.</w:t>
              </w:r>
            </w:hyperlink>
          </w:p>
        </w:tc>
        <w:tc>
          <w:tcPr>
            <w:tcW w:w="100" w:type="dxa"/>
            <w:vAlign w:val="bottom"/>
            <w:gridSpan w:val="2"/>
          </w:tcPr>
          <w:p>
            <w:pPr>
              <w:spacing w:after="0"/>
              <w:rPr>
                <w:sz w:val="14"/>
                <w:szCs w:val="14"/>
                <w:color w:val="auto"/>
              </w:rPr>
            </w:pPr>
          </w:p>
        </w:tc>
        <w:tc>
          <w:tcPr>
            <w:tcW w:w="60" w:type="dxa"/>
            <w:vAlign w:val="bottom"/>
            <w:gridSpan w:val="3"/>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gridSpan w:val="3"/>
          </w:tcPr>
          <w:p>
            <w:pPr>
              <w:spacing w:after="0"/>
              <w:rPr>
                <w:sz w:val="14"/>
                <w:szCs w:val="14"/>
                <w:color w:val="auto"/>
              </w:rPr>
            </w:pPr>
          </w:p>
        </w:tc>
        <w:tc>
          <w:tcPr>
            <w:tcW w:w="1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860" w:type="dxa"/>
            <w:vAlign w:val="bottom"/>
          </w:tcPr>
          <w:p>
            <w:pPr>
              <w:jc w:val="right"/>
              <w:spacing w:after="0" w:line="205" w:lineRule="exact"/>
              <w:rPr>
                <w:sz w:val="20"/>
                <w:szCs w:val="20"/>
                <w:color w:val="auto"/>
              </w:rPr>
            </w:pPr>
            <w:r>
              <w:rPr>
                <w:rFonts w:ascii="Calibri" w:cs="Calibri" w:eastAsia="Calibri" w:hAnsi="Calibri"/>
                <w:sz w:val="18"/>
                <w:szCs w:val="18"/>
                <w:color w:val="auto"/>
              </w:rPr>
              <w:t>4.35</w:t>
            </w: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60" w:type="dxa"/>
            <w:vAlign w:val="bottom"/>
            <w:gridSpan w:val="33"/>
          </w:tcPr>
          <w:p>
            <w:pPr>
              <w:spacing w:after="0" w:line="205" w:lineRule="exact"/>
              <w:rPr>
                <w:rFonts w:ascii="Calibri" w:cs="Calibri" w:eastAsia="Calibri" w:hAnsi="Calibri"/>
                <w:sz w:val="18"/>
                <w:szCs w:val="18"/>
                <w:color w:val="0000FF"/>
              </w:rPr>
            </w:pPr>
            <w:hyperlink r:id="rId134">
              <w:r>
                <w:rPr>
                  <w:rFonts w:ascii="Calibri" w:cs="Calibri" w:eastAsia="Calibri" w:hAnsi="Calibri"/>
                  <w:sz w:val="18"/>
                  <w:szCs w:val="18"/>
                  <w:color w:val="0000FF"/>
                </w:rPr>
                <w:t>Form of 3.419% Senior Notes due 2033 (included</w:t>
              </w:r>
            </w:hyperlink>
          </w:p>
        </w:tc>
        <w:tc>
          <w:tcPr>
            <w:tcW w:w="2000" w:type="dxa"/>
            <w:vAlign w:val="bottom"/>
            <w:gridSpan w:val="2"/>
          </w:tcPr>
          <w:p>
            <w:pPr>
              <w:ind w:left="20"/>
              <w:spacing w:after="0" w:line="205" w:lineRule="exact"/>
              <w:rPr>
                <w:sz w:val="20"/>
                <w:szCs w:val="20"/>
                <w:color w:val="auto"/>
              </w:rPr>
            </w:pPr>
            <w:r>
              <w:rPr>
                <w:rFonts w:ascii="Calibri" w:cs="Calibri" w:eastAsia="Calibri" w:hAnsi="Calibri"/>
                <w:sz w:val="18"/>
                <w:szCs w:val="18"/>
                <w:color w:val="auto"/>
              </w:rPr>
              <w:t>Broadcom Inc. Current</w:t>
            </w:r>
          </w:p>
        </w:tc>
        <w:tc>
          <w:tcPr>
            <w:tcW w:w="1160" w:type="dxa"/>
            <w:vAlign w:val="bottom"/>
          </w:tcPr>
          <w:p>
            <w:pPr>
              <w:spacing w:after="0" w:line="205" w:lineRule="exact"/>
              <w:rPr>
                <w:sz w:val="20"/>
                <w:szCs w:val="20"/>
                <w:color w:val="auto"/>
              </w:rPr>
            </w:pPr>
            <w:r>
              <w:rPr>
                <w:rFonts w:ascii="Calibri" w:cs="Calibri" w:eastAsia="Calibri" w:hAnsi="Calibri"/>
                <w:sz w:val="18"/>
                <w:szCs w:val="18"/>
                <w:color w:val="auto"/>
              </w:rPr>
              <w:t>001-38449</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Pr>
          <w:p>
            <w:pPr>
              <w:jc w:val="center"/>
              <w:ind w:right="213"/>
              <w:spacing w:after="0" w:line="205" w:lineRule="exact"/>
              <w:rPr>
                <w:sz w:val="20"/>
                <w:szCs w:val="20"/>
                <w:color w:val="auto"/>
              </w:rPr>
            </w:pPr>
            <w:r>
              <w:rPr>
                <w:rFonts w:ascii="Calibri" w:cs="Calibri" w:eastAsia="Calibri" w:hAnsi="Calibri"/>
                <w:sz w:val="18"/>
                <w:szCs w:val="18"/>
                <w:color w:val="auto"/>
                <w:w w:val="96"/>
              </w:rPr>
              <w:t>4.1</w:t>
            </w:r>
          </w:p>
        </w:tc>
        <w:tc>
          <w:tcPr>
            <w:tcW w:w="100" w:type="dxa"/>
            <w:vAlign w:val="bottom"/>
          </w:tcPr>
          <w:p>
            <w:pPr>
              <w:spacing w:after="0"/>
              <w:rPr>
                <w:sz w:val="17"/>
                <w:szCs w:val="17"/>
                <w:color w:val="auto"/>
              </w:rPr>
            </w:pPr>
          </w:p>
        </w:tc>
        <w:tc>
          <w:tcPr>
            <w:tcW w:w="1140" w:type="dxa"/>
            <w:vAlign w:val="bottom"/>
          </w:tcPr>
          <w:p>
            <w:pPr>
              <w:jc w:val="right"/>
              <w:ind w:right="233"/>
              <w:spacing w:after="0" w:line="205" w:lineRule="exact"/>
              <w:rPr>
                <w:sz w:val="20"/>
                <w:szCs w:val="20"/>
                <w:color w:val="auto"/>
              </w:rPr>
            </w:pPr>
            <w:r>
              <w:rPr>
                <w:rFonts w:ascii="Calibri" w:cs="Calibri" w:eastAsia="Calibri" w:hAnsi="Calibri"/>
                <w:sz w:val="18"/>
                <w:szCs w:val="18"/>
                <w:color w:val="auto"/>
                <w:w w:val="95"/>
              </w:rPr>
              <w:t>03-31-2021</w:t>
            </w:r>
          </w:p>
        </w:tc>
        <w:tc>
          <w:tcPr>
            <w:tcW w:w="0" w:type="dxa"/>
            <w:vAlign w:val="bottom"/>
          </w:tcPr>
          <w:p>
            <w:pPr>
              <w:spacing w:after="0"/>
              <w:rPr>
                <w:sz w:val="1"/>
                <w:szCs w:val="1"/>
                <w:color w:val="auto"/>
              </w:rPr>
            </w:pPr>
          </w:p>
        </w:tc>
      </w:tr>
      <w:tr>
        <w:trPr>
          <w:trHeight w:val="152"/>
        </w:trPr>
        <w:tc>
          <w:tcPr>
            <w:tcW w:w="8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00" w:type="dxa"/>
            <w:vAlign w:val="bottom"/>
            <w:tcBorders>
              <w:top w:val="single" w:sz="8" w:color="0000FF"/>
            </w:tcBorders>
            <w:gridSpan w:val="24"/>
          </w:tcPr>
          <w:p>
            <w:pPr>
              <w:spacing w:after="0" w:line="152" w:lineRule="exact"/>
              <w:rPr>
                <w:rFonts w:ascii="Calibri" w:cs="Calibri" w:eastAsia="Calibri" w:hAnsi="Calibri"/>
                <w:sz w:val="15"/>
                <w:szCs w:val="15"/>
                <w:color w:val="0000FF"/>
              </w:rPr>
            </w:pPr>
            <w:hyperlink r:id="rId134">
              <w:r>
                <w:rPr>
                  <w:rFonts w:ascii="Calibri" w:cs="Calibri" w:eastAsia="Calibri" w:hAnsi="Calibri"/>
                  <w:sz w:val="15"/>
                  <w:szCs w:val="15"/>
                  <w:color w:val="0000FF"/>
                </w:rPr>
                <w:t>in Exhibit 4.39)</w:t>
              </w:r>
              <w:r>
                <w:rPr>
                  <w:rFonts w:ascii="Calibri" w:cs="Calibri" w:eastAsia="Calibri" w:hAnsi="Calibri"/>
                  <w:sz w:val="15"/>
                  <w:szCs w:val="15"/>
                  <w:color w:val="000000"/>
                </w:rPr>
                <w:t>.</w:t>
              </w:r>
            </w:hyperlink>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3"/>
          </w:tcPr>
          <w:p>
            <w:pPr>
              <w:spacing w:after="0"/>
              <w:rPr>
                <w:sz w:val="13"/>
                <w:szCs w:val="13"/>
                <w:color w:val="auto"/>
              </w:rPr>
            </w:pPr>
          </w:p>
        </w:tc>
        <w:tc>
          <w:tcPr>
            <w:tcW w:w="2000" w:type="dxa"/>
            <w:vAlign w:val="bottom"/>
            <w:gridSpan w:val="2"/>
          </w:tcPr>
          <w:p>
            <w:pPr>
              <w:ind w:left="20"/>
              <w:spacing w:after="0" w:line="152" w:lineRule="exact"/>
              <w:rPr>
                <w:sz w:val="20"/>
                <w:szCs w:val="20"/>
                <w:color w:val="auto"/>
              </w:rPr>
            </w:pPr>
            <w:r>
              <w:rPr>
                <w:rFonts w:ascii="Calibri" w:cs="Calibri" w:eastAsia="Calibri" w:hAnsi="Calibri"/>
                <w:sz w:val="15"/>
                <w:szCs w:val="15"/>
                <w:color w:val="auto"/>
              </w:rPr>
              <w:t>Report on Form 8-K</w:t>
            </w: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860" w:type="dxa"/>
            <w:vAlign w:val="bottom"/>
          </w:tcPr>
          <w:p>
            <w:pPr>
              <w:jc w:val="right"/>
              <w:spacing w:after="0" w:line="217" w:lineRule="exact"/>
              <w:rPr>
                <w:sz w:val="20"/>
                <w:szCs w:val="20"/>
                <w:color w:val="auto"/>
              </w:rPr>
            </w:pPr>
            <w:r>
              <w:rPr>
                <w:rFonts w:ascii="Calibri" w:cs="Calibri" w:eastAsia="Calibri" w:hAnsi="Calibri"/>
                <w:sz w:val="18"/>
                <w:szCs w:val="18"/>
                <w:color w:val="auto"/>
              </w:rPr>
              <w:t>4.36</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60" w:type="dxa"/>
            <w:vAlign w:val="bottom"/>
            <w:gridSpan w:val="33"/>
          </w:tcPr>
          <w:p>
            <w:pPr>
              <w:spacing w:after="0" w:line="217" w:lineRule="exact"/>
              <w:rPr>
                <w:rFonts w:ascii="Calibri" w:cs="Calibri" w:eastAsia="Calibri" w:hAnsi="Calibri"/>
                <w:sz w:val="18"/>
                <w:szCs w:val="18"/>
                <w:color w:val="0000FF"/>
              </w:rPr>
            </w:pPr>
            <w:hyperlink r:id="rId134">
              <w:r>
                <w:rPr>
                  <w:rFonts w:ascii="Calibri" w:cs="Calibri" w:eastAsia="Calibri" w:hAnsi="Calibri"/>
                  <w:sz w:val="18"/>
                  <w:szCs w:val="18"/>
                  <w:color w:val="0000FF"/>
                </w:rPr>
                <w:t>Form of 3.469% Senior Notes due 2034 (included</w:t>
              </w:r>
            </w:hyperlink>
          </w:p>
        </w:tc>
        <w:tc>
          <w:tcPr>
            <w:tcW w:w="2000" w:type="dxa"/>
            <w:vAlign w:val="bottom"/>
            <w:gridSpan w:val="2"/>
          </w:tcPr>
          <w:p>
            <w:pPr>
              <w:ind w:left="20"/>
              <w:spacing w:after="0" w:line="217" w:lineRule="exact"/>
              <w:rPr>
                <w:sz w:val="20"/>
                <w:szCs w:val="20"/>
                <w:color w:val="auto"/>
              </w:rPr>
            </w:pPr>
            <w:r>
              <w:rPr>
                <w:rFonts w:ascii="Calibri" w:cs="Calibri" w:eastAsia="Calibri" w:hAnsi="Calibri"/>
                <w:sz w:val="18"/>
                <w:szCs w:val="18"/>
                <w:color w:val="auto"/>
              </w:rPr>
              <w:t>Broadcom Inc. Current</w:t>
            </w:r>
          </w:p>
        </w:tc>
        <w:tc>
          <w:tcPr>
            <w:tcW w:w="1160" w:type="dxa"/>
            <w:vAlign w:val="bottom"/>
          </w:tcPr>
          <w:p>
            <w:pPr>
              <w:spacing w:after="0" w:line="217" w:lineRule="exact"/>
              <w:rPr>
                <w:sz w:val="20"/>
                <w:szCs w:val="20"/>
                <w:color w:val="auto"/>
              </w:rPr>
            </w:pPr>
            <w:r>
              <w:rPr>
                <w:rFonts w:ascii="Calibri" w:cs="Calibri" w:eastAsia="Calibri" w:hAnsi="Calibri"/>
                <w:sz w:val="18"/>
                <w:szCs w:val="18"/>
                <w:color w:val="auto"/>
              </w:rPr>
              <w:t>001-38449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jc w:val="center"/>
              <w:ind w:right="213"/>
              <w:spacing w:after="0" w:line="217" w:lineRule="exact"/>
              <w:rPr>
                <w:sz w:val="20"/>
                <w:szCs w:val="20"/>
                <w:color w:val="auto"/>
              </w:rPr>
            </w:pPr>
            <w:r>
              <w:rPr>
                <w:rFonts w:ascii="Calibri" w:cs="Calibri" w:eastAsia="Calibri" w:hAnsi="Calibri"/>
                <w:sz w:val="18"/>
                <w:szCs w:val="18"/>
                <w:color w:val="auto"/>
                <w:w w:val="96"/>
              </w:rPr>
              <w:t>4.1</w:t>
            </w:r>
          </w:p>
        </w:tc>
        <w:tc>
          <w:tcPr>
            <w:tcW w:w="100" w:type="dxa"/>
            <w:vAlign w:val="bottom"/>
          </w:tcPr>
          <w:p>
            <w:pPr>
              <w:spacing w:after="0"/>
              <w:rPr>
                <w:sz w:val="18"/>
                <w:szCs w:val="18"/>
                <w:color w:val="auto"/>
              </w:rPr>
            </w:pPr>
          </w:p>
        </w:tc>
        <w:tc>
          <w:tcPr>
            <w:tcW w:w="1140" w:type="dxa"/>
            <w:vAlign w:val="bottom"/>
          </w:tcPr>
          <w:p>
            <w:pPr>
              <w:jc w:val="right"/>
              <w:ind w:right="233"/>
              <w:spacing w:after="0" w:line="217" w:lineRule="exact"/>
              <w:rPr>
                <w:sz w:val="20"/>
                <w:szCs w:val="20"/>
                <w:color w:val="auto"/>
              </w:rPr>
            </w:pPr>
            <w:r>
              <w:rPr>
                <w:rFonts w:ascii="Calibri" w:cs="Calibri" w:eastAsia="Calibri" w:hAnsi="Calibri"/>
                <w:sz w:val="18"/>
                <w:szCs w:val="18"/>
                <w:color w:val="auto"/>
                <w:w w:val="95"/>
              </w:rPr>
              <w:t>03-31-2021</w:t>
            </w:r>
          </w:p>
        </w:tc>
        <w:tc>
          <w:tcPr>
            <w:tcW w:w="0" w:type="dxa"/>
            <w:vAlign w:val="bottom"/>
          </w:tcPr>
          <w:p>
            <w:pPr>
              <w:spacing w:after="0"/>
              <w:rPr>
                <w:sz w:val="1"/>
                <w:szCs w:val="1"/>
                <w:color w:val="auto"/>
              </w:rPr>
            </w:pPr>
          </w:p>
        </w:tc>
      </w:tr>
      <w:tr>
        <w:trPr>
          <w:trHeight w:val="152"/>
        </w:trPr>
        <w:tc>
          <w:tcPr>
            <w:tcW w:w="8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00" w:type="dxa"/>
            <w:vAlign w:val="bottom"/>
            <w:tcBorders>
              <w:top w:val="single" w:sz="8" w:color="0000FF"/>
            </w:tcBorders>
            <w:gridSpan w:val="24"/>
          </w:tcPr>
          <w:p>
            <w:pPr>
              <w:spacing w:after="0" w:line="152" w:lineRule="exact"/>
              <w:rPr>
                <w:rFonts w:ascii="Calibri" w:cs="Calibri" w:eastAsia="Calibri" w:hAnsi="Calibri"/>
                <w:sz w:val="15"/>
                <w:szCs w:val="15"/>
                <w:color w:val="0000FF"/>
              </w:rPr>
            </w:pPr>
            <w:hyperlink r:id="rId134">
              <w:r>
                <w:rPr>
                  <w:rFonts w:ascii="Calibri" w:cs="Calibri" w:eastAsia="Calibri" w:hAnsi="Calibri"/>
                  <w:sz w:val="15"/>
                  <w:szCs w:val="15"/>
                  <w:color w:val="0000FF"/>
                </w:rPr>
                <w:t>in Exhibit 4.39)</w:t>
              </w:r>
              <w:r>
                <w:rPr>
                  <w:rFonts w:ascii="Calibri" w:cs="Calibri" w:eastAsia="Calibri" w:hAnsi="Calibri"/>
                  <w:sz w:val="15"/>
                  <w:szCs w:val="15"/>
                  <w:color w:val="000000"/>
                </w:rPr>
                <w:t>.</w:t>
              </w:r>
            </w:hyperlink>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3"/>
          </w:tcPr>
          <w:p>
            <w:pPr>
              <w:spacing w:after="0"/>
              <w:rPr>
                <w:sz w:val="13"/>
                <w:szCs w:val="13"/>
                <w:color w:val="auto"/>
              </w:rPr>
            </w:pPr>
          </w:p>
        </w:tc>
        <w:tc>
          <w:tcPr>
            <w:tcW w:w="2000" w:type="dxa"/>
            <w:vAlign w:val="bottom"/>
            <w:gridSpan w:val="2"/>
          </w:tcPr>
          <w:p>
            <w:pPr>
              <w:ind w:left="20"/>
              <w:spacing w:after="0" w:line="152" w:lineRule="exact"/>
              <w:rPr>
                <w:sz w:val="20"/>
                <w:szCs w:val="20"/>
                <w:color w:val="auto"/>
              </w:rPr>
            </w:pPr>
            <w:r>
              <w:rPr>
                <w:rFonts w:ascii="Calibri" w:cs="Calibri" w:eastAsia="Calibri" w:hAnsi="Calibri"/>
                <w:sz w:val="15"/>
                <w:szCs w:val="15"/>
                <w:color w:val="auto"/>
              </w:rPr>
              <w:t>Report on Form 8-K</w:t>
            </w: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860" w:type="dxa"/>
            <w:vAlign w:val="bottom"/>
          </w:tcPr>
          <w:p>
            <w:pPr>
              <w:jc w:val="right"/>
              <w:spacing w:after="0" w:line="217" w:lineRule="exact"/>
              <w:rPr>
                <w:sz w:val="20"/>
                <w:szCs w:val="20"/>
                <w:color w:val="auto"/>
              </w:rPr>
            </w:pPr>
            <w:r>
              <w:rPr>
                <w:rFonts w:ascii="Calibri" w:cs="Calibri" w:eastAsia="Calibri" w:hAnsi="Calibri"/>
                <w:sz w:val="18"/>
                <w:szCs w:val="18"/>
                <w:color w:val="auto"/>
              </w:rPr>
              <w:t>4.37</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60" w:type="dxa"/>
            <w:vAlign w:val="bottom"/>
            <w:gridSpan w:val="33"/>
          </w:tcPr>
          <w:p>
            <w:pPr>
              <w:spacing w:after="0" w:line="217" w:lineRule="exact"/>
              <w:rPr>
                <w:rFonts w:ascii="Calibri" w:cs="Calibri" w:eastAsia="Calibri" w:hAnsi="Calibri"/>
                <w:sz w:val="18"/>
                <w:szCs w:val="18"/>
                <w:color w:val="0000FF"/>
              </w:rPr>
            </w:pPr>
            <w:hyperlink r:id="rId135">
              <w:r>
                <w:rPr>
                  <w:rFonts w:ascii="Calibri" w:cs="Calibri" w:eastAsia="Calibri" w:hAnsi="Calibri"/>
                  <w:sz w:val="18"/>
                  <w:szCs w:val="18"/>
                  <w:color w:val="0000FF"/>
                </w:rPr>
                <w:t>Registraton Rights Agreement, dated as of March</w:t>
              </w:r>
            </w:hyperlink>
          </w:p>
        </w:tc>
        <w:tc>
          <w:tcPr>
            <w:tcW w:w="2000" w:type="dxa"/>
            <w:vAlign w:val="bottom"/>
            <w:gridSpan w:val="2"/>
          </w:tcPr>
          <w:p>
            <w:pPr>
              <w:ind w:left="20"/>
              <w:spacing w:after="0" w:line="217" w:lineRule="exact"/>
              <w:rPr>
                <w:sz w:val="20"/>
                <w:szCs w:val="20"/>
                <w:color w:val="auto"/>
              </w:rPr>
            </w:pPr>
            <w:r>
              <w:rPr>
                <w:rFonts w:ascii="Calibri" w:cs="Calibri" w:eastAsia="Calibri" w:hAnsi="Calibri"/>
                <w:sz w:val="18"/>
                <w:szCs w:val="18"/>
                <w:color w:val="auto"/>
              </w:rPr>
              <w:t>Broadcom Inc. Current</w:t>
            </w:r>
          </w:p>
        </w:tc>
        <w:tc>
          <w:tcPr>
            <w:tcW w:w="1160" w:type="dxa"/>
            <w:vAlign w:val="bottom"/>
          </w:tcPr>
          <w:p>
            <w:pPr>
              <w:spacing w:after="0" w:line="217" w:lineRule="exact"/>
              <w:rPr>
                <w:sz w:val="20"/>
                <w:szCs w:val="20"/>
                <w:color w:val="auto"/>
              </w:rPr>
            </w:pPr>
            <w:r>
              <w:rPr>
                <w:rFonts w:ascii="Calibri" w:cs="Calibri" w:eastAsia="Calibri" w:hAnsi="Calibri"/>
                <w:sz w:val="18"/>
                <w:szCs w:val="18"/>
                <w:color w:val="auto"/>
              </w:rPr>
              <w:t>001-38449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jc w:val="center"/>
              <w:ind w:right="213"/>
              <w:spacing w:after="0" w:line="217" w:lineRule="exact"/>
              <w:rPr>
                <w:sz w:val="20"/>
                <w:szCs w:val="20"/>
                <w:color w:val="auto"/>
              </w:rPr>
            </w:pPr>
            <w:r>
              <w:rPr>
                <w:rFonts w:ascii="Calibri" w:cs="Calibri" w:eastAsia="Calibri" w:hAnsi="Calibri"/>
                <w:sz w:val="18"/>
                <w:szCs w:val="18"/>
                <w:color w:val="auto"/>
                <w:w w:val="96"/>
              </w:rPr>
              <w:t>4.4</w:t>
            </w:r>
          </w:p>
        </w:tc>
        <w:tc>
          <w:tcPr>
            <w:tcW w:w="100" w:type="dxa"/>
            <w:vAlign w:val="bottom"/>
          </w:tcPr>
          <w:p>
            <w:pPr>
              <w:spacing w:after="0"/>
              <w:rPr>
                <w:sz w:val="18"/>
                <w:szCs w:val="18"/>
                <w:color w:val="auto"/>
              </w:rPr>
            </w:pPr>
          </w:p>
        </w:tc>
        <w:tc>
          <w:tcPr>
            <w:tcW w:w="1140" w:type="dxa"/>
            <w:vAlign w:val="bottom"/>
          </w:tcPr>
          <w:p>
            <w:pPr>
              <w:jc w:val="right"/>
              <w:ind w:right="233"/>
              <w:spacing w:after="0" w:line="217" w:lineRule="exact"/>
              <w:rPr>
                <w:sz w:val="20"/>
                <w:szCs w:val="20"/>
                <w:color w:val="auto"/>
              </w:rPr>
            </w:pPr>
            <w:r>
              <w:rPr>
                <w:rFonts w:ascii="Calibri" w:cs="Calibri" w:eastAsia="Calibri" w:hAnsi="Calibri"/>
                <w:sz w:val="18"/>
                <w:szCs w:val="18"/>
                <w:color w:val="auto"/>
                <w:w w:val="95"/>
              </w:rPr>
              <w:t>03-31-2021</w:t>
            </w:r>
          </w:p>
        </w:tc>
        <w:tc>
          <w:tcPr>
            <w:tcW w:w="0" w:type="dxa"/>
            <w:vAlign w:val="bottom"/>
          </w:tcPr>
          <w:p>
            <w:pPr>
              <w:spacing w:after="0"/>
              <w:rPr>
                <w:sz w:val="1"/>
                <w:szCs w:val="1"/>
                <w:color w:val="auto"/>
              </w:rPr>
            </w:pPr>
          </w:p>
        </w:tc>
      </w:tr>
      <w:tr>
        <w:trPr>
          <w:trHeight w:val="152"/>
        </w:trPr>
        <w:tc>
          <w:tcPr>
            <w:tcW w:w="8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320" w:type="dxa"/>
            <w:vAlign w:val="bottom"/>
            <w:tcBorders>
              <w:top w:val="single" w:sz="8" w:color="0000FF"/>
              <w:bottom w:val="single" w:sz="8" w:color="0000FF"/>
            </w:tcBorders>
            <w:gridSpan w:val="20"/>
          </w:tcPr>
          <w:p>
            <w:pPr>
              <w:spacing w:after="0" w:line="152" w:lineRule="exact"/>
              <w:rPr>
                <w:rFonts w:ascii="Calibri" w:cs="Calibri" w:eastAsia="Calibri" w:hAnsi="Calibri"/>
                <w:sz w:val="15"/>
                <w:szCs w:val="15"/>
                <w:color w:val="0000FF"/>
              </w:rPr>
            </w:pPr>
            <w:hyperlink r:id="rId135">
              <w:r>
                <w:rPr>
                  <w:rFonts w:ascii="Calibri" w:cs="Calibri" w:eastAsia="Calibri" w:hAnsi="Calibri"/>
                  <w:sz w:val="15"/>
                  <w:szCs w:val="15"/>
                  <w:color w:val="0000FF"/>
                </w:rPr>
                <w:t>31, 2021, by and among the Company and BofA</w:t>
              </w:r>
            </w:hyperlink>
          </w:p>
        </w:tc>
        <w:tc>
          <w:tcPr>
            <w:tcW w:w="140" w:type="dxa"/>
            <w:vAlign w:val="bottom"/>
            <w:tcBorders>
              <w:top w:val="single" w:sz="8" w:color="0000FF"/>
            </w:tcBorders>
            <w:gridSpan w:val="6"/>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3"/>
          </w:tcPr>
          <w:p>
            <w:pPr>
              <w:spacing w:after="0"/>
              <w:rPr>
                <w:sz w:val="13"/>
                <w:szCs w:val="13"/>
                <w:color w:val="auto"/>
              </w:rPr>
            </w:pPr>
          </w:p>
        </w:tc>
        <w:tc>
          <w:tcPr>
            <w:tcW w:w="2000" w:type="dxa"/>
            <w:vAlign w:val="bottom"/>
            <w:gridSpan w:val="2"/>
          </w:tcPr>
          <w:p>
            <w:pPr>
              <w:ind w:left="20"/>
              <w:spacing w:after="0" w:line="152" w:lineRule="exact"/>
              <w:rPr>
                <w:sz w:val="20"/>
                <w:szCs w:val="20"/>
                <w:color w:val="auto"/>
              </w:rPr>
            </w:pPr>
            <w:r>
              <w:rPr>
                <w:rFonts w:ascii="Calibri" w:cs="Calibri" w:eastAsia="Calibri" w:hAnsi="Calibri"/>
                <w:sz w:val="15"/>
                <w:szCs w:val="15"/>
                <w:color w:val="auto"/>
              </w:rPr>
              <w:t>Report on Form 8-K</w:t>
            </w: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60" w:type="dxa"/>
            <w:vAlign w:val="bottom"/>
            <w:gridSpan w:val="33"/>
          </w:tcPr>
          <w:p>
            <w:pPr>
              <w:spacing w:after="0" w:line="165" w:lineRule="exact"/>
              <w:rPr>
                <w:rFonts w:ascii="Calibri" w:cs="Calibri" w:eastAsia="Calibri" w:hAnsi="Calibri"/>
                <w:sz w:val="18"/>
                <w:szCs w:val="18"/>
                <w:color w:val="0000FF"/>
              </w:rPr>
            </w:pPr>
            <w:hyperlink r:id="rId135">
              <w:r>
                <w:rPr>
                  <w:rFonts w:ascii="Calibri" w:cs="Calibri" w:eastAsia="Calibri" w:hAnsi="Calibri"/>
                  <w:sz w:val="18"/>
                  <w:szCs w:val="18"/>
                  <w:color w:val="0000FF"/>
                </w:rPr>
                <w:t>Securites, Inc. and HSBC Securites (USA) Inc., as</w:t>
              </w:r>
            </w:hyperlink>
          </w:p>
        </w:tc>
        <w:tc>
          <w:tcPr>
            <w:tcW w:w="1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8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380" w:type="dxa"/>
            <w:vAlign w:val="bottom"/>
            <w:tcBorders>
              <w:top w:val="single" w:sz="8" w:color="0000FF"/>
            </w:tcBorders>
            <w:gridSpan w:val="23"/>
          </w:tcPr>
          <w:p>
            <w:pPr>
              <w:spacing w:after="0" w:line="152" w:lineRule="exact"/>
              <w:rPr>
                <w:rFonts w:ascii="Calibri" w:cs="Calibri" w:eastAsia="Calibri" w:hAnsi="Calibri"/>
                <w:sz w:val="15"/>
                <w:szCs w:val="15"/>
                <w:color w:val="0000FF"/>
              </w:rPr>
            </w:pPr>
            <w:hyperlink r:id="rId135">
              <w:r>
                <w:rPr>
                  <w:rFonts w:ascii="Calibri" w:cs="Calibri" w:eastAsia="Calibri" w:hAnsi="Calibri"/>
                  <w:sz w:val="15"/>
                  <w:szCs w:val="15"/>
                  <w:color w:val="0000FF"/>
                </w:rPr>
                <w:t>dealer-managers in connecton with the March</w:t>
              </w:r>
            </w:hyperlink>
          </w:p>
        </w:tc>
        <w:tc>
          <w:tcPr>
            <w:tcW w:w="6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3"/>
          </w:tcPr>
          <w:p>
            <w:pPr>
              <w:spacing w:after="0"/>
              <w:rPr>
                <w:sz w:val="13"/>
                <w:szCs w:val="13"/>
                <w:color w:val="auto"/>
              </w:rPr>
            </w:pPr>
          </w:p>
        </w:tc>
        <w:tc>
          <w:tcPr>
            <w:tcW w:w="1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8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60" w:type="dxa"/>
            <w:vAlign w:val="bottom"/>
            <w:tcBorders>
              <w:top w:val="single" w:sz="8" w:color="0000FF"/>
              <w:bottom w:val="single" w:sz="8" w:color="0000FF"/>
            </w:tcBorders>
            <w:gridSpan w:val="6"/>
          </w:tcPr>
          <w:p>
            <w:pPr>
              <w:spacing w:after="0" w:line="152" w:lineRule="exact"/>
              <w:rPr>
                <w:rFonts w:ascii="Calibri" w:cs="Calibri" w:eastAsia="Calibri" w:hAnsi="Calibri"/>
                <w:sz w:val="15"/>
                <w:szCs w:val="15"/>
                <w:color w:val="0000FF"/>
              </w:rPr>
            </w:pPr>
            <w:hyperlink r:id="rId135">
              <w:r>
                <w:rPr>
                  <w:rFonts w:ascii="Calibri" w:cs="Calibri" w:eastAsia="Calibri" w:hAnsi="Calibri"/>
                  <w:sz w:val="15"/>
                  <w:szCs w:val="15"/>
                  <w:color w:val="0000FF"/>
                </w:rPr>
                <w:t>2021 Exchange Ofer.</w:t>
              </w:r>
            </w:hyperlink>
          </w:p>
        </w:tc>
        <w:tc>
          <w:tcPr>
            <w:tcW w:w="1800" w:type="dxa"/>
            <w:vAlign w:val="bottom"/>
            <w:tcBorders>
              <w:top w:val="single" w:sz="8" w:color="0000FF"/>
            </w:tcBorders>
            <w:gridSpan w:val="11"/>
          </w:tcPr>
          <w:p>
            <w:pPr>
              <w:spacing w:after="0"/>
              <w:rPr>
                <w:sz w:val="13"/>
                <w:szCs w:val="13"/>
                <w:color w:val="auto"/>
              </w:rPr>
            </w:pPr>
          </w:p>
        </w:tc>
        <w:tc>
          <w:tcPr>
            <w:tcW w:w="180" w:type="dxa"/>
            <w:vAlign w:val="bottom"/>
            <w:gridSpan w:val="8"/>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3"/>
          </w:tcPr>
          <w:p>
            <w:pPr>
              <w:spacing w:after="0"/>
              <w:rPr>
                <w:sz w:val="13"/>
                <w:szCs w:val="13"/>
                <w:color w:val="auto"/>
              </w:rPr>
            </w:pPr>
          </w:p>
        </w:tc>
        <w:tc>
          <w:tcPr>
            <w:tcW w:w="1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8"/>
        </w:trPr>
        <w:tc>
          <w:tcPr>
            <w:tcW w:w="860" w:type="dxa"/>
            <w:vAlign w:val="bottom"/>
          </w:tcPr>
          <w:p>
            <w:pPr>
              <w:jc w:val="right"/>
              <w:spacing w:after="0" w:line="217" w:lineRule="exact"/>
              <w:rPr>
                <w:sz w:val="20"/>
                <w:szCs w:val="20"/>
                <w:color w:val="auto"/>
              </w:rPr>
            </w:pPr>
            <w:r>
              <w:rPr>
                <w:rFonts w:ascii="Calibri" w:cs="Calibri" w:eastAsia="Calibri" w:hAnsi="Calibri"/>
                <w:sz w:val="18"/>
                <w:szCs w:val="18"/>
                <w:color w:val="auto"/>
              </w:rPr>
              <w:t>4.38</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60" w:type="dxa"/>
            <w:vAlign w:val="bottom"/>
            <w:gridSpan w:val="33"/>
          </w:tcPr>
          <w:p>
            <w:pPr>
              <w:spacing w:after="0" w:line="217" w:lineRule="exact"/>
              <w:rPr>
                <w:rFonts w:ascii="Calibri" w:cs="Calibri" w:eastAsia="Calibri" w:hAnsi="Calibri"/>
                <w:sz w:val="18"/>
                <w:szCs w:val="18"/>
                <w:color w:val="0000FF"/>
                <w:w w:val="97"/>
              </w:rPr>
            </w:pPr>
            <w:hyperlink r:id="rId136">
              <w:r>
                <w:rPr>
                  <w:rFonts w:ascii="Calibri" w:cs="Calibri" w:eastAsia="Calibri" w:hAnsi="Calibri"/>
                  <w:sz w:val="18"/>
                  <w:szCs w:val="18"/>
                  <w:color w:val="0000FF"/>
                  <w:w w:val="97"/>
                </w:rPr>
                <w:t>Indenture, dated as of September 30, 2021, by and</w:t>
              </w:r>
            </w:hyperlink>
          </w:p>
        </w:tc>
        <w:tc>
          <w:tcPr>
            <w:tcW w:w="2000" w:type="dxa"/>
            <w:vAlign w:val="bottom"/>
            <w:gridSpan w:val="2"/>
          </w:tcPr>
          <w:p>
            <w:pPr>
              <w:ind w:left="20"/>
              <w:spacing w:after="0" w:line="217" w:lineRule="exact"/>
              <w:rPr>
                <w:sz w:val="20"/>
                <w:szCs w:val="20"/>
                <w:color w:val="auto"/>
              </w:rPr>
            </w:pPr>
            <w:r>
              <w:rPr>
                <w:rFonts w:ascii="Calibri" w:cs="Calibri" w:eastAsia="Calibri" w:hAnsi="Calibri"/>
                <w:sz w:val="18"/>
                <w:szCs w:val="18"/>
                <w:color w:val="auto"/>
              </w:rPr>
              <w:t>Broadcom Inc. Current</w:t>
            </w:r>
          </w:p>
        </w:tc>
        <w:tc>
          <w:tcPr>
            <w:tcW w:w="1160" w:type="dxa"/>
            <w:vAlign w:val="bottom"/>
          </w:tcPr>
          <w:p>
            <w:pPr>
              <w:spacing w:after="0" w:line="217" w:lineRule="exact"/>
              <w:rPr>
                <w:sz w:val="20"/>
                <w:szCs w:val="20"/>
                <w:color w:val="auto"/>
              </w:rPr>
            </w:pPr>
            <w:r>
              <w:rPr>
                <w:rFonts w:ascii="Calibri" w:cs="Calibri" w:eastAsia="Calibri" w:hAnsi="Calibri"/>
                <w:sz w:val="18"/>
                <w:szCs w:val="18"/>
                <w:color w:val="auto"/>
              </w:rPr>
              <w:t>001-38449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jc w:val="center"/>
              <w:ind w:right="213"/>
              <w:spacing w:after="0" w:line="217" w:lineRule="exact"/>
              <w:rPr>
                <w:sz w:val="20"/>
                <w:szCs w:val="20"/>
                <w:color w:val="auto"/>
              </w:rPr>
            </w:pPr>
            <w:r>
              <w:rPr>
                <w:rFonts w:ascii="Calibri" w:cs="Calibri" w:eastAsia="Calibri" w:hAnsi="Calibri"/>
                <w:sz w:val="18"/>
                <w:szCs w:val="18"/>
                <w:color w:val="auto"/>
                <w:w w:val="96"/>
              </w:rPr>
              <w:t>4.1</w:t>
            </w:r>
          </w:p>
        </w:tc>
        <w:tc>
          <w:tcPr>
            <w:tcW w:w="100" w:type="dxa"/>
            <w:vAlign w:val="bottom"/>
          </w:tcPr>
          <w:p>
            <w:pPr>
              <w:spacing w:after="0"/>
              <w:rPr>
                <w:sz w:val="18"/>
                <w:szCs w:val="18"/>
                <w:color w:val="auto"/>
              </w:rPr>
            </w:pPr>
          </w:p>
        </w:tc>
        <w:tc>
          <w:tcPr>
            <w:tcW w:w="1140" w:type="dxa"/>
            <w:vAlign w:val="bottom"/>
          </w:tcPr>
          <w:p>
            <w:pPr>
              <w:jc w:val="right"/>
              <w:ind w:right="233"/>
              <w:spacing w:after="0" w:line="217" w:lineRule="exact"/>
              <w:rPr>
                <w:sz w:val="20"/>
                <w:szCs w:val="20"/>
                <w:color w:val="auto"/>
              </w:rPr>
            </w:pPr>
            <w:r>
              <w:rPr>
                <w:rFonts w:ascii="Calibri" w:cs="Calibri" w:eastAsia="Calibri" w:hAnsi="Calibri"/>
                <w:sz w:val="18"/>
                <w:szCs w:val="18"/>
                <w:color w:val="auto"/>
                <w:w w:val="95"/>
              </w:rPr>
              <w:t>09-30-2021</w:t>
            </w:r>
          </w:p>
        </w:tc>
        <w:tc>
          <w:tcPr>
            <w:tcW w:w="0" w:type="dxa"/>
            <w:vAlign w:val="bottom"/>
          </w:tcPr>
          <w:p>
            <w:pPr>
              <w:spacing w:after="0"/>
              <w:rPr>
                <w:sz w:val="1"/>
                <w:szCs w:val="1"/>
                <w:color w:val="auto"/>
              </w:rPr>
            </w:pPr>
          </w:p>
        </w:tc>
      </w:tr>
      <w:tr>
        <w:trPr>
          <w:trHeight w:val="152"/>
        </w:trPr>
        <w:tc>
          <w:tcPr>
            <w:tcW w:w="8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540" w:type="dxa"/>
            <w:vAlign w:val="bottom"/>
            <w:tcBorders>
              <w:top w:val="single" w:sz="8" w:color="0000FF"/>
            </w:tcBorders>
            <w:gridSpan w:val="30"/>
          </w:tcPr>
          <w:p>
            <w:pPr>
              <w:spacing w:after="0" w:line="152" w:lineRule="exact"/>
              <w:rPr>
                <w:rFonts w:ascii="Calibri" w:cs="Calibri" w:eastAsia="Calibri" w:hAnsi="Calibri"/>
                <w:sz w:val="15"/>
                <w:szCs w:val="15"/>
                <w:color w:val="0000FF"/>
              </w:rPr>
            </w:pPr>
            <w:hyperlink r:id="rId136">
              <w:r>
                <w:rPr>
                  <w:rFonts w:ascii="Calibri" w:cs="Calibri" w:eastAsia="Calibri" w:hAnsi="Calibri"/>
                  <w:sz w:val="15"/>
                  <w:szCs w:val="15"/>
                  <w:color w:val="0000FF"/>
                </w:rPr>
                <w:t>between the Company and Wilmington Trust,</w:t>
              </w:r>
            </w:hyperlink>
          </w:p>
        </w:tc>
        <w:tc>
          <w:tcPr>
            <w:tcW w:w="120" w:type="dxa"/>
            <w:vAlign w:val="bottom"/>
            <w:gridSpan w:val="3"/>
          </w:tcPr>
          <w:p>
            <w:pPr>
              <w:spacing w:after="0"/>
              <w:rPr>
                <w:sz w:val="13"/>
                <w:szCs w:val="13"/>
                <w:color w:val="auto"/>
              </w:rPr>
            </w:pPr>
          </w:p>
        </w:tc>
        <w:tc>
          <w:tcPr>
            <w:tcW w:w="2000" w:type="dxa"/>
            <w:vAlign w:val="bottom"/>
            <w:gridSpan w:val="2"/>
          </w:tcPr>
          <w:p>
            <w:pPr>
              <w:ind w:left="20"/>
              <w:spacing w:after="0" w:line="152" w:lineRule="exact"/>
              <w:rPr>
                <w:sz w:val="20"/>
                <w:szCs w:val="20"/>
                <w:color w:val="auto"/>
              </w:rPr>
            </w:pPr>
            <w:r>
              <w:rPr>
                <w:rFonts w:ascii="Calibri" w:cs="Calibri" w:eastAsia="Calibri" w:hAnsi="Calibri"/>
                <w:sz w:val="15"/>
                <w:szCs w:val="15"/>
                <w:color w:val="auto"/>
              </w:rPr>
              <w:t>Report on Form 8-K</w:t>
            </w: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160" w:type="dxa"/>
            <w:vAlign w:val="bottom"/>
            <w:tcBorders>
              <w:top w:val="single" w:sz="8" w:color="0000FF"/>
            </w:tcBorders>
            <w:gridSpan w:val="15"/>
          </w:tcPr>
          <w:p>
            <w:pPr>
              <w:spacing w:after="0" w:line="165" w:lineRule="exact"/>
              <w:rPr>
                <w:rFonts w:ascii="Calibri" w:cs="Calibri" w:eastAsia="Calibri" w:hAnsi="Calibri"/>
                <w:sz w:val="18"/>
                <w:szCs w:val="18"/>
                <w:color w:val="0000FF"/>
              </w:rPr>
            </w:pPr>
            <w:hyperlink r:id="rId136">
              <w:r>
                <w:rPr>
                  <w:rFonts w:ascii="Calibri" w:cs="Calibri" w:eastAsia="Calibri" w:hAnsi="Calibri"/>
                  <w:sz w:val="18"/>
                  <w:szCs w:val="18"/>
                  <w:color w:val="0000FF"/>
                </w:rPr>
                <w:t>Natonal Associaton, as Trustee.</w:t>
              </w:r>
            </w:hyperlink>
          </w:p>
        </w:tc>
        <w:tc>
          <w:tcPr>
            <w:tcW w:w="280" w:type="dxa"/>
            <w:vAlign w:val="bottom"/>
            <w:gridSpan w:val="10"/>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gridSpan w:val="4"/>
          </w:tcPr>
          <w:p>
            <w:pPr>
              <w:spacing w:after="0"/>
              <w:rPr>
                <w:sz w:val="14"/>
                <w:szCs w:val="14"/>
                <w:color w:val="auto"/>
              </w:rPr>
            </w:pPr>
          </w:p>
        </w:tc>
        <w:tc>
          <w:tcPr>
            <w:tcW w:w="1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11"/>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860" w:type="dxa"/>
            <w:vAlign w:val="bottom"/>
          </w:tcPr>
          <w:p>
            <w:pPr>
              <w:jc w:val="right"/>
              <w:spacing w:after="0" w:line="205" w:lineRule="exact"/>
              <w:rPr>
                <w:sz w:val="20"/>
                <w:szCs w:val="20"/>
                <w:color w:val="auto"/>
              </w:rPr>
            </w:pPr>
            <w:r>
              <w:rPr>
                <w:rFonts w:ascii="Calibri" w:cs="Calibri" w:eastAsia="Calibri" w:hAnsi="Calibri"/>
                <w:sz w:val="18"/>
                <w:szCs w:val="18"/>
                <w:color w:val="auto"/>
              </w:rPr>
              <w:t>4.39</w:t>
            </w: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60" w:type="dxa"/>
            <w:vAlign w:val="bottom"/>
            <w:gridSpan w:val="33"/>
          </w:tcPr>
          <w:p>
            <w:pPr>
              <w:spacing w:after="0" w:line="205" w:lineRule="exact"/>
              <w:rPr>
                <w:rFonts w:ascii="Calibri" w:cs="Calibri" w:eastAsia="Calibri" w:hAnsi="Calibri"/>
                <w:sz w:val="18"/>
                <w:szCs w:val="18"/>
                <w:color w:val="0000FF"/>
              </w:rPr>
            </w:pPr>
            <w:hyperlink r:id="rId136">
              <w:r>
                <w:rPr>
                  <w:rFonts w:ascii="Calibri" w:cs="Calibri" w:eastAsia="Calibri" w:hAnsi="Calibri"/>
                  <w:sz w:val="18"/>
                  <w:szCs w:val="18"/>
                  <w:color w:val="0000FF"/>
                </w:rPr>
                <w:t>Form of 3.137% Senior Notes due 2035 (included</w:t>
              </w:r>
            </w:hyperlink>
          </w:p>
        </w:tc>
        <w:tc>
          <w:tcPr>
            <w:tcW w:w="2000" w:type="dxa"/>
            <w:vAlign w:val="bottom"/>
            <w:gridSpan w:val="2"/>
          </w:tcPr>
          <w:p>
            <w:pPr>
              <w:ind w:left="20"/>
              <w:spacing w:after="0" w:line="205" w:lineRule="exact"/>
              <w:rPr>
                <w:sz w:val="20"/>
                <w:szCs w:val="20"/>
                <w:color w:val="auto"/>
              </w:rPr>
            </w:pPr>
            <w:r>
              <w:rPr>
                <w:rFonts w:ascii="Calibri" w:cs="Calibri" w:eastAsia="Calibri" w:hAnsi="Calibri"/>
                <w:sz w:val="18"/>
                <w:szCs w:val="18"/>
                <w:color w:val="auto"/>
              </w:rPr>
              <w:t>Broadcom Inc. Current</w:t>
            </w:r>
          </w:p>
        </w:tc>
        <w:tc>
          <w:tcPr>
            <w:tcW w:w="1160" w:type="dxa"/>
            <w:vAlign w:val="bottom"/>
          </w:tcPr>
          <w:p>
            <w:pPr>
              <w:spacing w:after="0" w:line="205" w:lineRule="exact"/>
              <w:rPr>
                <w:sz w:val="20"/>
                <w:szCs w:val="20"/>
                <w:color w:val="auto"/>
              </w:rPr>
            </w:pPr>
            <w:r>
              <w:rPr>
                <w:rFonts w:ascii="Calibri" w:cs="Calibri" w:eastAsia="Calibri" w:hAnsi="Calibri"/>
                <w:sz w:val="18"/>
                <w:szCs w:val="18"/>
                <w:color w:val="auto"/>
              </w:rPr>
              <w:t>001-38449</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Pr>
          <w:p>
            <w:pPr>
              <w:jc w:val="center"/>
              <w:ind w:right="213"/>
              <w:spacing w:after="0" w:line="205" w:lineRule="exact"/>
              <w:rPr>
                <w:sz w:val="20"/>
                <w:szCs w:val="20"/>
                <w:color w:val="auto"/>
              </w:rPr>
            </w:pPr>
            <w:r>
              <w:rPr>
                <w:rFonts w:ascii="Calibri" w:cs="Calibri" w:eastAsia="Calibri" w:hAnsi="Calibri"/>
                <w:sz w:val="18"/>
                <w:szCs w:val="18"/>
                <w:color w:val="auto"/>
                <w:w w:val="96"/>
              </w:rPr>
              <w:t>4.1</w:t>
            </w:r>
          </w:p>
        </w:tc>
        <w:tc>
          <w:tcPr>
            <w:tcW w:w="100" w:type="dxa"/>
            <w:vAlign w:val="bottom"/>
          </w:tcPr>
          <w:p>
            <w:pPr>
              <w:spacing w:after="0"/>
              <w:rPr>
                <w:sz w:val="17"/>
                <w:szCs w:val="17"/>
                <w:color w:val="auto"/>
              </w:rPr>
            </w:pPr>
          </w:p>
        </w:tc>
        <w:tc>
          <w:tcPr>
            <w:tcW w:w="1140" w:type="dxa"/>
            <w:vAlign w:val="bottom"/>
          </w:tcPr>
          <w:p>
            <w:pPr>
              <w:jc w:val="right"/>
              <w:ind w:right="233"/>
              <w:spacing w:after="0" w:line="205" w:lineRule="exact"/>
              <w:rPr>
                <w:sz w:val="20"/>
                <w:szCs w:val="20"/>
                <w:color w:val="auto"/>
              </w:rPr>
            </w:pPr>
            <w:r>
              <w:rPr>
                <w:rFonts w:ascii="Calibri" w:cs="Calibri" w:eastAsia="Calibri" w:hAnsi="Calibri"/>
                <w:sz w:val="18"/>
                <w:szCs w:val="18"/>
                <w:color w:val="auto"/>
                <w:w w:val="95"/>
              </w:rPr>
              <w:t>09-30-2021</w:t>
            </w:r>
          </w:p>
        </w:tc>
        <w:tc>
          <w:tcPr>
            <w:tcW w:w="0" w:type="dxa"/>
            <w:vAlign w:val="bottom"/>
          </w:tcPr>
          <w:p>
            <w:pPr>
              <w:spacing w:after="0"/>
              <w:rPr>
                <w:sz w:val="1"/>
                <w:szCs w:val="1"/>
                <w:color w:val="auto"/>
              </w:rPr>
            </w:pPr>
          </w:p>
        </w:tc>
      </w:tr>
      <w:tr>
        <w:trPr>
          <w:trHeight w:val="152"/>
        </w:trPr>
        <w:tc>
          <w:tcPr>
            <w:tcW w:w="8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80" w:type="dxa"/>
            <w:vAlign w:val="bottom"/>
            <w:tcBorders>
              <w:top w:val="single" w:sz="8" w:color="0000FF"/>
              <w:bottom w:val="single" w:sz="8" w:color="0000FF"/>
            </w:tcBorders>
            <w:gridSpan w:val="4"/>
          </w:tcPr>
          <w:p>
            <w:pPr>
              <w:spacing w:after="0" w:line="152" w:lineRule="exact"/>
              <w:rPr>
                <w:rFonts w:ascii="Calibri" w:cs="Calibri" w:eastAsia="Calibri" w:hAnsi="Calibri"/>
                <w:sz w:val="15"/>
                <w:szCs w:val="15"/>
                <w:color w:val="0000FF"/>
              </w:rPr>
            </w:pPr>
            <w:hyperlink r:id="rId136">
              <w:r>
                <w:rPr>
                  <w:rFonts w:ascii="Calibri" w:cs="Calibri" w:eastAsia="Calibri" w:hAnsi="Calibri"/>
                  <w:sz w:val="15"/>
                  <w:szCs w:val="15"/>
                  <w:color w:val="0000FF"/>
                </w:rPr>
                <w:t>in Exhibit 4.43).</w:t>
              </w:r>
            </w:hyperlink>
          </w:p>
        </w:tc>
        <w:tc>
          <w:tcPr>
            <w:tcW w:w="2320" w:type="dxa"/>
            <w:vAlign w:val="bottom"/>
            <w:tcBorders>
              <w:top w:val="single" w:sz="8" w:color="0000FF"/>
            </w:tcBorders>
            <w:gridSpan w:val="20"/>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gridSpan w:val="4"/>
          </w:tcPr>
          <w:p>
            <w:pPr>
              <w:spacing w:after="0"/>
              <w:rPr>
                <w:sz w:val="13"/>
                <w:szCs w:val="13"/>
                <w:color w:val="auto"/>
              </w:rPr>
            </w:pPr>
          </w:p>
        </w:tc>
        <w:tc>
          <w:tcPr>
            <w:tcW w:w="2000" w:type="dxa"/>
            <w:vAlign w:val="bottom"/>
            <w:gridSpan w:val="2"/>
          </w:tcPr>
          <w:p>
            <w:pPr>
              <w:ind w:left="20"/>
              <w:spacing w:after="0" w:line="152" w:lineRule="exact"/>
              <w:rPr>
                <w:sz w:val="20"/>
                <w:szCs w:val="20"/>
                <w:color w:val="auto"/>
              </w:rPr>
            </w:pPr>
            <w:r>
              <w:rPr>
                <w:rFonts w:ascii="Calibri" w:cs="Calibri" w:eastAsia="Calibri" w:hAnsi="Calibri"/>
                <w:sz w:val="15"/>
                <w:szCs w:val="15"/>
                <w:color w:val="auto"/>
              </w:rPr>
              <w:t>Report on Form 8-K</w:t>
            </w: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8"/>
        </w:trPr>
        <w:tc>
          <w:tcPr>
            <w:tcW w:w="860" w:type="dxa"/>
            <w:vAlign w:val="bottom"/>
          </w:tcPr>
          <w:p>
            <w:pPr>
              <w:jc w:val="right"/>
              <w:spacing w:after="0" w:line="217" w:lineRule="exact"/>
              <w:rPr>
                <w:sz w:val="20"/>
                <w:szCs w:val="20"/>
                <w:color w:val="auto"/>
              </w:rPr>
            </w:pPr>
            <w:r>
              <w:rPr>
                <w:rFonts w:ascii="Calibri" w:cs="Calibri" w:eastAsia="Calibri" w:hAnsi="Calibri"/>
                <w:sz w:val="18"/>
                <w:szCs w:val="18"/>
                <w:color w:val="auto"/>
              </w:rPr>
              <w:t>4.40</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60" w:type="dxa"/>
            <w:vAlign w:val="bottom"/>
            <w:gridSpan w:val="33"/>
          </w:tcPr>
          <w:p>
            <w:pPr>
              <w:spacing w:after="0" w:line="217" w:lineRule="exact"/>
              <w:rPr>
                <w:rFonts w:ascii="Calibri" w:cs="Calibri" w:eastAsia="Calibri" w:hAnsi="Calibri"/>
                <w:sz w:val="18"/>
                <w:szCs w:val="18"/>
                <w:color w:val="0000FF"/>
              </w:rPr>
            </w:pPr>
            <w:hyperlink r:id="rId136">
              <w:r>
                <w:rPr>
                  <w:rFonts w:ascii="Calibri" w:cs="Calibri" w:eastAsia="Calibri" w:hAnsi="Calibri"/>
                  <w:sz w:val="18"/>
                  <w:szCs w:val="18"/>
                  <w:color w:val="0000FF"/>
                </w:rPr>
                <w:t>Form of 3.187% Senior Notes due 2036 (included</w:t>
              </w:r>
            </w:hyperlink>
          </w:p>
        </w:tc>
        <w:tc>
          <w:tcPr>
            <w:tcW w:w="2000" w:type="dxa"/>
            <w:vAlign w:val="bottom"/>
            <w:gridSpan w:val="2"/>
          </w:tcPr>
          <w:p>
            <w:pPr>
              <w:ind w:left="20"/>
              <w:spacing w:after="0" w:line="217" w:lineRule="exact"/>
              <w:rPr>
                <w:sz w:val="20"/>
                <w:szCs w:val="20"/>
                <w:color w:val="auto"/>
              </w:rPr>
            </w:pPr>
            <w:r>
              <w:rPr>
                <w:rFonts w:ascii="Calibri" w:cs="Calibri" w:eastAsia="Calibri" w:hAnsi="Calibri"/>
                <w:sz w:val="18"/>
                <w:szCs w:val="18"/>
                <w:color w:val="auto"/>
              </w:rPr>
              <w:t>Broadcom Inc. Current</w:t>
            </w:r>
          </w:p>
        </w:tc>
        <w:tc>
          <w:tcPr>
            <w:tcW w:w="1160" w:type="dxa"/>
            <w:vAlign w:val="bottom"/>
          </w:tcPr>
          <w:p>
            <w:pPr>
              <w:spacing w:after="0" w:line="217" w:lineRule="exact"/>
              <w:rPr>
                <w:sz w:val="20"/>
                <w:szCs w:val="20"/>
                <w:color w:val="auto"/>
              </w:rPr>
            </w:pPr>
            <w:r>
              <w:rPr>
                <w:rFonts w:ascii="Calibri" w:cs="Calibri" w:eastAsia="Calibri" w:hAnsi="Calibri"/>
                <w:sz w:val="18"/>
                <w:szCs w:val="18"/>
                <w:color w:val="auto"/>
              </w:rPr>
              <w:t>001-38449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jc w:val="center"/>
              <w:ind w:right="213"/>
              <w:spacing w:after="0" w:line="217" w:lineRule="exact"/>
              <w:rPr>
                <w:sz w:val="20"/>
                <w:szCs w:val="20"/>
                <w:color w:val="auto"/>
              </w:rPr>
            </w:pPr>
            <w:r>
              <w:rPr>
                <w:rFonts w:ascii="Calibri" w:cs="Calibri" w:eastAsia="Calibri" w:hAnsi="Calibri"/>
                <w:sz w:val="18"/>
                <w:szCs w:val="18"/>
                <w:color w:val="auto"/>
                <w:w w:val="96"/>
              </w:rPr>
              <w:t>4.1</w:t>
            </w:r>
          </w:p>
        </w:tc>
        <w:tc>
          <w:tcPr>
            <w:tcW w:w="100" w:type="dxa"/>
            <w:vAlign w:val="bottom"/>
          </w:tcPr>
          <w:p>
            <w:pPr>
              <w:spacing w:after="0"/>
              <w:rPr>
                <w:sz w:val="18"/>
                <w:szCs w:val="18"/>
                <w:color w:val="auto"/>
              </w:rPr>
            </w:pPr>
          </w:p>
        </w:tc>
        <w:tc>
          <w:tcPr>
            <w:tcW w:w="1140" w:type="dxa"/>
            <w:vAlign w:val="bottom"/>
          </w:tcPr>
          <w:p>
            <w:pPr>
              <w:jc w:val="right"/>
              <w:ind w:right="233"/>
              <w:spacing w:after="0" w:line="217" w:lineRule="exact"/>
              <w:rPr>
                <w:sz w:val="20"/>
                <w:szCs w:val="20"/>
                <w:color w:val="auto"/>
              </w:rPr>
            </w:pPr>
            <w:r>
              <w:rPr>
                <w:rFonts w:ascii="Calibri" w:cs="Calibri" w:eastAsia="Calibri" w:hAnsi="Calibri"/>
                <w:sz w:val="18"/>
                <w:szCs w:val="18"/>
                <w:color w:val="auto"/>
                <w:w w:val="95"/>
              </w:rPr>
              <w:t>09-30-2021</w:t>
            </w:r>
          </w:p>
        </w:tc>
        <w:tc>
          <w:tcPr>
            <w:tcW w:w="0" w:type="dxa"/>
            <w:vAlign w:val="bottom"/>
          </w:tcPr>
          <w:p>
            <w:pPr>
              <w:spacing w:after="0"/>
              <w:rPr>
                <w:sz w:val="1"/>
                <w:szCs w:val="1"/>
                <w:color w:val="auto"/>
              </w:rPr>
            </w:pPr>
          </w:p>
        </w:tc>
      </w:tr>
      <w:tr>
        <w:trPr>
          <w:trHeight w:val="152"/>
        </w:trPr>
        <w:tc>
          <w:tcPr>
            <w:tcW w:w="8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80" w:type="dxa"/>
            <w:vAlign w:val="bottom"/>
            <w:tcBorders>
              <w:top w:val="single" w:sz="8" w:color="0000FF"/>
              <w:bottom w:val="single" w:sz="8" w:color="0000FF"/>
            </w:tcBorders>
            <w:gridSpan w:val="4"/>
          </w:tcPr>
          <w:p>
            <w:pPr>
              <w:spacing w:after="0" w:line="152" w:lineRule="exact"/>
              <w:rPr>
                <w:rFonts w:ascii="Calibri" w:cs="Calibri" w:eastAsia="Calibri" w:hAnsi="Calibri"/>
                <w:sz w:val="15"/>
                <w:szCs w:val="15"/>
                <w:color w:val="0000FF"/>
              </w:rPr>
            </w:pPr>
            <w:hyperlink r:id="rId136">
              <w:r>
                <w:rPr>
                  <w:rFonts w:ascii="Calibri" w:cs="Calibri" w:eastAsia="Calibri" w:hAnsi="Calibri"/>
                  <w:sz w:val="15"/>
                  <w:szCs w:val="15"/>
                  <w:color w:val="0000FF"/>
                </w:rPr>
                <w:t>in Exhibit 4.43).</w:t>
              </w:r>
            </w:hyperlink>
          </w:p>
        </w:tc>
        <w:tc>
          <w:tcPr>
            <w:tcW w:w="2320" w:type="dxa"/>
            <w:vAlign w:val="bottom"/>
            <w:tcBorders>
              <w:top w:val="single" w:sz="8" w:color="0000FF"/>
            </w:tcBorders>
            <w:gridSpan w:val="20"/>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gridSpan w:val="4"/>
          </w:tcPr>
          <w:p>
            <w:pPr>
              <w:spacing w:after="0"/>
              <w:rPr>
                <w:sz w:val="13"/>
                <w:szCs w:val="13"/>
                <w:color w:val="auto"/>
              </w:rPr>
            </w:pPr>
          </w:p>
        </w:tc>
        <w:tc>
          <w:tcPr>
            <w:tcW w:w="2000" w:type="dxa"/>
            <w:vAlign w:val="bottom"/>
            <w:gridSpan w:val="2"/>
          </w:tcPr>
          <w:p>
            <w:pPr>
              <w:ind w:left="20"/>
              <w:spacing w:after="0" w:line="152" w:lineRule="exact"/>
              <w:rPr>
                <w:sz w:val="20"/>
                <w:szCs w:val="20"/>
                <w:color w:val="auto"/>
              </w:rPr>
            </w:pPr>
            <w:r>
              <w:rPr>
                <w:rFonts w:ascii="Calibri" w:cs="Calibri" w:eastAsia="Calibri" w:hAnsi="Calibri"/>
                <w:sz w:val="15"/>
                <w:szCs w:val="15"/>
                <w:color w:val="auto"/>
              </w:rPr>
              <w:t>Report on Form 8-K</w:t>
            </w: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8"/>
        </w:trPr>
        <w:tc>
          <w:tcPr>
            <w:tcW w:w="860" w:type="dxa"/>
            <w:vAlign w:val="bottom"/>
          </w:tcPr>
          <w:p>
            <w:pPr>
              <w:jc w:val="right"/>
              <w:spacing w:after="0" w:line="217" w:lineRule="exact"/>
              <w:rPr>
                <w:sz w:val="20"/>
                <w:szCs w:val="20"/>
                <w:color w:val="auto"/>
              </w:rPr>
            </w:pPr>
            <w:r>
              <w:rPr>
                <w:rFonts w:ascii="Calibri" w:cs="Calibri" w:eastAsia="Calibri" w:hAnsi="Calibri"/>
                <w:sz w:val="18"/>
                <w:szCs w:val="18"/>
                <w:color w:val="auto"/>
              </w:rPr>
              <w:t>4.41</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960" w:type="dxa"/>
            <w:vAlign w:val="bottom"/>
            <w:tcBorders>
              <w:bottom w:val="single" w:sz="8" w:color="0000FF"/>
            </w:tcBorders>
            <w:gridSpan w:val="11"/>
          </w:tcPr>
          <w:p>
            <w:pPr>
              <w:spacing w:after="0" w:line="217" w:lineRule="exact"/>
              <w:rPr>
                <w:rFonts w:ascii="Calibri" w:cs="Calibri" w:eastAsia="Calibri" w:hAnsi="Calibri"/>
                <w:sz w:val="18"/>
                <w:szCs w:val="18"/>
                <w:color w:val="0000FF"/>
                <w:w w:val="95"/>
              </w:rPr>
            </w:pPr>
            <w:hyperlink r:id="rId137">
              <w:r>
                <w:rPr>
                  <w:rFonts w:ascii="Calibri" w:cs="Calibri" w:eastAsia="Calibri" w:hAnsi="Calibri"/>
                  <w:sz w:val="18"/>
                  <w:szCs w:val="18"/>
                  <w:color w:val="0000FF"/>
                  <w:w w:val="95"/>
                </w:rPr>
                <w:t>Registraton Rights Agreement, dated as of</w:t>
              </w:r>
            </w:hyperlink>
          </w:p>
        </w:tc>
        <w:tc>
          <w:tcPr>
            <w:tcW w:w="700" w:type="dxa"/>
            <w:vAlign w:val="bottom"/>
            <w:gridSpan w:val="22"/>
          </w:tcPr>
          <w:p>
            <w:pPr>
              <w:spacing w:after="0"/>
              <w:rPr>
                <w:sz w:val="18"/>
                <w:szCs w:val="18"/>
                <w:color w:val="auto"/>
              </w:rPr>
            </w:pPr>
          </w:p>
        </w:tc>
        <w:tc>
          <w:tcPr>
            <w:tcW w:w="2000" w:type="dxa"/>
            <w:vAlign w:val="bottom"/>
            <w:gridSpan w:val="2"/>
          </w:tcPr>
          <w:p>
            <w:pPr>
              <w:ind w:left="20"/>
              <w:spacing w:after="0" w:line="217" w:lineRule="exact"/>
              <w:rPr>
                <w:sz w:val="20"/>
                <w:szCs w:val="20"/>
                <w:color w:val="auto"/>
              </w:rPr>
            </w:pPr>
            <w:r>
              <w:rPr>
                <w:rFonts w:ascii="Calibri" w:cs="Calibri" w:eastAsia="Calibri" w:hAnsi="Calibri"/>
                <w:sz w:val="18"/>
                <w:szCs w:val="18"/>
                <w:color w:val="auto"/>
              </w:rPr>
              <w:t>Broadcom Inc. Current</w:t>
            </w:r>
          </w:p>
        </w:tc>
        <w:tc>
          <w:tcPr>
            <w:tcW w:w="1160" w:type="dxa"/>
            <w:vAlign w:val="bottom"/>
          </w:tcPr>
          <w:p>
            <w:pPr>
              <w:spacing w:after="0" w:line="217" w:lineRule="exact"/>
              <w:rPr>
                <w:sz w:val="20"/>
                <w:szCs w:val="20"/>
                <w:color w:val="auto"/>
              </w:rPr>
            </w:pPr>
            <w:r>
              <w:rPr>
                <w:rFonts w:ascii="Calibri" w:cs="Calibri" w:eastAsia="Calibri" w:hAnsi="Calibri"/>
                <w:sz w:val="18"/>
                <w:szCs w:val="18"/>
                <w:color w:val="auto"/>
              </w:rPr>
              <w:t>001-38449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jc w:val="center"/>
              <w:ind w:right="213"/>
              <w:spacing w:after="0" w:line="217" w:lineRule="exact"/>
              <w:rPr>
                <w:sz w:val="20"/>
                <w:szCs w:val="20"/>
                <w:color w:val="auto"/>
              </w:rPr>
            </w:pPr>
            <w:r>
              <w:rPr>
                <w:rFonts w:ascii="Calibri" w:cs="Calibri" w:eastAsia="Calibri" w:hAnsi="Calibri"/>
                <w:sz w:val="18"/>
                <w:szCs w:val="18"/>
                <w:color w:val="auto"/>
                <w:w w:val="96"/>
              </w:rPr>
              <w:t>4.4</w:t>
            </w:r>
          </w:p>
        </w:tc>
        <w:tc>
          <w:tcPr>
            <w:tcW w:w="100" w:type="dxa"/>
            <w:vAlign w:val="bottom"/>
          </w:tcPr>
          <w:p>
            <w:pPr>
              <w:spacing w:after="0"/>
              <w:rPr>
                <w:sz w:val="18"/>
                <w:szCs w:val="18"/>
                <w:color w:val="auto"/>
              </w:rPr>
            </w:pPr>
          </w:p>
        </w:tc>
        <w:tc>
          <w:tcPr>
            <w:tcW w:w="1140" w:type="dxa"/>
            <w:vAlign w:val="bottom"/>
          </w:tcPr>
          <w:p>
            <w:pPr>
              <w:jc w:val="right"/>
              <w:ind w:right="233"/>
              <w:spacing w:after="0" w:line="217" w:lineRule="exact"/>
              <w:rPr>
                <w:sz w:val="20"/>
                <w:szCs w:val="20"/>
                <w:color w:val="auto"/>
              </w:rPr>
            </w:pPr>
            <w:r>
              <w:rPr>
                <w:rFonts w:ascii="Calibri" w:cs="Calibri" w:eastAsia="Calibri" w:hAnsi="Calibri"/>
                <w:sz w:val="18"/>
                <w:szCs w:val="18"/>
                <w:color w:val="auto"/>
                <w:w w:val="95"/>
              </w:rPr>
              <w:t>09-30-2021</w:t>
            </w:r>
          </w:p>
        </w:tc>
        <w:tc>
          <w:tcPr>
            <w:tcW w:w="0" w:type="dxa"/>
            <w:vAlign w:val="bottom"/>
          </w:tcPr>
          <w:p>
            <w:pPr>
              <w:spacing w:after="0"/>
              <w:rPr>
                <w:sz w:val="1"/>
                <w:szCs w:val="1"/>
                <w:color w:val="auto"/>
              </w:rPr>
            </w:pPr>
          </w:p>
        </w:tc>
      </w:tr>
      <w:tr>
        <w:trPr>
          <w:trHeight w:val="152"/>
        </w:trPr>
        <w:tc>
          <w:tcPr>
            <w:tcW w:w="8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60" w:type="dxa"/>
            <w:vAlign w:val="bottom"/>
            <w:gridSpan w:val="33"/>
          </w:tcPr>
          <w:p>
            <w:pPr>
              <w:spacing w:after="0" w:line="152" w:lineRule="exact"/>
              <w:rPr>
                <w:rFonts w:ascii="Calibri" w:cs="Calibri" w:eastAsia="Calibri" w:hAnsi="Calibri"/>
                <w:sz w:val="15"/>
                <w:szCs w:val="15"/>
                <w:color w:val="0000FF"/>
              </w:rPr>
            </w:pPr>
            <w:hyperlink r:id="rId137">
              <w:r>
                <w:rPr>
                  <w:rFonts w:ascii="Calibri" w:cs="Calibri" w:eastAsia="Calibri" w:hAnsi="Calibri"/>
                  <w:sz w:val="15"/>
                  <w:szCs w:val="15"/>
                  <w:color w:val="0000FF"/>
                </w:rPr>
                <w:t>September 30, 2021, by and among the Company</w:t>
              </w:r>
            </w:hyperlink>
          </w:p>
        </w:tc>
        <w:tc>
          <w:tcPr>
            <w:tcW w:w="2000" w:type="dxa"/>
            <w:vAlign w:val="bottom"/>
            <w:gridSpan w:val="2"/>
          </w:tcPr>
          <w:p>
            <w:pPr>
              <w:ind w:left="20"/>
              <w:spacing w:after="0" w:line="152" w:lineRule="exact"/>
              <w:rPr>
                <w:sz w:val="20"/>
                <w:szCs w:val="20"/>
                <w:color w:val="auto"/>
              </w:rPr>
            </w:pPr>
            <w:r>
              <w:rPr>
                <w:rFonts w:ascii="Calibri" w:cs="Calibri" w:eastAsia="Calibri" w:hAnsi="Calibri"/>
                <w:sz w:val="15"/>
                <w:szCs w:val="15"/>
                <w:color w:val="auto"/>
              </w:rPr>
              <w:t>Report on Form 8-K</w:t>
            </w: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40" w:type="dxa"/>
            <w:vAlign w:val="bottom"/>
            <w:tcBorders>
              <w:top w:val="single" w:sz="8" w:color="0000FF"/>
            </w:tcBorders>
            <w:gridSpan w:val="25"/>
          </w:tcPr>
          <w:p>
            <w:pPr>
              <w:spacing w:after="0" w:line="165" w:lineRule="exact"/>
              <w:rPr>
                <w:rFonts w:ascii="Calibri" w:cs="Calibri" w:eastAsia="Calibri" w:hAnsi="Calibri"/>
                <w:sz w:val="18"/>
                <w:szCs w:val="18"/>
                <w:color w:val="0000FF"/>
              </w:rPr>
            </w:pPr>
            <w:hyperlink r:id="rId137">
              <w:r>
                <w:rPr>
                  <w:rFonts w:ascii="Calibri" w:cs="Calibri" w:eastAsia="Calibri" w:hAnsi="Calibri"/>
                  <w:sz w:val="18"/>
                  <w:szCs w:val="18"/>
                  <w:color w:val="0000FF"/>
                </w:rPr>
                <w:t>and BNP Paribas Securites Corp., J.P. Morgan</w:t>
              </w:r>
            </w:hyperlink>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gridSpan w:val="4"/>
          </w:tcPr>
          <w:p>
            <w:pPr>
              <w:spacing w:after="0"/>
              <w:rPr>
                <w:sz w:val="14"/>
                <w:szCs w:val="14"/>
                <w:color w:val="auto"/>
              </w:rPr>
            </w:pPr>
          </w:p>
        </w:tc>
        <w:tc>
          <w:tcPr>
            <w:tcW w:w="1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8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120" w:type="dxa"/>
            <w:vAlign w:val="bottom"/>
            <w:tcBorders>
              <w:top w:val="single" w:sz="8" w:color="0000FF"/>
              <w:bottom w:val="single" w:sz="8" w:color="0000FF"/>
            </w:tcBorders>
            <w:gridSpan w:val="13"/>
          </w:tcPr>
          <w:p>
            <w:pPr>
              <w:spacing w:after="0" w:line="152" w:lineRule="exact"/>
              <w:rPr>
                <w:rFonts w:ascii="Calibri" w:cs="Calibri" w:eastAsia="Calibri" w:hAnsi="Calibri"/>
                <w:sz w:val="15"/>
                <w:szCs w:val="15"/>
                <w:color w:val="0000FF"/>
              </w:rPr>
            </w:pPr>
            <w:hyperlink r:id="rId137">
              <w:r>
                <w:rPr>
                  <w:rFonts w:ascii="Calibri" w:cs="Calibri" w:eastAsia="Calibri" w:hAnsi="Calibri"/>
                  <w:sz w:val="15"/>
                  <w:szCs w:val="15"/>
                  <w:color w:val="0000FF"/>
                </w:rPr>
                <w:t>Securites LLC and TD Securites (USA) LLC, as</w:t>
              </w:r>
            </w:hyperlink>
          </w:p>
        </w:tc>
        <w:tc>
          <w:tcPr>
            <w:tcW w:w="20" w:type="dxa"/>
            <w:vAlign w:val="bottom"/>
          </w:tcPr>
          <w:p>
            <w:pPr>
              <w:spacing w:after="0"/>
              <w:rPr>
                <w:sz w:val="13"/>
                <w:szCs w:val="13"/>
                <w:color w:val="auto"/>
              </w:rPr>
            </w:pPr>
          </w:p>
        </w:tc>
        <w:tc>
          <w:tcPr>
            <w:tcW w:w="360" w:type="dxa"/>
            <w:vAlign w:val="bottom"/>
            <w:gridSpan w:val="14"/>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gridSpan w:val="4"/>
          </w:tcPr>
          <w:p>
            <w:pPr>
              <w:spacing w:after="0"/>
              <w:rPr>
                <w:sz w:val="13"/>
                <w:szCs w:val="13"/>
                <w:color w:val="auto"/>
              </w:rPr>
            </w:pPr>
          </w:p>
        </w:tc>
        <w:tc>
          <w:tcPr>
            <w:tcW w:w="1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8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60" w:type="dxa"/>
            <w:vAlign w:val="bottom"/>
            <w:gridSpan w:val="33"/>
          </w:tcPr>
          <w:p>
            <w:pPr>
              <w:spacing w:after="0" w:line="152" w:lineRule="exact"/>
              <w:rPr>
                <w:rFonts w:ascii="Calibri" w:cs="Calibri" w:eastAsia="Calibri" w:hAnsi="Calibri"/>
                <w:sz w:val="15"/>
                <w:szCs w:val="15"/>
                <w:color w:val="0000FF"/>
              </w:rPr>
            </w:pPr>
            <w:hyperlink r:id="rId137">
              <w:r>
                <w:rPr>
                  <w:rFonts w:ascii="Calibri" w:cs="Calibri" w:eastAsia="Calibri" w:hAnsi="Calibri"/>
                  <w:sz w:val="15"/>
                  <w:szCs w:val="15"/>
                  <w:color w:val="0000FF"/>
                </w:rPr>
                <w:t>dealer-mangers in connecton with the September</w:t>
              </w:r>
            </w:hyperlink>
          </w:p>
        </w:tc>
        <w:tc>
          <w:tcPr>
            <w:tcW w:w="1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520" w:type="dxa"/>
            <w:vAlign w:val="bottom"/>
            <w:tcBorders>
              <w:top w:val="single" w:sz="8" w:color="0000FF"/>
            </w:tcBorders>
            <w:gridSpan w:val="29"/>
          </w:tcPr>
          <w:p>
            <w:pPr>
              <w:spacing w:after="0" w:line="165" w:lineRule="exact"/>
              <w:rPr>
                <w:rFonts w:ascii="Calibri" w:cs="Calibri" w:eastAsia="Calibri" w:hAnsi="Calibri"/>
                <w:sz w:val="18"/>
                <w:szCs w:val="18"/>
                <w:color w:val="0000FF"/>
              </w:rPr>
            </w:pPr>
            <w:hyperlink r:id="rId137">
              <w:r>
                <w:rPr>
                  <w:rFonts w:ascii="Calibri" w:cs="Calibri" w:eastAsia="Calibri" w:hAnsi="Calibri"/>
                  <w:sz w:val="18"/>
                  <w:szCs w:val="18"/>
                  <w:color w:val="0000FF"/>
                </w:rPr>
                <w:t>2021 exchange ofer.</w:t>
              </w:r>
            </w:hyperlink>
          </w:p>
        </w:tc>
        <w:tc>
          <w:tcPr>
            <w:tcW w:w="140" w:type="dxa"/>
            <w:vAlign w:val="bottom"/>
            <w:gridSpan w:val="4"/>
          </w:tcPr>
          <w:p>
            <w:pPr>
              <w:spacing w:after="0"/>
              <w:rPr>
                <w:sz w:val="14"/>
                <w:szCs w:val="14"/>
                <w:color w:val="auto"/>
              </w:rPr>
            </w:pPr>
          </w:p>
        </w:tc>
        <w:tc>
          <w:tcPr>
            <w:tcW w:w="1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260" w:type="dxa"/>
            <w:vAlign w:val="bottom"/>
            <w:gridSpan w:val="3"/>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360" w:type="dxa"/>
            <w:vAlign w:val="bottom"/>
            <w:gridSpan w:val="14"/>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860" w:type="dxa"/>
            <w:vAlign w:val="bottom"/>
          </w:tcPr>
          <w:p>
            <w:pPr>
              <w:jc w:val="right"/>
              <w:spacing w:after="0" w:line="205" w:lineRule="exact"/>
              <w:rPr>
                <w:sz w:val="20"/>
                <w:szCs w:val="20"/>
                <w:color w:val="auto"/>
              </w:rPr>
            </w:pPr>
            <w:r>
              <w:rPr>
                <w:rFonts w:ascii="Calibri" w:cs="Calibri" w:eastAsia="Calibri" w:hAnsi="Calibri"/>
                <w:sz w:val="18"/>
                <w:szCs w:val="18"/>
                <w:color w:val="auto"/>
              </w:rPr>
              <w:t>4.42</w:t>
            </w: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60" w:type="dxa"/>
            <w:vAlign w:val="bottom"/>
            <w:gridSpan w:val="33"/>
          </w:tcPr>
          <w:p>
            <w:pPr>
              <w:spacing w:after="0" w:line="205" w:lineRule="exact"/>
              <w:rPr>
                <w:rFonts w:ascii="Calibri" w:cs="Calibri" w:eastAsia="Calibri" w:hAnsi="Calibri"/>
                <w:sz w:val="18"/>
                <w:szCs w:val="18"/>
                <w:color w:val="0000FF"/>
              </w:rPr>
            </w:pPr>
            <w:hyperlink r:id="rId138">
              <w:r>
                <w:rPr>
                  <w:rFonts w:ascii="Calibri" w:cs="Calibri" w:eastAsia="Calibri" w:hAnsi="Calibri"/>
                  <w:sz w:val="18"/>
                  <w:szCs w:val="18"/>
                  <w:color w:val="0000FF"/>
                </w:rPr>
                <w:t>Indenture, dated April 14, 2022, between the</w:t>
              </w:r>
            </w:hyperlink>
          </w:p>
        </w:tc>
        <w:tc>
          <w:tcPr>
            <w:tcW w:w="2000" w:type="dxa"/>
            <w:vAlign w:val="bottom"/>
            <w:gridSpan w:val="2"/>
          </w:tcPr>
          <w:p>
            <w:pPr>
              <w:ind w:left="20"/>
              <w:spacing w:after="0" w:line="205" w:lineRule="exact"/>
              <w:rPr>
                <w:sz w:val="20"/>
                <w:szCs w:val="20"/>
                <w:color w:val="auto"/>
              </w:rPr>
            </w:pPr>
            <w:r>
              <w:rPr>
                <w:rFonts w:ascii="Calibri" w:cs="Calibri" w:eastAsia="Calibri" w:hAnsi="Calibri"/>
                <w:sz w:val="18"/>
                <w:szCs w:val="18"/>
                <w:color w:val="auto"/>
              </w:rPr>
              <w:t>Broadcom Inc. Current</w:t>
            </w:r>
          </w:p>
        </w:tc>
        <w:tc>
          <w:tcPr>
            <w:tcW w:w="1160" w:type="dxa"/>
            <w:vAlign w:val="bottom"/>
          </w:tcPr>
          <w:p>
            <w:pPr>
              <w:spacing w:after="0" w:line="205" w:lineRule="exact"/>
              <w:rPr>
                <w:sz w:val="20"/>
                <w:szCs w:val="20"/>
                <w:color w:val="auto"/>
              </w:rPr>
            </w:pPr>
            <w:r>
              <w:rPr>
                <w:rFonts w:ascii="Calibri" w:cs="Calibri" w:eastAsia="Calibri" w:hAnsi="Calibri"/>
                <w:sz w:val="18"/>
                <w:szCs w:val="18"/>
                <w:color w:val="auto"/>
              </w:rPr>
              <w:t>001-38449</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Pr>
          <w:p>
            <w:pPr>
              <w:jc w:val="center"/>
              <w:ind w:right="213"/>
              <w:spacing w:after="0" w:line="205" w:lineRule="exact"/>
              <w:rPr>
                <w:sz w:val="20"/>
                <w:szCs w:val="20"/>
                <w:color w:val="auto"/>
              </w:rPr>
            </w:pPr>
            <w:r>
              <w:rPr>
                <w:rFonts w:ascii="Calibri" w:cs="Calibri" w:eastAsia="Calibri" w:hAnsi="Calibri"/>
                <w:sz w:val="18"/>
                <w:szCs w:val="18"/>
                <w:color w:val="auto"/>
                <w:w w:val="96"/>
              </w:rPr>
              <w:t>4.1</w:t>
            </w:r>
          </w:p>
        </w:tc>
        <w:tc>
          <w:tcPr>
            <w:tcW w:w="100" w:type="dxa"/>
            <w:vAlign w:val="bottom"/>
          </w:tcPr>
          <w:p>
            <w:pPr>
              <w:spacing w:after="0"/>
              <w:rPr>
                <w:sz w:val="17"/>
                <w:szCs w:val="17"/>
                <w:color w:val="auto"/>
              </w:rPr>
            </w:pPr>
          </w:p>
        </w:tc>
        <w:tc>
          <w:tcPr>
            <w:tcW w:w="1140" w:type="dxa"/>
            <w:vAlign w:val="bottom"/>
          </w:tcPr>
          <w:p>
            <w:pPr>
              <w:jc w:val="right"/>
              <w:ind w:right="233"/>
              <w:spacing w:after="0" w:line="205" w:lineRule="exact"/>
              <w:rPr>
                <w:sz w:val="20"/>
                <w:szCs w:val="20"/>
                <w:color w:val="auto"/>
              </w:rPr>
            </w:pPr>
            <w:r>
              <w:rPr>
                <w:rFonts w:ascii="Calibri" w:cs="Calibri" w:eastAsia="Calibri" w:hAnsi="Calibri"/>
                <w:sz w:val="18"/>
                <w:szCs w:val="18"/>
                <w:color w:val="auto"/>
                <w:w w:val="95"/>
              </w:rPr>
              <w:t>04-15-2022</w:t>
            </w:r>
          </w:p>
        </w:tc>
        <w:tc>
          <w:tcPr>
            <w:tcW w:w="0" w:type="dxa"/>
            <w:vAlign w:val="bottom"/>
          </w:tcPr>
          <w:p>
            <w:pPr>
              <w:spacing w:after="0"/>
              <w:rPr>
                <w:sz w:val="1"/>
                <w:szCs w:val="1"/>
                <w:color w:val="auto"/>
              </w:rPr>
            </w:pPr>
          </w:p>
        </w:tc>
      </w:tr>
      <w:tr>
        <w:trPr>
          <w:trHeight w:val="152"/>
        </w:trPr>
        <w:tc>
          <w:tcPr>
            <w:tcW w:w="8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140" w:type="dxa"/>
            <w:vAlign w:val="bottom"/>
            <w:tcBorders>
              <w:top w:val="single" w:sz="8" w:color="0000FF"/>
            </w:tcBorders>
            <w:gridSpan w:val="14"/>
          </w:tcPr>
          <w:p>
            <w:pPr>
              <w:spacing w:after="0" w:line="152" w:lineRule="exact"/>
              <w:rPr>
                <w:rFonts w:ascii="Calibri" w:cs="Calibri" w:eastAsia="Calibri" w:hAnsi="Calibri"/>
                <w:sz w:val="15"/>
                <w:szCs w:val="15"/>
                <w:color w:val="0000FF"/>
              </w:rPr>
            </w:pPr>
            <w:hyperlink r:id="rId138">
              <w:r>
                <w:rPr>
                  <w:rFonts w:ascii="Calibri" w:cs="Calibri" w:eastAsia="Calibri" w:hAnsi="Calibri"/>
                  <w:sz w:val="15"/>
                  <w:szCs w:val="15"/>
                  <w:color w:val="0000FF"/>
                </w:rPr>
                <w:t>Company and Wilmington Trust, Natonal</w:t>
              </w:r>
            </w:hyperlink>
          </w:p>
        </w:tc>
        <w:tc>
          <w:tcPr>
            <w:tcW w:w="360" w:type="dxa"/>
            <w:vAlign w:val="bottom"/>
            <w:gridSpan w:val="14"/>
          </w:tcPr>
          <w:p>
            <w:pPr>
              <w:spacing w:after="0"/>
              <w:rPr>
                <w:sz w:val="13"/>
                <w:szCs w:val="13"/>
                <w:color w:val="auto"/>
              </w:rPr>
            </w:pPr>
          </w:p>
        </w:tc>
        <w:tc>
          <w:tcPr>
            <w:tcW w:w="160" w:type="dxa"/>
            <w:vAlign w:val="bottom"/>
            <w:gridSpan w:val="5"/>
          </w:tcPr>
          <w:p>
            <w:pPr>
              <w:spacing w:after="0"/>
              <w:rPr>
                <w:sz w:val="13"/>
                <w:szCs w:val="13"/>
                <w:color w:val="auto"/>
              </w:rPr>
            </w:pPr>
          </w:p>
        </w:tc>
        <w:tc>
          <w:tcPr>
            <w:tcW w:w="2000" w:type="dxa"/>
            <w:vAlign w:val="bottom"/>
            <w:gridSpan w:val="2"/>
          </w:tcPr>
          <w:p>
            <w:pPr>
              <w:ind w:left="20"/>
              <w:spacing w:after="0" w:line="152" w:lineRule="exact"/>
              <w:rPr>
                <w:sz w:val="20"/>
                <w:szCs w:val="20"/>
                <w:color w:val="auto"/>
              </w:rPr>
            </w:pPr>
            <w:r>
              <w:rPr>
                <w:rFonts w:ascii="Calibri" w:cs="Calibri" w:eastAsia="Calibri" w:hAnsi="Calibri"/>
                <w:sz w:val="15"/>
                <w:szCs w:val="15"/>
                <w:color w:val="auto"/>
              </w:rPr>
              <w:t>Report on Form 8-K</w:t>
            </w: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0" w:type="dxa"/>
            <w:vAlign w:val="bottom"/>
            <w:tcBorders>
              <w:top w:val="single" w:sz="8" w:color="0000FF"/>
              <w:bottom w:val="single" w:sz="8" w:color="0000FF"/>
            </w:tcBorders>
            <w:gridSpan w:val="7"/>
          </w:tcPr>
          <w:p>
            <w:pPr>
              <w:spacing w:after="0" w:line="165" w:lineRule="exact"/>
              <w:rPr>
                <w:rFonts w:ascii="Calibri" w:cs="Calibri" w:eastAsia="Calibri" w:hAnsi="Calibri"/>
                <w:sz w:val="18"/>
                <w:szCs w:val="18"/>
                <w:color w:val="0000FF"/>
                <w:w w:val="95"/>
              </w:rPr>
            </w:pPr>
            <w:hyperlink r:id="rId138">
              <w:r>
                <w:rPr>
                  <w:rFonts w:ascii="Calibri" w:cs="Calibri" w:eastAsia="Calibri" w:hAnsi="Calibri"/>
                  <w:sz w:val="18"/>
                  <w:szCs w:val="18"/>
                  <w:color w:val="0000FF"/>
                  <w:w w:val="95"/>
                </w:rPr>
                <w:t>Associaton, as trustee.</w:t>
              </w:r>
            </w:hyperlink>
          </w:p>
        </w:tc>
        <w:tc>
          <w:tcPr>
            <w:tcW w:w="1260" w:type="dxa"/>
            <w:vAlign w:val="bottom"/>
            <w:tcBorders>
              <w:top w:val="single" w:sz="8" w:color="0000FF"/>
            </w:tcBorders>
            <w:gridSpan w:val="3"/>
          </w:tcPr>
          <w:p>
            <w:pPr>
              <w:spacing w:after="0"/>
              <w:rPr>
                <w:sz w:val="14"/>
                <w:szCs w:val="14"/>
                <w:color w:val="auto"/>
              </w:rPr>
            </w:pPr>
          </w:p>
        </w:tc>
        <w:tc>
          <w:tcPr>
            <w:tcW w:w="640" w:type="dxa"/>
            <w:vAlign w:val="bottom"/>
            <w:gridSpan w:val="18"/>
          </w:tcPr>
          <w:p>
            <w:pPr>
              <w:spacing w:after="0"/>
              <w:rPr>
                <w:sz w:val="14"/>
                <w:szCs w:val="14"/>
                <w:color w:val="auto"/>
              </w:rPr>
            </w:pPr>
          </w:p>
        </w:tc>
        <w:tc>
          <w:tcPr>
            <w:tcW w:w="160" w:type="dxa"/>
            <w:vAlign w:val="bottom"/>
            <w:gridSpan w:val="5"/>
          </w:tcPr>
          <w:p>
            <w:pPr>
              <w:spacing w:after="0"/>
              <w:rPr>
                <w:sz w:val="14"/>
                <w:szCs w:val="14"/>
                <w:color w:val="auto"/>
              </w:rPr>
            </w:pPr>
          </w:p>
        </w:tc>
        <w:tc>
          <w:tcPr>
            <w:tcW w:w="1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860" w:type="dxa"/>
            <w:vAlign w:val="bottom"/>
          </w:tcPr>
          <w:p>
            <w:pPr>
              <w:jc w:val="right"/>
              <w:spacing w:after="0" w:line="205" w:lineRule="exact"/>
              <w:rPr>
                <w:sz w:val="20"/>
                <w:szCs w:val="20"/>
                <w:color w:val="auto"/>
              </w:rPr>
            </w:pPr>
            <w:r>
              <w:rPr>
                <w:rFonts w:ascii="Calibri" w:cs="Calibri" w:eastAsia="Calibri" w:hAnsi="Calibri"/>
                <w:sz w:val="18"/>
                <w:szCs w:val="18"/>
                <w:color w:val="auto"/>
              </w:rPr>
              <w:t>4.43</w:t>
            </w: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60" w:type="dxa"/>
            <w:vAlign w:val="bottom"/>
            <w:gridSpan w:val="33"/>
          </w:tcPr>
          <w:p>
            <w:pPr>
              <w:spacing w:after="0" w:line="205" w:lineRule="exact"/>
              <w:rPr>
                <w:rFonts w:ascii="Calibri" w:cs="Calibri" w:eastAsia="Calibri" w:hAnsi="Calibri"/>
                <w:sz w:val="18"/>
                <w:szCs w:val="18"/>
                <w:color w:val="0000FF"/>
                <w:w w:val="99"/>
              </w:rPr>
            </w:pPr>
            <w:hyperlink r:id="rId138">
              <w:r>
                <w:rPr>
                  <w:rFonts w:ascii="Calibri" w:cs="Calibri" w:eastAsia="Calibri" w:hAnsi="Calibri"/>
                  <w:sz w:val="18"/>
                  <w:szCs w:val="18"/>
                  <w:color w:val="0000FF"/>
                  <w:w w:val="99"/>
                </w:rPr>
                <w:t>Form of 4.00% Senior Notes due 2029 (included in</w:t>
              </w:r>
            </w:hyperlink>
          </w:p>
        </w:tc>
        <w:tc>
          <w:tcPr>
            <w:tcW w:w="2000" w:type="dxa"/>
            <w:vAlign w:val="bottom"/>
            <w:gridSpan w:val="2"/>
          </w:tcPr>
          <w:p>
            <w:pPr>
              <w:ind w:left="20"/>
              <w:spacing w:after="0" w:line="205" w:lineRule="exact"/>
              <w:rPr>
                <w:sz w:val="20"/>
                <w:szCs w:val="20"/>
                <w:color w:val="auto"/>
              </w:rPr>
            </w:pPr>
            <w:r>
              <w:rPr>
                <w:rFonts w:ascii="Calibri" w:cs="Calibri" w:eastAsia="Calibri" w:hAnsi="Calibri"/>
                <w:sz w:val="18"/>
                <w:szCs w:val="18"/>
                <w:color w:val="auto"/>
              </w:rPr>
              <w:t>Broadcom Inc. Current</w:t>
            </w:r>
          </w:p>
        </w:tc>
        <w:tc>
          <w:tcPr>
            <w:tcW w:w="1160" w:type="dxa"/>
            <w:vAlign w:val="bottom"/>
          </w:tcPr>
          <w:p>
            <w:pPr>
              <w:spacing w:after="0" w:line="205" w:lineRule="exact"/>
              <w:rPr>
                <w:sz w:val="20"/>
                <w:szCs w:val="20"/>
                <w:color w:val="auto"/>
              </w:rPr>
            </w:pPr>
            <w:r>
              <w:rPr>
                <w:rFonts w:ascii="Calibri" w:cs="Calibri" w:eastAsia="Calibri" w:hAnsi="Calibri"/>
                <w:sz w:val="18"/>
                <w:szCs w:val="18"/>
                <w:color w:val="auto"/>
              </w:rPr>
              <w:t>001-38449</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Pr>
          <w:p>
            <w:pPr>
              <w:jc w:val="center"/>
              <w:ind w:right="213"/>
              <w:spacing w:after="0" w:line="205" w:lineRule="exact"/>
              <w:rPr>
                <w:sz w:val="20"/>
                <w:szCs w:val="20"/>
                <w:color w:val="auto"/>
              </w:rPr>
            </w:pPr>
            <w:r>
              <w:rPr>
                <w:rFonts w:ascii="Calibri" w:cs="Calibri" w:eastAsia="Calibri" w:hAnsi="Calibri"/>
                <w:sz w:val="18"/>
                <w:szCs w:val="18"/>
                <w:color w:val="auto"/>
                <w:w w:val="96"/>
              </w:rPr>
              <w:t>4.1</w:t>
            </w:r>
          </w:p>
        </w:tc>
        <w:tc>
          <w:tcPr>
            <w:tcW w:w="100" w:type="dxa"/>
            <w:vAlign w:val="bottom"/>
          </w:tcPr>
          <w:p>
            <w:pPr>
              <w:spacing w:after="0"/>
              <w:rPr>
                <w:sz w:val="17"/>
                <w:szCs w:val="17"/>
                <w:color w:val="auto"/>
              </w:rPr>
            </w:pPr>
          </w:p>
        </w:tc>
        <w:tc>
          <w:tcPr>
            <w:tcW w:w="1140" w:type="dxa"/>
            <w:vAlign w:val="bottom"/>
          </w:tcPr>
          <w:p>
            <w:pPr>
              <w:jc w:val="right"/>
              <w:ind w:right="233"/>
              <w:spacing w:after="0" w:line="205" w:lineRule="exact"/>
              <w:rPr>
                <w:sz w:val="20"/>
                <w:szCs w:val="20"/>
                <w:color w:val="auto"/>
              </w:rPr>
            </w:pPr>
            <w:r>
              <w:rPr>
                <w:rFonts w:ascii="Calibri" w:cs="Calibri" w:eastAsia="Calibri" w:hAnsi="Calibri"/>
                <w:sz w:val="18"/>
                <w:szCs w:val="18"/>
                <w:color w:val="auto"/>
                <w:w w:val="95"/>
              </w:rPr>
              <w:t>04-15-2022</w:t>
            </w:r>
          </w:p>
        </w:tc>
        <w:tc>
          <w:tcPr>
            <w:tcW w:w="0" w:type="dxa"/>
            <w:vAlign w:val="bottom"/>
          </w:tcPr>
          <w:p>
            <w:pPr>
              <w:spacing w:after="0"/>
              <w:rPr>
                <w:sz w:val="1"/>
                <w:szCs w:val="1"/>
                <w:color w:val="auto"/>
              </w:rPr>
            </w:pPr>
          </w:p>
        </w:tc>
      </w:tr>
      <w:tr>
        <w:trPr>
          <w:trHeight w:val="152"/>
        </w:trPr>
        <w:tc>
          <w:tcPr>
            <w:tcW w:w="8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500" w:type="dxa"/>
            <w:vAlign w:val="bottom"/>
            <w:tcBorders>
              <w:top w:val="single" w:sz="8" w:color="0000FF"/>
            </w:tcBorders>
            <w:gridSpan w:val="28"/>
          </w:tcPr>
          <w:p>
            <w:pPr>
              <w:spacing w:after="0" w:line="152" w:lineRule="exact"/>
              <w:rPr>
                <w:rFonts w:ascii="Calibri" w:cs="Calibri" w:eastAsia="Calibri" w:hAnsi="Calibri"/>
                <w:sz w:val="15"/>
                <w:szCs w:val="15"/>
                <w:color w:val="0000FF"/>
              </w:rPr>
            </w:pPr>
            <w:hyperlink r:id="rId138">
              <w:r>
                <w:rPr>
                  <w:rFonts w:ascii="Calibri" w:cs="Calibri" w:eastAsia="Calibri" w:hAnsi="Calibri"/>
                  <w:sz w:val="15"/>
                  <w:szCs w:val="15"/>
                  <w:color w:val="0000FF"/>
                </w:rPr>
                <w:t>Exhibit 4.47).</w:t>
              </w:r>
            </w:hyperlink>
          </w:p>
        </w:tc>
        <w:tc>
          <w:tcPr>
            <w:tcW w:w="160" w:type="dxa"/>
            <w:vAlign w:val="bottom"/>
            <w:gridSpan w:val="5"/>
          </w:tcPr>
          <w:p>
            <w:pPr>
              <w:spacing w:after="0"/>
              <w:rPr>
                <w:sz w:val="13"/>
                <w:szCs w:val="13"/>
                <w:color w:val="auto"/>
              </w:rPr>
            </w:pPr>
          </w:p>
        </w:tc>
        <w:tc>
          <w:tcPr>
            <w:tcW w:w="2000" w:type="dxa"/>
            <w:vAlign w:val="bottom"/>
            <w:gridSpan w:val="2"/>
          </w:tcPr>
          <w:p>
            <w:pPr>
              <w:ind w:left="20"/>
              <w:spacing w:after="0" w:line="152" w:lineRule="exact"/>
              <w:rPr>
                <w:sz w:val="20"/>
                <w:szCs w:val="20"/>
                <w:color w:val="auto"/>
              </w:rPr>
            </w:pPr>
            <w:r>
              <w:rPr>
                <w:rFonts w:ascii="Calibri" w:cs="Calibri" w:eastAsia="Calibri" w:hAnsi="Calibri"/>
                <w:sz w:val="15"/>
                <w:szCs w:val="15"/>
                <w:color w:val="auto"/>
              </w:rPr>
              <w:t>Report on Form 8-K</w:t>
            </w: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2760" w:type="dxa"/>
            <w:vAlign w:val="bottom"/>
            <w:gridSpan w:val="31"/>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860" w:type="dxa"/>
            <w:vAlign w:val="bottom"/>
          </w:tcPr>
          <w:p>
            <w:pPr>
              <w:jc w:val="right"/>
              <w:spacing w:after="0" w:line="217" w:lineRule="exact"/>
              <w:rPr>
                <w:sz w:val="20"/>
                <w:szCs w:val="20"/>
                <w:color w:val="auto"/>
              </w:rPr>
            </w:pPr>
            <w:r>
              <w:rPr>
                <w:rFonts w:ascii="Calibri" w:cs="Calibri" w:eastAsia="Calibri" w:hAnsi="Calibri"/>
                <w:sz w:val="18"/>
                <w:szCs w:val="18"/>
                <w:color w:val="auto"/>
              </w:rPr>
              <w:t>4.44</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60" w:type="dxa"/>
            <w:vAlign w:val="bottom"/>
            <w:gridSpan w:val="33"/>
          </w:tcPr>
          <w:p>
            <w:pPr>
              <w:spacing w:after="0" w:line="217" w:lineRule="exact"/>
              <w:rPr>
                <w:rFonts w:ascii="Calibri" w:cs="Calibri" w:eastAsia="Calibri" w:hAnsi="Calibri"/>
                <w:sz w:val="18"/>
                <w:szCs w:val="18"/>
                <w:color w:val="0000FF"/>
                <w:w w:val="99"/>
              </w:rPr>
            </w:pPr>
            <w:hyperlink r:id="rId138">
              <w:r>
                <w:rPr>
                  <w:rFonts w:ascii="Calibri" w:cs="Calibri" w:eastAsia="Calibri" w:hAnsi="Calibri"/>
                  <w:sz w:val="18"/>
                  <w:szCs w:val="18"/>
                  <w:color w:val="0000FF"/>
                  <w:w w:val="99"/>
                </w:rPr>
                <w:t>Form of 4.15% Senior Notes due 2032 (included in</w:t>
              </w:r>
            </w:hyperlink>
          </w:p>
        </w:tc>
        <w:tc>
          <w:tcPr>
            <w:tcW w:w="2000" w:type="dxa"/>
            <w:vAlign w:val="bottom"/>
            <w:gridSpan w:val="2"/>
          </w:tcPr>
          <w:p>
            <w:pPr>
              <w:ind w:left="20"/>
              <w:spacing w:after="0" w:line="217" w:lineRule="exact"/>
              <w:rPr>
                <w:sz w:val="20"/>
                <w:szCs w:val="20"/>
                <w:color w:val="auto"/>
              </w:rPr>
            </w:pPr>
            <w:r>
              <w:rPr>
                <w:rFonts w:ascii="Calibri" w:cs="Calibri" w:eastAsia="Calibri" w:hAnsi="Calibri"/>
                <w:sz w:val="18"/>
                <w:szCs w:val="18"/>
                <w:color w:val="auto"/>
              </w:rPr>
              <w:t>Broadcom Inc. Current</w:t>
            </w:r>
          </w:p>
        </w:tc>
        <w:tc>
          <w:tcPr>
            <w:tcW w:w="1160" w:type="dxa"/>
            <w:vAlign w:val="bottom"/>
          </w:tcPr>
          <w:p>
            <w:pPr>
              <w:spacing w:after="0" w:line="217" w:lineRule="exact"/>
              <w:rPr>
                <w:sz w:val="20"/>
                <w:szCs w:val="20"/>
                <w:color w:val="auto"/>
              </w:rPr>
            </w:pPr>
            <w:r>
              <w:rPr>
                <w:rFonts w:ascii="Calibri" w:cs="Calibri" w:eastAsia="Calibri" w:hAnsi="Calibri"/>
                <w:sz w:val="18"/>
                <w:szCs w:val="18"/>
                <w:color w:val="auto"/>
              </w:rPr>
              <w:t>001-38449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jc w:val="center"/>
              <w:ind w:right="213"/>
              <w:spacing w:after="0" w:line="217" w:lineRule="exact"/>
              <w:rPr>
                <w:sz w:val="20"/>
                <w:szCs w:val="20"/>
                <w:color w:val="auto"/>
              </w:rPr>
            </w:pPr>
            <w:r>
              <w:rPr>
                <w:rFonts w:ascii="Calibri" w:cs="Calibri" w:eastAsia="Calibri" w:hAnsi="Calibri"/>
                <w:sz w:val="18"/>
                <w:szCs w:val="18"/>
                <w:color w:val="auto"/>
                <w:w w:val="96"/>
              </w:rPr>
              <w:t>4.1</w:t>
            </w:r>
          </w:p>
        </w:tc>
        <w:tc>
          <w:tcPr>
            <w:tcW w:w="100" w:type="dxa"/>
            <w:vAlign w:val="bottom"/>
          </w:tcPr>
          <w:p>
            <w:pPr>
              <w:spacing w:after="0"/>
              <w:rPr>
                <w:sz w:val="18"/>
                <w:szCs w:val="18"/>
                <w:color w:val="auto"/>
              </w:rPr>
            </w:pPr>
          </w:p>
        </w:tc>
        <w:tc>
          <w:tcPr>
            <w:tcW w:w="1140" w:type="dxa"/>
            <w:vAlign w:val="bottom"/>
          </w:tcPr>
          <w:p>
            <w:pPr>
              <w:jc w:val="right"/>
              <w:ind w:right="233"/>
              <w:spacing w:after="0" w:line="217" w:lineRule="exact"/>
              <w:rPr>
                <w:sz w:val="20"/>
                <w:szCs w:val="20"/>
                <w:color w:val="auto"/>
              </w:rPr>
            </w:pPr>
            <w:r>
              <w:rPr>
                <w:rFonts w:ascii="Calibri" w:cs="Calibri" w:eastAsia="Calibri" w:hAnsi="Calibri"/>
                <w:sz w:val="18"/>
                <w:szCs w:val="18"/>
                <w:color w:val="auto"/>
                <w:w w:val="95"/>
              </w:rPr>
              <w:t>04-15-2022</w:t>
            </w:r>
          </w:p>
        </w:tc>
        <w:tc>
          <w:tcPr>
            <w:tcW w:w="0" w:type="dxa"/>
            <w:vAlign w:val="bottom"/>
          </w:tcPr>
          <w:p>
            <w:pPr>
              <w:spacing w:after="0"/>
              <w:rPr>
                <w:sz w:val="1"/>
                <w:szCs w:val="1"/>
                <w:color w:val="auto"/>
              </w:rPr>
            </w:pPr>
          </w:p>
        </w:tc>
      </w:tr>
      <w:tr>
        <w:trPr>
          <w:trHeight w:val="152"/>
        </w:trPr>
        <w:tc>
          <w:tcPr>
            <w:tcW w:w="8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500" w:type="dxa"/>
            <w:vAlign w:val="bottom"/>
            <w:tcBorders>
              <w:top w:val="single" w:sz="8" w:color="0000FF"/>
            </w:tcBorders>
            <w:gridSpan w:val="28"/>
          </w:tcPr>
          <w:p>
            <w:pPr>
              <w:spacing w:after="0" w:line="152" w:lineRule="exact"/>
              <w:rPr>
                <w:rFonts w:ascii="Calibri" w:cs="Calibri" w:eastAsia="Calibri" w:hAnsi="Calibri"/>
                <w:sz w:val="15"/>
                <w:szCs w:val="15"/>
                <w:color w:val="0000FF"/>
              </w:rPr>
            </w:pPr>
            <w:hyperlink r:id="rId138">
              <w:r>
                <w:rPr>
                  <w:rFonts w:ascii="Calibri" w:cs="Calibri" w:eastAsia="Calibri" w:hAnsi="Calibri"/>
                  <w:sz w:val="15"/>
                  <w:szCs w:val="15"/>
                  <w:color w:val="0000FF"/>
                </w:rPr>
                <w:t>Exhibit 4.47).</w:t>
              </w:r>
            </w:hyperlink>
          </w:p>
        </w:tc>
        <w:tc>
          <w:tcPr>
            <w:tcW w:w="160" w:type="dxa"/>
            <w:vAlign w:val="bottom"/>
            <w:gridSpan w:val="5"/>
          </w:tcPr>
          <w:p>
            <w:pPr>
              <w:spacing w:after="0"/>
              <w:rPr>
                <w:sz w:val="13"/>
                <w:szCs w:val="13"/>
                <w:color w:val="auto"/>
              </w:rPr>
            </w:pPr>
          </w:p>
        </w:tc>
        <w:tc>
          <w:tcPr>
            <w:tcW w:w="2000" w:type="dxa"/>
            <w:vAlign w:val="bottom"/>
            <w:gridSpan w:val="2"/>
          </w:tcPr>
          <w:p>
            <w:pPr>
              <w:ind w:left="20"/>
              <w:spacing w:after="0" w:line="152" w:lineRule="exact"/>
              <w:rPr>
                <w:sz w:val="20"/>
                <w:szCs w:val="20"/>
                <w:color w:val="auto"/>
              </w:rPr>
            </w:pPr>
            <w:r>
              <w:rPr>
                <w:rFonts w:ascii="Calibri" w:cs="Calibri" w:eastAsia="Calibri" w:hAnsi="Calibri"/>
                <w:sz w:val="15"/>
                <w:szCs w:val="15"/>
                <w:color w:val="auto"/>
              </w:rPr>
              <w:t>Report on Form 8-K</w:t>
            </w: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09"/>
        </w:trPr>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460" w:type="dxa"/>
            <w:vAlign w:val="bottom"/>
            <w:tcBorders>
              <w:top w:val="single" w:sz="8" w:color="0000FF"/>
            </w:tcBorders>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900" w:type="dxa"/>
            <w:vAlign w:val="bottom"/>
          </w:tcPr>
          <w:p>
            <w:pPr>
              <w:ind w:left="700"/>
              <w:spacing w:after="0"/>
              <w:rPr>
                <w:sz w:val="20"/>
                <w:szCs w:val="20"/>
                <w:color w:val="auto"/>
              </w:rPr>
            </w:pPr>
            <w:r>
              <w:rPr>
                <w:rFonts w:ascii="Calibri" w:cs="Calibri" w:eastAsia="Calibri" w:hAnsi="Calibri"/>
                <w:sz w:val="18"/>
                <w:szCs w:val="18"/>
                <w:color w:val="auto"/>
              </w:rPr>
              <w:t>94</w:t>
            </w: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3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Calibri" w:cs="Calibri" w:eastAsia="Calibri" w:hAnsi="Calibri"/>
          <w:sz w:val="14"/>
          <w:szCs w:val="14"/>
          <w:color w:val="auto"/>
        </w:rPr>
        <w:t>Filed</w:t>
      </w:r>
    </w:p>
    <w:p>
      <w:pPr>
        <w:jc w:val="center"/>
        <w:spacing w:after="0" w:line="203" w:lineRule="auto"/>
        <w:rPr>
          <w:sz w:val="20"/>
          <w:szCs w:val="20"/>
          <w:color w:val="auto"/>
        </w:rPr>
      </w:pPr>
      <w:r>
        <w:rPr>
          <w:rFonts w:ascii="Calibri" w:cs="Calibri" w:eastAsia="Calibri" w:hAnsi="Calibri"/>
          <w:sz w:val="14"/>
          <w:szCs w:val="14"/>
          <w:color w:val="auto"/>
        </w:rPr>
        <w:t>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-81915</wp:posOffset>
            </wp:positionH>
            <wp:positionV relativeFrom="paragraph">
              <wp:posOffset>20955</wp:posOffset>
            </wp:positionV>
            <wp:extent cx="50292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40">
                      <a:extLst>
                        <a:ext uri="{28A0092B-C50C-407E-A947-70E740481C1C}"/>
                      </a:extLst>
                    </a:blip>
                    <a:srcRect/>
                    <a:stretch>
                      <a:fillRect/>
                    </a:stretch>
                  </pic:blipFill>
                  <pic:spPr bwMode="auto">
                    <a:xfrm>
                      <a:off x="0" y="0"/>
                      <a:ext cx="502920" cy="8255"/>
                    </a:xfrm>
                    <a:prstGeom prst="rect">
                      <a:avLst/>
                    </a:prstGeom>
                    <a:noFill/>
                  </pic:spPr>
                </pic:pic>
              </a:graphicData>
            </a:graphic>
          </wp:anchor>
        </w:drawing>
      </w:r>
    </w:p>
    <w:p>
      <w:pPr>
        <w:sectPr>
          <w:pgSz w:w="11900" w:h="16838" w:orient="portrait"/>
          <w:cols w:equalWidth="0" w:num="2">
            <w:col w:w="10340" w:space="240"/>
            <w:col w:w="540"/>
          </w:cols>
          <w:pgMar w:left="320" w:top="109" w:right="459" w:bottom="1440" w:gutter="0" w:footer="0" w:header="0"/>
        </w:sectPr>
      </w:pPr>
    </w:p>
    <w:bookmarkStart w:id="96" w:name="page97"/>
    <w:bookmarkEnd w:id="96"/>
    <w:p>
      <w:pPr>
        <w:spacing w:after="0"/>
        <w:rPr>
          <w:sz w:val="20"/>
          <w:szCs w:val="20"/>
          <w:color w:val="auto"/>
        </w:rPr>
      </w:pPr>
      <w:r>
        <w:rPr>
          <w:rFonts w:ascii="Calibri" w:cs="Calibri" w:eastAsia="Calibri" w:hAnsi="Calibri"/>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gridSpan w:val="3"/>
          </w:tcPr>
          <w:p>
            <w:pPr>
              <w:spacing w:after="0"/>
              <w:rPr>
                <w:sz w:val="20"/>
                <w:szCs w:val="20"/>
                <w:color w:val="auto"/>
              </w:rPr>
            </w:pPr>
            <w:r>
              <w:rPr>
                <w:rFonts w:ascii="Calibri" w:cs="Calibri" w:eastAsia="Calibri" w:hAnsi="Calibri"/>
                <w:sz w:val="14"/>
                <w:szCs w:val="14"/>
                <w:color w:val="auto"/>
                <w:w w:val="99"/>
              </w:rPr>
              <w:t>Incorporated by Reference</w:t>
            </w: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1160" w:type="dxa"/>
            <w:vAlign w:val="bottom"/>
            <w:gridSpan w:val="2"/>
            <w:vMerge w:val="restart"/>
          </w:tcPr>
          <w:p>
            <w:pPr>
              <w:jc w:val="center"/>
              <w:ind w:right="300"/>
              <w:spacing w:after="0"/>
              <w:rPr>
                <w:sz w:val="20"/>
                <w:szCs w:val="20"/>
                <w:color w:val="auto"/>
              </w:rPr>
            </w:pPr>
            <w:r>
              <w:rPr>
                <w:rFonts w:ascii="Calibri" w:cs="Calibri" w:eastAsia="Calibri" w:hAnsi="Calibri"/>
                <w:sz w:val="14"/>
                <w:szCs w:val="14"/>
                <w:color w:val="auto"/>
                <w:w w:val="98"/>
              </w:rPr>
              <w:t>Exhibit</w:t>
            </w:r>
          </w:p>
        </w:tc>
        <w:tc>
          <w:tcPr>
            <w:tcW w:w="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18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6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9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11"/>
        </w:trPr>
        <w:tc>
          <w:tcPr>
            <w:tcW w:w="1160" w:type="dxa"/>
            <w:vAlign w:val="bottom"/>
            <w:gridSpan w:val="2"/>
            <w:vMerge w:val="continue"/>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44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2580" w:type="dxa"/>
            <w:vAlign w:val="bottom"/>
            <w:gridSpan w:val="37"/>
            <w:vMerge w:val="restart"/>
          </w:tcPr>
          <w:p>
            <w:pPr>
              <w:ind w:left="360"/>
              <w:spacing w:after="0"/>
              <w:rPr>
                <w:sz w:val="20"/>
                <w:szCs w:val="20"/>
                <w:color w:val="auto"/>
              </w:rPr>
            </w:pPr>
            <w:r>
              <w:rPr>
                <w:rFonts w:ascii="Calibri" w:cs="Calibri" w:eastAsia="Calibri" w:hAnsi="Calibri"/>
                <w:sz w:val="14"/>
                <w:szCs w:val="14"/>
                <w:color w:val="auto"/>
              </w:rPr>
              <w:t>Descripton</w:t>
            </w:r>
          </w:p>
        </w:tc>
        <w:tc>
          <w:tcPr>
            <w:tcW w:w="2000" w:type="dxa"/>
            <w:vAlign w:val="bottom"/>
            <w:gridSpan w:val="2"/>
            <w:vMerge w:val="restart"/>
          </w:tcPr>
          <w:p>
            <w:pPr>
              <w:ind w:left="800"/>
              <w:spacing w:after="0"/>
              <w:rPr>
                <w:sz w:val="20"/>
                <w:szCs w:val="20"/>
                <w:color w:val="auto"/>
              </w:rPr>
            </w:pPr>
            <w:r>
              <w:rPr>
                <w:rFonts w:ascii="Calibri" w:cs="Calibri" w:eastAsia="Calibri" w:hAnsi="Calibri"/>
                <w:sz w:val="14"/>
                <w:szCs w:val="14"/>
                <w:color w:val="auto"/>
              </w:rPr>
              <w:t>Form</w:t>
            </w:r>
          </w:p>
        </w:tc>
        <w:tc>
          <w:tcPr>
            <w:tcW w:w="1540" w:type="dxa"/>
            <w:vAlign w:val="bottom"/>
            <w:gridSpan w:val="3"/>
            <w:vMerge w:val="restart"/>
          </w:tcPr>
          <w:p>
            <w:pPr>
              <w:ind w:left="360"/>
              <w:spacing w:after="0"/>
              <w:rPr>
                <w:sz w:val="20"/>
                <w:szCs w:val="20"/>
                <w:color w:val="auto"/>
              </w:rPr>
            </w:pPr>
            <w:r>
              <w:rPr>
                <w:rFonts w:ascii="Calibri" w:cs="Calibri" w:eastAsia="Calibri" w:hAnsi="Calibri"/>
                <w:sz w:val="14"/>
                <w:szCs w:val="14"/>
                <w:color w:val="auto"/>
              </w:rPr>
              <w:t>File No.</w:t>
            </w:r>
          </w:p>
        </w:tc>
        <w:tc>
          <w:tcPr>
            <w:tcW w:w="820" w:type="dxa"/>
            <w:vAlign w:val="bottom"/>
            <w:gridSpan w:val="2"/>
            <w:vMerge w:val="restart"/>
          </w:tcPr>
          <w:p>
            <w:pPr>
              <w:ind w:left="20"/>
              <w:spacing w:after="0"/>
              <w:rPr>
                <w:sz w:val="20"/>
                <w:szCs w:val="20"/>
                <w:color w:val="auto"/>
              </w:rPr>
            </w:pPr>
            <w:r>
              <w:rPr>
                <w:rFonts w:ascii="Calibri" w:cs="Calibri" w:eastAsia="Calibri" w:hAnsi="Calibri"/>
                <w:sz w:val="14"/>
                <w:szCs w:val="14"/>
                <w:color w:val="auto"/>
              </w:rPr>
              <w:t>Exhibit</w:t>
            </w:r>
          </w:p>
        </w:tc>
        <w:tc>
          <w:tcPr>
            <w:tcW w:w="1140" w:type="dxa"/>
            <w:vAlign w:val="bottom"/>
            <w:vMerge w:val="restart"/>
          </w:tcPr>
          <w:p>
            <w:pPr>
              <w:jc w:val="right"/>
              <w:ind w:right="173"/>
              <w:spacing w:after="0"/>
              <w:rPr>
                <w:sz w:val="20"/>
                <w:szCs w:val="20"/>
                <w:color w:val="auto"/>
              </w:rPr>
            </w:pPr>
            <w:r>
              <w:rPr>
                <w:rFonts w:ascii="Calibri" w:cs="Calibri" w:eastAsia="Calibri" w:hAnsi="Calibri"/>
                <w:sz w:val="14"/>
                <w:szCs w:val="14"/>
                <w:color w:val="auto"/>
              </w:rPr>
              <w:t>Filing Date</w:t>
            </w:r>
          </w:p>
        </w:tc>
        <w:tc>
          <w:tcPr>
            <w:tcW w:w="0" w:type="dxa"/>
            <w:vAlign w:val="bottom"/>
          </w:tcPr>
          <w:p>
            <w:pPr>
              <w:spacing w:after="0"/>
              <w:rPr>
                <w:sz w:val="1"/>
                <w:szCs w:val="1"/>
                <w:color w:val="auto"/>
              </w:rPr>
            </w:pPr>
          </w:p>
        </w:tc>
      </w:tr>
      <w:tr>
        <w:trPr>
          <w:trHeight w:val="168"/>
        </w:trPr>
        <w:tc>
          <w:tcPr>
            <w:tcW w:w="1160" w:type="dxa"/>
            <w:vAlign w:val="bottom"/>
            <w:gridSpan w:val="2"/>
          </w:tcPr>
          <w:p>
            <w:pPr>
              <w:jc w:val="center"/>
              <w:ind w:right="300"/>
              <w:spacing w:after="0" w:line="168" w:lineRule="exact"/>
              <w:rPr>
                <w:sz w:val="20"/>
                <w:szCs w:val="20"/>
                <w:color w:val="auto"/>
              </w:rPr>
            </w:pPr>
            <w:r>
              <w:rPr>
                <w:rFonts w:ascii="Calibri" w:cs="Calibri" w:eastAsia="Calibri" w:hAnsi="Calibri"/>
                <w:sz w:val="14"/>
                <w:szCs w:val="14"/>
                <w:color w:val="auto"/>
                <w:w w:val="98"/>
              </w:rPr>
              <w:t>Number</w:t>
            </w: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580" w:type="dxa"/>
            <w:vAlign w:val="bottom"/>
            <w:gridSpan w:val="37"/>
            <w:vMerge w:val="continue"/>
          </w:tcPr>
          <w:p>
            <w:pPr>
              <w:spacing w:after="0"/>
              <w:rPr>
                <w:sz w:val="14"/>
                <w:szCs w:val="14"/>
                <w:color w:val="auto"/>
              </w:rPr>
            </w:pPr>
          </w:p>
        </w:tc>
        <w:tc>
          <w:tcPr>
            <w:tcW w:w="2000" w:type="dxa"/>
            <w:vAlign w:val="bottom"/>
            <w:gridSpan w:val="2"/>
            <w:vMerge w:val="continue"/>
          </w:tcPr>
          <w:p>
            <w:pPr>
              <w:spacing w:after="0"/>
              <w:rPr>
                <w:sz w:val="14"/>
                <w:szCs w:val="14"/>
                <w:color w:val="auto"/>
              </w:rPr>
            </w:pPr>
          </w:p>
        </w:tc>
        <w:tc>
          <w:tcPr>
            <w:tcW w:w="1540" w:type="dxa"/>
            <w:vAlign w:val="bottom"/>
            <w:gridSpan w:val="3"/>
            <w:vMerge w:val="continue"/>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2"/>
        </w:trPr>
        <w:tc>
          <w:tcPr>
            <w:tcW w:w="86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860" w:type="dxa"/>
            <w:vAlign w:val="bottom"/>
          </w:tcPr>
          <w:p>
            <w:pPr>
              <w:jc w:val="right"/>
              <w:spacing w:after="0" w:line="165" w:lineRule="exact"/>
              <w:rPr>
                <w:sz w:val="20"/>
                <w:szCs w:val="20"/>
                <w:color w:val="auto"/>
              </w:rPr>
            </w:pPr>
            <w:r>
              <w:rPr>
                <w:rFonts w:ascii="Calibri" w:cs="Calibri" w:eastAsia="Calibri" w:hAnsi="Calibri"/>
                <w:sz w:val="18"/>
                <w:szCs w:val="18"/>
                <w:color w:val="auto"/>
              </w:rPr>
              <w:t>4.45</w:t>
            </w: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560" w:type="dxa"/>
            <w:vAlign w:val="bottom"/>
            <w:gridSpan w:val="40"/>
          </w:tcPr>
          <w:p>
            <w:pPr>
              <w:spacing w:after="0" w:line="165" w:lineRule="exact"/>
              <w:rPr>
                <w:rFonts w:ascii="Calibri" w:cs="Calibri" w:eastAsia="Calibri" w:hAnsi="Calibri"/>
                <w:sz w:val="18"/>
                <w:szCs w:val="18"/>
                <w:color w:val="0000FF"/>
              </w:rPr>
            </w:pPr>
            <w:hyperlink r:id="rId141">
              <w:r>
                <w:rPr>
                  <w:rFonts w:ascii="Calibri" w:cs="Calibri" w:eastAsia="Calibri" w:hAnsi="Calibri"/>
                  <w:sz w:val="18"/>
                  <w:szCs w:val="18"/>
                  <w:color w:val="0000FF"/>
                </w:rPr>
                <w:t>Registraton Rights Agreement, dated as of April</w:t>
              </w:r>
            </w:hyperlink>
          </w:p>
        </w:tc>
        <w:tc>
          <w:tcPr>
            <w:tcW w:w="100" w:type="dxa"/>
            <w:vAlign w:val="bottom"/>
          </w:tcPr>
          <w:p>
            <w:pPr>
              <w:spacing w:after="0"/>
              <w:rPr>
                <w:sz w:val="14"/>
                <w:szCs w:val="14"/>
                <w:color w:val="auto"/>
              </w:rPr>
            </w:pPr>
          </w:p>
        </w:tc>
        <w:tc>
          <w:tcPr>
            <w:tcW w:w="1900" w:type="dxa"/>
            <w:vAlign w:val="bottom"/>
          </w:tcPr>
          <w:p>
            <w:pPr>
              <w:ind w:left="20"/>
              <w:spacing w:after="0" w:line="165" w:lineRule="exact"/>
              <w:rPr>
                <w:sz w:val="20"/>
                <w:szCs w:val="20"/>
                <w:color w:val="auto"/>
              </w:rPr>
            </w:pPr>
            <w:r>
              <w:rPr>
                <w:rFonts w:ascii="Calibri" w:cs="Calibri" w:eastAsia="Calibri" w:hAnsi="Calibri"/>
                <w:sz w:val="18"/>
                <w:szCs w:val="18"/>
                <w:color w:val="auto"/>
              </w:rPr>
              <w:t>Broadcom Inc. Current</w:t>
            </w:r>
          </w:p>
        </w:tc>
        <w:tc>
          <w:tcPr>
            <w:tcW w:w="100" w:type="dxa"/>
            <w:vAlign w:val="bottom"/>
          </w:tcPr>
          <w:p>
            <w:pPr>
              <w:spacing w:after="0"/>
              <w:rPr>
                <w:sz w:val="14"/>
                <w:szCs w:val="14"/>
                <w:color w:val="auto"/>
              </w:rPr>
            </w:pPr>
          </w:p>
        </w:tc>
        <w:tc>
          <w:tcPr>
            <w:tcW w:w="1160" w:type="dxa"/>
            <w:vAlign w:val="bottom"/>
          </w:tcPr>
          <w:p>
            <w:pPr>
              <w:spacing w:after="0" w:line="165" w:lineRule="exact"/>
              <w:rPr>
                <w:sz w:val="20"/>
                <w:szCs w:val="20"/>
                <w:color w:val="auto"/>
              </w:rPr>
            </w:pPr>
            <w:r>
              <w:rPr>
                <w:rFonts w:ascii="Calibri" w:cs="Calibri" w:eastAsia="Calibri" w:hAnsi="Calibri"/>
                <w:sz w:val="18"/>
                <w:szCs w:val="18"/>
                <w:color w:val="auto"/>
              </w:rPr>
              <w:t>001-38449</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20" w:type="dxa"/>
            <w:vAlign w:val="bottom"/>
          </w:tcPr>
          <w:p>
            <w:pPr>
              <w:jc w:val="center"/>
              <w:ind w:right="213"/>
              <w:spacing w:after="0" w:line="165" w:lineRule="exact"/>
              <w:rPr>
                <w:sz w:val="20"/>
                <w:szCs w:val="20"/>
                <w:color w:val="auto"/>
              </w:rPr>
            </w:pPr>
            <w:r>
              <w:rPr>
                <w:rFonts w:ascii="Calibri" w:cs="Calibri" w:eastAsia="Calibri" w:hAnsi="Calibri"/>
                <w:sz w:val="18"/>
                <w:szCs w:val="18"/>
                <w:color w:val="auto"/>
                <w:w w:val="96"/>
              </w:rPr>
              <w:t>4.4</w:t>
            </w:r>
          </w:p>
        </w:tc>
        <w:tc>
          <w:tcPr>
            <w:tcW w:w="100" w:type="dxa"/>
            <w:vAlign w:val="bottom"/>
          </w:tcPr>
          <w:p>
            <w:pPr>
              <w:spacing w:after="0"/>
              <w:rPr>
                <w:sz w:val="14"/>
                <w:szCs w:val="14"/>
                <w:color w:val="auto"/>
              </w:rPr>
            </w:pPr>
          </w:p>
        </w:tc>
        <w:tc>
          <w:tcPr>
            <w:tcW w:w="1140" w:type="dxa"/>
            <w:vAlign w:val="bottom"/>
          </w:tcPr>
          <w:p>
            <w:pPr>
              <w:jc w:val="right"/>
              <w:ind w:right="233"/>
              <w:spacing w:after="0" w:line="165" w:lineRule="exact"/>
              <w:rPr>
                <w:sz w:val="20"/>
                <w:szCs w:val="20"/>
                <w:color w:val="auto"/>
              </w:rPr>
            </w:pPr>
            <w:r>
              <w:rPr>
                <w:rFonts w:ascii="Calibri" w:cs="Calibri" w:eastAsia="Calibri" w:hAnsi="Calibri"/>
                <w:sz w:val="18"/>
                <w:szCs w:val="18"/>
                <w:color w:val="auto"/>
                <w:w w:val="95"/>
              </w:rPr>
              <w:t>04-15-2022</w:t>
            </w:r>
          </w:p>
        </w:tc>
        <w:tc>
          <w:tcPr>
            <w:tcW w:w="0" w:type="dxa"/>
            <w:vAlign w:val="bottom"/>
          </w:tcPr>
          <w:p>
            <w:pPr>
              <w:spacing w:after="0"/>
              <w:rPr>
                <w:sz w:val="1"/>
                <w:szCs w:val="1"/>
                <w:color w:val="auto"/>
              </w:rPr>
            </w:pPr>
          </w:p>
        </w:tc>
      </w:tr>
      <w:tr>
        <w:trPr>
          <w:trHeight w:val="152"/>
        </w:trPr>
        <w:tc>
          <w:tcPr>
            <w:tcW w:w="8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320" w:type="dxa"/>
            <w:vAlign w:val="bottom"/>
            <w:tcBorders>
              <w:top w:val="single" w:sz="8" w:color="0000FF"/>
            </w:tcBorders>
            <w:gridSpan w:val="28"/>
          </w:tcPr>
          <w:p>
            <w:pPr>
              <w:spacing w:after="0" w:line="152" w:lineRule="exact"/>
              <w:rPr>
                <w:rFonts w:ascii="Calibri" w:cs="Calibri" w:eastAsia="Calibri" w:hAnsi="Calibri"/>
                <w:sz w:val="15"/>
                <w:szCs w:val="15"/>
                <w:color w:val="0000FF"/>
              </w:rPr>
            </w:pPr>
            <w:hyperlink r:id="rId141">
              <w:r>
                <w:rPr>
                  <w:rFonts w:ascii="Calibri" w:cs="Calibri" w:eastAsia="Calibri" w:hAnsi="Calibri"/>
                  <w:sz w:val="15"/>
                  <w:szCs w:val="15"/>
                  <w:color w:val="0000FF"/>
                </w:rPr>
                <w:t>14, 2022, between the Company and BofA</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2"/>
          </w:tcPr>
          <w:p>
            <w:pPr>
              <w:spacing w:after="0"/>
              <w:rPr>
                <w:sz w:val="13"/>
                <w:szCs w:val="13"/>
                <w:color w:val="auto"/>
              </w:rPr>
            </w:pPr>
          </w:p>
        </w:tc>
        <w:tc>
          <w:tcPr>
            <w:tcW w:w="2000" w:type="dxa"/>
            <w:vAlign w:val="bottom"/>
            <w:gridSpan w:val="2"/>
          </w:tcPr>
          <w:p>
            <w:pPr>
              <w:ind w:left="20"/>
              <w:spacing w:after="0" w:line="152" w:lineRule="exact"/>
              <w:rPr>
                <w:sz w:val="20"/>
                <w:szCs w:val="20"/>
                <w:color w:val="auto"/>
              </w:rPr>
            </w:pPr>
            <w:r>
              <w:rPr>
                <w:rFonts w:ascii="Calibri" w:cs="Calibri" w:eastAsia="Calibri" w:hAnsi="Calibri"/>
                <w:sz w:val="15"/>
                <w:szCs w:val="15"/>
                <w:color w:val="auto"/>
              </w:rPr>
              <w:t>Report on Form 8-K</w:t>
            </w: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940" w:type="dxa"/>
            <w:vAlign w:val="bottom"/>
            <w:tcBorders>
              <w:top w:val="single" w:sz="8" w:color="0000FF"/>
            </w:tcBorders>
            <w:gridSpan w:val="12"/>
          </w:tcPr>
          <w:p>
            <w:pPr>
              <w:spacing w:after="0" w:line="165" w:lineRule="exact"/>
              <w:rPr>
                <w:rFonts w:ascii="Calibri" w:cs="Calibri" w:eastAsia="Calibri" w:hAnsi="Calibri"/>
                <w:sz w:val="18"/>
                <w:szCs w:val="18"/>
                <w:color w:val="0000FF"/>
                <w:w w:val="97"/>
              </w:rPr>
            </w:pPr>
            <w:hyperlink r:id="rId141">
              <w:r>
                <w:rPr>
                  <w:rFonts w:ascii="Calibri" w:cs="Calibri" w:eastAsia="Calibri" w:hAnsi="Calibri"/>
                  <w:sz w:val="18"/>
                  <w:szCs w:val="18"/>
                  <w:color w:val="0000FF"/>
                  <w:w w:val="97"/>
                </w:rPr>
                <w:t>Securites, Inc., HSBC Securites (USA) Inc.,</w:t>
              </w:r>
            </w:hyperlink>
          </w:p>
        </w:tc>
        <w:tc>
          <w:tcPr>
            <w:tcW w:w="720" w:type="dxa"/>
            <w:vAlign w:val="bottom"/>
            <w:gridSpan w:val="29"/>
          </w:tcPr>
          <w:p>
            <w:pPr>
              <w:ind w:left="20"/>
              <w:spacing w:after="0" w:line="165" w:lineRule="exact"/>
              <w:rPr>
                <w:rFonts w:ascii="Calibri" w:cs="Calibri" w:eastAsia="Calibri" w:hAnsi="Calibri"/>
                <w:sz w:val="18"/>
                <w:szCs w:val="18"/>
                <w:color w:val="0000FF"/>
              </w:rPr>
            </w:pPr>
            <w:hyperlink r:id="rId141">
              <w:r>
                <w:rPr>
                  <w:rFonts w:ascii="Calibri" w:cs="Calibri" w:eastAsia="Calibri" w:hAnsi="Calibri"/>
                  <w:sz w:val="18"/>
                  <w:szCs w:val="18"/>
                  <w:color w:val="0000FF"/>
                </w:rPr>
                <w:t>and</w:t>
              </w:r>
            </w:hyperlink>
          </w:p>
        </w:tc>
        <w:tc>
          <w:tcPr>
            <w:tcW w:w="1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8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20" w:type="dxa"/>
            <w:vAlign w:val="bottom"/>
            <w:tcBorders>
              <w:top w:val="single" w:sz="8" w:color="0000FF"/>
            </w:tcBorders>
            <w:gridSpan w:val="24"/>
          </w:tcPr>
          <w:p>
            <w:pPr>
              <w:spacing w:after="0" w:line="152" w:lineRule="exact"/>
              <w:rPr>
                <w:rFonts w:ascii="Calibri" w:cs="Calibri" w:eastAsia="Calibri" w:hAnsi="Calibri"/>
                <w:sz w:val="15"/>
                <w:szCs w:val="15"/>
                <w:color w:val="0000FF"/>
              </w:rPr>
            </w:pPr>
            <w:hyperlink r:id="rId141">
              <w:r>
                <w:rPr>
                  <w:rFonts w:ascii="Calibri" w:cs="Calibri" w:eastAsia="Calibri" w:hAnsi="Calibri"/>
                  <w:sz w:val="15"/>
                  <w:szCs w:val="15"/>
                  <w:color w:val="0000FF"/>
                </w:rPr>
                <w:t>RBC Capital Markets, LLC, as representatves of</w:t>
              </w:r>
            </w:hyperlink>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80" w:type="dxa"/>
            <w:vAlign w:val="bottom"/>
            <w:gridSpan w:val="15"/>
          </w:tcPr>
          <w:p>
            <w:pPr>
              <w:spacing w:after="0" w:line="152" w:lineRule="exact"/>
              <w:rPr>
                <w:rFonts w:ascii="Calibri" w:cs="Calibri" w:eastAsia="Calibri" w:hAnsi="Calibri"/>
                <w:sz w:val="15"/>
                <w:szCs w:val="15"/>
                <w:color w:val="0000FF"/>
              </w:rPr>
            </w:pPr>
            <w:hyperlink r:id="rId141">
              <w:r>
                <w:rPr>
                  <w:rFonts w:ascii="Calibri" w:cs="Calibri" w:eastAsia="Calibri" w:hAnsi="Calibri"/>
                  <w:sz w:val="15"/>
                  <w:szCs w:val="15"/>
                  <w:color w:val="0000FF"/>
                </w:rPr>
                <w:t>the</w:t>
              </w:r>
            </w:hyperlink>
          </w:p>
        </w:tc>
        <w:tc>
          <w:tcPr>
            <w:tcW w:w="1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8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540" w:type="dxa"/>
            <w:vAlign w:val="bottom"/>
            <w:tcBorders>
              <w:top w:val="single" w:sz="8" w:color="0000FF"/>
            </w:tcBorders>
            <w:gridSpan w:val="39"/>
          </w:tcPr>
          <w:p>
            <w:pPr>
              <w:spacing w:after="0" w:line="152" w:lineRule="exact"/>
              <w:rPr>
                <w:rFonts w:ascii="Calibri" w:cs="Calibri" w:eastAsia="Calibri" w:hAnsi="Calibri"/>
                <w:sz w:val="15"/>
                <w:szCs w:val="15"/>
                <w:color w:val="0000FF"/>
              </w:rPr>
            </w:pPr>
            <w:hyperlink r:id="rId141">
              <w:r>
                <w:rPr>
                  <w:rFonts w:ascii="Calibri" w:cs="Calibri" w:eastAsia="Calibri" w:hAnsi="Calibri"/>
                  <w:sz w:val="15"/>
                  <w:szCs w:val="15"/>
                  <w:color w:val="0000FF"/>
                </w:rPr>
                <w:t>several inital purchasers of the April 2022 Senior</w:t>
              </w:r>
            </w:hyperlink>
          </w:p>
        </w:tc>
        <w:tc>
          <w:tcPr>
            <w:tcW w:w="120" w:type="dxa"/>
            <w:vAlign w:val="bottom"/>
            <w:gridSpan w:val="2"/>
          </w:tcPr>
          <w:p>
            <w:pPr>
              <w:spacing w:after="0"/>
              <w:rPr>
                <w:sz w:val="13"/>
                <w:szCs w:val="13"/>
                <w:color w:val="auto"/>
              </w:rPr>
            </w:pPr>
          </w:p>
        </w:tc>
        <w:tc>
          <w:tcPr>
            <w:tcW w:w="1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40" w:type="dxa"/>
            <w:vAlign w:val="bottom"/>
            <w:tcBorders>
              <w:top w:val="single" w:sz="8" w:color="0000FF"/>
            </w:tcBorders>
            <w:gridSpan w:val="34"/>
          </w:tcPr>
          <w:p>
            <w:pPr>
              <w:spacing w:after="0" w:line="165" w:lineRule="exact"/>
              <w:rPr>
                <w:rFonts w:ascii="Calibri" w:cs="Calibri" w:eastAsia="Calibri" w:hAnsi="Calibri"/>
                <w:sz w:val="18"/>
                <w:szCs w:val="18"/>
                <w:color w:val="0000FF"/>
              </w:rPr>
            </w:pPr>
            <w:hyperlink r:id="rId141">
              <w:r>
                <w:rPr>
                  <w:rFonts w:ascii="Calibri" w:cs="Calibri" w:eastAsia="Calibri" w:hAnsi="Calibri"/>
                  <w:sz w:val="18"/>
                  <w:szCs w:val="18"/>
                  <w:color w:val="0000FF"/>
                </w:rPr>
                <w:t>Notes.</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gridSpan w:val="3"/>
          </w:tcPr>
          <w:p>
            <w:pPr>
              <w:spacing w:after="0"/>
              <w:rPr>
                <w:sz w:val="14"/>
                <w:szCs w:val="14"/>
                <w:color w:val="auto"/>
              </w:rPr>
            </w:pPr>
          </w:p>
        </w:tc>
        <w:tc>
          <w:tcPr>
            <w:tcW w:w="1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860" w:type="dxa"/>
            <w:vAlign w:val="bottom"/>
          </w:tcPr>
          <w:p>
            <w:pPr>
              <w:jc w:val="right"/>
              <w:spacing w:after="0" w:line="205" w:lineRule="exact"/>
              <w:rPr>
                <w:sz w:val="20"/>
                <w:szCs w:val="20"/>
                <w:color w:val="auto"/>
              </w:rPr>
            </w:pPr>
            <w:r>
              <w:rPr>
                <w:rFonts w:ascii="Calibri" w:cs="Calibri" w:eastAsia="Calibri" w:hAnsi="Calibri"/>
                <w:sz w:val="18"/>
                <w:szCs w:val="18"/>
                <w:color w:val="auto"/>
              </w:rPr>
              <w:t>4.46</w:t>
            </w: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60" w:type="dxa"/>
            <w:vAlign w:val="bottom"/>
            <w:gridSpan w:val="41"/>
          </w:tcPr>
          <w:p>
            <w:pPr>
              <w:spacing w:after="0" w:line="205" w:lineRule="exact"/>
              <w:rPr>
                <w:rFonts w:ascii="Calibri" w:cs="Calibri" w:eastAsia="Calibri" w:hAnsi="Calibri"/>
                <w:sz w:val="18"/>
                <w:szCs w:val="18"/>
                <w:color w:val="0000FF"/>
              </w:rPr>
            </w:pPr>
            <w:hyperlink r:id="rId142">
              <w:r>
                <w:rPr>
                  <w:rFonts w:ascii="Calibri" w:cs="Calibri" w:eastAsia="Calibri" w:hAnsi="Calibri"/>
                  <w:sz w:val="18"/>
                  <w:szCs w:val="18"/>
                  <w:color w:val="0000FF"/>
                </w:rPr>
                <w:t>Indenture, dated April 18, 2022, between the</w:t>
              </w:r>
            </w:hyperlink>
          </w:p>
        </w:tc>
        <w:tc>
          <w:tcPr>
            <w:tcW w:w="2000" w:type="dxa"/>
            <w:vAlign w:val="bottom"/>
            <w:gridSpan w:val="2"/>
          </w:tcPr>
          <w:p>
            <w:pPr>
              <w:ind w:left="20"/>
              <w:spacing w:after="0" w:line="205" w:lineRule="exact"/>
              <w:rPr>
                <w:sz w:val="20"/>
                <w:szCs w:val="20"/>
                <w:color w:val="auto"/>
              </w:rPr>
            </w:pPr>
            <w:r>
              <w:rPr>
                <w:rFonts w:ascii="Calibri" w:cs="Calibri" w:eastAsia="Calibri" w:hAnsi="Calibri"/>
                <w:sz w:val="18"/>
                <w:szCs w:val="18"/>
                <w:color w:val="auto"/>
              </w:rPr>
              <w:t>Broadcom Inc. Current</w:t>
            </w:r>
          </w:p>
        </w:tc>
        <w:tc>
          <w:tcPr>
            <w:tcW w:w="1160" w:type="dxa"/>
            <w:vAlign w:val="bottom"/>
          </w:tcPr>
          <w:p>
            <w:pPr>
              <w:spacing w:after="0" w:line="205" w:lineRule="exact"/>
              <w:rPr>
                <w:sz w:val="20"/>
                <w:szCs w:val="20"/>
                <w:color w:val="auto"/>
              </w:rPr>
            </w:pPr>
            <w:r>
              <w:rPr>
                <w:rFonts w:ascii="Calibri" w:cs="Calibri" w:eastAsia="Calibri" w:hAnsi="Calibri"/>
                <w:sz w:val="18"/>
                <w:szCs w:val="18"/>
                <w:color w:val="auto"/>
              </w:rPr>
              <w:t>001-38449</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Pr>
          <w:p>
            <w:pPr>
              <w:jc w:val="center"/>
              <w:ind w:right="213"/>
              <w:spacing w:after="0" w:line="205" w:lineRule="exact"/>
              <w:rPr>
                <w:sz w:val="20"/>
                <w:szCs w:val="20"/>
                <w:color w:val="auto"/>
              </w:rPr>
            </w:pPr>
            <w:r>
              <w:rPr>
                <w:rFonts w:ascii="Calibri" w:cs="Calibri" w:eastAsia="Calibri" w:hAnsi="Calibri"/>
                <w:sz w:val="18"/>
                <w:szCs w:val="18"/>
                <w:color w:val="auto"/>
                <w:w w:val="96"/>
              </w:rPr>
              <w:t>4.1</w:t>
            </w:r>
          </w:p>
        </w:tc>
        <w:tc>
          <w:tcPr>
            <w:tcW w:w="100" w:type="dxa"/>
            <w:vAlign w:val="bottom"/>
          </w:tcPr>
          <w:p>
            <w:pPr>
              <w:spacing w:after="0"/>
              <w:rPr>
                <w:sz w:val="17"/>
                <w:szCs w:val="17"/>
                <w:color w:val="auto"/>
              </w:rPr>
            </w:pPr>
          </w:p>
        </w:tc>
        <w:tc>
          <w:tcPr>
            <w:tcW w:w="1140" w:type="dxa"/>
            <w:vAlign w:val="bottom"/>
          </w:tcPr>
          <w:p>
            <w:pPr>
              <w:jc w:val="right"/>
              <w:ind w:right="233"/>
              <w:spacing w:after="0" w:line="205" w:lineRule="exact"/>
              <w:rPr>
                <w:sz w:val="20"/>
                <w:szCs w:val="20"/>
                <w:color w:val="auto"/>
              </w:rPr>
            </w:pPr>
            <w:r>
              <w:rPr>
                <w:rFonts w:ascii="Calibri" w:cs="Calibri" w:eastAsia="Calibri" w:hAnsi="Calibri"/>
                <w:sz w:val="18"/>
                <w:szCs w:val="18"/>
                <w:color w:val="auto"/>
                <w:w w:val="95"/>
              </w:rPr>
              <w:t>04-18-2022</w:t>
            </w:r>
          </w:p>
        </w:tc>
        <w:tc>
          <w:tcPr>
            <w:tcW w:w="0" w:type="dxa"/>
            <w:vAlign w:val="bottom"/>
          </w:tcPr>
          <w:p>
            <w:pPr>
              <w:spacing w:after="0"/>
              <w:rPr>
                <w:sz w:val="1"/>
                <w:szCs w:val="1"/>
                <w:color w:val="auto"/>
              </w:rPr>
            </w:pPr>
          </w:p>
        </w:tc>
      </w:tr>
      <w:tr>
        <w:trPr>
          <w:trHeight w:val="152"/>
        </w:trPr>
        <w:tc>
          <w:tcPr>
            <w:tcW w:w="8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180" w:type="dxa"/>
            <w:vAlign w:val="bottom"/>
            <w:tcBorders>
              <w:top w:val="single" w:sz="8" w:color="0000FF"/>
            </w:tcBorders>
            <w:gridSpan w:val="22"/>
          </w:tcPr>
          <w:p>
            <w:pPr>
              <w:spacing w:after="0" w:line="152" w:lineRule="exact"/>
              <w:rPr>
                <w:rFonts w:ascii="Calibri" w:cs="Calibri" w:eastAsia="Calibri" w:hAnsi="Calibri"/>
                <w:sz w:val="15"/>
                <w:szCs w:val="15"/>
                <w:color w:val="0000FF"/>
              </w:rPr>
            </w:pPr>
            <w:hyperlink r:id="rId142">
              <w:r>
                <w:rPr>
                  <w:rFonts w:ascii="Calibri" w:cs="Calibri" w:eastAsia="Calibri" w:hAnsi="Calibri"/>
                  <w:sz w:val="15"/>
                  <w:szCs w:val="15"/>
                  <w:color w:val="0000FF"/>
                </w:rPr>
                <w:t>Company and Wilmington Trust, Natonal</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gridSpan w:val="3"/>
          </w:tcPr>
          <w:p>
            <w:pPr>
              <w:spacing w:after="0"/>
              <w:rPr>
                <w:sz w:val="13"/>
                <w:szCs w:val="13"/>
                <w:color w:val="auto"/>
              </w:rPr>
            </w:pPr>
          </w:p>
        </w:tc>
        <w:tc>
          <w:tcPr>
            <w:tcW w:w="2000" w:type="dxa"/>
            <w:vAlign w:val="bottom"/>
            <w:gridSpan w:val="2"/>
          </w:tcPr>
          <w:p>
            <w:pPr>
              <w:ind w:left="20"/>
              <w:spacing w:after="0" w:line="152" w:lineRule="exact"/>
              <w:rPr>
                <w:sz w:val="20"/>
                <w:szCs w:val="20"/>
                <w:color w:val="auto"/>
              </w:rPr>
            </w:pPr>
            <w:r>
              <w:rPr>
                <w:rFonts w:ascii="Calibri" w:cs="Calibri" w:eastAsia="Calibri" w:hAnsi="Calibri"/>
                <w:sz w:val="15"/>
                <w:szCs w:val="15"/>
                <w:color w:val="auto"/>
              </w:rPr>
              <w:t>Report on Form 8-K</w:t>
            </w: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0" w:type="dxa"/>
            <w:vAlign w:val="bottom"/>
            <w:tcBorders>
              <w:top w:val="single" w:sz="8" w:color="0000FF"/>
              <w:bottom w:val="single" w:sz="8" w:color="0000FF"/>
            </w:tcBorders>
            <w:gridSpan w:val="6"/>
          </w:tcPr>
          <w:p>
            <w:pPr>
              <w:spacing w:after="0" w:line="165" w:lineRule="exact"/>
              <w:rPr>
                <w:rFonts w:ascii="Calibri" w:cs="Calibri" w:eastAsia="Calibri" w:hAnsi="Calibri"/>
                <w:sz w:val="18"/>
                <w:szCs w:val="18"/>
                <w:color w:val="0000FF"/>
                <w:w w:val="95"/>
              </w:rPr>
            </w:pPr>
            <w:hyperlink r:id="rId142">
              <w:r>
                <w:rPr>
                  <w:rFonts w:ascii="Calibri" w:cs="Calibri" w:eastAsia="Calibri" w:hAnsi="Calibri"/>
                  <w:sz w:val="18"/>
                  <w:szCs w:val="18"/>
                  <w:color w:val="0000FF"/>
                  <w:w w:val="95"/>
                </w:rPr>
                <w:t>Associaton, as trustee.</w:t>
              </w:r>
            </w:hyperlink>
          </w:p>
        </w:tc>
        <w:tc>
          <w:tcPr>
            <w:tcW w:w="1260" w:type="dxa"/>
            <w:vAlign w:val="bottom"/>
            <w:tcBorders>
              <w:top w:val="single" w:sz="8" w:color="0000FF"/>
            </w:tcBorders>
            <w:gridSpan w:val="5"/>
          </w:tcPr>
          <w:p>
            <w:pPr>
              <w:spacing w:after="0"/>
              <w:rPr>
                <w:sz w:val="14"/>
                <w:szCs w:val="14"/>
                <w:color w:val="auto"/>
              </w:rPr>
            </w:pPr>
          </w:p>
        </w:tc>
        <w:tc>
          <w:tcPr>
            <w:tcW w:w="120" w:type="dxa"/>
            <w:vAlign w:val="bottom"/>
            <w:gridSpan w:val="2"/>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gridSpan w:val="3"/>
          </w:tcPr>
          <w:p>
            <w:pPr>
              <w:spacing w:after="0"/>
              <w:rPr>
                <w:sz w:val="14"/>
                <w:szCs w:val="14"/>
                <w:color w:val="auto"/>
              </w:rPr>
            </w:pPr>
          </w:p>
        </w:tc>
        <w:tc>
          <w:tcPr>
            <w:tcW w:w="1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860" w:type="dxa"/>
            <w:vAlign w:val="bottom"/>
          </w:tcPr>
          <w:p>
            <w:pPr>
              <w:jc w:val="right"/>
              <w:spacing w:after="0" w:line="205" w:lineRule="exact"/>
              <w:rPr>
                <w:sz w:val="20"/>
                <w:szCs w:val="20"/>
                <w:color w:val="auto"/>
              </w:rPr>
            </w:pPr>
            <w:r>
              <w:rPr>
                <w:rFonts w:ascii="Calibri" w:cs="Calibri" w:eastAsia="Calibri" w:hAnsi="Calibri"/>
                <w:sz w:val="18"/>
                <w:szCs w:val="18"/>
                <w:color w:val="auto"/>
              </w:rPr>
              <w:t>4.47</w:t>
            </w: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60" w:type="dxa"/>
            <w:vAlign w:val="bottom"/>
            <w:gridSpan w:val="41"/>
          </w:tcPr>
          <w:p>
            <w:pPr>
              <w:spacing w:after="0" w:line="205" w:lineRule="exact"/>
              <w:rPr>
                <w:rFonts w:ascii="Calibri" w:cs="Calibri" w:eastAsia="Calibri" w:hAnsi="Calibri"/>
                <w:sz w:val="18"/>
                <w:szCs w:val="18"/>
                <w:color w:val="0000FF"/>
              </w:rPr>
            </w:pPr>
            <w:hyperlink r:id="rId142">
              <w:r>
                <w:rPr>
                  <w:rFonts w:ascii="Calibri" w:cs="Calibri" w:eastAsia="Calibri" w:hAnsi="Calibri"/>
                  <w:sz w:val="18"/>
                  <w:szCs w:val="18"/>
                  <w:color w:val="0000FF"/>
                </w:rPr>
                <w:t>Form of 4.926% Senior Notes due 2037 (included</w:t>
              </w:r>
            </w:hyperlink>
          </w:p>
        </w:tc>
        <w:tc>
          <w:tcPr>
            <w:tcW w:w="2000" w:type="dxa"/>
            <w:vAlign w:val="bottom"/>
            <w:gridSpan w:val="2"/>
          </w:tcPr>
          <w:p>
            <w:pPr>
              <w:ind w:left="20"/>
              <w:spacing w:after="0" w:line="205" w:lineRule="exact"/>
              <w:rPr>
                <w:sz w:val="20"/>
                <w:szCs w:val="20"/>
                <w:color w:val="auto"/>
              </w:rPr>
            </w:pPr>
            <w:r>
              <w:rPr>
                <w:rFonts w:ascii="Calibri" w:cs="Calibri" w:eastAsia="Calibri" w:hAnsi="Calibri"/>
                <w:sz w:val="18"/>
                <w:szCs w:val="18"/>
                <w:color w:val="auto"/>
              </w:rPr>
              <w:t>Broadcom Inc. Current</w:t>
            </w:r>
          </w:p>
        </w:tc>
        <w:tc>
          <w:tcPr>
            <w:tcW w:w="1160" w:type="dxa"/>
            <w:vAlign w:val="bottom"/>
          </w:tcPr>
          <w:p>
            <w:pPr>
              <w:spacing w:after="0" w:line="205" w:lineRule="exact"/>
              <w:rPr>
                <w:sz w:val="20"/>
                <w:szCs w:val="20"/>
                <w:color w:val="auto"/>
              </w:rPr>
            </w:pPr>
            <w:r>
              <w:rPr>
                <w:rFonts w:ascii="Calibri" w:cs="Calibri" w:eastAsia="Calibri" w:hAnsi="Calibri"/>
                <w:sz w:val="18"/>
                <w:szCs w:val="18"/>
                <w:color w:val="auto"/>
              </w:rPr>
              <w:t>001-38449</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Pr>
          <w:p>
            <w:pPr>
              <w:jc w:val="center"/>
              <w:ind w:right="213"/>
              <w:spacing w:after="0" w:line="205" w:lineRule="exact"/>
              <w:rPr>
                <w:sz w:val="20"/>
                <w:szCs w:val="20"/>
                <w:color w:val="auto"/>
              </w:rPr>
            </w:pPr>
            <w:r>
              <w:rPr>
                <w:rFonts w:ascii="Calibri" w:cs="Calibri" w:eastAsia="Calibri" w:hAnsi="Calibri"/>
                <w:sz w:val="18"/>
                <w:szCs w:val="18"/>
                <w:color w:val="auto"/>
                <w:w w:val="96"/>
              </w:rPr>
              <w:t>4.1</w:t>
            </w:r>
          </w:p>
        </w:tc>
        <w:tc>
          <w:tcPr>
            <w:tcW w:w="100" w:type="dxa"/>
            <w:vAlign w:val="bottom"/>
          </w:tcPr>
          <w:p>
            <w:pPr>
              <w:spacing w:after="0"/>
              <w:rPr>
                <w:sz w:val="17"/>
                <w:szCs w:val="17"/>
                <w:color w:val="auto"/>
              </w:rPr>
            </w:pPr>
          </w:p>
        </w:tc>
        <w:tc>
          <w:tcPr>
            <w:tcW w:w="1140" w:type="dxa"/>
            <w:vAlign w:val="bottom"/>
          </w:tcPr>
          <w:p>
            <w:pPr>
              <w:jc w:val="right"/>
              <w:ind w:right="233"/>
              <w:spacing w:after="0" w:line="205" w:lineRule="exact"/>
              <w:rPr>
                <w:sz w:val="20"/>
                <w:szCs w:val="20"/>
                <w:color w:val="auto"/>
              </w:rPr>
            </w:pPr>
            <w:r>
              <w:rPr>
                <w:rFonts w:ascii="Calibri" w:cs="Calibri" w:eastAsia="Calibri" w:hAnsi="Calibri"/>
                <w:sz w:val="18"/>
                <w:szCs w:val="18"/>
                <w:color w:val="auto"/>
                <w:w w:val="95"/>
              </w:rPr>
              <w:t>04-18-2022</w:t>
            </w:r>
          </w:p>
        </w:tc>
        <w:tc>
          <w:tcPr>
            <w:tcW w:w="0" w:type="dxa"/>
            <w:vAlign w:val="bottom"/>
          </w:tcPr>
          <w:p>
            <w:pPr>
              <w:spacing w:after="0"/>
              <w:rPr>
                <w:sz w:val="1"/>
                <w:szCs w:val="1"/>
                <w:color w:val="auto"/>
              </w:rPr>
            </w:pPr>
          </w:p>
        </w:tc>
      </w:tr>
      <w:tr>
        <w:trPr>
          <w:trHeight w:val="152"/>
        </w:trPr>
        <w:tc>
          <w:tcPr>
            <w:tcW w:w="8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80" w:type="dxa"/>
            <w:vAlign w:val="bottom"/>
            <w:tcBorders>
              <w:top w:val="single" w:sz="8" w:color="0000FF"/>
              <w:bottom w:val="single" w:sz="8" w:color="0000FF"/>
            </w:tcBorders>
            <w:gridSpan w:val="4"/>
          </w:tcPr>
          <w:p>
            <w:pPr>
              <w:spacing w:after="0" w:line="152" w:lineRule="exact"/>
              <w:rPr>
                <w:rFonts w:ascii="Calibri" w:cs="Calibri" w:eastAsia="Calibri" w:hAnsi="Calibri"/>
                <w:sz w:val="15"/>
                <w:szCs w:val="15"/>
                <w:color w:val="0000FF"/>
              </w:rPr>
            </w:pPr>
            <w:hyperlink r:id="rId142">
              <w:r>
                <w:rPr>
                  <w:rFonts w:ascii="Calibri" w:cs="Calibri" w:eastAsia="Calibri" w:hAnsi="Calibri"/>
                  <w:sz w:val="15"/>
                  <w:szCs w:val="15"/>
                  <w:color w:val="0000FF"/>
                </w:rPr>
                <w:t>in Exhibit 4.51).</w:t>
              </w:r>
            </w:hyperlink>
          </w:p>
        </w:tc>
        <w:tc>
          <w:tcPr>
            <w:tcW w:w="2380" w:type="dxa"/>
            <w:vAlign w:val="bottom"/>
            <w:tcBorders>
              <w:top w:val="single" w:sz="8" w:color="0000FF"/>
            </w:tcBorders>
            <w:gridSpan w:val="31"/>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gridSpan w:val="3"/>
          </w:tcPr>
          <w:p>
            <w:pPr>
              <w:spacing w:after="0"/>
              <w:rPr>
                <w:sz w:val="13"/>
                <w:szCs w:val="13"/>
                <w:color w:val="auto"/>
              </w:rPr>
            </w:pPr>
          </w:p>
        </w:tc>
        <w:tc>
          <w:tcPr>
            <w:tcW w:w="2000" w:type="dxa"/>
            <w:vAlign w:val="bottom"/>
            <w:gridSpan w:val="2"/>
          </w:tcPr>
          <w:p>
            <w:pPr>
              <w:ind w:left="20"/>
              <w:spacing w:after="0" w:line="152" w:lineRule="exact"/>
              <w:rPr>
                <w:sz w:val="20"/>
                <w:szCs w:val="20"/>
                <w:color w:val="auto"/>
              </w:rPr>
            </w:pPr>
            <w:r>
              <w:rPr>
                <w:rFonts w:ascii="Calibri" w:cs="Calibri" w:eastAsia="Calibri" w:hAnsi="Calibri"/>
                <w:sz w:val="15"/>
                <w:szCs w:val="15"/>
                <w:color w:val="auto"/>
              </w:rPr>
              <w:t>Report on Form 8-K</w:t>
            </w: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8"/>
        </w:trPr>
        <w:tc>
          <w:tcPr>
            <w:tcW w:w="860" w:type="dxa"/>
            <w:vAlign w:val="bottom"/>
          </w:tcPr>
          <w:p>
            <w:pPr>
              <w:jc w:val="right"/>
              <w:spacing w:after="0" w:line="217" w:lineRule="exact"/>
              <w:rPr>
                <w:sz w:val="20"/>
                <w:szCs w:val="20"/>
                <w:color w:val="auto"/>
              </w:rPr>
            </w:pPr>
            <w:r>
              <w:rPr>
                <w:rFonts w:ascii="Calibri" w:cs="Calibri" w:eastAsia="Calibri" w:hAnsi="Calibri"/>
                <w:sz w:val="18"/>
                <w:szCs w:val="18"/>
                <w:color w:val="auto"/>
              </w:rPr>
              <w:t>4.48</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20" w:type="dxa"/>
            <w:vAlign w:val="bottom"/>
            <w:tcBorders>
              <w:bottom w:val="single" w:sz="8" w:color="0000FF"/>
            </w:tcBorders>
            <w:gridSpan w:val="24"/>
          </w:tcPr>
          <w:p>
            <w:pPr>
              <w:spacing w:after="0" w:line="217" w:lineRule="exact"/>
              <w:rPr>
                <w:rFonts w:ascii="Calibri" w:cs="Calibri" w:eastAsia="Calibri" w:hAnsi="Calibri"/>
                <w:sz w:val="18"/>
                <w:szCs w:val="18"/>
                <w:color w:val="0000FF"/>
                <w:w w:val="95"/>
              </w:rPr>
            </w:pPr>
            <w:hyperlink r:id="rId143">
              <w:r>
                <w:rPr>
                  <w:rFonts w:ascii="Calibri" w:cs="Calibri" w:eastAsia="Calibri" w:hAnsi="Calibri"/>
                  <w:sz w:val="18"/>
                  <w:szCs w:val="18"/>
                  <w:color w:val="0000FF"/>
                  <w:w w:val="95"/>
                </w:rPr>
                <w:t>Registraton Rights Agreement, dated April 18,</w:t>
              </w:r>
            </w:hyperlink>
          </w:p>
        </w:tc>
        <w:tc>
          <w:tcPr>
            <w:tcW w:w="440" w:type="dxa"/>
            <w:vAlign w:val="bottom"/>
            <w:gridSpan w:val="17"/>
          </w:tcPr>
          <w:p>
            <w:pPr>
              <w:spacing w:after="0"/>
              <w:rPr>
                <w:sz w:val="18"/>
                <w:szCs w:val="18"/>
                <w:color w:val="auto"/>
              </w:rPr>
            </w:pPr>
          </w:p>
        </w:tc>
        <w:tc>
          <w:tcPr>
            <w:tcW w:w="2000" w:type="dxa"/>
            <w:vAlign w:val="bottom"/>
            <w:gridSpan w:val="2"/>
          </w:tcPr>
          <w:p>
            <w:pPr>
              <w:ind w:left="20"/>
              <w:spacing w:after="0" w:line="217" w:lineRule="exact"/>
              <w:rPr>
                <w:sz w:val="20"/>
                <w:szCs w:val="20"/>
                <w:color w:val="auto"/>
              </w:rPr>
            </w:pPr>
            <w:r>
              <w:rPr>
                <w:rFonts w:ascii="Calibri" w:cs="Calibri" w:eastAsia="Calibri" w:hAnsi="Calibri"/>
                <w:sz w:val="18"/>
                <w:szCs w:val="18"/>
                <w:color w:val="auto"/>
              </w:rPr>
              <w:t>Broadcom Inc. Current</w:t>
            </w:r>
          </w:p>
        </w:tc>
        <w:tc>
          <w:tcPr>
            <w:tcW w:w="1160" w:type="dxa"/>
            <w:vAlign w:val="bottom"/>
          </w:tcPr>
          <w:p>
            <w:pPr>
              <w:spacing w:after="0" w:line="217" w:lineRule="exact"/>
              <w:rPr>
                <w:sz w:val="20"/>
                <w:szCs w:val="20"/>
                <w:color w:val="auto"/>
              </w:rPr>
            </w:pPr>
            <w:r>
              <w:rPr>
                <w:rFonts w:ascii="Calibri" w:cs="Calibri" w:eastAsia="Calibri" w:hAnsi="Calibri"/>
                <w:sz w:val="18"/>
                <w:szCs w:val="18"/>
                <w:color w:val="auto"/>
              </w:rPr>
              <w:t>001-38449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jc w:val="center"/>
              <w:ind w:right="213"/>
              <w:spacing w:after="0" w:line="217" w:lineRule="exact"/>
              <w:rPr>
                <w:sz w:val="20"/>
                <w:szCs w:val="20"/>
                <w:color w:val="auto"/>
              </w:rPr>
            </w:pPr>
            <w:r>
              <w:rPr>
                <w:rFonts w:ascii="Calibri" w:cs="Calibri" w:eastAsia="Calibri" w:hAnsi="Calibri"/>
                <w:sz w:val="18"/>
                <w:szCs w:val="18"/>
                <w:color w:val="auto"/>
                <w:w w:val="96"/>
              </w:rPr>
              <w:t>4.3</w:t>
            </w:r>
          </w:p>
        </w:tc>
        <w:tc>
          <w:tcPr>
            <w:tcW w:w="100" w:type="dxa"/>
            <w:vAlign w:val="bottom"/>
          </w:tcPr>
          <w:p>
            <w:pPr>
              <w:spacing w:after="0"/>
              <w:rPr>
                <w:sz w:val="18"/>
                <w:szCs w:val="18"/>
                <w:color w:val="auto"/>
              </w:rPr>
            </w:pPr>
          </w:p>
        </w:tc>
        <w:tc>
          <w:tcPr>
            <w:tcW w:w="1140" w:type="dxa"/>
            <w:vAlign w:val="bottom"/>
          </w:tcPr>
          <w:p>
            <w:pPr>
              <w:jc w:val="right"/>
              <w:ind w:right="233"/>
              <w:spacing w:after="0" w:line="217" w:lineRule="exact"/>
              <w:rPr>
                <w:sz w:val="20"/>
                <w:szCs w:val="20"/>
                <w:color w:val="auto"/>
              </w:rPr>
            </w:pPr>
            <w:r>
              <w:rPr>
                <w:rFonts w:ascii="Calibri" w:cs="Calibri" w:eastAsia="Calibri" w:hAnsi="Calibri"/>
                <w:sz w:val="18"/>
                <w:szCs w:val="18"/>
                <w:color w:val="auto"/>
                <w:w w:val="95"/>
              </w:rPr>
              <w:t>04-18-2022</w:t>
            </w:r>
          </w:p>
        </w:tc>
        <w:tc>
          <w:tcPr>
            <w:tcW w:w="0" w:type="dxa"/>
            <w:vAlign w:val="bottom"/>
          </w:tcPr>
          <w:p>
            <w:pPr>
              <w:spacing w:after="0"/>
              <w:rPr>
                <w:sz w:val="1"/>
                <w:szCs w:val="1"/>
                <w:color w:val="auto"/>
              </w:rPr>
            </w:pPr>
          </w:p>
        </w:tc>
      </w:tr>
      <w:tr>
        <w:trPr>
          <w:trHeight w:val="152"/>
        </w:trPr>
        <w:tc>
          <w:tcPr>
            <w:tcW w:w="8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60" w:type="dxa"/>
            <w:vAlign w:val="bottom"/>
            <w:gridSpan w:val="41"/>
          </w:tcPr>
          <w:p>
            <w:pPr>
              <w:spacing w:after="0" w:line="152" w:lineRule="exact"/>
              <w:rPr>
                <w:rFonts w:ascii="Calibri" w:cs="Calibri" w:eastAsia="Calibri" w:hAnsi="Calibri"/>
                <w:sz w:val="15"/>
                <w:szCs w:val="15"/>
                <w:color w:val="0000FF"/>
              </w:rPr>
            </w:pPr>
            <w:hyperlink r:id="rId143">
              <w:r>
                <w:rPr>
                  <w:rFonts w:ascii="Calibri" w:cs="Calibri" w:eastAsia="Calibri" w:hAnsi="Calibri"/>
                  <w:sz w:val="15"/>
                  <w:szCs w:val="15"/>
                  <w:color w:val="0000FF"/>
                </w:rPr>
                <w:t>2022, between the Company and Barclays Capital</w:t>
              </w:r>
            </w:hyperlink>
          </w:p>
        </w:tc>
        <w:tc>
          <w:tcPr>
            <w:tcW w:w="2000" w:type="dxa"/>
            <w:vAlign w:val="bottom"/>
            <w:gridSpan w:val="2"/>
          </w:tcPr>
          <w:p>
            <w:pPr>
              <w:ind w:left="20"/>
              <w:spacing w:after="0" w:line="152" w:lineRule="exact"/>
              <w:rPr>
                <w:sz w:val="20"/>
                <w:szCs w:val="20"/>
                <w:color w:val="auto"/>
              </w:rPr>
            </w:pPr>
            <w:r>
              <w:rPr>
                <w:rFonts w:ascii="Calibri" w:cs="Calibri" w:eastAsia="Calibri" w:hAnsi="Calibri"/>
                <w:sz w:val="15"/>
                <w:szCs w:val="15"/>
                <w:color w:val="auto"/>
              </w:rPr>
              <w:t>Report on Form 8-K</w:t>
            </w: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80" w:type="dxa"/>
            <w:vAlign w:val="bottom"/>
            <w:tcBorders>
              <w:top w:val="single" w:sz="8" w:color="0000FF"/>
            </w:tcBorders>
            <w:gridSpan w:val="36"/>
          </w:tcPr>
          <w:p>
            <w:pPr>
              <w:spacing w:after="0" w:line="165" w:lineRule="exact"/>
              <w:rPr>
                <w:rFonts w:ascii="Calibri" w:cs="Calibri" w:eastAsia="Calibri" w:hAnsi="Calibri"/>
                <w:sz w:val="18"/>
                <w:szCs w:val="18"/>
                <w:color w:val="0000FF"/>
              </w:rPr>
            </w:pPr>
            <w:hyperlink r:id="rId143">
              <w:r>
                <w:rPr>
                  <w:rFonts w:ascii="Calibri" w:cs="Calibri" w:eastAsia="Calibri" w:hAnsi="Calibri"/>
                  <w:sz w:val="18"/>
                  <w:szCs w:val="18"/>
                  <w:color w:val="0000FF"/>
                </w:rPr>
                <w:t>Inc., BBVA Securites Inc., BNP Paribas Securites</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gridSpan w:val="3"/>
          </w:tcPr>
          <w:p>
            <w:pPr>
              <w:spacing w:after="0"/>
              <w:rPr>
                <w:sz w:val="14"/>
                <w:szCs w:val="14"/>
                <w:color w:val="auto"/>
              </w:rPr>
            </w:pPr>
          </w:p>
        </w:tc>
        <w:tc>
          <w:tcPr>
            <w:tcW w:w="1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8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360" w:type="dxa"/>
            <w:vAlign w:val="bottom"/>
            <w:tcBorders>
              <w:top w:val="single" w:sz="8" w:color="0000FF"/>
            </w:tcBorders>
            <w:gridSpan w:val="30"/>
          </w:tcPr>
          <w:p>
            <w:pPr>
              <w:spacing w:after="0" w:line="152" w:lineRule="exact"/>
              <w:rPr>
                <w:rFonts w:ascii="Calibri" w:cs="Calibri" w:eastAsia="Calibri" w:hAnsi="Calibri"/>
                <w:sz w:val="15"/>
                <w:szCs w:val="15"/>
                <w:color w:val="0000FF"/>
              </w:rPr>
            </w:pPr>
            <w:hyperlink r:id="rId143">
              <w:r>
                <w:rPr>
                  <w:rFonts w:ascii="Calibri" w:cs="Calibri" w:eastAsia="Calibri" w:hAnsi="Calibri"/>
                  <w:sz w:val="15"/>
                  <w:szCs w:val="15"/>
                  <w:color w:val="0000FF"/>
                </w:rPr>
                <w:t>Corp. and J.P. Morgan Securites LLC, as dealer-</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gridSpan w:val="3"/>
          </w:tcPr>
          <w:p>
            <w:pPr>
              <w:spacing w:after="0"/>
              <w:rPr>
                <w:sz w:val="13"/>
                <w:szCs w:val="13"/>
                <w:color w:val="auto"/>
              </w:rPr>
            </w:pPr>
          </w:p>
        </w:tc>
        <w:tc>
          <w:tcPr>
            <w:tcW w:w="1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8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40" w:type="dxa"/>
            <w:vAlign w:val="bottom"/>
            <w:tcBorders>
              <w:top w:val="single" w:sz="8" w:color="0000FF"/>
            </w:tcBorders>
            <w:gridSpan w:val="25"/>
          </w:tcPr>
          <w:p>
            <w:pPr>
              <w:spacing w:after="0" w:line="152" w:lineRule="exact"/>
              <w:rPr>
                <w:rFonts w:ascii="Calibri" w:cs="Calibri" w:eastAsia="Calibri" w:hAnsi="Calibri"/>
                <w:sz w:val="15"/>
                <w:szCs w:val="15"/>
                <w:color w:val="0000FF"/>
              </w:rPr>
            </w:pPr>
            <w:hyperlink r:id="rId143">
              <w:r>
                <w:rPr>
                  <w:rFonts w:ascii="Calibri" w:cs="Calibri" w:eastAsia="Calibri" w:hAnsi="Calibri"/>
                  <w:sz w:val="15"/>
                  <w:szCs w:val="15"/>
                  <w:color w:val="0000FF"/>
                </w:rPr>
                <w:t>managers in connecton with the April 2022</w:t>
              </w:r>
            </w:hyperlink>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gridSpan w:val="3"/>
          </w:tcPr>
          <w:p>
            <w:pPr>
              <w:spacing w:after="0"/>
              <w:rPr>
                <w:sz w:val="13"/>
                <w:szCs w:val="13"/>
                <w:color w:val="auto"/>
              </w:rPr>
            </w:pPr>
          </w:p>
        </w:tc>
        <w:tc>
          <w:tcPr>
            <w:tcW w:w="1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60" w:type="dxa"/>
            <w:vAlign w:val="bottom"/>
            <w:tcBorders>
              <w:top w:val="single" w:sz="8" w:color="0000FF"/>
            </w:tcBorders>
            <w:gridSpan w:val="16"/>
          </w:tcPr>
          <w:p>
            <w:pPr>
              <w:spacing w:after="0" w:line="165" w:lineRule="exact"/>
              <w:rPr>
                <w:rFonts w:ascii="Calibri" w:cs="Calibri" w:eastAsia="Calibri" w:hAnsi="Calibri"/>
                <w:sz w:val="18"/>
                <w:szCs w:val="18"/>
                <w:color w:val="0000FF"/>
              </w:rPr>
            </w:pPr>
            <w:hyperlink r:id="rId143">
              <w:r>
                <w:rPr>
                  <w:rFonts w:ascii="Calibri" w:cs="Calibri" w:eastAsia="Calibri" w:hAnsi="Calibri"/>
                  <w:sz w:val="18"/>
                  <w:szCs w:val="18"/>
                  <w:color w:val="0000FF"/>
                </w:rPr>
                <w:t>Exchange Ofer.</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8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gridSpan w:val="4"/>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gridSpan w:val="3"/>
          </w:tcPr>
          <w:p>
            <w:pPr>
              <w:spacing w:after="0"/>
              <w:rPr>
                <w:sz w:val="14"/>
                <w:szCs w:val="14"/>
                <w:color w:val="auto"/>
              </w:rPr>
            </w:pPr>
          </w:p>
        </w:tc>
        <w:tc>
          <w:tcPr>
            <w:tcW w:w="1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860" w:type="dxa"/>
            <w:vAlign w:val="bottom"/>
          </w:tcPr>
          <w:p>
            <w:pPr>
              <w:jc w:val="right"/>
              <w:spacing w:after="0" w:line="205" w:lineRule="exact"/>
              <w:rPr>
                <w:sz w:val="20"/>
                <w:szCs w:val="20"/>
                <w:color w:val="auto"/>
              </w:rPr>
            </w:pPr>
            <w:r>
              <w:rPr>
                <w:rFonts w:ascii="Calibri" w:cs="Calibri" w:eastAsia="Calibri" w:hAnsi="Calibri"/>
                <w:sz w:val="18"/>
                <w:szCs w:val="18"/>
                <w:color w:val="auto"/>
              </w:rPr>
              <w:t>10.1</w:t>
            </w: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60" w:type="dxa"/>
            <w:vAlign w:val="bottom"/>
            <w:gridSpan w:val="41"/>
          </w:tcPr>
          <w:p>
            <w:pPr>
              <w:spacing w:after="0" w:line="205" w:lineRule="exact"/>
              <w:rPr>
                <w:rFonts w:ascii="Calibri" w:cs="Calibri" w:eastAsia="Calibri" w:hAnsi="Calibri"/>
                <w:sz w:val="18"/>
                <w:szCs w:val="18"/>
                <w:color w:val="0000FF"/>
              </w:rPr>
            </w:pPr>
            <w:hyperlink r:id="rId144">
              <w:r>
                <w:rPr>
                  <w:rFonts w:ascii="Calibri" w:cs="Calibri" w:eastAsia="Calibri" w:hAnsi="Calibri"/>
                  <w:sz w:val="18"/>
                  <w:szCs w:val="18"/>
                  <w:color w:val="0000FF"/>
                </w:rPr>
                <w:t>Form of Indemnifcaton and Advancement</w:t>
              </w:r>
            </w:hyperlink>
          </w:p>
        </w:tc>
        <w:tc>
          <w:tcPr>
            <w:tcW w:w="2000" w:type="dxa"/>
            <w:vAlign w:val="bottom"/>
            <w:gridSpan w:val="2"/>
          </w:tcPr>
          <w:p>
            <w:pPr>
              <w:ind w:left="20"/>
              <w:spacing w:after="0" w:line="205" w:lineRule="exact"/>
              <w:rPr>
                <w:sz w:val="20"/>
                <w:szCs w:val="20"/>
                <w:color w:val="auto"/>
              </w:rPr>
            </w:pPr>
            <w:r>
              <w:rPr>
                <w:rFonts w:ascii="Calibri" w:cs="Calibri" w:eastAsia="Calibri" w:hAnsi="Calibri"/>
                <w:sz w:val="18"/>
                <w:szCs w:val="18"/>
                <w:color w:val="auto"/>
              </w:rPr>
              <w:t>Broadcom Inc. Current</w:t>
            </w:r>
          </w:p>
        </w:tc>
        <w:tc>
          <w:tcPr>
            <w:tcW w:w="1160" w:type="dxa"/>
            <w:vAlign w:val="bottom"/>
          </w:tcPr>
          <w:p>
            <w:pPr>
              <w:spacing w:after="0" w:line="205" w:lineRule="exact"/>
              <w:rPr>
                <w:sz w:val="20"/>
                <w:szCs w:val="20"/>
                <w:color w:val="auto"/>
              </w:rPr>
            </w:pPr>
            <w:r>
              <w:rPr>
                <w:rFonts w:ascii="Calibri" w:cs="Calibri" w:eastAsia="Calibri" w:hAnsi="Calibri"/>
                <w:sz w:val="18"/>
                <w:szCs w:val="18"/>
                <w:color w:val="auto"/>
              </w:rPr>
              <w:t>001-38449</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Pr>
          <w:p>
            <w:pPr>
              <w:jc w:val="center"/>
              <w:ind w:right="213"/>
              <w:spacing w:after="0" w:line="205" w:lineRule="exact"/>
              <w:rPr>
                <w:sz w:val="20"/>
                <w:szCs w:val="20"/>
                <w:color w:val="auto"/>
              </w:rPr>
            </w:pPr>
            <w:r>
              <w:rPr>
                <w:rFonts w:ascii="Calibri" w:cs="Calibri" w:eastAsia="Calibri" w:hAnsi="Calibri"/>
                <w:sz w:val="18"/>
                <w:szCs w:val="18"/>
                <w:color w:val="auto"/>
                <w:w w:val="93"/>
              </w:rPr>
              <w:t>10.1</w:t>
            </w:r>
          </w:p>
        </w:tc>
        <w:tc>
          <w:tcPr>
            <w:tcW w:w="100" w:type="dxa"/>
            <w:vAlign w:val="bottom"/>
          </w:tcPr>
          <w:p>
            <w:pPr>
              <w:spacing w:after="0"/>
              <w:rPr>
                <w:sz w:val="17"/>
                <w:szCs w:val="17"/>
                <w:color w:val="auto"/>
              </w:rPr>
            </w:pPr>
          </w:p>
        </w:tc>
        <w:tc>
          <w:tcPr>
            <w:tcW w:w="1140" w:type="dxa"/>
            <w:vAlign w:val="bottom"/>
          </w:tcPr>
          <w:p>
            <w:pPr>
              <w:jc w:val="right"/>
              <w:ind w:right="233"/>
              <w:spacing w:after="0" w:line="205" w:lineRule="exact"/>
              <w:rPr>
                <w:sz w:val="20"/>
                <w:szCs w:val="20"/>
                <w:color w:val="auto"/>
              </w:rPr>
            </w:pPr>
            <w:r>
              <w:rPr>
                <w:rFonts w:ascii="Calibri" w:cs="Calibri" w:eastAsia="Calibri" w:hAnsi="Calibri"/>
                <w:sz w:val="18"/>
                <w:szCs w:val="18"/>
                <w:color w:val="auto"/>
                <w:w w:val="95"/>
              </w:rPr>
              <w:t>04-04-2018</w:t>
            </w:r>
          </w:p>
        </w:tc>
        <w:tc>
          <w:tcPr>
            <w:tcW w:w="0" w:type="dxa"/>
            <w:vAlign w:val="bottom"/>
          </w:tcPr>
          <w:p>
            <w:pPr>
              <w:spacing w:after="0"/>
              <w:rPr>
                <w:sz w:val="1"/>
                <w:szCs w:val="1"/>
                <w:color w:val="auto"/>
              </w:rPr>
            </w:pPr>
          </w:p>
        </w:tc>
      </w:tr>
      <w:tr>
        <w:trPr>
          <w:trHeight w:val="152"/>
        </w:trPr>
        <w:tc>
          <w:tcPr>
            <w:tcW w:w="8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80" w:type="dxa"/>
            <w:vAlign w:val="bottom"/>
            <w:tcBorders>
              <w:top w:val="single" w:sz="8" w:color="0000FF"/>
              <w:bottom w:val="single" w:sz="8" w:color="0000FF"/>
            </w:tcBorders>
            <w:gridSpan w:val="9"/>
          </w:tcPr>
          <w:p>
            <w:pPr>
              <w:spacing w:after="0" w:line="152" w:lineRule="exact"/>
              <w:rPr>
                <w:rFonts w:ascii="Calibri" w:cs="Calibri" w:eastAsia="Calibri" w:hAnsi="Calibri"/>
                <w:sz w:val="15"/>
                <w:szCs w:val="15"/>
                <w:color w:val="0000FF"/>
              </w:rPr>
            </w:pPr>
            <w:hyperlink r:id="rId144">
              <w:r>
                <w:rPr>
                  <w:rFonts w:ascii="Calibri" w:cs="Calibri" w:eastAsia="Calibri" w:hAnsi="Calibri"/>
                  <w:sz w:val="15"/>
                  <w:szCs w:val="15"/>
                  <w:color w:val="0000FF"/>
                </w:rPr>
                <w:t>Agreement (efectve April 4, 2018).</w:t>
              </w:r>
            </w:hyperlink>
          </w:p>
        </w:tc>
        <w:tc>
          <w:tcPr>
            <w:tcW w:w="500" w:type="dxa"/>
            <w:vAlign w:val="bottom"/>
            <w:tcBorders>
              <w:top w:val="single" w:sz="8" w:color="0000FF"/>
            </w:tcBorders>
            <w:gridSpan w:val="4"/>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gridSpan w:val="3"/>
          </w:tcPr>
          <w:p>
            <w:pPr>
              <w:spacing w:after="0"/>
              <w:rPr>
                <w:sz w:val="13"/>
                <w:szCs w:val="13"/>
                <w:color w:val="auto"/>
              </w:rPr>
            </w:pPr>
          </w:p>
        </w:tc>
        <w:tc>
          <w:tcPr>
            <w:tcW w:w="2000" w:type="dxa"/>
            <w:vAlign w:val="bottom"/>
            <w:gridSpan w:val="2"/>
          </w:tcPr>
          <w:p>
            <w:pPr>
              <w:ind w:left="20"/>
              <w:spacing w:after="0" w:line="152" w:lineRule="exact"/>
              <w:rPr>
                <w:sz w:val="20"/>
                <w:szCs w:val="20"/>
                <w:color w:val="auto"/>
              </w:rPr>
            </w:pPr>
            <w:r>
              <w:rPr>
                <w:rFonts w:ascii="Calibri" w:cs="Calibri" w:eastAsia="Calibri" w:hAnsi="Calibri"/>
                <w:sz w:val="15"/>
                <w:szCs w:val="15"/>
                <w:color w:val="auto"/>
              </w:rPr>
              <w:t>Report on Form 8-K12B</w:t>
            </w: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8"/>
        </w:trPr>
        <w:tc>
          <w:tcPr>
            <w:tcW w:w="860" w:type="dxa"/>
            <w:vAlign w:val="bottom"/>
          </w:tcPr>
          <w:p>
            <w:pPr>
              <w:jc w:val="right"/>
              <w:spacing w:after="0" w:line="217" w:lineRule="exact"/>
              <w:rPr>
                <w:sz w:val="20"/>
                <w:szCs w:val="20"/>
                <w:color w:val="auto"/>
              </w:rPr>
            </w:pPr>
            <w:r>
              <w:rPr>
                <w:rFonts w:ascii="Calibri" w:cs="Calibri" w:eastAsia="Calibri" w:hAnsi="Calibri"/>
                <w:sz w:val="18"/>
                <w:szCs w:val="18"/>
                <w:color w:val="auto"/>
              </w:rPr>
              <w:t>10.2</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60" w:type="dxa"/>
            <w:vAlign w:val="bottom"/>
            <w:gridSpan w:val="41"/>
          </w:tcPr>
          <w:p>
            <w:pPr>
              <w:spacing w:after="0" w:line="217" w:lineRule="exact"/>
              <w:rPr>
                <w:rFonts w:ascii="Calibri" w:cs="Calibri" w:eastAsia="Calibri" w:hAnsi="Calibri"/>
                <w:sz w:val="18"/>
                <w:szCs w:val="18"/>
                <w:color w:val="0000FF"/>
              </w:rPr>
            </w:pPr>
            <w:hyperlink r:id="rId145">
              <w:r>
                <w:rPr>
                  <w:rFonts w:ascii="Calibri" w:cs="Calibri" w:eastAsia="Calibri" w:hAnsi="Calibri"/>
                  <w:sz w:val="18"/>
                  <w:szCs w:val="18"/>
                  <w:color w:val="0000FF"/>
                </w:rPr>
                <w:t>Credit Agreement, dated as of May 7, 2019,</w:t>
              </w:r>
            </w:hyperlink>
          </w:p>
        </w:tc>
        <w:tc>
          <w:tcPr>
            <w:tcW w:w="2000" w:type="dxa"/>
            <w:vAlign w:val="bottom"/>
            <w:gridSpan w:val="2"/>
          </w:tcPr>
          <w:p>
            <w:pPr>
              <w:ind w:left="20"/>
              <w:spacing w:after="0" w:line="217" w:lineRule="exact"/>
              <w:rPr>
                <w:sz w:val="20"/>
                <w:szCs w:val="20"/>
                <w:color w:val="auto"/>
              </w:rPr>
            </w:pPr>
            <w:r>
              <w:rPr>
                <w:rFonts w:ascii="Calibri" w:cs="Calibri" w:eastAsia="Calibri" w:hAnsi="Calibri"/>
                <w:sz w:val="18"/>
                <w:szCs w:val="18"/>
                <w:color w:val="auto"/>
              </w:rPr>
              <w:t>Broadcom Inc. Current</w:t>
            </w:r>
          </w:p>
        </w:tc>
        <w:tc>
          <w:tcPr>
            <w:tcW w:w="1160" w:type="dxa"/>
            <w:vAlign w:val="bottom"/>
          </w:tcPr>
          <w:p>
            <w:pPr>
              <w:spacing w:after="0" w:line="217" w:lineRule="exact"/>
              <w:rPr>
                <w:sz w:val="20"/>
                <w:szCs w:val="20"/>
                <w:color w:val="auto"/>
              </w:rPr>
            </w:pPr>
            <w:r>
              <w:rPr>
                <w:rFonts w:ascii="Calibri" w:cs="Calibri" w:eastAsia="Calibri" w:hAnsi="Calibri"/>
                <w:sz w:val="18"/>
                <w:szCs w:val="18"/>
                <w:color w:val="auto"/>
              </w:rPr>
              <w:t>001-38449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jc w:val="center"/>
              <w:ind w:right="213"/>
              <w:spacing w:after="0" w:line="217" w:lineRule="exact"/>
              <w:rPr>
                <w:sz w:val="20"/>
                <w:szCs w:val="20"/>
                <w:color w:val="auto"/>
              </w:rPr>
            </w:pPr>
            <w:r>
              <w:rPr>
                <w:rFonts w:ascii="Calibri" w:cs="Calibri" w:eastAsia="Calibri" w:hAnsi="Calibri"/>
                <w:sz w:val="18"/>
                <w:szCs w:val="18"/>
                <w:color w:val="auto"/>
                <w:w w:val="93"/>
              </w:rPr>
              <w:t>10.1</w:t>
            </w:r>
          </w:p>
        </w:tc>
        <w:tc>
          <w:tcPr>
            <w:tcW w:w="100" w:type="dxa"/>
            <w:vAlign w:val="bottom"/>
          </w:tcPr>
          <w:p>
            <w:pPr>
              <w:spacing w:after="0"/>
              <w:rPr>
                <w:sz w:val="18"/>
                <w:szCs w:val="18"/>
                <w:color w:val="auto"/>
              </w:rPr>
            </w:pPr>
          </w:p>
        </w:tc>
        <w:tc>
          <w:tcPr>
            <w:tcW w:w="1140" w:type="dxa"/>
            <w:vAlign w:val="bottom"/>
          </w:tcPr>
          <w:p>
            <w:pPr>
              <w:jc w:val="right"/>
              <w:ind w:right="233"/>
              <w:spacing w:after="0" w:line="217" w:lineRule="exact"/>
              <w:rPr>
                <w:sz w:val="20"/>
                <w:szCs w:val="20"/>
                <w:color w:val="auto"/>
              </w:rPr>
            </w:pPr>
            <w:r>
              <w:rPr>
                <w:rFonts w:ascii="Calibri" w:cs="Calibri" w:eastAsia="Calibri" w:hAnsi="Calibri"/>
                <w:sz w:val="18"/>
                <w:szCs w:val="18"/>
                <w:color w:val="auto"/>
                <w:w w:val="95"/>
              </w:rPr>
              <w:t>05-07-2019</w:t>
            </w:r>
          </w:p>
        </w:tc>
        <w:tc>
          <w:tcPr>
            <w:tcW w:w="0" w:type="dxa"/>
            <w:vAlign w:val="bottom"/>
          </w:tcPr>
          <w:p>
            <w:pPr>
              <w:spacing w:after="0"/>
              <w:rPr>
                <w:sz w:val="1"/>
                <w:szCs w:val="1"/>
                <w:color w:val="auto"/>
              </w:rPr>
            </w:pPr>
          </w:p>
        </w:tc>
      </w:tr>
      <w:tr>
        <w:trPr>
          <w:trHeight w:val="152"/>
        </w:trPr>
        <w:tc>
          <w:tcPr>
            <w:tcW w:w="8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40" w:type="dxa"/>
            <w:vAlign w:val="bottom"/>
            <w:tcBorders>
              <w:top w:val="single" w:sz="8" w:color="0000FF"/>
              <w:bottom w:val="single" w:sz="8" w:color="0000FF"/>
            </w:tcBorders>
            <w:gridSpan w:val="15"/>
          </w:tcPr>
          <w:p>
            <w:pPr>
              <w:spacing w:after="0" w:line="152" w:lineRule="exact"/>
              <w:rPr>
                <w:rFonts w:ascii="Calibri" w:cs="Calibri" w:eastAsia="Calibri" w:hAnsi="Calibri"/>
                <w:sz w:val="15"/>
                <w:szCs w:val="15"/>
                <w:color w:val="0000FF"/>
              </w:rPr>
            </w:pPr>
            <w:hyperlink r:id="rId145">
              <w:r>
                <w:rPr>
                  <w:rFonts w:ascii="Calibri" w:cs="Calibri" w:eastAsia="Calibri" w:hAnsi="Calibri"/>
                  <w:sz w:val="15"/>
                  <w:szCs w:val="15"/>
                  <w:color w:val="0000FF"/>
                </w:rPr>
                <w:t>among Broadcom Inc., the lenders and other</w:t>
              </w:r>
            </w:hyperlink>
          </w:p>
        </w:tc>
        <w:tc>
          <w:tcPr>
            <w:tcW w:w="4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gridSpan w:val="3"/>
          </w:tcPr>
          <w:p>
            <w:pPr>
              <w:spacing w:after="0"/>
              <w:rPr>
                <w:sz w:val="13"/>
                <w:szCs w:val="13"/>
                <w:color w:val="auto"/>
              </w:rPr>
            </w:pPr>
          </w:p>
        </w:tc>
        <w:tc>
          <w:tcPr>
            <w:tcW w:w="2000" w:type="dxa"/>
            <w:vAlign w:val="bottom"/>
            <w:gridSpan w:val="2"/>
          </w:tcPr>
          <w:p>
            <w:pPr>
              <w:ind w:left="20"/>
              <w:spacing w:after="0" w:line="152" w:lineRule="exact"/>
              <w:rPr>
                <w:sz w:val="20"/>
                <w:szCs w:val="20"/>
                <w:color w:val="auto"/>
              </w:rPr>
            </w:pPr>
            <w:r>
              <w:rPr>
                <w:rFonts w:ascii="Calibri" w:cs="Calibri" w:eastAsia="Calibri" w:hAnsi="Calibri"/>
                <w:sz w:val="15"/>
                <w:szCs w:val="15"/>
                <w:color w:val="auto"/>
              </w:rPr>
              <w:t>Report on Form 8-K</w:t>
            </w: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120" w:type="dxa"/>
            <w:vAlign w:val="bottom"/>
            <w:gridSpan w:val="19"/>
          </w:tcPr>
          <w:p>
            <w:pPr>
              <w:spacing w:after="0" w:line="165" w:lineRule="exact"/>
              <w:rPr>
                <w:rFonts w:ascii="Calibri" w:cs="Calibri" w:eastAsia="Calibri" w:hAnsi="Calibri"/>
                <w:sz w:val="18"/>
                <w:szCs w:val="18"/>
                <w:color w:val="0000FF"/>
                <w:w w:val="99"/>
              </w:rPr>
            </w:pPr>
            <w:hyperlink r:id="rId145">
              <w:r>
                <w:rPr>
                  <w:rFonts w:ascii="Calibri" w:cs="Calibri" w:eastAsia="Calibri" w:hAnsi="Calibri"/>
                  <w:sz w:val="18"/>
                  <w:szCs w:val="18"/>
                  <w:color w:val="0000FF"/>
                  <w:w w:val="99"/>
                </w:rPr>
                <w:t>partes party thereto, and Bank of America,</w:t>
              </w:r>
            </w:hyperlink>
          </w:p>
        </w:tc>
        <w:tc>
          <w:tcPr>
            <w:tcW w:w="540" w:type="dxa"/>
            <w:vAlign w:val="bottom"/>
            <w:gridSpan w:val="22"/>
          </w:tcPr>
          <w:p>
            <w:pPr>
              <w:jc w:val="right"/>
              <w:ind w:right="280"/>
              <w:spacing w:after="0" w:line="165" w:lineRule="exact"/>
              <w:rPr>
                <w:rFonts w:ascii="Calibri" w:cs="Calibri" w:eastAsia="Calibri" w:hAnsi="Calibri"/>
                <w:sz w:val="17"/>
                <w:szCs w:val="17"/>
                <w:color w:val="0000FF"/>
                <w:w w:val="71"/>
              </w:rPr>
            </w:pPr>
            <w:hyperlink r:id="rId145">
              <w:r>
                <w:rPr>
                  <w:rFonts w:ascii="Calibri" w:cs="Calibri" w:eastAsia="Calibri" w:hAnsi="Calibri"/>
                  <w:sz w:val="17"/>
                  <w:szCs w:val="17"/>
                  <w:color w:val="0000FF"/>
                  <w:w w:val="71"/>
                </w:rPr>
                <w:t>N.A.,</w:t>
              </w:r>
            </w:hyperlink>
          </w:p>
        </w:tc>
        <w:tc>
          <w:tcPr>
            <w:tcW w:w="1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8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20" w:type="dxa"/>
            <w:vAlign w:val="bottom"/>
            <w:tcBorders>
              <w:top w:val="single" w:sz="8" w:color="0000FF"/>
            </w:tcBorders>
            <w:gridSpan w:val="33"/>
          </w:tcPr>
          <w:p>
            <w:pPr>
              <w:spacing w:after="0" w:line="152" w:lineRule="exact"/>
              <w:rPr>
                <w:rFonts w:ascii="Calibri" w:cs="Calibri" w:eastAsia="Calibri" w:hAnsi="Calibri"/>
                <w:sz w:val="15"/>
                <w:szCs w:val="15"/>
                <w:color w:val="0000FF"/>
              </w:rPr>
            </w:pPr>
            <w:hyperlink r:id="rId145">
              <w:r>
                <w:rPr>
                  <w:rFonts w:ascii="Calibri" w:cs="Calibri" w:eastAsia="Calibri" w:hAnsi="Calibri"/>
                  <w:sz w:val="15"/>
                  <w:szCs w:val="15"/>
                  <w:color w:val="0000FF"/>
                </w:rPr>
                <w:t>as Administratve Agent.</w:t>
              </w:r>
            </w:hyperlink>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gridSpan w:val="3"/>
          </w:tcPr>
          <w:p>
            <w:pPr>
              <w:spacing w:after="0"/>
              <w:rPr>
                <w:sz w:val="13"/>
                <w:szCs w:val="13"/>
                <w:color w:val="auto"/>
              </w:rPr>
            </w:pPr>
          </w:p>
        </w:tc>
        <w:tc>
          <w:tcPr>
            <w:tcW w:w="1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gridSpan w:val="2"/>
            <w:shd w:val="clear" w:color="auto" w:fill="0000FF"/>
          </w:tcPr>
          <w:p>
            <w:pPr>
              <w:spacing w:after="0" w:line="20" w:lineRule="exact"/>
              <w:rPr>
                <w:sz w:val="1"/>
                <w:szCs w:val="1"/>
                <w:color w:val="auto"/>
              </w:rPr>
            </w:pPr>
          </w:p>
        </w:tc>
        <w:tc>
          <w:tcPr>
            <w:tcW w:w="620" w:type="dxa"/>
            <w:vAlign w:val="bottom"/>
            <w:gridSpan w:val="3"/>
            <w:shd w:val="clear" w:color="auto" w:fill="0000FF"/>
          </w:tcPr>
          <w:p>
            <w:pPr>
              <w:spacing w:after="0" w:line="20" w:lineRule="exact"/>
              <w:rPr>
                <w:sz w:val="1"/>
                <w:szCs w:val="1"/>
                <w:color w:val="auto"/>
              </w:rPr>
            </w:pPr>
          </w:p>
        </w:tc>
        <w:tc>
          <w:tcPr>
            <w:tcW w:w="180" w:type="dxa"/>
            <w:vAlign w:val="bottom"/>
            <w:tcBorders>
              <w:right w:val="single" w:sz="8" w:color="0000FF"/>
            </w:tcBorders>
            <w:gridSpan w:val="2"/>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860" w:type="dxa"/>
            <w:vAlign w:val="bottom"/>
          </w:tcPr>
          <w:p>
            <w:pPr>
              <w:jc w:val="right"/>
              <w:spacing w:after="0" w:line="205" w:lineRule="exact"/>
              <w:rPr>
                <w:sz w:val="20"/>
                <w:szCs w:val="20"/>
                <w:color w:val="auto"/>
              </w:rPr>
            </w:pPr>
            <w:r>
              <w:rPr>
                <w:rFonts w:ascii="Calibri" w:cs="Calibri" w:eastAsia="Calibri" w:hAnsi="Calibri"/>
                <w:sz w:val="18"/>
                <w:szCs w:val="18"/>
                <w:color w:val="auto"/>
              </w:rPr>
              <w:t>10.3</w:t>
            </w: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60" w:type="dxa"/>
            <w:vAlign w:val="bottom"/>
            <w:gridSpan w:val="41"/>
          </w:tcPr>
          <w:p>
            <w:pPr>
              <w:spacing w:after="0" w:line="205" w:lineRule="exact"/>
              <w:rPr>
                <w:rFonts w:ascii="Calibri" w:cs="Calibri" w:eastAsia="Calibri" w:hAnsi="Calibri"/>
                <w:sz w:val="18"/>
                <w:szCs w:val="18"/>
                <w:color w:val="0000FF"/>
                <w:w w:val="99"/>
              </w:rPr>
            </w:pPr>
            <w:hyperlink r:id="rId146">
              <w:r>
                <w:rPr>
                  <w:rFonts w:ascii="Calibri" w:cs="Calibri" w:eastAsia="Calibri" w:hAnsi="Calibri"/>
                  <w:sz w:val="18"/>
                  <w:szCs w:val="18"/>
                  <w:color w:val="0000FF"/>
                  <w:w w:val="99"/>
                </w:rPr>
                <w:t>Credit Agreement, dated as of November 4, 2019,</w:t>
              </w:r>
            </w:hyperlink>
          </w:p>
        </w:tc>
        <w:tc>
          <w:tcPr>
            <w:tcW w:w="2000" w:type="dxa"/>
            <w:vAlign w:val="bottom"/>
            <w:gridSpan w:val="2"/>
          </w:tcPr>
          <w:p>
            <w:pPr>
              <w:ind w:left="20"/>
              <w:spacing w:after="0" w:line="205" w:lineRule="exact"/>
              <w:rPr>
                <w:sz w:val="20"/>
                <w:szCs w:val="20"/>
                <w:color w:val="auto"/>
              </w:rPr>
            </w:pPr>
            <w:r>
              <w:rPr>
                <w:rFonts w:ascii="Calibri" w:cs="Calibri" w:eastAsia="Calibri" w:hAnsi="Calibri"/>
                <w:sz w:val="18"/>
                <w:szCs w:val="18"/>
                <w:color w:val="auto"/>
              </w:rPr>
              <w:t>Broadcom Inc. Current</w:t>
            </w:r>
          </w:p>
        </w:tc>
        <w:tc>
          <w:tcPr>
            <w:tcW w:w="1160" w:type="dxa"/>
            <w:vAlign w:val="bottom"/>
          </w:tcPr>
          <w:p>
            <w:pPr>
              <w:spacing w:after="0" w:line="205" w:lineRule="exact"/>
              <w:rPr>
                <w:sz w:val="20"/>
                <w:szCs w:val="20"/>
                <w:color w:val="auto"/>
              </w:rPr>
            </w:pPr>
            <w:r>
              <w:rPr>
                <w:rFonts w:ascii="Calibri" w:cs="Calibri" w:eastAsia="Calibri" w:hAnsi="Calibri"/>
                <w:sz w:val="18"/>
                <w:szCs w:val="18"/>
                <w:color w:val="auto"/>
              </w:rPr>
              <w:t>001-38449</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Pr>
          <w:p>
            <w:pPr>
              <w:jc w:val="center"/>
              <w:ind w:right="213"/>
              <w:spacing w:after="0" w:line="205" w:lineRule="exact"/>
              <w:rPr>
                <w:sz w:val="20"/>
                <w:szCs w:val="20"/>
                <w:color w:val="auto"/>
              </w:rPr>
            </w:pPr>
            <w:r>
              <w:rPr>
                <w:rFonts w:ascii="Calibri" w:cs="Calibri" w:eastAsia="Calibri" w:hAnsi="Calibri"/>
                <w:sz w:val="18"/>
                <w:szCs w:val="18"/>
                <w:color w:val="auto"/>
                <w:w w:val="93"/>
              </w:rPr>
              <w:t>10.1</w:t>
            </w:r>
          </w:p>
        </w:tc>
        <w:tc>
          <w:tcPr>
            <w:tcW w:w="100" w:type="dxa"/>
            <w:vAlign w:val="bottom"/>
          </w:tcPr>
          <w:p>
            <w:pPr>
              <w:spacing w:after="0"/>
              <w:rPr>
                <w:sz w:val="17"/>
                <w:szCs w:val="17"/>
                <w:color w:val="auto"/>
              </w:rPr>
            </w:pPr>
          </w:p>
        </w:tc>
        <w:tc>
          <w:tcPr>
            <w:tcW w:w="1140" w:type="dxa"/>
            <w:vAlign w:val="bottom"/>
          </w:tcPr>
          <w:p>
            <w:pPr>
              <w:jc w:val="right"/>
              <w:ind w:right="233"/>
              <w:spacing w:after="0" w:line="205" w:lineRule="exact"/>
              <w:rPr>
                <w:sz w:val="20"/>
                <w:szCs w:val="20"/>
                <w:color w:val="auto"/>
              </w:rPr>
            </w:pPr>
            <w:r>
              <w:rPr>
                <w:rFonts w:ascii="Calibri" w:cs="Calibri" w:eastAsia="Calibri" w:hAnsi="Calibri"/>
                <w:sz w:val="18"/>
                <w:szCs w:val="18"/>
                <w:color w:val="auto"/>
                <w:w w:val="95"/>
              </w:rPr>
              <w:t>11-04-2019</w:t>
            </w:r>
          </w:p>
        </w:tc>
        <w:tc>
          <w:tcPr>
            <w:tcW w:w="0" w:type="dxa"/>
            <w:vAlign w:val="bottom"/>
          </w:tcPr>
          <w:p>
            <w:pPr>
              <w:spacing w:after="0"/>
              <w:rPr>
                <w:sz w:val="1"/>
                <w:szCs w:val="1"/>
                <w:color w:val="auto"/>
              </w:rPr>
            </w:pPr>
          </w:p>
        </w:tc>
      </w:tr>
      <w:tr>
        <w:trPr>
          <w:trHeight w:val="152"/>
        </w:trPr>
        <w:tc>
          <w:tcPr>
            <w:tcW w:w="8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500" w:type="dxa"/>
            <w:vAlign w:val="bottom"/>
            <w:tcBorders>
              <w:top w:val="single" w:sz="8" w:color="0000FF"/>
            </w:tcBorders>
            <w:gridSpan w:val="37"/>
          </w:tcPr>
          <w:p>
            <w:pPr>
              <w:spacing w:after="0" w:line="152" w:lineRule="exact"/>
              <w:rPr>
                <w:rFonts w:ascii="Calibri" w:cs="Calibri" w:eastAsia="Calibri" w:hAnsi="Calibri"/>
                <w:sz w:val="15"/>
                <w:szCs w:val="15"/>
                <w:color w:val="0000FF"/>
              </w:rPr>
            </w:pPr>
            <w:hyperlink r:id="rId146">
              <w:r>
                <w:rPr>
                  <w:rFonts w:ascii="Calibri" w:cs="Calibri" w:eastAsia="Calibri" w:hAnsi="Calibri"/>
                  <w:sz w:val="15"/>
                  <w:szCs w:val="15"/>
                  <w:color w:val="0000FF"/>
                </w:rPr>
                <w:t>among Broadcom Inc., the lenders and other</w:t>
              </w:r>
            </w:hyperlink>
          </w:p>
        </w:tc>
        <w:tc>
          <w:tcPr>
            <w:tcW w:w="20" w:type="dxa"/>
            <w:vAlign w:val="bottom"/>
          </w:tcPr>
          <w:p>
            <w:pPr>
              <w:spacing w:after="0"/>
              <w:rPr>
                <w:sz w:val="13"/>
                <w:szCs w:val="13"/>
                <w:color w:val="auto"/>
              </w:rPr>
            </w:pPr>
          </w:p>
        </w:tc>
        <w:tc>
          <w:tcPr>
            <w:tcW w:w="140" w:type="dxa"/>
            <w:vAlign w:val="bottom"/>
            <w:gridSpan w:val="3"/>
          </w:tcPr>
          <w:p>
            <w:pPr>
              <w:spacing w:after="0"/>
              <w:rPr>
                <w:sz w:val="13"/>
                <w:szCs w:val="13"/>
                <w:color w:val="auto"/>
              </w:rPr>
            </w:pPr>
          </w:p>
        </w:tc>
        <w:tc>
          <w:tcPr>
            <w:tcW w:w="2000" w:type="dxa"/>
            <w:vAlign w:val="bottom"/>
            <w:gridSpan w:val="2"/>
          </w:tcPr>
          <w:p>
            <w:pPr>
              <w:ind w:left="20"/>
              <w:spacing w:after="0" w:line="152" w:lineRule="exact"/>
              <w:rPr>
                <w:sz w:val="20"/>
                <w:szCs w:val="20"/>
                <w:color w:val="auto"/>
              </w:rPr>
            </w:pPr>
            <w:r>
              <w:rPr>
                <w:rFonts w:ascii="Calibri" w:cs="Calibri" w:eastAsia="Calibri" w:hAnsi="Calibri"/>
                <w:sz w:val="15"/>
                <w:szCs w:val="15"/>
                <w:color w:val="auto"/>
              </w:rPr>
              <w:t>Report on Form 8-K</w:t>
            </w: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120" w:type="dxa"/>
            <w:vAlign w:val="bottom"/>
            <w:tcBorders>
              <w:top w:val="single" w:sz="8" w:color="0000FF"/>
            </w:tcBorders>
            <w:gridSpan w:val="19"/>
          </w:tcPr>
          <w:p>
            <w:pPr>
              <w:spacing w:after="0" w:line="165" w:lineRule="exact"/>
              <w:rPr>
                <w:rFonts w:ascii="Calibri" w:cs="Calibri" w:eastAsia="Calibri" w:hAnsi="Calibri"/>
                <w:sz w:val="18"/>
                <w:szCs w:val="18"/>
                <w:color w:val="0000FF"/>
                <w:w w:val="99"/>
              </w:rPr>
            </w:pPr>
            <w:hyperlink r:id="rId146">
              <w:r>
                <w:rPr>
                  <w:rFonts w:ascii="Calibri" w:cs="Calibri" w:eastAsia="Calibri" w:hAnsi="Calibri"/>
                  <w:sz w:val="18"/>
                  <w:szCs w:val="18"/>
                  <w:color w:val="0000FF"/>
                  <w:w w:val="99"/>
                </w:rPr>
                <w:t>partes party thereto, and Bank of America,</w:t>
              </w:r>
            </w:hyperlink>
          </w:p>
        </w:tc>
        <w:tc>
          <w:tcPr>
            <w:tcW w:w="540" w:type="dxa"/>
            <w:vAlign w:val="bottom"/>
            <w:gridSpan w:val="22"/>
          </w:tcPr>
          <w:p>
            <w:pPr>
              <w:jc w:val="right"/>
              <w:ind w:right="280"/>
              <w:spacing w:after="0" w:line="165" w:lineRule="exact"/>
              <w:rPr>
                <w:rFonts w:ascii="Calibri" w:cs="Calibri" w:eastAsia="Calibri" w:hAnsi="Calibri"/>
                <w:sz w:val="17"/>
                <w:szCs w:val="17"/>
                <w:color w:val="0000FF"/>
                <w:w w:val="71"/>
              </w:rPr>
            </w:pPr>
            <w:hyperlink r:id="rId146">
              <w:r>
                <w:rPr>
                  <w:rFonts w:ascii="Calibri" w:cs="Calibri" w:eastAsia="Calibri" w:hAnsi="Calibri"/>
                  <w:sz w:val="17"/>
                  <w:szCs w:val="17"/>
                  <w:color w:val="0000FF"/>
                  <w:w w:val="71"/>
                </w:rPr>
                <w:t>N.A.,</w:t>
              </w:r>
            </w:hyperlink>
          </w:p>
        </w:tc>
        <w:tc>
          <w:tcPr>
            <w:tcW w:w="1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8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20" w:type="dxa"/>
            <w:vAlign w:val="bottom"/>
            <w:tcBorders>
              <w:top w:val="single" w:sz="8" w:color="0000FF"/>
            </w:tcBorders>
            <w:gridSpan w:val="33"/>
          </w:tcPr>
          <w:p>
            <w:pPr>
              <w:spacing w:after="0" w:line="152" w:lineRule="exact"/>
              <w:rPr>
                <w:rFonts w:ascii="Calibri" w:cs="Calibri" w:eastAsia="Calibri" w:hAnsi="Calibri"/>
                <w:sz w:val="15"/>
                <w:szCs w:val="15"/>
                <w:color w:val="0000FF"/>
              </w:rPr>
            </w:pPr>
            <w:hyperlink r:id="rId146">
              <w:r>
                <w:rPr>
                  <w:rFonts w:ascii="Calibri" w:cs="Calibri" w:eastAsia="Calibri" w:hAnsi="Calibri"/>
                  <w:sz w:val="15"/>
                  <w:szCs w:val="15"/>
                  <w:color w:val="0000FF"/>
                </w:rPr>
                <w:t>as Administratve Agent.</w:t>
              </w:r>
            </w:hyperlink>
          </w:p>
        </w:tc>
        <w:tc>
          <w:tcPr>
            <w:tcW w:w="100" w:type="dxa"/>
            <w:vAlign w:val="bottom"/>
            <w:gridSpan w:val="5"/>
          </w:tcPr>
          <w:p>
            <w:pPr>
              <w:spacing w:after="0"/>
              <w:rPr>
                <w:sz w:val="13"/>
                <w:szCs w:val="13"/>
                <w:color w:val="auto"/>
              </w:rPr>
            </w:pPr>
          </w:p>
        </w:tc>
        <w:tc>
          <w:tcPr>
            <w:tcW w:w="140" w:type="dxa"/>
            <w:vAlign w:val="bottom"/>
            <w:gridSpan w:val="3"/>
          </w:tcPr>
          <w:p>
            <w:pPr>
              <w:spacing w:after="0"/>
              <w:rPr>
                <w:sz w:val="13"/>
                <w:szCs w:val="13"/>
                <w:color w:val="auto"/>
              </w:rPr>
            </w:pPr>
          </w:p>
        </w:tc>
        <w:tc>
          <w:tcPr>
            <w:tcW w:w="1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gridSpan w:val="2"/>
            <w:shd w:val="clear" w:color="auto" w:fill="0000FF"/>
          </w:tcPr>
          <w:p>
            <w:pPr>
              <w:spacing w:after="0" w:line="20" w:lineRule="exact"/>
              <w:rPr>
                <w:sz w:val="1"/>
                <w:szCs w:val="1"/>
                <w:color w:val="auto"/>
              </w:rPr>
            </w:pPr>
          </w:p>
        </w:tc>
        <w:tc>
          <w:tcPr>
            <w:tcW w:w="620" w:type="dxa"/>
            <w:vAlign w:val="bottom"/>
            <w:gridSpan w:val="3"/>
            <w:shd w:val="clear" w:color="auto" w:fill="0000FF"/>
          </w:tcPr>
          <w:p>
            <w:pPr>
              <w:spacing w:after="0" w:line="20" w:lineRule="exact"/>
              <w:rPr>
                <w:sz w:val="1"/>
                <w:szCs w:val="1"/>
                <w:color w:val="auto"/>
              </w:rPr>
            </w:pPr>
          </w:p>
        </w:tc>
        <w:tc>
          <w:tcPr>
            <w:tcW w:w="180" w:type="dxa"/>
            <w:vAlign w:val="bottom"/>
            <w:tcBorders>
              <w:right w:val="single" w:sz="8" w:color="0000FF"/>
            </w:tcBorders>
            <w:gridSpan w:val="2"/>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860" w:type="dxa"/>
            <w:vAlign w:val="bottom"/>
          </w:tcPr>
          <w:p>
            <w:pPr>
              <w:jc w:val="right"/>
              <w:spacing w:after="0" w:line="205" w:lineRule="exact"/>
              <w:rPr>
                <w:sz w:val="20"/>
                <w:szCs w:val="20"/>
                <w:color w:val="auto"/>
              </w:rPr>
            </w:pPr>
            <w:r>
              <w:rPr>
                <w:rFonts w:ascii="Calibri" w:cs="Calibri" w:eastAsia="Calibri" w:hAnsi="Calibri"/>
                <w:sz w:val="18"/>
                <w:szCs w:val="18"/>
                <w:color w:val="auto"/>
              </w:rPr>
              <w:t>10.4</w:t>
            </w: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60" w:type="dxa"/>
            <w:vAlign w:val="bottom"/>
            <w:gridSpan w:val="41"/>
          </w:tcPr>
          <w:p>
            <w:pPr>
              <w:spacing w:after="0" w:line="205" w:lineRule="exact"/>
              <w:rPr>
                <w:rFonts w:ascii="Calibri" w:cs="Calibri" w:eastAsia="Calibri" w:hAnsi="Calibri"/>
                <w:sz w:val="18"/>
                <w:szCs w:val="18"/>
                <w:color w:val="0000FF"/>
              </w:rPr>
            </w:pPr>
            <w:hyperlink r:id="rId147">
              <w:r>
                <w:rPr>
                  <w:rFonts w:ascii="Calibri" w:cs="Calibri" w:eastAsia="Calibri" w:hAnsi="Calibri"/>
                  <w:sz w:val="18"/>
                  <w:szCs w:val="18"/>
                  <w:color w:val="0000FF"/>
                </w:rPr>
                <w:t>Credit Agreement, dated as of January 19, 2021,</w:t>
              </w:r>
            </w:hyperlink>
          </w:p>
        </w:tc>
        <w:tc>
          <w:tcPr>
            <w:tcW w:w="2000" w:type="dxa"/>
            <w:vAlign w:val="bottom"/>
            <w:gridSpan w:val="2"/>
          </w:tcPr>
          <w:p>
            <w:pPr>
              <w:ind w:left="20"/>
              <w:spacing w:after="0" w:line="205" w:lineRule="exact"/>
              <w:rPr>
                <w:sz w:val="20"/>
                <w:szCs w:val="20"/>
                <w:color w:val="auto"/>
              </w:rPr>
            </w:pPr>
            <w:r>
              <w:rPr>
                <w:rFonts w:ascii="Calibri" w:cs="Calibri" w:eastAsia="Calibri" w:hAnsi="Calibri"/>
                <w:sz w:val="18"/>
                <w:szCs w:val="18"/>
                <w:color w:val="auto"/>
              </w:rPr>
              <w:t>Broadcom Inc. Current</w:t>
            </w:r>
          </w:p>
        </w:tc>
        <w:tc>
          <w:tcPr>
            <w:tcW w:w="1160" w:type="dxa"/>
            <w:vAlign w:val="bottom"/>
          </w:tcPr>
          <w:p>
            <w:pPr>
              <w:spacing w:after="0" w:line="205" w:lineRule="exact"/>
              <w:rPr>
                <w:sz w:val="20"/>
                <w:szCs w:val="20"/>
                <w:color w:val="auto"/>
              </w:rPr>
            </w:pPr>
            <w:r>
              <w:rPr>
                <w:rFonts w:ascii="Calibri" w:cs="Calibri" w:eastAsia="Calibri" w:hAnsi="Calibri"/>
                <w:sz w:val="18"/>
                <w:szCs w:val="18"/>
                <w:color w:val="auto"/>
              </w:rPr>
              <w:t>001-38449</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Pr>
          <w:p>
            <w:pPr>
              <w:jc w:val="center"/>
              <w:ind w:right="213"/>
              <w:spacing w:after="0" w:line="205" w:lineRule="exact"/>
              <w:rPr>
                <w:sz w:val="20"/>
                <w:szCs w:val="20"/>
                <w:color w:val="auto"/>
              </w:rPr>
            </w:pPr>
            <w:r>
              <w:rPr>
                <w:rFonts w:ascii="Calibri" w:cs="Calibri" w:eastAsia="Calibri" w:hAnsi="Calibri"/>
                <w:sz w:val="18"/>
                <w:szCs w:val="18"/>
                <w:color w:val="auto"/>
                <w:w w:val="93"/>
              </w:rPr>
              <w:t>10.1</w:t>
            </w:r>
          </w:p>
        </w:tc>
        <w:tc>
          <w:tcPr>
            <w:tcW w:w="100" w:type="dxa"/>
            <w:vAlign w:val="bottom"/>
          </w:tcPr>
          <w:p>
            <w:pPr>
              <w:spacing w:after="0"/>
              <w:rPr>
                <w:sz w:val="17"/>
                <w:szCs w:val="17"/>
                <w:color w:val="auto"/>
              </w:rPr>
            </w:pPr>
          </w:p>
        </w:tc>
        <w:tc>
          <w:tcPr>
            <w:tcW w:w="1140" w:type="dxa"/>
            <w:vAlign w:val="bottom"/>
          </w:tcPr>
          <w:p>
            <w:pPr>
              <w:jc w:val="right"/>
              <w:ind w:right="233"/>
              <w:spacing w:after="0" w:line="205" w:lineRule="exact"/>
              <w:rPr>
                <w:sz w:val="20"/>
                <w:szCs w:val="20"/>
                <w:color w:val="auto"/>
              </w:rPr>
            </w:pPr>
            <w:r>
              <w:rPr>
                <w:rFonts w:ascii="Calibri" w:cs="Calibri" w:eastAsia="Calibri" w:hAnsi="Calibri"/>
                <w:sz w:val="18"/>
                <w:szCs w:val="18"/>
                <w:color w:val="auto"/>
                <w:w w:val="95"/>
              </w:rPr>
              <w:t>01-19-2021</w:t>
            </w:r>
          </w:p>
        </w:tc>
        <w:tc>
          <w:tcPr>
            <w:tcW w:w="0" w:type="dxa"/>
            <w:vAlign w:val="bottom"/>
          </w:tcPr>
          <w:p>
            <w:pPr>
              <w:spacing w:after="0"/>
              <w:rPr>
                <w:sz w:val="1"/>
                <w:szCs w:val="1"/>
                <w:color w:val="auto"/>
              </w:rPr>
            </w:pPr>
          </w:p>
        </w:tc>
      </w:tr>
      <w:tr>
        <w:trPr>
          <w:trHeight w:val="152"/>
        </w:trPr>
        <w:tc>
          <w:tcPr>
            <w:tcW w:w="8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00" w:type="dxa"/>
            <w:vAlign w:val="bottom"/>
            <w:tcBorders>
              <w:top w:val="single" w:sz="8" w:color="0000FF"/>
            </w:tcBorders>
            <w:gridSpan w:val="32"/>
          </w:tcPr>
          <w:p>
            <w:pPr>
              <w:spacing w:after="0" w:line="152" w:lineRule="exact"/>
              <w:rPr>
                <w:rFonts w:ascii="Calibri" w:cs="Calibri" w:eastAsia="Calibri" w:hAnsi="Calibri"/>
                <w:sz w:val="15"/>
                <w:szCs w:val="15"/>
                <w:color w:val="0000FF"/>
              </w:rPr>
            </w:pPr>
            <w:hyperlink r:id="rId147">
              <w:r>
                <w:rPr>
                  <w:rFonts w:ascii="Calibri" w:cs="Calibri" w:eastAsia="Calibri" w:hAnsi="Calibri"/>
                  <w:sz w:val="15"/>
                  <w:szCs w:val="15"/>
                  <w:color w:val="0000FF"/>
                </w:rPr>
                <w:t>among the Company, the lenders and other</w:t>
              </w:r>
            </w:hyperlink>
          </w:p>
        </w:tc>
        <w:tc>
          <w:tcPr>
            <w:tcW w:w="120" w:type="dxa"/>
            <w:vAlign w:val="bottom"/>
            <w:gridSpan w:val="6"/>
          </w:tcPr>
          <w:p>
            <w:pPr>
              <w:spacing w:after="0"/>
              <w:rPr>
                <w:sz w:val="13"/>
                <w:szCs w:val="13"/>
                <w:color w:val="auto"/>
              </w:rPr>
            </w:pPr>
          </w:p>
        </w:tc>
        <w:tc>
          <w:tcPr>
            <w:tcW w:w="140" w:type="dxa"/>
            <w:vAlign w:val="bottom"/>
            <w:gridSpan w:val="3"/>
          </w:tcPr>
          <w:p>
            <w:pPr>
              <w:spacing w:after="0"/>
              <w:rPr>
                <w:sz w:val="13"/>
                <w:szCs w:val="13"/>
                <w:color w:val="auto"/>
              </w:rPr>
            </w:pPr>
          </w:p>
        </w:tc>
        <w:tc>
          <w:tcPr>
            <w:tcW w:w="2000" w:type="dxa"/>
            <w:vAlign w:val="bottom"/>
            <w:gridSpan w:val="2"/>
          </w:tcPr>
          <w:p>
            <w:pPr>
              <w:ind w:left="20"/>
              <w:spacing w:after="0" w:line="152" w:lineRule="exact"/>
              <w:rPr>
                <w:sz w:val="20"/>
                <w:szCs w:val="20"/>
                <w:color w:val="auto"/>
              </w:rPr>
            </w:pPr>
            <w:r>
              <w:rPr>
                <w:rFonts w:ascii="Calibri" w:cs="Calibri" w:eastAsia="Calibri" w:hAnsi="Calibri"/>
                <w:sz w:val="15"/>
                <w:szCs w:val="15"/>
                <w:color w:val="auto"/>
              </w:rPr>
              <w:t>Report on Form 8-K</w:t>
            </w: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20" w:type="dxa"/>
            <w:vAlign w:val="bottom"/>
            <w:tcBorders>
              <w:top w:val="single" w:sz="8" w:color="0000FF"/>
            </w:tcBorders>
            <w:gridSpan w:val="14"/>
          </w:tcPr>
          <w:p>
            <w:pPr>
              <w:spacing w:after="0" w:line="165" w:lineRule="exact"/>
              <w:rPr>
                <w:rFonts w:ascii="Calibri" w:cs="Calibri" w:eastAsia="Calibri" w:hAnsi="Calibri"/>
                <w:sz w:val="18"/>
                <w:szCs w:val="18"/>
                <w:color w:val="0000FF"/>
                <w:w w:val="95"/>
              </w:rPr>
            </w:pPr>
            <w:hyperlink r:id="rId147">
              <w:r>
                <w:rPr>
                  <w:rFonts w:ascii="Calibri" w:cs="Calibri" w:eastAsia="Calibri" w:hAnsi="Calibri"/>
                  <w:sz w:val="18"/>
                  <w:szCs w:val="18"/>
                  <w:color w:val="0000FF"/>
                  <w:w w:val="95"/>
                </w:rPr>
                <w:t>partes party thereto, and Bank of America,</w:t>
              </w:r>
            </w:hyperlink>
          </w:p>
        </w:tc>
        <w:tc>
          <w:tcPr>
            <w:tcW w:w="640" w:type="dxa"/>
            <w:vAlign w:val="bottom"/>
            <w:gridSpan w:val="27"/>
          </w:tcPr>
          <w:p>
            <w:pPr>
              <w:jc w:val="right"/>
              <w:ind w:right="280"/>
              <w:spacing w:after="0" w:line="165" w:lineRule="exact"/>
              <w:rPr>
                <w:rFonts w:ascii="Calibri" w:cs="Calibri" w:eastAsia="Calibri" w:hAnsi="Calibri"/>
                <w:sz w:val="18"/>
                <w:szCs w:val="18"/>
                <w:color w:val="0000FF"/>
                <w:w w:val="95"/>
              </w:rPr>
            </w:pPr>
            <w:hyperlink r:id="rId147">
              <w:r>
                <w:rPr>
                  <w:rFonts w:ascii="Calibri" w:cs="Calibri" w:eastAsia="Calibri" w:hAnsi="Calibri"/>
                  <w:sz w:val="18"/>
                  <w:szCs w:val="18"/>
                  <w:color w:val="0000FF"/>
                  <w:w w:val="95"/>
                </w:rPr>
                <w:t>N.A.,</w:t>
              </w:r>
            </w:hyperlink>
          </w:p>
        </w:tc>
        <w:tc>
          <w:tcPr>
            <w:tcW w:w="1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8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20" w:type="dxa"/>
            <w:vAlign w:val="bottom"/>
            <w:tcBorders>
              <w:top w:val="single" w:sz="8" w:color="0000FF"/>
            </w:tcBorders>
            <w:gridSpan w:val="33"/>
          </w:tcPr>
          <w:p>
            <w:pPr>
              <w:spacing w:after="0" w:line="152" w:lineRule="exact"/>
              <w:rPr>
                <w:rFonts w:ascii="Calibri" w:cs="Calibri" w:eastAsia="Calibri" w:hAnsi="Calibri"/>
                <w:sz w:val="15"/>
                <w:szCs w:val="15"/>
                <w:color w:val="0000FF"/>
              </w:rPr>
            </w:pPr>
            <w:hyperlink r:id="rId147">
              <w:r>
                <w:rPr>
                  <w:rFonts w:ascii="Calibri" w:cs="Calibri" w:eastAsia="Calibri" w:hAnsi="Calibri"/>
                  <w:sz w:val="15"/>
                  <w:szCs w:val="15"/>
                  <w:color w:val="0000FF"/>
                </w:rPr>
                <w:t>as Administratve Agent.</w:t>
              </w:r>
            </w:hyperlink>
          </w:p>
        </w:tc>
        <w:tc>
          <w:tcPr>
            <w:tcW w:w="100" w:type="dxa"/>
            <w:vAlign w:val="bottom"/>
            <w:gridSpan w:val="5"/>
          </w:tcPr>
          <w:p>
            <w:pPr>
              <w:spacing w:after="0"/>
              <w:rPr>
                <w:sz w:val="13"/>
                <w:szCs w:val="13"/>
                <w:color w:val="auto"/>
              </w:rPr>
            </w:pPr>
          </w:p>
        </w:tc>
        <w:tc>
          <w:tcPr>
            <w:tcW w:w="140" w:type="dxa"/>
            <w:vAlign w:val="bottom"/>
            <w:gridSpan w:val="3"/>
          </w:tcPr>
          <w:p>
            <w:pPr>
              <w:spacing w:after="0"/>
              <w:rPr>
                <w:sz w:val="13"/>
                <w:szCs w:val="13"/>
                <w:color w:val="auto"/>
              </w:rPr>
            </w:pPr>
          </w:p>
        </w:tc>
        <w:tc>
          <w:tcPr>
            <w:tcW w:w="1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gridSpan w:val="2"/>
            <w:shd w:val="clear" w:color="auto" w:fill="0000FF"/>
          </w:tcPr>
          <w:p>
            <w:pPr>
              <w:spacing w:after="0" w:line="20" w:lineRule="exact"/>
              <w:rPr>
                <w:sz w:val="1"/>
                <w:szCs w:val="1"/>
                <w:color w:val="auto"/>
              </w:rPr>
            </w:pPr>
          </w:p>
        </w:tc>
        <w:tc>
          <w:tcPr>
            <w:tcW w:w="620" w:type="dxa"/>
            <w:vAlign w:val="bottom"/>
            <w:gridSpan w:val="3"/>
            <w:shd w:val="clear" w:color="auto" w:fill="0000FF"/>
          </w:tcPr>
          <w:p>
            <w:pPr>
              <w:spacing w:after="0" w:line="20" w:lineRule="exact"/>
              <w:rPr>
                <w:sz w:val="1"/>
                <w:szCs w:val="1"/>
                <w:color w:val="auto"/>
              </w:rPr>
            </w:pPr>
          </w:p>
        </w:tc>
        <w:tc>
          <w:tcPr>
            <w:tcW w:w="180" w:type="dxa"/>
            <w:vAlign w:val="bottom"/>
            <w:tcBorders>
              <w:right w:val="single" w:sz="8" w:color="0000FF"/>
            </w:tcBorders>
            <w:gridSpan w:val="2"/>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44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860" w:type="dxa"/>
            <w:vAlign w:val="bottom"/>
          </w:tcPr>
          <w:p>
            <w:pPr>
              <w:jc w:val="right"/>
              <w:spacing w:after="0" w:line="205" w:lineRule="exact"/>
              <w:rPr>
                <w:sz w:val="20"/>
                <w:szCs w:val="20"/>
                <w:color w:val="auto"/>
              </w:rPr>
            </w:pPr>
            <w:r>
              <w:rPr>
                <w:rFonts w:ascii="Calibri" w:cs="Calibri" w:eastAsia="Calibri" w:hAnsi="Calibri"/>
                <w:sz w:val="18"/>
                <w:szCs w:val="18"/>
                <w:color w:val="auto"/>
              </w:rPr>
              <w:t>10.5</w:t>
            </w: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60" w:type="dxa"/>
            <w:vAlign w:val="bottom"/>
            <w:gridSpan w:val="41"/>
          </w:tcPr>
          <w:p>
            <w:pPr>
              <w:spacing w:after="0" w:line="205" w:lineRule="exact"/>
              <w:rPr>
                <w:rFonts w:ascii="Calibri" w:cs="Calibri" w:eastAsia="Calibri" w:hAnsi="Calibri"/>
                <w:sz w:val="18"/>
                <w:szCs w:val="18"/>
                <w:color w:val="0000FF"/>
              </w:rPr>
            </w:pPr>
            <w:hyperlink r:id="rId148">
              <w:r>
                <w:rPr>
                  <w:rFonts w:ascii="Calibri" w:cs="Calibri" w:eastAsia="Calibri" w:hAnsi="Calibri"/>
                  <w:sz w:val="18"/>
                  <w:szCs w:val="18"/>
                  <w:color w:val="0000FF"/>
                </w:rPr>
                <w:t>Amendment No. 1, dated April 18, 2023, among</w:t>
              </w:r>
            </w:hyperlink>
          </w:p>
        </w:tc>
        <w:tc>
          <w:tcPr>
            <w:tcW w:w="2000" w:type="dxa"/>
            <w:vAlign w:val="bottom"/>
            <w:gridSpan w:val="2"/>
          </w:tcPr>
          <w:p>
            <w:pPr>
              <w:ind w:left="20"/>
              <w:spacing w:after="0" w:line="205" w:lineRule="exact"/>
              <w:rPr>
                <w:sz w:val="20"/>
                <w:szCs w:val="20"/>
                <w:color w:val="auto"/>
              </w:rPr>
            </w:pPr>
            <w:r>
              <w:rPr>
                <w:rFonts w:ascii="Calibri" w:cs="Calibri" w:eastAsia="Calibri" w:hAnsi="Calibri"/>
                <w:sz w:val="18"/>
                <w:szCs w:val="18"/>
                <w:color w:val="auto"/>
              </w:rPr>
              <w:t>Broadcom Inc. Quarterly</w:t>
            </w:r>
          </w:p>
        </w:tc>
        <w:tc>
          <w:tcPr>
            <w:tcW w:w="1160" w:type="dxa"/>
            <w:vAlign w:val="bottom"/>
          </w:tcPr>
          <w:p>
            <w:pPr>
              <w:spacing w:after="0" w:line="205" w:lineRule="exact"/>
              <w:rPr>
                <w:sz w:val="20"/>
                <w:szCs w:val="20"/>
                <w:color w:val="auto"/>
              </w:rPr>
            </w:pPr>
            <w:r>
              <w:rPr>
                <w:rFonts w:ascii="Calibri" w:cs="Calibri" w:eastAsia="Calibri" w:hAnsi="Calibri"/>
                <w:sz w:val="18"/>
                <w:szCs w:val="18"/>
                <w:color w:val="auto"/>
              </w:rPr>
              <w:t>001-38449</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Pr>
          <w:p>
            <w:pPr>
              <w:jc w:val="center"/>
              <w:ind w:right="213"/>
              <w:spacing w:after="0" w:line="205" w:lineRule="exact"/>
              <w:rPr>
                <w:sz w:val="20"/>
                <w:szCs w:val="20"/>
                <w:color w:val="auto"/>
              </w:rPr>
            </w:pPr>
            <w:r>
              <w:rPr>
                <w:rFonts w:ascii="Calibri" w:cs="Calibri" w:eastAsia="Calibri" w:hAnsi="Calibri"/>
                <w:sz w:val="18"/>
                <w:szCs w:val="18"/>
                <w:color w:val="auto"/>
                <w:w w:val="93"/>
              </w:rPr>
              <w:t>10.1</w:t>
            </w:r>
          </w:p>
        </w:tc>
        <w:tc>
          <w:tcPr>
            <w:tcW w:w="100" w:type="dxa"/>
            <w:vAlign w:val="bottom"/>
          </w:tcPr>
          <w:p>
            <w:pPr>
              <w:spacing w:after="0"/>
              <w:rPr>
                <w:sz w:val="17"/>
                <w:szCs w:val="17"/>
                <w:color w:val="auto"/>
              </w:rPr>
            </w:pPr>
          </w:p>
        </w:tc>
        <w:tc>
          <w:tcPr>
            <w:tcW w:w="1140" w:type="dxa"/>
            <w:vAlign w:val="bottom"/>
          </w:tcPr>
          <w:p>
            <w:pPr>
              <w:jc w:val="right"/>
              <w:ind w:right="233"/>
              <w:spacing w:after="0" w:line="205" w:lineRule="exact"/>
              <w:rPr>
                <w:sz w:val="20"/>
                <w:szCs w:val="20"/>
                <w:color w:val="auto"/>
              </w:rPr>
            </w:pPr>
            <w:r>
              <w:rPr>
                <w:rFonts w:ascii="Calibri" w:cs="Calibri" w:eastAsia="Calibri" w:hAnsi="Calibri"/>
                <w:sz w:val="18"/>
                <w:szCs w:val="18"/>
                <w:color w:val="auto"/>
                <w:w w:val="95"/>
              </w:rPr>
              <w:t>06-07-2023</w:t>
            </w:r>
          </w:p>
        </w:tc>
        <w:tc>
          <w:tcPr>
            <w:tcW w:w="0" w:type="dxa"/>
            <w:vAlign w:val="bottom"/>
          </w:tcPr>
          <w:p>
            <w:pPr>
              <w:spacing w:after="0"/>
              <w:rPr>
                <w:sz w:val="1"/>
                <w:szCs w:val="1"/>
                <w:color w:val="auto"/>
              </w:rPr>
            </w:pPr>
          </w:p>
        </w:tc>
      </w:tr>
      <w:tr>
        <w:trPr>
          <w:trHeight w:val="152"/>
        </w:trPr>
        <w:tc>
          <w:tcPr>
            <w:tcW w:w="8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340" w:type="dxa"/>
            <w:vAlign w:val="bottom"/>
            <w:tcBorders>
              <w:top w:val="single" w:sz="8" w:color="0000FF"/>
            </w:tcBorders>
            <w:gridSpan w:val="29"/>
          </w:tcPr>
          <w:p>
            <w:pPr>
              <w:spacing w:after="0" w:line="152" w:lineRule="exact"/>
              <w:rPr>
                <w:rFonts w:ascii="Calibri" w:cs="Calibri" w:eastAsia="Calibri" w:hAnsi="Calibri"/>
                <w:sz w:val="15"/>
                <w:szCs w:val="15"/>
                <w:color w:val="0000FF"/>
              </w:rPr>
            </w:pPr>
            <w:hyperlink r:id="rId148">
              <w:r>
                <w:rPr>
                  <w:rFonts w:ascii="Calibri" w:cs="Calibri" w:eastAsia="Calibri" w:hAnsi="Calibri"/>
                  <w:sz w:val="15"/>
                  <w:szCs w:val="15"/>
                  <w:color w:val="0000FF"/>
                </w:rPr>
                <w:t>Broadcom Inc., the lenders and other partes</w:t>
              </w:r>
            </w:hyperlink>
          </w:p>
        </w:tc>
        <w:tc>
          <w:tcPr>
            <w:tcW w:w="40" w:type="dxa"/>
            <w:vAlign w:val="bottom"/>
            <w:gridSpan w:val="2"/>
          </w:tcPr>
          <w:p>
            <w:pPr>
              <w:spacing w:after="0"/>
              <w:rPr>
                <w:sz w:val="13"/>
                <w:szCs w:val="13"/>
                <w:color w:val="auto"/>
              </w:rPr>
            </w:pPr>
          </w:p>
        </w:tc>
        <w:tc>
          <w:tcPr>
            <w:tcW w:w="140" w:type="dxa"/>
            <w:vAlign w:val="bottom"/>
            <w:gridSpan w:val="7"/>
          </w:tcPr>
          <w:p>
            <w:pPr>
              <w:spacing w:after="0"/>
              <w:rPr>
                <w:sz w:val="13"/>
                <w:szCs w:val="13"/>
                <w:color w:val="auto"/>
              </w:rPr>
            </w:pPr>
          </w:p>
        </w:tc>
        <w:tc>
          <w:tcPr>
            <w:tcW w:w="140" w:type="dxa"/>
            <w:vAlign w:val="bottom"/>
            <w:gridSpan w:val="3"/>
          </w:tcPr>
          <w:p>
            <w:pPr>
              <w:spacing w:after="0"/>
              <w:rPr>
                <w:sz w:val="13"/>
                <w:szCs w:val="13"/>
                <w:color w:val="auto"/>
              </w:rPr>
            </w:pPr>
          </w:p>
        </w:tc>
        <w:tc>
          <w:tcPr>
            <w:tcW w:w="2000" w:type="dxa"/>
            <w:vAlign w:val="bottom"/>
            <w:gridSpan w:val="2"/>
          </w:tcPr>
          <w:p>
            <w:pPr>
              <w:ind w:left="20"/>
              <w:spacing w:after="0" w:line="152" w:lineRule="exact"/>
              <w:rPr>
                <w:sz w:val="20"/>
                <w:szCs w:val="20"/>
                <w:color w:val="auto"/>
              </w:rPr>
            </w:pPr>
            <w:r>
              <w:rPr>
                <w:rFonts w:ascii="Calibri" w:cs="Calibri" w:eastAsia="Calibri" w:hAnsi="Calibri"/>
                <w:sz w:val="15"/>
                <w:szCs w:val="15"/>
                <w:color w:val="auto"/>
              </w:rPr>
              <w:t>Report on Form 10-Q</w:t>
            </w: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100" w:type="dxa"/>
            <w:vAlign w:val="bottom"/>
            <w:tcBorders>
              <w:top w:val="single" w:sz="8" w:color="0000FF"/>
            </w:tcBorders>
            <w:gridSpan w:val="18"/>
          </w:tcPr>
          <w:p>
            <w:pPr>
              <w:spacing w:after="0" w:line="165" w:lineRule="exact"/>
              <w:rPr>
                <w:rFonts w:ascii="Calibri" w:cs="Calibri" w:eastAsia="Calibri" w:hAnsi="Calibri"/>
                <w:sz w:val="18"/>
                <w:szCs w:val="18"/>
                <w:color w:val="0000FF"/>
              </w:rPr>
            </w:pPr>
            <w:hyperlink r:id="rId148">
              <w:r>
                <w:rPr>
                  <w:rFonts w:ascii="Calibri" w:cs="Calibri" w:eastAsia="Calibri" w:hAnsi="Calibri"/>
                  <w:sz w:val="18"/>
                  <w:szCs w:val="18"/>
                  <w:color w:val="0000FF"/>
                </w:rPr>
                <w:t>thereto, and Bank of America, N.A., as</w:t>
              </w:r>
            </w:hyperlink>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8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gridSpan w:val="4"/>
          </w:tcPr>
          <w:p>
            <w:pPr>
              <w:spacing w:after="0"/>
              <w:rPr>
                <w:sz w:val="14"/>
                <w:szCs w:val="14"/>
                <w:color w:val="auto"/>
              </w:rPr>
            </w:pPr>
          </w:p>
        </w:tc>
        <w:tc>
          <w:tcPr>
            <w:tcW w:w="140" w:type="dxa"/>
            <w:vAlign w:val="bottom"/>
            <w:gridSpan w:val="7"/>
          </w:tcPr>
          <w:p>
            <w:pPr>
              <w:spacing w:after="0"/>
              <w:rPr>
                <w:sz w:val="14"/>
                <w:szCs w:val="14"/>
                <w:color w:val="auto"/>
              </w:rPr>
            </w:pPr>
          </w:p>
        </w:tc>
        <w:tc>
          <w:tcPr>
            <w:tcW w:w="140" w:type="dxa"/>
            <w:vAlign w:val="bottom"/>
            <w:gridSpan w:val="3"/>
          </w:tcPr>
          <w:p>
            <w:pPr>
              <w:spacing w:after="0"/>
              <w:rPr>
                <w:sz w:val="14"/>
                <w:szCs w:val="14"/>
                <w:color w:val="auto"/>
              </w:rPr>
            </w:pPr>
          </w:p>
        </w:tc>
        <w:tc>
          <w:tcPr>
            <w:tcW w:w="1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8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40" w:type="dxa"/>
            <w:vAlign w:val="bottom"/>
            <w:tcBorders>
              <w:top w:val="single" w:sz="8" w:color="0000FF"/>
            </w:tcBorders>
            <w:gridSpan w:val="10"/>
          </w:tcPr>
          <w:p>
            <w:pPr>
              <w:spacing w:after="0" w:line="152" w:lineRule="exact"/>
              <w:rPr>
                <w:rFonts w:ascii="Calibri" w:cs="Calibri" w:eastAsia="Calibri" w:hAnsi="Calibri"/>
                <w:sz w:val="15"/>
                <w:szCs w:val="15"/>
                <w:color w:val="0000FF"/>
              </w:rPr>
            </w:pPr>
            <w:hyperlink r:id="rId148">
              <w:r>
                <w:rPr>
                  <w:rFonts w:ascii="Calibri" w:cs="Calibri" w:eastAsia="Calibri" w:hAnsi="Calibri"/>
                  <w:sz w:val="15"/>
                  <w:szCs w:val="15"/>
                  <w:color w:val="0000FF"/>
                </w:rPr>
                <w:t>Administratve Agent, to the Credit</w:t>
              </w:r>
            </w:hyperlink>
          </w:p>
        </w:tc>
        <w:tc>
          <w:tcPr>
            <w:tcW w:w="1020" w:type="dxa"/>
            <w:vAlign w:val="bottom"/>
            <w:gridSpan w:val="31"/>
          </w:tcPr>
          <w:p>
            <w:pPr>
              <w:spacing w:after="0" w:line="152" w:lineRule="exact"/>
              <w:rPr>
                <w:rFonts w:ascii="Calibri" w:cs="Calibri" w:eastAsia="Calibri" w:hAnsi="Calibri"/>
                <w:sz w:val="15"/>
                <w:szCs w:val="15"/>
                <w:color w:val="0000FF"/>
              </w:rPr>
            </w:pPr>
            <w:hyperlink r:id="rId148">
              <w:r>
                <w:rPr>
                  <w:rFonts w:ascii="Calibri" w:cs="Calibri" w:eastAsia="Calibri" w:hAnsi="Calibri"/>
                  <w:sz w:val="15"/>
                  <w:szCs w:val="15"/>
                  <w:color w:val="0000FF"/>
                </w:rPr>
                <w:t>Agreement,</w:t>
              </w:r>
            </w:hyperlink>
          </w:p>
        </w:tc>
        <w:tc>
          <w:tcPr>
            <w:tcW w:w="1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8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80" w:type="dxa"/>
            <w:vAlign w:val="bottom"/>
            <w:tcBorders>
              <w:top w:val="single" w:sz="8" w:color="0000FF"/>
            </w:tcBorders>
            <w:gridSpan w:val="26"/>
          </w:tcPr>
          <w:p>
            <w:pPr>
              <w:spacing w:after="0" w:line="152" w:lineRule="exact"/>
              <w:rPr>
                <w:rFonts w:ascii="Calibri" w:cs="Calibri" w:eastAsia="Calibri" w:hAnsi="Calibri"/>
                <w:sz w:val="15"/>
                <w:szCs w:val="15"/>
                <w:color w:val="0000FF"/>
              </w:rPr>
            </w:pPr>
            <w:hyperlink r:id="rId148">
              <w:r>
                <w:rPr>
                  <w:rFonts w:ascii="Calibri" w:cs="Calibri" w:eastAsia="Calibri" w:hAnsi="Calibri"/>
                  <w:sz w:val="15"/>
                  <w:szCs w:val="15"/>
                  <w:color w:val="0000FF"/>
                </w:rPr>
                <w:t>dated as of January 19, 2021</w:t>
              </w:r>
              <w:r>
                <w:rPr>
                  <w:rFonts w:ascii="Calibri" w:cs="Calibri" w:eastAsia="Calibri" w:hAnsi="Calibri"/>
                  <w:sz w:val="15"/>
                  <w:szCs w:val="15"/>
                  <w:color w:val="000000"/>
                </w:rPr>
                <w:t>.</w:t>
              </w:r>
            </w:hyperlink>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140" w:type="dxa"/>
            <w:vAlign w:val="bottom"/>
            <w:gridSpan w:val="7"/>
          </w:tcPr>
          <w:p>
            <w:pPr>
              <w:spacing w:after="0"/>
              <w:rPr>
                <w:sz w:val="13"/>
                <w:szCs w:val="13"/>
                <w:color w:val="auto"/>
              </w:rPr>
            </w:pPr>
          </w:p>
        </w:tc>
        <w:tc>
          <w:tcPr>
            <w:tcW w:w="140" w:type="dxa"/>
            <w:vAlign w:val="bottom"/>
            <w:gridSpan w:val="3"/>
          </w:tcPr>
          <w:p>
            <w:pPr>
              <w:spacing w:after="0"/>
              <w:rPr>
                <w:sz w:val="13"/>
                <w:szCs w:val="13"/>
                <w:color w:val="auto"/>
              </w:rPr>
            </w:pPr>
          </w:p>
        </w:tc>
        <w:tc>
          <w:tcPr>
            <w:tcW w:w="1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gridSpan w:val="2"/>
            <w:shd w:val="clear" w:color="auto" w:fill="0000FF"/>
          </w:tcPr>
          <w:p>
            <w:pPr>
              <w:spacing w:after="0" w:line="20" w:lineRule="exact"/>
              <w:rPr>
                <w:sz w:val="1"/>
                <w:szCs w:val="1"/>
                <w:color w:val="auto"/>
              </w:rPr>
            </w:pPr>
          </w:p>
        </w:tc>
        <w:tc>
          <w:tcPr>
            <w:tcW w:w="620" w:type="dxa"/>
            <w:vAlign w:val="bottom"/>
            <w:gridSpan w:val="3"/>
            <w:shd w:val="clear" w:color="auto" w:fill="0000FF"/>
          </w:tcPr>
          <w:p>
            <w:pPr>
              <w:spacing w:after="0" w:line="20" w:lineRule="exact"/>
              <w:rPr>
                <w:sz w:val="1"/>
                <w:szCs w:val="1"/>
                <w:color w:val="auto"/>
              </w:rPr>
            </w:pPr>
          </w:p>
        </w:tc>
        <w:tc>
          <w:tcPr>
            <w:tcW w:w="180" w:type="dxa"/>
            <w:vAlign w:val="bottom"/>
            <w:tcBorders>
              <w:right w:val="single" w:sz="8" w:color="0000FF"/>
            </w:tcBorders>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100" w:type="dxa"/>
            <w:vAlign w:val="bottom"/>
            <w:gridSpan w:val="9"/>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860" w:type="dxa"/>
            <w:vAlign w:val="bottom"/>
          </w:tcPr>
          <w:p>
            <w:pPr>
              <w:jc w:val="right"/>
              <w:spacing w:after="0" w:line="217" w:lineRule="exact"/>
              <w:rPr>
                <w:sz w:val="20"/>
                <w:szCs w:val="20"/>
                <w:color w:val="auto"/>
              </w:rPr>
            </w:pPr>
            <w:r>
              <w:rPr>
                <w:rFonts w:ascii="Calibri" w:cs="Calibri" w:eastAsia="Calibri" w:hAnsi="Calibri"/>
                <w:sz w:val="18"/>
                <w:szCs w:val="18"/>
                <w:color w:val="auto"/>
              </w:rPr>
              <w:t>10.6</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60" w:type="dxa"/>
            <w:vAlign w:val="bottom"/>
            <w:gridSpan w:val="41"/>
          </w:tcPr>
          <w:p>
            <w:pPr>
              <w:spacing w:after="0" w:line="217" w:lineRule="exact"/>
              <w:rPr>
                <w:rFonts w:ascii="Calibri" w:cs="Calibri" w:eastAsia="Calibri" w:hAnsi="Calibri"/>
                <w:sz w:val="18"/>
                <w:szCs w:val="18"/>
                <w:color w:val="0000FF"/>
              </w:rPr>
            </w:pPr>
            <w:hyperlink r:id="rId149">
              <w:r>
                <w:rPr>
                  <w:rFonts w:ascii="Calibri" w:cs="Calibri" w:eastAsia="Calibri" w:hAnsi="Calibri"/>
                  <w:sz w:val="18"/>
                  <w:szCs w:val="18"/>
                  <w:color w:val="0000FF"/>
                </w:rPr>
                <w:t>Credit Agreement, dated as of August 15, 2023,</w:t>
              </w:r>
            </w:hyperlink>
          </w:p>
        </w:tc>
        <w:tc>
          <w:tcPr>
            <w:tcW w:w="2000" w:type="dxa"/>
            <w:vAlign w:val="bottom"/>
            <w:gridSpan w:val="2"/>
          </w:tcPr>
          <w:p>
            <w:pPr>
              <w:ind w:left="20"/>
              <w:spacing w:after="0" w:line="217" w:lineRule="exact"/>
              <w:rPr>
                <w:sz w:val="20"/>
                <w:szCs w:val="20"/>
                <w:color w:val="auto"/>
              </w:rPr>
            </w:pPr>
            <w:r>
              <w:rPr>
                <w:rFonts w:ascii="Calibri" w:cs="Calibri" w:eastAsia="Calibri" w:hAnsi="Calibri"/>
                <w:sz w:val="18"/>
                <w:szCs w:val="18"/>
                <w:color w:val="auto"/>
              </w:rPr>
              <w:t>Broadcom Inc. Current</w:t>
            </w:r>
          </w:p>
        </w:tc>
        <w:tc>
          <w:tcPr>
            <w:tcW w:w="1160" w:type="dxa"/>
            <w:vAlign w:val="bottom"/>
          </w:tcPr>
          <w:p>
            <w:pPr>
              <w:spacing w:after="0" w:line="217" w:lineRule="exact"/>
              <w:rPr>
                <w:sz w:val="20"/>
                <w:szCs w:val="20"/>
                <w:color w:val="auto"/>
              </w:rPr>
            </w:pPr>
            <w:r>
              <w:rPr>
                <w:rFonts w:ascii="Calibri" w:cs="Calibri" w:eastAsia="Calibri" w:hAnsi="Calibri"/>
                <w:sz w:val="18"/>
                <w:szCs w:val="18"/>
                <w:color w:val="auto"/>
              </w:rPr>
              <w:t>001-38449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jc w:val="center"/>
              <w:ind w:right="213"/>
              <w:spacing w:after="0" w:line="217" w:lineRule="exact"/>
              <w:rPr>
                <w:sz w:val="20"/>
                <w:szCs w:val="20"/>
                <w:color w:val="auto"/>
              </w:rPr>
            </w:pPr>
            <w:r>
              <w:rPr>
                <w:rFonts w:ascii="Calibri" w:cs="Calibri" w:eastAsia="Calibri" w:hAnsi="Calibri"/>
                <w:sz w:val="18"/>
                <w:szCs w:val="18"/>
                <w:color w:val="auto"/>
                <w:w w:val="93"/>
              </w:rPr>
              <w:t>10.1</w:t>
            </w:r>
          </w:p>
        </w:tc>
        <w:tc>
          <w:tcPr>
            <w:tcW w:w="100" w:type="dxa"/>
            <w:vAlign w:val="bottom"/>
          </w:tcPr>
          <w:p>
            <w:pPr>
              <w:spacing w:after="0"/>
              <w:rPr>
                <w:sz w:val="18"/>
                <w:szCs w:val="18"/>
                <w:color w:val="auto"/>
              </w:rPr>
            </w:pPr>
          </w:p>
        </w:tc>
        <w:tc>
          <w:tcPr>
            <w:tcW w:w="1140" w:type="dxa"/>
            <w:vAlign w:val="bottom"/>
          </w:tcPr>
          <w:p>
            <w:pPr>
              <w:jc w:val="right"/>
              <w:ind w:right="233"/>
              <w:spacing w:after="0" w:line="217" w:lineRule="exact"/>
              <w:rPr>
                <w:sz w:val="20"/>
                <w:szCs w:val="20"/>
                <w:color w:val="auto"/>
              </w:rPr>
            </w:pPr>
            <w:r>
              <w:rPr>
                <w:rFonts w:ascii="Calibri" w:cs="Calibri" w:eastAsia="Calibri" w:hAnsi="Calibri"/>
                <w:sz w:val="18"/>
                <w:szCs w:val="18"/>
                <w:color w:val="auto"/>
                <w:w w:val="95"/>
              </w:rPr>
              <w:t>08-16-2023</w:t>
            </w:r>
          </w:p>
        </w:tc>
        <w:tc>
          <w:tcPr>
            <w:tcW w:w="0" w:type="dxa"/>
            <w:vAlign w:val="bottom"/>
          </w:tcPr>
          <w:p>
            <w:pPr>
              <w:spacing w:after="0"/>
              <w:rPr>
                <w:sz w:val="1"/>
                <w:szCs w:val="1"/>
                <w:color w:val="auto"/>
              </w:rPr>
            </w:pPr>
          </w:p>
        </w:tc>
      </w:tr>
      <w:tr>
        <w:trPr>
          <w:trHeight w:val="152"/>
        </w:trPr>
        <w:tc>
          <w:tcPr>
            <w:tcW w:w="8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300" w:type="dxa"/>
            <w:vAlign w:val="bottom"/>
            <w:tcBorders>
              <w:top w:val="single" w:sz="8" w:color="0000FF"/>
              <w:bottom w:val="single" w:sz="8" w:color="0000FF"/>
            </w:tcBorders>
            <w:gridSpan w:val="27"/>
          </w:tcPr>
          <w:p>
            <w:pPr>
              <w:spacing w:after="0" w:line="152" w:lineRule="exact"/>
              <w:rPr>
                <w:rFonts w:ascii="Calibri" w:cs="Calibri" w:eastAsia="Calibri" w:hAnsi="Calibri"/>
                <w:sz w:val="15"/>
                <w:szCs w:val="15"/>
                <w:color w:val="0000FF"/>
              </w:rPr>
            </w:pPr>
            <w:hyperlink r:id="rId149">
              <w:r>
                <w:rPr>
                  <w:rFonts w:ascii="Calibri" w:cs="Calibri" w:eastAsia="Calibri" w:hAnsi="Calibri"/>
                  <w:sz w:val="15"/>
                  <w:szCs w:val="15"/>
                  <w:color w:val="0000FF"/>
                </w:rPr>
                <w:t>among Broadcom, the lenders and other partes</w:t>
              </w:r>
            </w:hyperlink>
          </w:p>
        </w:tc>
        <w:tc>
          <w:tcPr>
            <w:tcW w:w="80" w:type="dxa"/>
            <w:vAlign w:val="bottom"/>
            <w:tcBorders>
              <w:bottom w:val="single" w:sz="8" w:color="0000FF"/>
            </w:tcBorders>
            <w:gridSpan w:val="4"/>
          </w:tcPr>
          <w:p>
            <w:pPr>
              <w:spacing w:after="0"/>
              <w:rPr>
                <w:sz w:val="13"/>
                <w:szCs w:val="13"/>
                <w:color w:val="auto"/>
              </w:rPr>
            </w:pPr>
          </w:p>
        </w:tc>
        <w:tc>
          <w:tcPr>
            <w:tcW w:w="140" w:type="dxa"/>
            <w:vAlign w:val="bottom"/>
            <w:gridSpan w:val="7"/>
          </w:tcPr>
          <w:p>
            <w:pPr>
              <w:spacing w:after="0"/>
              <w:rPr>
                <w:sz w:val="13"/>
                <w:szCs w:val="13"/>
                <w:color w:val="auto"/>
              </w:rPr>
            </w:pPr>
          </w:p>
        </w:tc>
        <w:tc>
          <w:tcPr>
            <w:tcW w:w="140" w:type="dxa"/>
            <w:vAlign w:val="bottom"/>
            <w:gridSpan w:val="3"/>
          </w:tcPr>
          <w:p>
            <w:pPr>
              <w:spacing w:after="0"/>
              <w:rPr>
                <w:sz w:val="13"/>
                <w:szCs w:val="13"/>
                <w:color w:val="auto"/>
              </w:rPr>
            </w:pPr>
          </w:p>
        </w:tc>
        <w:tc>
          <w:tcPr>
            <w:tcW w:w="2000" w:type="dxa"/>
            <w:vAlign w:val="bottom"/>
            <w:gridSpan w:val="2"/>
          </w:tcPr>
          <w:p>
            <w:pPr>
              <w:ind w:left="20"/>
              <w:spacing w:after="0" w:line="152" w:lineRule="exact"/>
              <w:rPr>
                <w:sz w:val="20"/>
                <w:szCs w:val="20"/>
                <w:color w:val="auto"/>
              </w:rPr>
            </w:pPr>
            <w:r>
              <w:rPr>
                <w:rFonts w:ascii="Calibri" w:cs="Calibri" w:eastAsia="Calibri" w:hAnsi="Calibri"/>
                <w:sz w:val="15"/>
                <w:szCs w:val="15"/>
                <w:color w:val="auto"/>
              </w:rPr>
              <w:t>Report on Form 8-K</w:t>
            </w: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380" w:type="dxa"/>
            <w:vAlign w:val="bottom"/>
            <w:gridSpan w:val="31"/>
          </w:tcPr>
          <w:p>
            <w:pPr>
              <w:spacing w:after="0" w:line="165" w:lineRule="exact"/>
              <w:rPr>
                <w:rFonts w:ascii="Calibri" w:cs="Calibri" w:eastAsia="Calibri" w:hAnsi="Calibri"/>
                <w:sz w:val="18"/>
                <w:szCs w:val="18"/>
                <w:color w:val="0000FF"/>
              </w:rPr>
            </w:pPr>
            <w:hyperlink r:id="rId149">
              <w:r>
                <w:rPr>
                  <w:rFonts w:ascii="Calibri" w:cs="Calibri" w:eastAsia="Calibri" w:hAnsi="Calibri"/>
                  <w:sz w:val="18"/>
                  <w:szCs w:val="18"/>
                  <w:color w:val="0000FF"/>
                </w:rPr>
                <w:t>party thereto, and Bank of America, N.A., as</w:t>
              </w:r>
            </w:hyperlink>
          </w:p>
        </w:tc>
        <w:tc>
          <w:tcPr>
            <w:tcW w:w="140" w:type="dxa"/>
            <w:vAlign w:val="bottom"/>
            <w:gridSpan w:val="7"/>
          </w:tcPr>
          <w:p>
            <w:pPr>
              <w:spacing w:after="0"/>
              <w:rPr>
                <w:sz w:val="14"/>
                <w:szCs w:val="14"/>
                <w:color w:val="auto"/>
              </w:rPr>
            </w:pPr>
          </w:p>
        </w:tc>
        <w:tc>
          <w:tcPr>
            <w:tcW w:w="140" w:type="dxa"/>
            <w:vAlign w:val="bottom"/>
            <w:gridSpan w:val="3"/>
          </w:tcPr>
          <w:p>
            <w:pPr>
              <w:spacing w:after="0"/>
              <w:rPr>
                <w:sz w:val="14"/>
                <w:szCs w:val="14"/>
                <w:color w:val="auto"/>
              </w:rPr>
            </w:pPr>
          </w:p>
        </w:tc>
        <w:tc>
          <w:tcPr>
            <w:tcW w:w="1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8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500" w:type="dxa"/>
            <w:vAlign w:val="bottom"/>
            <w:tcBorders>
              <w:top w:val="single" w:sz="8" w:color="0000FF"/>
              <w:bottom w:val="single" w:sz="8" w:color="0000FF"/>
            </w:tcBorders>
            <w:gridSpan w:val="5"/>
          </w:tcPr>
          <w:p>
            <w:pPr>
              <w:spacing w:after="0" w:line="152" w:lineRule="exact"/>
              <w:rPr>
                <w:rFonts w:ascii="Calibri" w:cs="Calibri" w:eastAsia="Calibri" w:hAnsi="Calibri"/>
                <w:sz w:val="15"/>
                <w:szCs w:val="15"/>
                <w:color w:val="0000FF"/>
              </w:rPr>
            </w:pPr>
            <w:hyperlink r:id="rId149">
              <w:r>
                <w:rPr>
                  <w:rFonts w:ascii="Calibri" w:cs="Calibri" w:eastAsia="Calibri" w:hAnsi="Calibri"/>
                  <w:sz w:val="15"/>
                  <w:szCs w:val="15"/>
                  <w:color w:val="0000FF"/>
                </w:rPr>
                <w:t>Administratve Agent.</w:t>
              </w:r>
            </w:hyperlink>
          </w:p>
        </w:tc>
        <w:tc>
          <w:tcPr>
            <w:tcW w:w="1580" w:type="dxa"/>
            <w:vAlign w:val="bottom"/>
            <w:tcBorders>
              <w:top w:val="single" w:sz="8" w:color="0000FF"/>
            </w:tcBorders>
            <w:gridSpan w:val="12"/>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320" w:type="dxa"/>
            <w:vAlign w:val="bottom"/>
            <w:gridSpan w:val="15"/>
          </w:tcPr>
          <w:p>
            <w:pPr>
              <w:spacing w:after="0"/>
              <w:rPr>
                <w:sz w:val="13"/>
                <w:szCs w:val="13"/>
                <w:color w:val="auto"/>
              </w:rPr>
            </w:pPr>
          </w:p>
        </w:tc>
        <w:tc>
          <w:tcPr>
            <w:tcW w:w="140" w:type="dxa"/>
            <w:vAlign w:val="bottom"/>
            <w:gridSpan w:val="3"/>
          </w:tcPr>
          <w:p>
            <w:pPr>
              <w:spacing w:after="0"/>
              <w:rPr>
                <w:sz w:val="13"/>
                <w:szCs w:val="13"/>
                <w:color w:val="auto"/>
              </w:rPr>
            </w:pPr>
          </w:p>
        </w:tc>
        <w:tc>
          <w:tcPr>
            <w:tcW w:w="1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4"/>
        </w:trPr>
        <w:tc>
          <w:tcPr>
            <w:tcW w:w="860" w:type="dxa"/>
            <w:vAlign w:val="bottom"/>
          </w:tcPr>
          <w:p>
            <w:pPr>
              <w:jc w:val="right"/>
              <w:spacing w:after="0" w:line="205" w:lineRule="exact"/>
              <w:rPr>
                <w:sz w:val="20"/>
                <w:szCs w:val="20"/>
                <w:color w:val="auto"/>
              </w:rPr>
            </w:pPr>
            <w:r>
              <w:rPr>
                <w:rFonts w:ascii="Calibri" w:cs="Calibri" w:eastAsia="Calibri" w:hAnsi="Calibri"/>
                <w:sz w:val="18"/>
                <w:szCs w:val="18"/>
                <w:color w:val="auto"/>
              </w:rPr>
              <w:t>10.7</w:t>
            </w: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60" w:type="dxa"/>
            <w:vAlign w:val="bottom"/>
            <w:gridSpan w:val="41"/>
          </w:tcPr>
          <w:p>
            <w:pPr>
              <w:spacing w:after="0" w:line="205" w:lineRule="exact"/>
              <w:rPr>
                <w:rFonts w:ascii="Calibri" w:cs="Calibri" w:eastAsia="Calibri" w:hAnsi="Calibri"/>
                <w:sz w:val="18"/>
                <w:szCs w:val="18"/>
                <w:color w:val="0000FF"/>
                <w:w w:val="99"/>
              </w:rPr>
            </w:pPr>
            <w:hyperlink r:id="rId150">
              <w:r>
                <w:rPr>
                  <w:rFonts w:ascii="Calibri" w:cs="Calibri" w:eastAsia="Calibri" w:hAnsi="Calibri"/>
                  <w:sz w:val="18"/>
                  <w:szCs w:val="18"/>
                  <w:color w:val="0000FF"/>
                  <w:w w:val="99"/>
                </w:rPr>
                <w:t>Lease Agreement dated August 10, 2017 between</w:t>
              </w:r>
            </w:hyperlink>
          </w:p>
        </w:tc>
        <w:tc>
          <w:tcPr>
            <w:tcW w:w="2000" w:type="dxa"/>
            <w:vAlign w:val="bottom"/>
            <w:gridSpan w:val="2"/>
          </w:tcPr>
          <w:p>
            <w:pPr>
              <w:ind w:left="20"/>
              <w:spacing w:after="0" w:line="205" w:lineRule="exact"/>
              <w:rPr>
                <w:sz w:val="20"/>
                <w:szCs w:val="20"/>
                <w:color w:val="auto"/>
              </w:rPr>
            </w:pPr>
            <w:r>
              <w:rPr>
                <w:rFonts w:ascii="Calibri" w:cs="Calibri" w:eastAsia="Calibri" w:hAnsi="Calibri"/>
                <w:sz w:val="18"/>
                <w:szCs w:val="18"/>
                <w:color w:val="auto"/>
              </w:rPr>
              <w:t>Broadcom Limited Annual</w:t>
            </w:r>
          </w:p>
        </w:tc>
        <w:tc>
          <w:tcPr>
            <w:tcW w:w="1160" w:type="dxa"/>
            <w:vAlign w:val="bottom"/>
          </w:tcPr>
          <w:p>
            <w:pPr>
              <w:spacing w:after="0" w:line="205" w:lineRule="exact"/>
              <w:rPr>
                <w:sz w:val="20"/>
                <w:szCs w:val="20"/>
                <w:color w:val="auto"/>
              </w:rPr>
            </w:pPr>
            <w:r>
              <w:rPr>
                <w:rFonts w:ascii="Calibri" w:cs="Calibri" w:eastAsia="Calibri" w:hAnsi="Calibri"/>
                <w:sz w:val="18"/>
                <w:szCs w:val="18"/>
                <w:color w:val="auto"/>
              </w:rPr>
              <w:t>001-37690</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Pr>
          <w:p>
            <w:pPr>
              <w:jc w:val="center"/>
              <w:ind w:right="193"/>
              <w:spacing w:after="0" w:line="205" w:lineRule="exact"/>
              <w:rPr>
                <w:sz w:val="20"/>
                <w:szCs w:val="20"/>
                <w:color w:val="auto"/>
              </w:rPr>
            </w:pPr>
            <w:r>
              <w:rPr>
                <w:rFonts w:ascii="Calibri" w:cs="Calibri" w:eastAsia="Calibri" w:hAnsi="Calibri"/>
                <w:sz w:val="18"/>
                <w:szCs w:val="18"/>
                <w:color w:val="auto"/>
                <w:w w:val="97"/>
              </w:rPr>
              <w:t>10.29</w:t>
            </w:r>
          </w:p>
        </w:tc>
        <w:tc>
          <w:tcPr>
            <w:tcW w:w="100" w:type="dxa"/>
            <w:vAlign w:val="bottom"/>
          </w:tcPr>
          <w:p>
            <w:pPr>
              <w:spacing w:after="0"/>
              <w:rPr>
                <w:sz w:val="17"/>
                <w:szCs w:val="17"/>
                <w:color w:val="auto"/>
              </w:rPr>
            </w:pPr>
          </w:p>
        </w:tc>
        <w:tc>
          <w:tcPr>
            <w:tcW w:w="1140" w:type="dxa"/>
            <w:vAlign w:val="bottom"/>
          </w:tcPr>
          <w:p>
            <w:pPr>
              <w:jc w:val="right"/>
              <w:ind w:right="233"/>
              <w:spacing w:after="0" w:line="205" w:lineRule="exact"/>
              <w:rPr>
                <w:sz w:val="20"/>
                <w:szCs w:val="20"/>
                <w:color w:val="auto"/>
              </w:rPr>
            </w:pPr>
            <w:r>
              <w:rPr>
                <w:rFonts w:ascii="Calibri" w:cs="Calibri" w:eastAsia="Calibri" w:hAnsi="Calibri"/>
                <w:sz w:val="18"/>
                <w:szCs w:val="18"/>
                <w:color w:val="auto"/>
                <w:w w:val="95"/>
              </w:rPr>
              <w:t>12-21-2017</w:t>
            </w:r>
          </w:p>
        </w:tc>
        <w:tc>
          <w:tcPr>
            <w:tcW w:w="0" w:type="dxa"/>
            <w:vAlign w:val="bottom"/>
          </w:tcPr>
          <w:p>
            <w:pPr>
              <w:spacing w:after="0"/>
              <w:rPr>
                <w:sz w:val="1"/>
                <w:szCs w:val="1"/>
                <w:color w:val="auto"/>
              </w:rPr>
            </w:pPr>
          </w:p>
        </w:tc>
      </w:tr>
      <w:tr>
        <w:trPr>
          <w:trHeight w:val="152"/>
        </w:trPr>
        <w:tc>
          <w:tcPr>
            <w:tcW w:w="8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520" w:type="dxa"/>
            <w:vAlign w:val="bottom"/>
            <w:tcBorders>
              <w:top w:val="single" w:sz="8" w:color="0000FF"/>
            </w:tcBorders>
            <w:gridSpan w:val="38"/>
          </w:tcPr>
          <w:p>
            <w:pPr>
              <w:spacing w:after="0" w:line="152" w:lineRule="exact"/>
              <w:rPr>
                <w:rFonts w:ascii="Calibri" w:cs="Calibri" w:eastAsia="Calibri" w:hAnsi="Calibri"/>
                <w:sz w:val="15"/>
                <w:szCs w:val="15"/>
                <w:color w:val="0000FF"/>
              </w:rPr>
            </w:pPr>
            <w:hyperlink r:id="rId150">
              <w:r>
                <w:rPr>
                  <w:rFonts w:ascii="Calibri" w:cs="Calibri" w:eastAsia="Calibri" w:hAnsi="Calibri"/>
                  <w:sz w:val="15"/>
                  <w:szCs w:val="15"/>
                  <w:color w:val="0000FF"/>
                </w:rPr>
                <w:t>Five Point Ofce Venture I, LLC and Broadcom</w:t>
              </w:r>
            </w:hyperlink>
          </w:p>
        </w:tc>
        <w:tc>
          <w:tcPr>
            <w:tcW w:w="140" w:type="dxa"/>
            <w:vAlign w:val="bottom"/>
            <w:gridSpan w:val="3"/>
          </w:tcPr>
          <w:p>
            <w:pPr>
              <w:spacing w:after="0"/>
              <w:rPr>
                <w:sz w:val="13"/>
                <w:szCs w:val="13"/>
                <w:color w:val="auto"/>
              </w:rPr>
            </w:pPr>
          </w:p>
        </w:tc>
        <w:tc>
          <w:tcPr>
            <w:tcW w:w="2000" w:type="dxa"/>
            <w:vAlign w:val="bottom"/>
            <w:gridSpan w:val="2"/>
          </w:tcPr>
          <w:p>
            <w:pPr>
              <w:ind w:left="20"/>
              <w:spacing w:after="0" w:line="152" w:lineRule="exact"/>
              <w:rPr>
                <w:sz w:val="20"/>
                <w:szCs w:val="20"/>
                <w:color w:val="auto"/>
              </w:rPr>
            </w:pPr>
            <w:r>
              <w:rPr>
                <w:rFonts w:ascii="Calibri" w:cs="Calibri" w:eastAsia="Calibri" w:hAnsi="Calibri"/>
                <w:sz w:val="15"/>
                <w:szCs w:val="15"/>
                <w:color w:val="auto"/>
              </w:rPr>
              <w:t>Report on Form 10-K</w:t>
            </w: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tcBorders>
              <w:top w:val="single" w:sz="8" w:color="0000FF"/>
              <w:bottom w:val="single" w:sz="8" w:color="0000FF"/>
            </w:tcBorders>
            <w:gridSpan w:val="2"/>
          </w:tcPr>
          <w:p>
            <w:pPr>
              <w:spacing w:after="0" w:line="165" w:lineRule="exact"/>
              <w:rPr>
                <w:rFonts w:ascii="Calibri" w:cs="Calibri" w:eastAsia="Calibri" w:hAnsi="Calibri"/>
                <w:sz w:val="18"/>
                <w:szCs w:val="18"/>
                <w:color w:val="0000FF"/>
                <w:w w:val="96"/>
              </w:rPr>
            </w:pPr>
            <w:hyperlink r:id="rId150">
              <w:r>
                <w:rPr>
                  <w:rFonts w:ascii="Calibri" w:cs="Calibri" w:eastAsia="Calibri" w:hAnsi="Calibri"/>
                  <w:sz w:val="18"/>
                  <w:szCs w:val="18"/>
                  <w:color w:val="0000FF"/>
                  <w:w w:val="96"/>
                </w:rPr>
                <w:t>Corporaton.</w:t>
              </w:r>
            </w:hyperlink>
          </w:p>
        </w:tc>
        <w:tc>
          <w:tcPr>
            <w:tcW w:w="2320" w:type="dxa"/>
            <w:vAlign w:val="bottom"/>
            <w:tcBorders>
              <w:top w:val="single" w:sz="8" w:color="0000FF"/>
            </w:tcBorders>
            <w:gridSpan w:val="21"/>
          </w:tcPr>
          <w:p>
            <w:pPr>
              <w:spacing w:after="0"/>
              <w:rPr>
                <w:sz w:val="14"/>
                <w:szCs w:val="14"/>
                <w:color w:val="auto"/>
              </w:rPr>
            </w:pPr>
          </w:p>
        </w:tc>
        <w:tc>
          <w:tcPr>
            <w:tcW w:w="460" w:type="dxa"/>
            <w:vAlign w:val="bottom"/>
            <w:gridSpan w:val="18"/>
          </w:tcPr>
          <w:p>
            <w:pPr>
              <w:spacing w:after="0"/>
              <w:rPr>
                <w:sz w:val="14"/>
                <w:szCs w:val="14"/>
                <w:color w:val="auto"/>
              </w:rPr>
            </w:pPr>
          </w:p>
        </w:tc>
        <w:tc>
          <w:tcPr>
            <w:tcW w:w="1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860" w:type="dxa"/>
            <w:vAlign w:val="bottom"/>
          </w:tcPr>
          <w:p>
            <w:pPr>
              <w:jc w:val="right"/>
              <w:spacing w:after="0" w:line="205" w:lineRule="exact"/>
              <w:rPr>
                <w:sz w:val="20"/>
                <w:szCs w:val="20"/>
                <w:color w:val="auto"/>
              </w:rPr>
            </w:pPr>
            <w:r>
              <w:rPr>
                <w:rFonts w:ascii="Calibri" w:cs="Calibri" w:eastAsia="Calibri" w:hAnsi="Calibri"/>
                <w:sz w:val="18"/>
                <w:szCs w:val="18"/>
                <w:color w:val="auto"/>
              </w:rPr>
              <w:t>10.8</w:t>
            </w: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60" w:type="dxa"/>
            <w:vAlign w:val="bottom"/>
            <w:gridSpan w:val="41"/>
          </w:tcPr>
          <w:p>
            <w:pPr>
              <w:spacing w:after="0" w:line="205" w:lineRule="exact"/>
              <w:rPr>
                <w:rFonts w:ascii="Calibri" w:cs="Calibri" w:eastAsia="Calibri" w:hAnsi="Calibri"/>
                <w:sz w:val="18"/>
                <w:szCs w:val="18"/>
                <w:color w:val="0000FF"/>
              </w:rPr>
            </w:pPr>
            <w:hyperlink r:id="rId151">
              <w:r>
                <w:rPr>
                  <w:rFonts w:ascii="Calibri" w:cs="Calibri" w:eastAsia="Calibri" w:hAnsi="Calibri"/>
                  <w:sz w:val="18"/>
                  <w:szCs w:val="18"/>
                  <w:color w:val="0000FF"/>
                </w:rPr>
                <w:t>First Amendment to Lease Agreement by and</w:t>
              </w:r>
            </w:hyperlink>
          </w:p>
        </w:tc>
        <w:tc>
          <w:tcPr>
            <w:tcW w:w="2000" w:type="dxa"/>
            <w:vAlign w:val="bottom"/>
            <w:gridSpan w:val="2"/>
          </w:tcPr>
          <w:p>
            <w:pPr>
              <w:ind w:left="20"/>
              <w:spacing w:after="0" w:line="205" w:lineRule="exact"/>
              <w:rPr>
                <w:sz w:val="20"/>
                <w:szCs w:val="20"/>
                <w:color w:val="auto"/>
              </w:rPr>
            </w:pPr>
            <w:r>
              <w:rPr>
                <w:rFonts w:ascii="Calibri" w:cs="Calibri" w:eastAsia="Calibri" w:hAnsi="Calibri"/>
                <w:sz w:val="18"/>
                <w:szCs w:val="18"/>
                <w:color w:val="auto"/>
              </w:rPr>
              <w:t>Broadcom Inc. Annual</w:t>
            </w:r>
          </w:p>
        </w:tc>
        <w:tc>
          <w:tcPr>
            <w:tcW w:w="1160" w:type="dxa"/>
            <w:vAlign w:val="bottom"/>
          </w:tcPr>
          <w:p>
            <w:pPr>
              <w:spacing w:after="0" w:line="205" w:lineRule="exact"/>
              <w:rPr>
                <w:sz w:val="20"/>
                <w:szCs w:val="20"/>
                <w:color w:val="auto"/>
              </w:rPr>
            </w:pPr>
            <w:r>
              <w:rPr>
                <w:rFonts w:ascii="Calibri" w:cs="Calibri" w:eastAsia="Calibri" w:hAnsi="Calibri"/>
                <w:sz w:val="18"/>
                <w:szCs w:val="18"/>
                <w:color w:val="auto"/>
              </w:rPr>
              <w:t>001-38449</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Pr>
          <w:p>
            <w:pPr>
              <w:jc w:val="center"/>
              <w:ind w:right="193"/>
              <w:spacing w:after="0" w:line="205" w:lineRule="exact"/>
              <w:rPr>
                <w:sz w:val="20"/>
                <w:szCs w:val="20"/>
                <w:color w:val="auto"/>
              </w:rPr>
            </w:pPr>
            <w:r>
              <w:rPr>
                <w:rFonts w:ascii="Calibri" w:cs="Calibri" w:eastAsia="Calibri" w:hAnsi="Calibri"/>
                <w:sz w:val="18"/>
                <w:szCs w:val="18"/>
                <w:color w:val="auto"/>
                <w:w w:val="97"/>
              </w:rPr>
              <w:t>10.12</w:t>
            </w:r>
          </w:p>
        </w:tc>
        <w:tc>
          <w:tcPr>
            <w:tcW w:w="100" w:type="dxa"/>
            <w:vAlign w:val="bottom"/>
          </w:tcPr>
          <w:p>
            <w:pPr>
              <w:spacing w:after="0"/>
              <w:rPr>
                <w:sz w:val="17"/>
                <w:szCs w:val="17"/>
                <w:color w:val="auto"/>
              </w:rPr>
            </w:pPr>
          </w:p>
        </w:tc>
        <w:tc>
          <w:tcPr>
            <w:tcW w:w="1140" w:type="dxa"/>
            <w:vAlign w:val="bottom"/>
          </w:tcPr>
          <w:p>
            <w:pPr>
              <w:jc w:val="right"/>
              <w:ind w:right="233"/>
              <w:spacing w:after="0" w:line="205" w:lineRule="exact"/>
              <w:rPr>
                <w:sz w:val="20"/>
                <w:szCs w:val="20"/>
                <w:color w:val="auto"/>
              </w:rPr>
            </w:pPr>
            <w:r>
              <w:rPr>
                <w:rFonts w:ascii="Calibri" w:cs="Calibri" w:eastAsia="Calibri" w:hAnsi="Calibri"/>
                <w:sz w:val="18"/>
                <w:szCs w:val="18"/>
                <w:color w:val="auto"/>
                <w:w w:val="95"/>
              </w:rPr>
              <w:t>12-18-2020</w:t>
            </w:r>
          </w:p>
        </w:tc>
        <w:tc>
          <w:tcPr>
            <w:tcW w:w="0" w:type="dxa"/>
            <w:vAlign w:val="bottom"/>
          </w:tcPr>
          <w:p>
            <w:pPr>
              <w:spacing w:after="0"/>
              <w:rPr>
                <w:sz w:val="1"/>
                <w:szCs w:val="1"/>
                <w:color w:val="auto"/>
              </w:rPr>
            </w:pPr>
          </w:p>
        </w:tc>
      </w:tr>
      <w:tr>
        <w:trPr>
          <w:trHeight w:val="152"/>
        </w:trPr>
        <w:tc>
          <w:tcPr>
            <w:tcW w:w="8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160" w:type="dxa"/>
            <w:vAlign w:val="bottom"/>
            <w:tcBorders>
              <w:top w:val="single" w:sz="8" w:color="0000FF"/>
            </w:tcBorders>
            <w:gridSpan w:val="21"/>
          </w:tcPr>
          <w:p>
            <w:pPr>
              <w:spacing w:after="0" w:line="152" w:lineRule="exact"/>
              <w:rPr>
                <w:rFonts w:ascii="Calibri" w:cs="Calibri" w:eastAsia="Calibri" w:hAnsi="Calibri"/>
                <w:sz w:val="15"/>
                <w:szCs w:val="15"/>
                <w:color w:val="0000FF"/>
              </w:rPr>
            </w:pPr>
            <w:hyperlink r:id="rId151">
              <w:r>
                <w:rPr>
                  <w:rFonts w:ascii="Calibri" w:cs="Calibri" w:eastAsia="Calibri" w:hAnsi="Calibri"/>
                  <w:sz w:val="15"/>
                  <w:szCs w:val="15"/>
                  <w:color w:val="0000FF"/>
                </w:rPr>
                <w:t>between Five Point Ofce Venture 1, LLC and</w:t>
              </w:r>
            </w:hyperlink>
          </w:p>
        </w:tc>
        <w:tc>
          <w:tcPr>
            <w:tcW w:w="500" w:type="dxa"/>
            <w:vAlign w:val="bottom"/>
            <w:gridSpan w:val="20"/>
          </w:tcPr>
          <w:p>
            <w:pPr>
              <w:spacing w:after="0"/>
              <w:rPr>
                <w:sz w:val="13"/>
                <w:szCs w:val="13"/>
                <w:color w:val="auto"/>
              </w:rPr>
            </w:pPr>
          </w:p>
        </w:tc>
        <w:tc>
          <w:tcPr>
            <w:tcW w:w="2000" w:type="dxa"/>
            <w:vAlign w:val="bottom"/>
            <w:gridSpan w:val="2"/>
          </w:tcPr>
          <w:p>
            <w:pPr>
              <w:ind w:left="20"/>
              <w:spacing w:after="0" w:line="152" w:lineRule="exact"/>
              <w:rPr>
                <w:sz w:val="20"/>
                <w:szCs w:val="20"/>
                <w:color w:val="auto"/>
              </w:rPr>
            </w:pPr>
            <w:r>
              <w:rPr>
                <w:rFonts w:ascii="Calibri" w:cs="Calibri" w:eastAsia="Calibri" w:hAnsi="Calibri"/>
                <w:sz w:val="15"/>
                <w:szCs w:val="15"/>
                <w:color w:val="auto"/>
              </w:rPr>
              <w:t>Report on Form 10-K</w:t>
            </w: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140" w:type="dxa"/>
            <w:vAlign w:val="bottom"/>
            <w:tcBorders>
              <w:top w:val="single" w:sz="8" w:color="0000FF"/>
            </w:tcBorders>
            <w:gridSpan w:val="20"/>
          </w:tcPr>
          <w:p>
            <w:pPr>
              <w:spacing w:after="0" w:line="165" w:lineRule="exact"/>
              <w:rPr>
                <w:rFonts w:ascii="Calibri" w:cs="Calibri" w:eastAsia="Calibri" w:hAnsi="Calibri"/>
                <w:sz w:val="18"/>
                <w:szCs w:val="18"/>
                <w:color w:val="0000FF"/>
              </w:rPr>
            </w:pPr>
            <w:hyperlink r:id="rId151">
              <w:r>
                <w:rPr>
                  <w:rFonts w:ascii="Calibri" w:cs="Calibri" w:eastAsia="Calibri" w:hAnsi="Calibri"/>
                  <w:sz w:val="18"/>
                  <w:szCs w:val="18"/>
                  <w:color w:val="0000FF"/>
                </w:rPr>
                <w:t>Broadcom Corporaton.</w:t>
              </w:r>
            </w:hyperlink>
          </w:p>
        </w:tc>
        <w:tc>
          <w:tcPr>
            <w:tcW w:w="520" w:type="dxa"/>
            <w:vAlign w:val="bottom"/>
            <w:gridSpan w:val="21"/>
          </w:tcPr>
          <w:p>
            <w:pPr>
              <w:spacing w:after="0"/>
              <w:rPr>
                <w:sz w:val="14"/>
                <w:szCs w:val="14"/>
                <w:color w:val="auto"/>
              </w:rPr>
            </w:pPr>
          </w:p>
        </w:tc>
        <w:tc>
          <w:tcPr>
            <w:tcW w:w="1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95"/>
        </w:trPr>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00" w:type="dxa"/>
            <w:vAlign w:val="bottom"/>
          </w:tcPr>
          <w:p>
            <w:pPr>
              <w:ind w:left="700"/>
              <w:spacing w:after="0"/>
              <w:rPr>
                <w:sz w:val="20"/>
                <w:szCs w:val="20"/>
                <w:color w:val="auto"/>
              </w:rPr>
            </w:pPr>
            <w:r>
              <w:rPr>
                <w:rFonts w:ascii="Calibri" w:cs="Calibri" w:eastAsia="Calibri" w:hAnsi="Calibri"/>
                <w:sz w:val="18"/>
                <w:szCs w:val="18"/>
                <w:color w:val="auto"/>
              </w:rPr>
              <w:t>95</w:t>
            </w: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5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Calibri" w:cs="Calibri" w:eastAsia="Calibri" w:hAnsi="Calibri"/>
          <w:sz w:val="14"/>
          <w:szCs w:val="14"/>
          <w:color w:val="auto"/>
        </w:rPr>
        <w:t>Filed</w:t>
      </w:r>
    </w:p>
    <w:p>
      <w:pPr>
        <w:jc w:val="center"/>
        <w:spacing w:after="0" w:line="203" w:lineRule="auto"/>
        <w:rPr>
          <w:sz w:val="20"/>
          <w:szCs w:val="20"/>
          <w:color w:val="auto"/>
        </w:rPr>
      </w:pPr>
      <w:r>
        <w:rPr>
          <w:rFonts w:ascii="Calibri" w:cs="Calibri" w:eastAsia="Calibri" w:hAnsi="Calibri"/>
          <w:sz w:val="14"/>
          <w:szCs w:val="14"/>
          <w:color w:val="auto"/>
        </w:rPr>
        <w:t>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-81915</wp:posOffset>
            </wp:positionH>
            <wp:positionV relativeFrom="paragraph">
              <wp:posOffset>20955</wp:posOffset>
            </wp:positionV>
            <wp:extent cx="50292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53">
                      <a:extLst>
                        <a:ext uri="{28A0092B-C50C-407E-A947-70E740481C1C}"/>
                      </a:extLst>
                    </a:blip>
                    <a:srcRect/>
                    <a:stretch>
                      <a:fillRect/>
                    </a:stretch>
                  </pic:blipFill>
                  <pic:spPr bwMode="auto">
                    <a:xfrm>
                      <a:off x="0" y="0"/>
                      <a:ext cx="502920" cy="8255"/>
                    </a:xfrm>
                    <a:prstGeom prst="rect">
                      <a:avLst/>
                    </a:prstGeom>
                    <a:noFill/>
                  </pic:spPr>
                </pic:pic>
              </a:graphicData>
            </a:graphic>
          </wp:anchor>
        </w:drawing>
      </w:r>
    </w:p>
    <w:p>
      <w:pPr>
        <w:sectPr>
          <w:pgSz w:w="11900" w:h="16838" w:orient="portrait"/>
          <w:cols w:equalWidth="0" w:num="2">
            <w:col w:w="10340" w:space="240"/>
            <w:col w:w="540"/>
          </w:cols>
          <w:pgMar w:left="320" w:top="109" w:right="459" w:bottom="1440" w:gutter="0" w:footer="0" w:header="0"/>
        </w:sectPr>
      </w:pPr>
    </w:p>
    <w:bookmarkStart w:id="97" w:name="page98"/>
    <w:bookmarkEnd w:id="97"/>
    <w:p>
      <w:pPr>
        <w:spacing w:after="0"/>
        <w:rPr>
          <w:sz w:val="20"/>
          <w:szCs w:val="20"/>
          <w:color w:val="auto"/>
        </w:rPr>
      </w:pPr>
      <w:r>
        <w:rPr>
          <w:rFonts w:ascii="Calibri" w:cs="Calibri" w:eastAsia="Calibri" w:hAnsi="Calibri"/>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80" w:type="dxa"/>
            <w:vAlign w:val="bottom"/>
            <w:gridSpan w:val="4"/>
          </w:tcPr>
          <w:p>
            <w:pPr>
              <w:spacing w:after="0"/>
              <w:rPr>
                <w:sz w:val="20"/>
                <w:szCs w:val="20"/>
                <w:color w:val="auto"/>
              </w:rPr>
            </w:pPr>
            <w:r>
              <w:rPr>
                <w:rFonts w:ascii="Calibri" w:cs="Calibri" w:eastAsia="Calibri" w:hAnsi="Calibri"/>
                <w:sz w:val="14"/>
                <w:szCs w:val="14"/>
                <w:color w:val="auto"/>
              </w:rPr>
              <w:t>Incorporated by Reference</w:t>
            </w: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860" w:type="dxa"/>
            <w:vAlign w:val="bottom"/>
            <w:vMerge w:val="restart"/>
          </w:tcPr>
          <w:p>
            <w:pPr>
              <w:jc w:val="right"/>
              <w:ind w:right="154"/>
              <w:spacing w:after="0"/>
              <w:rPr>
                <w:sz w:val="20"/>
                <w:szCs w:val="20"/>
                <w:color w:val="auto"/>
              </w:rPr>
            </w:pPr>
            <w:r>
              <w:rPr>
                <w:rFonts w:ascii="Calibri" w:cs="Calibri" w:eastAsia="Calibri" w:hAnsi="Calibri"/>
                <w:sz w:val="14"/>
                <w:szCs w:val="14"/>
                <w:color w:val="auto"/>
              </w:rPr>
              <w:t>Exhibit</w:t>
            </w:r>
          </w:p>
        </w:tc>
        <w:tc>
          <w:tcPr>
            <w:tcW w:w="300" w:type="dxa"/>
            <w:vAlign w:val="bottom"/>
          </w:tcPr>
          <w:p>
            <w:pPr>
              <w:spacing w:after="0"/>
              <w:rPr>
                <w:sz w:val="3"/>
                <w:szCs w:val="3"/>
                <w:color w:val="auto"/>
              </w:rPr>
            </w:pPr>
          </w:p>
        </w:tc>
        <w:tc>
          <w:tcPr>
            <w:tcW w:w="20" w:type="dxa"/>
            <w:vAlign w:val="bottom"/>
          </w:tcPr>
          <w:p>
            <w:pPr>
              <w:spacing w:after="0"/>
              <w:rPr>
                <w:sz w:val="3"/>
                <w:szCs w:val="3"/>
                <w:color w:val="auto"/>
              </w:rPr>
            </w:pPr>
          </w:p>
        </w:tc>
        <w:tc>
          <w:tcPr>
            <w:tcW w:w="38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186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9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11"/>
        </w:trPr>
        <w:tc>
          <w:tcPr>
            <w:tcW w:w="86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2820" w:type="dxa"/>
            <w:vAlign w:val="bottom"/>
            <w:gridSpan w:val="21"/>
            <w:vMerge w:val="restart"/>
          </w:tcPr>
          <w:p>
            <w:pPr>
              <w:ind w:left="620"/>
              <w:spacing w:after="0"/>
              <w:rPr>
                <w:sz w:val="20"/>
                <w:szCs w:val="20"/>
                <w:color w:val="auto"/>
              </w:rPr>
            </w:pPr>
            <w:r>
              <w:rPr>
                <w:rFonts w:ascii="Calibri" w:cs="Calibri" w:eastAsia="Calibri" w:hAnsi="Calibri"/>
                <w:sz w:val="14"/>
                <w:szCs w:val="14"/>
                <w:color w:val="auto"/>
              </w:rPr>
              <w:t>Descripton</w:t>
            </w:r>
          </w:p>
        </w:tc>
        <w:tc>
          <w:tcPr>
            <w:tcW w:w="2000" w:type="dxa"/>
            <w:vAlign w:val="bottom"/>
            <w:gridSpan w:val="2"/>
            <w:vMerge w:val="restart"/>
          </w:tcPr>
          <w:p>
            <w:pPr>
              <w:ind w:left="800"/>
              <w:spacing w:after="0"/>
              <w:rPr>
                <w:sz w:val="20"/>
                <w:szCs w:val="20"/>
                <w:color w:val="auto"/>
              </w:rPr>
            </w:pPr>
            <w:r>
              <w:rPr>
                <w:rFonts w:ascii="Calibri" w:cs="Calibri" w:eastAsia="Calibri" w:hAnsi="Calibri"/>
                <w:sz w:val="14"/>
                <w:szCs w:val="14"/>
                <w:color w:val="auto"/>
              </w:rPr>
              <w:t>Form</w:t>
            </w:r>
          </w:p>
        </w:tc>
        <w:tc>
          <w:tcPr>
            <w:tcW w:w="1260" w:type="dxa"/>
            <w:vAlign w:val="bottom"/>
            <w:gridSpan w:val="2"/>
            <w:vMerge w:val="restart"/>
          </w:tcPr>
          <w:p>
            <w:pPr>
              <w:ind w:left="380"/>
              <w:spacing w:after="0"/>
              <w:rPr>
                <w:sz w:val="20"/>
                <w:szCs w:val="20"/>
                <w:color w:val="auto"/>
              </w:rPr>
            </w:pPr>
            <w:r>
              <w:rPr>
                <w:rFonts w:ascii="Calibri" w:cs="Calibri" w:eastAsia="Calibri" w:hAnsi="Calibri"/>
                <w:sz w:val="14"/>
                <w:szCs w:val="14"/>
                <w:color w:val="auto"/>
              </w:rPr>
              <w:t>File No.</w:t>
            </w:r>
          </w:p>
        </w:tc>
        <w:tc>
          <w:tcPr>
            <w:tcW w:w="1120" w:type="dxa"/>
            <w:vAlign w:val="bottom"/>
            <w:gridSpan w:val="2"/>
            <w:vMerge w:val="restart"/>
          </w:tcPr>
          <w:p>
            <w:pPr>
              <w:jc w:val="center"/>
              <w:ind w:right="100"/>
              <w:spacing w:after="0"/>
              <w:rPr>
                <w:sz w:val="20"/>
                <w:szCs w:val="20"/>
                <w:color w:val="auto"/>
              </w:rPr>
            </w:pPr>
            <w:r>
              <w:rPr>
                <w:rFonts w:ascii="Calibri" w:cs="Calibri" w:eastAsia="Calibri" w:hAnsi="Calibri"/>
                <w:sz w:val="14"/>
                <w:szCs w:val="14"/>
                <w:color w:val="auto"/>
                <w:w w:val="98"/>
              </w:rPr>
              <w:t>Exhibit</w:t>
            </w:r>
          </w:p>
        </w:tc>
        <w:tc>
          <w:tcPr>
            <w:tcW w:w="1140" w:type="dxa"/>
            <w:vAlign w:val="bottom"/>
            <w:vMerge w:val="restart"/>
          </w:tcPr>
          <w:p>
            <w:pPr>
              <w:jc w:val="right"/>
              <w:ind w:right="173"/>
              <w:spacing w:after="0"/>
              <w:rPr>
                <w:sz w:val="20"/>
                <w:szCs w:val="20"/>
                <w:color w:val="auto"/>
              </w:rPr>
            </w:pPr>
            <w:r>
              <w:rPr>
                <w:rFonts w:ascii="Calibri" w:cs="Calibri" w:eastAsia="Calibri" w:hAnsi="Calibri"/>
                <w:sz w:val="14"/>
                <w:szCs w:val="14"/>
                <w:color w:val="auto"/>
              </w:rPr>
              <w:t>Filing Date</w:t>
            </w:r>
          </w:p>
        </w:tc>
        <w:tc>
          <w:tcPr>
            <w:tcW w:w="0" w:type="dxa"/>
            <w:vAlign w:val="bottom"/>
          </w:tcPr>
          <w:p>
            <w:pPr>
              <w:spacing w:after="0"/>
              <w:rPr>
                <w:sz w:val="1"/>
                <w:szCs w:val="1"/>
                <w:color w:val="auto"/>
              </w:rPr>
            </w:pPr>
          </w:p>
        </w:tc>
      </w:tr>
      <w:tr>
        <w:trPr>
          <w:trHeight w:val="168"/>
        </w:trPr>
        <w:tc>
          <w:tcPr>
            <w:tcW w:w="860" w:type="dxa"/>
            <w:vAlign w:val="bottom"/>
          </w:tcPr>
          <w:p>
            <w:pPr>
              <w:jc w:val="right"/>
              <w:ind w:right="114"/>
              <w:spacing w:after="0" w:line="168" w:lineRule="exact"/>
              <w:rPr>
                <w:sz w:val="20"/>
                <w:szCs w:val="20"/>
                <w:color w:val="auto"/>
              </w:rPr>
            </w:pPr>
            <w:r>
              <w:rPr>
                <w:rFonts w:ascii="Calibri" w:cs="Calibri" w:eastAsia="Calibri" w:hAnsi="Calibri"/>
                <w:sz w:val="14"/>
                <w:szCs w:val="14"/>
                <w:color w:val="auto"/>
              </w:rPr>
              <w:t>Number</w:t>
            </w: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20" w:type="dxa"/>
            <w:vAlign w:val="bottom"/>
            <w:gridSpan w:val="21"/>
            <w:vMerge w:val="continue"/>
          </w:tcPr>
          <w:p>
            <w:pPr>
              <w:spacing w:after="0"/>
              <w:rPr>
                <w:sz w:val="14"/>
                <w:szCs w:val="14"/>
                <w:color w:val="auto"/>
              </w:rPr>
            </w:pPr>
          </w:p>
        </w:tc>
        <w:tc>
          <w:tcPr>
            <w:tcW w:w="2000" w:type="dxa"/>
            <w:vAlign w:val="bottom"/>
            <w:gridSpan w:val="2"/>
            <w:vMerge w:val="continue"/>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2"/>
        </w:trPr>
        <w:tc>
          <w:tcPr>
            <w:tcW w:w="860" w:type="dxa"/>
            <w:vAlign w:val="bottom"/>
            <w:tcBorders>
              <w:bottom w:val="single" w:sz="8" w:color="auto"/>
            </w:tcBorders>
          </w:tcPr>
          <w:p>
            <w:pPr>
              <w:spacing w:after="0"/>
              <w:rPr>
                <w:sz w:val="2"/>
                <w:szCs w:val="2"/>
                <w:color w:val="auto"/>
              </w:rPr>
            </w:pPr>
          </w:p>
        </w:tc>
        <w:tc>
          <w:tcPr>
            <w:tcW w:w="300" w:type="dxa"/>
            <w:vAlign w:val="bottom"/>
            <w:vMerge w:val="restart"/>
          </w:tcPr>
          <w:p>
            <w:pPr>
              <w:jc w:val="right"/>
              <w:ind w:right="72"/>
              <w:spacing w:after="0" w:line="217" w:lineRule="exact"/>
              <w:rPr>
                <w:sz w:val="20"/>
                <w:szCs w:val="20"/>
                <w:color w:val="auto"/>
              </w:rPr>
            </w:pPr>
            <w:r>
              <w:rPr>
                <w:rFonts w:ascii="Calibri" w:cs="Calibri" w:eastAsia="Calibri" w:hAnsi="Calibri"/>
                <w:sz w:val="18"/>
                <w:szCs w:val="18"/>
                <w:color w:val="auto"/>
              </w:rPr>
              <w:t>+</w:t>
            </w:r>
          </w:p>
        </w:tc>
        <w:tc>
          <w:tcPr>
            <w:tcW w:w="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860" w:type="dxa"/>
            <w:vAlign w:val="bottom"/>
          </w:tcPr>
          <w:p>
            <w:pPr>
              <w:jc w:val="right"/>
              <w:spacing w:after="0" w:line="165" w:lineRule="exact"/>
              <w:rPr>
                <w:sz w:val="20"/>
                <w:szCs w:val="20"/>
                <w:color w:val="auto"/>
              </w:rPr>
            </w:pPr>
            <w:r>
              <w:rPr>
                <w:rFonts w:ascii="Calibri" w:cs="Calibri" w:eastAsia="Calibri" w:hAnsi="Calibri"/>
                <w:sz w:val="18"/>
                <w:szCs w:val="18"/>
                <w:color w:val="auto"/>
              </w:rPr>
              <w:t>10.9</w:t>
            </w:r>
          </w:p>
        </w:tc>
        <w:tc>
          <w:tcPr>
            <w:tcW w:w="30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3540" w:type="dxa"/>
            <w:vAlign w:val="bottom"/>
            <w:gridSpan w:val="26"/>
          </w:tcPr>
          <w:p>
            <w:pPr>
              <w:spacing w:after="0" w:line="165" w:lineRule="exact"/>
              <w:rPr>
                <w:rFonts w:ascii="Calibri" w:cs="Calibri" w:eastAsia="Calibri" w:hAnsi="Calibri"/>
                <w:sz w:val="18"/>
                <w:szCs w:val="18"/>
                <w:color w:val="0000FF"/>
              </w:rPr>
            </w:pPr>
            <w:hyperlink r:id="rId154">
              <w:r>
                <w:rPr>
                  <w:rFonts w:ascii="Calibri" w:cs="Calibri" w:eastAsia="Calibri" w:hAnsi="Calibri"/>
                  <w:sz w:val="18"/>
                  <w:szCs w:val="18"/>
                  <w:color w:val="0000FF"/>
                </w:rPr>
                <w:t>Setlement and Patent License and Non-Assert</w:t>
              </w:r>
            </w:hyperlink>
          </w:p>
        </w:tc>
        <w:tc>
          <w:tcPr>
            <w:tcW w:w="100" w:type="dxa"/>
            <w:vAlign w:val="bottom"/>
          </w:tcPr>
          <w:p>
            <w:pPr>
              <w:spacing w:after="0"/>
              <w:rPr>
                <w:sz w:val="14"/>
                <w:szCs w:val="14"/>
                <w:color w:val="auto"/>
              </w:rPr>
            </w:pPr>
          </w:p>
        </w:tc>
        <w:tc>
          <w:tcPr>
            <w:tcW w:w="1900" w:type="dxa"/>
            <w:vAlign w:val="bottom"/>
          </w:tcPr>
          <w:p>
            <w:pPr>
              <w:ind w:left="20"/>
              <w:spacing w:after="0" w:line="165" w:lineRule="exact"/>
              <w:rPr>
                <w:sz w:val="20"/>
                <w:szCs w:val="20"/>
                <w:color w:val="auto"/>
              </w:rPr>
            </w:pPr>
            <w:r>
              <w:rPr>
                <w:rFonts w:ascii="Calibri" w:cs="Calibri" w:eastAsia="Calibri" w:hAnsi="Calibri"/>
                <w:sz w:val="18"/>
                <w:szCs w:val="18"/>
                <w:color w:val="auto"/>
              </w:rPr>
              <w:t>Broadcom Corporaton</w:t>
            </w:r>
          </w:p>
        </w:tc>
        <w:tc>
          <w:tcPr>
            <w:tcW w:w="100" w:type="dxa"/>
            <w:vAlign w:val="bottom"/>
          </w:tcPr>
          <w:p>
            <w:pPr>
              <w:spacing w:after="0"/>
              <w:rPr>
                <w:sz w:val="14"/>
                <w:szCs w:val="14"/>
                <w:color w:val="auto"/>
              </w:rPr>
            </w:pPr>
          </w:p>
        </w:tc>
        <w:tc>
          <w:tcPr>
            <w:tcW w:w="1180" w:type="dxa"/>
            <w:vAlign w:val="bottom"/>
          </w:tcPr>
          <w:p>
            <w:pPr>
              <w:ind w:left="20"/>
              <w:spacing w:after="0" w:line="165" w:lineRule="exact"/>
              <w:rPr>
                <w:sz w:val="20"/>
                <w:szCs w:val="20"/>
                <w:color w:val="auto"/>
              </w:rPr>
            </w:pPr>
            <w:r>
              <w:rPr>
                <w:rFonts w:ascii="Calibri" w:cs="Calibri" w:eastAsia="Calibri" w:hAnsi="Calibri"/>
                <w:sz w:val="18"/>
                <w:szCs w:val="18"/>
                <w:color w:val="auto"/>
              </w:rPr>
              <w:t>000-23993</w:t>
            </w:r>
          </w:p>
        </w:tc>
        <w:tc>
          <w:tcPr>
            <w:tcW w:w="80" w:type="dxa"/>
            <w:vAlign w:val="bottom"/>
          </w:tcPr>
          <w:p>
            <w:pPr>
              <w:spacing w:after="0"/>
              <w:rPr>
                <w:sz w:val="14"/>
                <w:szCs w:val="14"/>
                <w:color w:val="auto"/>
              </w:rPr>
            </w:pPr>
          </w:p>
        </w:tc>
        <w:tc>
          <w:tcPr>
            <w:tcW w:w="1020" w:type="dxa"/>
            <w:vAlign w:val="bottom"/>
          </w:tcPr>
          <w:p>
            <w:pPr>
              <w:jc w:val="center"/>
              <w:spacing w:after="0" w:line="165" w:lineRule="exact"/>
              <w:rPr>
                <w:sz w:val="20"/>
                <w:szCs w:val="20"/>
                <w:color w:val="auto"/>
              </w:rPr>
            </w:pPr>
            <w:r>
              <w:rPr>
                <w:rFonts w:ascii="Calibri" w:cs="Calibri" w:eastAsia="Calibri" w:hAnsi="Calibri"/>
                <w:sz w:val="18"/>
                <w:szCs w:val="18"/>
                <w:color w:val="auto"/>
                <w:w w:val="93"/>
              </w:rPr>
              <w:t>10.1</w:t>
            </w:r>
          </w:p>
        </w:tc>
        <w:tc>
          <w:tcPr>
            <w:tcW w:w="100" w:type="dxa"/>
            <w:vAlign w:val="bottom"/>
          </w:tcPr>
          <w:p>
            <w:pPr>
              <w:spacing w:after="0"/>
              <w:rPr>
                <w:sz w:val="14"/>
                <w:szCs w:val="14"/>
                <w:color w:val="auto"/>
              </w:rPr>
            </w:pPr>
          </w:p>
        </w:tc>
        <w:tc>
          <w:tcPr>
            <w:tcW w:w="1140" w:type="dxa"/>
            <w:vAlign w:val="bottom"/>
          </w:tcPr>
          <w:p>
            <w:pPr>
              <w:jc w:val="right"/>
              <w:ind w:right="233"/>
              <w:spacing w:after="0" w:line="165" w:lineRule="exact"/>
              <w:rPr>
                <w:sz w:val="20"/>
                <w:szCs w:val="20"/>
                <w:color w:val="auto"/>
              </w:rPr>
            </w:pPr>
            <w:r>
              <w:rPr>
                <w:rFonts w:ascii="Calibri" w:cs="Calibri" w:eastAsia="Calibri" w:hAnsi="Calibri"/>
                <w:sz w:val="18"/>
                <w:szCs w:val="18"/>
                <w:color w:val="auto"/>
                <w:w w:val="95"/>
              </w:rPr>
              <w:t>07-23-2009</w:t>
            </w:r>
          </w:p>
        </w:tc>
        <w:tc>
          <w:tcPr>
            <w:tcW w:w="0" w:type="dxa"/>
            <w:vAlign w:val="bottom"/>
          </w:tcPr>
          <w:p>
            <w:pPr>
              <w:spacing w:after="0"/>
              <w:rPr>
                <w:sz w:val="1"/>
                <w:szCs w:val="1"/>
                <w:color w:val="auto"/>
              </w:rPr>
            </w:pPr>
          </w:p>
        </w:tc>
      </w:tr>
      <w:tr>
        <w:trPr>
          <w:trHeight w:val="152"/>
        </w:trPr>
        <w:tc>
          <w:tcPr>
            <w:tcW w:w="8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20" w:type="dxa"/>
            <w:vAlign w:val="bottom"/>
            <w:tcBorders>
              <w:top w:val="single" w:sz="8" w:color="0000FF"/>
            </w:tcBorders>
            <w:gridSpan w:val="17"/>
          </w:tcPr>
          <w:p>
            <w:pPr>
              <w:spacing w:after="0" w:line="152" w:lineRule="exact"/>
              <w:rPr>
                <w:rFonts w:ascii="Calibri" w:cs="Calibri" w:eastAsia="Calibri" w:hAnsi="Calibri"/>
                <w:sz w:val="15"/>
                <w:szCs w:val="15"/>
                <w:color w:val="0000FF"/>
              </w:rPr>
            </w:pPr>
            <w:hyperlink r:id="rId154">
              <w:r>
                <w:rPr>
                  <w:rFonts w:ascii="Calibri" w:cs="Calibri" w:eastAsia="Calibri" w:hAnsi="Calibri"/>
                  <w:sz w:val="15"/>
                  <w:szCs w:val="15"/>
                  <w:color w:val="0000FF"/>
                </w:rPr>
                <w:t>Agreement by and between Qualcomm</w:t>
              </w:r>
            </w:hyperlink>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gridSpan w:val="2"/>
          </w:tcPr>
          <w:p>
            <w:pPr>
              <w:spacing w:after="0"/>
              <w:rPr>
                <w:sz w:val="13"/>
                <w:szCs w:val="13"/>
                <w:color w:val="auto"/>
              </w:rPr>
            </w:pPr>
          </w:p>
        </w:tc>
        <w:tc>
          <w:tcPr>
            <w:tcW w:w="2000" w:type="dxa"/>
            <w:vAlign w:val="bottom"/>
            <w:gridSpan w:val="2"/>
          </w:tcPr>
          <w:p>
            <w:pPr>
              <w:ind w:left="20"/>
              <w:spacing w:after="0" w:line="152" w:lineRule="exact"/>
              <w:rPr>
                <w:sz w:val="20"/>
                <w:szCs w:val="20"/>
                <w:color w:val="auto"/>
              </w:rPr>
            </w:pPr>
            <w:r>
              <w:rPr>
                <w:rFonts w:ascii="Calibri" w:cs="Calibri" w:eastAsia="Calibri" w:hAnsi="Calibri"/>
                <w:sz w:val="15"/>
                <w:szCs w:val="15"/>
                <w:color w:val="auto"/>
              </w:rPr>
              <w:t>Current Report on</w:t>
            </w:r>
          </w:p>
        </w:tc>
        <w:tc>
          <w:tcPr>
            <w:tcW w:w="1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740" w:type="dxa"/>
            <w:vAlign w:val="bottom"/>
            <w:tcBorders>
              <w:top w:val="single" w:sz="8" w:color="0000FF"/>
              <w:bottom w:val="single" w:sz="8" w:color="0000FF"/>
            </w:tcBorders>
            <w:gridSpan w:val="8"/>
          </w:tcPr>
          <w:p>
            <w:pPr>
              <w:spacing w:after="0" w:line="165" w:lineRule="exact"/>
              <w:rPr>
                <w:rFonts w:ascii="Calibri" w:cs="Calibri" w:eastAsia="Calibri" w:hAnsi="Calibri"/>
                <w:sz w:val="18"/>
                <w:szCs w:val="18"/>
                <w:color w:val="0000FF"/>
                <w:w w:val="90"/>
              </w:rPr>
            </w:pPr>
            <w:hyperlink r:id="rId154">
              <w:r>
                <w:rPr>
                  <w:rFonts w:ascii="Calibri" w:cs="Calibri" w:eastAsia="Calibri" w:hAnsi="Calibri"/>
                  <w:sz w:val="18"/>
                  <w:szCs w:val="18"/>
                  <w:color w:val="0000FF"/>
                  <w:w w:val="90"/>
                </w:rPr>
                <w:t>Incorporated and Broadcom Corporaton.</w:t>
              </w:r>
            </w:hyperlink>
          </w:p>
        </w:tc>
        <w:tc>
          <w:tcPr>
            <w:tcW w:w="6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40" w:type="dxa"/>
            <w:vAlign w:val="bottom"/>
            <w:tcBorders>
              <w:bottom w:val="single" w:sz="8" w:color="0000FF"/>
            </w:tcBorders>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gridSpan w:val="2"/>
          </w:tcPr>
          <w:p>
            <w:pPr>
              <w:spacing w:after="0"/>
              <w:rPr>
                <w:sz w:val="14"/>
                <w:szCs w:val="14"/>
                <w:color w:val="auto"/>
              </w:rPr>
            </w:pPr>
          </w:p>
        </w:tc>
        <w:tc>
          <w:tcPr>
            <w:tcW w:w="2000" w:type="dxa"/>
            <w:vAlign w:val="bottom"/>
            <w:gridSpan w:val="2"/>
          </w:tcPr>
          <w:p>
            <w:pPr>
              <w:ind w:left="20"/>
              <w:spacing w:after="0" w:line="165" w:lineRule="exact"/>
              <w:rPr>
                <w:sz w:val="20"/>
                <w:szCs w:val="20"/>
                <w:color w:val="auto"/>
              </w:rPr>
            </w:pPr>
            <w:r>
              <w:rPr>
                <w:rFonts w:ascii="Calibri" w:cs="Calibri" w:eastAsia="Calibri" w:hAnsi="Calibri"/>
                <w:sz w:val="18"/>
                <w:szCs w:val="18"/>
                <w:color w:val="auto"/>
              </w:rPr>
              <w:t>Form 8-K/A</w:t>
            </w: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860" w:type="dxa"/>
            <w:vAlign w:val="bottom"/>
          </w:tcPr>
          <w:p>
            <w:pPr>
              <w:jc w:val="right"/>
              <w:spacing w:after="0" w:line="205" w:lineRule="exact"/>
              <w:rPr>
                <w:sz w:val="20"/>
                <w:szCs w:val="20"/>
                <w:color w:val="auto"/>
              </w:rPr>
            </w:pPr>
            <w:r>
              <w:rPr>
                <w:rFonts w:ascii="Calibri" w:cs="Calibri" w:eastAsia="Calibri" w:hAnsi="Calibri"/>
                <w:sz w:val="18"/>
                <w:szCs w:val="18"/>
                <w:color w:val="auto"/>
              </w:rPr>
              <w:t>10.10</w:t>
            </w:r>
          </w:p>
        </w:tc>
        <w:tc>
          <w:tcPr>
            <w:tcW w:w="300" w:type="dxa"/>
            <w:vAlign w:val="bottom"/>
          </w:tcPr>
          <w:p>
            <w:pPr>
              <w:jc w:val="right"/>
              <w:ind w:right="72"/>
              <w:spacing w:after="0" w:line="205" w:lineRule="exact"/>
              <w:rPr>
                <w:sz w:val="20"/>
                <w:szCs w:val="20"/>
                <w:color w:val="auto"/>
              </w:rPr>
            </w:pPr>
            <w:r>
              <w:rPr>
                <w:rFonts w:ascii="Calibri" w:cs="Calibri" w:eastAsia="Calibri" w:hAnsi="Calibri"/>
                <w:sz w:val="18"/>
                <w:szCs w:val="18"/>
                <w:color w:val="auto"/>
              </w:rPr>
              <w:t>+</w:t>
            </w:r>
          </w:p>
        </w:tc>
        <w:tc>
          <w:tcPr>
            <w:tcW w:w="20" w:type="dxa"/>
            <w:vAlign w:val="bottom"/>
          </w:tcPr>
          <w:p>
            <w:pPr>
              <w:spacing w:after="0"/>
              <w:rPr>
                <w:sz w:val="17"/>
                <w:szCs w:val="17"/>
                <w:color w:val="auto"/>
              </w:rPr>
            </w:pPr>
          </w:p>
        </w:tc>
        <w:tc>
          <w:tcPr>
            <w:tcW w:w="3640" w:type="dxa"/>
            <w:vAlign w:val="bottom"/>
            <w:gridSpan w:val="27"/>
          </w:tcPr>
          <w:p>
            <w:pPr>
              <w:spacing w:after="0" w:line="205" w:lineRule="exact"/>
              <w:rPr>
                <w:rFonts w:ascii="Calibri" w:cs="Calibri" w:eastAsia="Calibri" w:hAnsi="Calibri"/>
                <w:sz w:val="18"/>
                <w:szCs w:val="18"/>
                <w:color w:val="0000FF"/>
              </w:rPr>
            </w:pPr>
            <w:hyperlink r:id="rId155">
              <w:r>
                <w:rPr>
                  <w:rFonts w:ascii="Calibri" w:cs="Calibri" w:eastAsia="Calibri" w:hAnsi="Calibri"/>
                  <w:sz w:val="18"/>
                  <w:szCs w:val="18"/>
                  <w:color w:val="0000FF"/>
                </w:rPr>
                <w:t>Avago Technologies Limited 2009 Equity Incentve</w:t>
              </w:r>
            </w:hyperlink>
          </w:p>
        </w:tc>
        <w:tc>
          <w:tcPr>
            <w:tcW w:w="2000" w:type="dxa"/>
            <w:vAlign w:val="bottom"/>
            <w:gridSpan w:val="2"/>
          </w:tcPr>
          <w:p>
            <w:pPr>
              <w:ind w:left="20"/>
              <w:spacing w:after="0" w:line="205" w:lineRule="exact"/>
              <w:rPr>
                <w:sz w:val="20"/>
                <w:szCs w:val="20"/>
                <w:color w:val="auto"/>
              </w:rPr>
            </w:pPr>
            <w:r>
              <w:rPr>
                <w:rFonts w:ascii="Calibri" w:cs="Calibri" w:eastAsia="Calibri" w:hAnsi="Calibri"/>
                <w:sz w:val="18"/>
                <w:szCs w:val="18"/>
                <w:color w:val="auto"/>
              </w:rPr>
              <w:t>Avago Technologies</w:t>
            </w:r>
          </w:p>
        </w:tc>
        <w:tc>
          <w:tcPr>
            <w:tcW w:w="1180" w:type="dxa"/>
            <w:vAlign w:val="bottom"/>
          </w:tcPr>
          <w:p>
            <w:pPr>
              <w:ind w:left="20"/>
              <w:spacing w:after="0" w:line="205" w:lineRule="exact"/>
              <w:rPr>
                <w:sz w:val="20"/>
                <w:szCs w:val="20"/>
                <w:color w:val="auto"/>
              </w:rPr>
            </w:pPr>
            <w:r>
              <w:rPr>
                <w:rFonts w:ascii="Calibri" w:cs="Calibri" w:eastAsia="Calibri" w:hAnsi="Calibri"/>
                <w:sz w:val="18"/>
                <w:szCs w:val="18"/>
                <w:color w:val="auto"/>
              </w:rPr>
              <w:t>333-153127</w:t>
            </w:r>
          </w:p>
        </w:tc>
        <w:tc>
          <w:tcPr>
            <w:tcW w:w="80" w:type="dxa"/>
            <w:vAlign w:val="bottom"/>
          </w:tcPr>
          <w:p>
            <w:pPr>
              <w:spacing w:after="0"/>
              <w:rPr>
                <w:sz w:val="17"/>
                <w:szCs w:val="17"/>
                <w:color w:val="auto"/>
              </w:rPr>
            </w:pPr>
          </w:p>
        </w:tc>
        <w:tc>
          <w:tcPr>
            <w:tcW w:w="1020" w:type="dxa"/>
            <w:vAlign w:val="bottom"/>
          </w:tcPr>
          <w:p>
            <w:pPr>
              <w:jc w:val="center"/>
              <w:spacing w:after="0" w:line="205" w:lineRule="exact"/>
              <w:rPr>
                <w:sz w:val="20"/>
                <w:szCs w:val="20"/>
                <w:color w:val="auto"/>
              </w:rPr>
            </w:pPr>
            <w:r>
              <w:rPr>
                <w:rFonts w:ascii="Calibri" w:cs="Calibri" w:eastAsia="Calibri" w:hAnsi="Calibri"/>
                <w:sz w:val="18"/>
                <w:szCs w:val="18"/>
                <w:color w:val="auto"/>
                <w:w w:val="92"/>
              </w:rPr>
              <w:t>10.18</w:t>
            </w:r>
          </w:p>
        </w:tc>
        <w:tc>
          <w:tcPr>
            <w:tcW w:w="100" w:type="dxa"/>
            <w:vAlign w:val="bottom"/>
          </w:tcPr>
          <w:p>
            <w:pPr>
              <w:spacing w:after="0"/>
              <w:rPr>
                <w:sz w:val="17"/>
                <w:szCs w:val="17"/>
                <w:color w:val="auto"/>
              </w:rPr>
            </w:pPr>
          </w:p>
        </w:tc>
        <w:tc>
          <w:tcPr>
            <w:tcW w:w="1140" w:type="dxa"/>
            <w:vAlign w:val="bottom"/>
          </w:tcPr>
          <w:p>
            <w:pPr>
              <w:jc w:val="right"/>
              <w:ind w:right="233"/>
              <w:spacing w:after="0" w:line="205" w:lineRule="exact"/>
              <w:rPr>
                <w:sz w:val="20"/>
                <w:szCs w:val="20"/>
                <w:color w:val="auto"/>
              </w:rPr>
            </w:pPr>
            <w:r>
              <w:rPr>
                <w:rFonts w:ascii="Calibri" w:cs="Calibri" w:eastAsia="Calibri" w:hAnsi="Calibri"/>
                <w:sz w:val="18"/>
                <w:szCs w:val="18"/>
                <w:color w:val="auto"/>
                <w:w w:val="95"/>
              </w:rPr>
              <w:t>07-27-2009</w:t>
            </w:r>
          </w:p>
        </w:tc>
        <w:tc>
          <w:tcPr>
            <w:tcW w:w="0" w:type="dxa"/>
            <w:vAlign w:val="bottom"/>
          </w:tcPr>
          <w:p>
            <w:pPr>
              <w:spacing w:after="0"/>
              <w:rPr>
                <w:sz w:val="1"/>
                <w:szCs w:val="1"/>
                <w:color w:val="auto"/>
              </w:rPr>
            </w:pPr>
          </w:p>
        </w:tc>
      </w:tr>
      <w:tr>
        <w:trPr>
          <w:trHeight w:val="152"/>
        </w:trPr>
        <w:tc>
          <w:tcPr>
            <w:tcW w:w="8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40" w:type="dxa"/>
            <w:vAlign w:val="bottom"/>
            <w:tcBorders>
              <w:top w:val="single" w:sz="8" w:color="0000FF"/>
            </w:tcBorders>
            <w:gridSpan w:val="23"/>
          </w:tcPr>
          <w:p>
            <w:pPr>
              <w:spacing w:after="0" w:line="152" w:lineRule="exact"/>
              <w:rPr>
                <w:rFonts w:ascii="Calibri" w:cs="Calibri" w:eastAsia="Calibri" w:hAnsi="Calibri"/>
                <w:sz w:val="15"/>
                <w:szCs w:val="15"/>
                <w:color w:val="0000FF"/>
              </w:rPr>
            </w:pPr>
            <w:hyperlink r:id="rId155">
              <w:r>
                <w:rPr>
                  <w:rFonts w:ascii="Calibri" w:cs="Calibri" w:eastAsia="Calibri" w:hAnsi="Calibri"/>
                  <w:sz w:val="15"/>
                  <w:szCs w:val="15"/>
                  <w:color w:val="0000FF"/>
                </w:rPr>
                <w:t>Award Plan.</w:t>
              </w:r>
            </w:hyperlink>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gridSpan w:val="2"/>
          </w:tcPr>
          <w:p>
            <w:pPr>
              <w:spacing w:after="0"/>
              <w:rPr>
                <w:sz w:val="13"/>
                <w:szCs w:val="13"/>
                <w:color w:val="auto"/>
              </w:rPr>
            </w:pPr>
          </w:p>
        </w:tc>
        <w:tc>
          <w:tcPr>
            <w:tcW w:w="2000" w:type="dxa"/>
            <w:vAlign w:val="bottom"/>
            <w:gridSpan w:val="2"/>
          </w:tcPr>
          <w:p>
            <w:pPr>
              <w:ind w:left="20"/>
              <w:spacing w:after="0" w:line="152" w:lineRule="exact"/>
              <w:rPr>
                <w:sz w:val="20"/>
                <w:szCs w:val="20"/>
                <w:color w:val="auto"/>
              </w:rPr>
            </w:pPr>
            <w:r>
              <w:rPr>
                <w:rFonts w:ascii="Calibri" w:cs="Calibri" w:eastAsia="Calibri" w:hAnsi="Calibri"/>
                <w:sz w:val="15"/>
                <w:szCs w:val="15"/>
                <w:color w:val="auto"/>
              </w:rPr>
              <w:t>Limited Amendment No. 5</w:t>
            </w:r>
          </w:p>
        </w:tc>
        <w:tc>
          <w:tcPr>
            <w:tcW w:w="1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8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1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0" w:type="dxa"/>
            <w:vAlign w:val="bottom"/>
            <w:gridSpan w:val="2"/>
          </w:tcPr>
          <w:p>
            <w:pPr>
              <w:ind w:left="20"/>
              <w:spacing w:after="0" w:line="157" w:lineRule="exact"/>
              <w:rPr>
                <w:sz w:val="20"/>
                <w:szCs w:val="20"/>
                <w:color w:val="auto"/>
              </w:rPr>
            </w:pPr>
            <w:r>
              <w:rPr>
                <w:rFonts w:ascii="Calibri" w:cs="Calibri" w:eastAsia="Calibri" w:hAnsi="Calibri"/>
                <w:sz w:val="17"/>
                <w:szCs w:val="17"/>
                <w:color w:val="auto"/>
              </w:rPr>
              <w:t>to Registraton Statement</w:t>
            </w:r>
          </w:p>
        </w:tc>
        <w:tc>
          <w:tcPr>
            <w:tcW w:w="1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0" w:type="dxa"/>
            <w:vAlign w:val="bottom"/>
            <w:gridSpan w:val="2"/>
          </w:tcPr>
          <w:p>
            <w:pPr>
              <w:ind w:left="20"/>
              <w:spacing w:after="0" w:line="172" w:lineRule="exact"/>
              <w:rPr>
                <w:sz w:val="20"/>
                <w:szCs w:val="20"/>
                <w:color w:val="auto"/>
              </w:rPr>
            </w:pPr>
            <w:r>
              <w:rPr>
                <w:rFonts w:ascii="Calibri" w:cs="Calibri" w:eastAsia="Calibri" w:hAnsi="Calibri"/>
                <w:sz w:val="18"/>
                <w:szCs w:val="18"/>
                <w:color w:val="auto"/>
              </w:rPr>
              <w:t>on</w:t>
            </w: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0" w:type="dxa"/>
            <w:vAlign w:val="bottom"/>
            <w:gridSpan w:val="2"/>
          </w:tcPr>
          <w:p>
            <w:pPr>
              <w:ind w:left="20"/>
              <w:spacing w:after="0" w:line="210" w:lineRule="exact"/>
              <w:rPr>
                <w:sz w:val="20"/>
                <w:szCs w:val="20"/>
                <w:color w:val="auto"/>
              </w:rPr>
            </w:pPr>
            <w:r>
              <w:rPr>
                <w:rFonts w:ascii="Calibri" w:cs="Calibri" w:eastAsia="Calibri" w:hAnsi="Calibri"/>
                <w:sz w:val="18"/>
                <w:szCs w:val="18"/>
                <w:color w:val="auto"/>
              </w:rPr>
              <w:t>Form S-1</w:t>
            </w: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860" w:type="dxa"/>
            <w:vAlign w:val="bottom"/>
          </w:tcPr>
          <w:p>
            <w:pPr>
              <w:jc w:val="right"/>
              <w:spacing w:after="0" w:line="206" w:lineRule="exact"/>
              <w:rPr>
                <w:sz w:val="20"/>
                <w:szCs w:val="20"/>
                <w:color w:val="auto"/>
              </w:rPr>
            </w:pPr>
            <w:r>
              <w:rPr>
                <w:rFonts w:ascii="Calibri" w:cs="Calibri" w:eastAsia="Calibri" w:hAnsi="Calibri"/>
                <w:sz w:val="18"/>
                <w:szCs w:val="18"/>
                <w:color w:val="auto"/>
              </w:rPr>
              <w:t>10.11</w:t>
            </w:r>
          </w:p>
        </w:tc>
        <w:tc>
          <w:tcPr>
            <w:tcW w:w="300" w:type="dxa"/>
            <w:vAlign w:val="bottom"/>
          </w:tcPr>
          <w:p>
            <w:pPr>
              <w:jc w:val="right"/>
              <w:ind w:right="72"/>
              <w:spacing w:after="0" w:line="206" w:lineRule="exact"/>
              <w:rPr>
                <w:sz w:val="20"/>
                <w:szCs w:val="20"/>
                <w:color w:val="auto"/>
              </w:rPr>
            </w:pPr>
            <w:r>
              <w:rPr>
                <w:rFonts w:ascii="Calibri" w:cs="Calibri" w:eastAsia="Calibri" w:hAnsi="Calibri"/>
                <w:sz w:val="18"/>
                <w:szCs w:val="18"/>
                <w:color w:val="auto"/>
              </w:rPr>
              <w:t>+</w:t>
            </w:r>
          </w:p>
        </w:tc>
        <w:tc>
          <w:tcPr>
            <w:tcW w:w="20" w:type="dxa"/>
            <w:vAlign w:val="bottom"/>
          </w:tcPr>
          <w:p>
            <w:pPr>
              <w:spacing w:after="0"/>
              <w:rPr>
                <w:sz w:val="17"/>
                <w:szCs w:val="17"/>
                <w:color w:val="auto"/>
              </w:rPr>
            </w:pPr>
          </w:p>
        </w:tc>
        <w:tc>
          <w:tcPr>
            <w:tcW w:w="3640" w:type="dxa"/>
            <w:vAlign w:val="bottom"/>
            <w:gridSpan w:val="27"/>
          </w:tcPr>
          <w:p>
            <w:pPr>
              <w:spacing w:after="0" w:line="206" w:lineRule="exact"/>
              <w:rPr>
                <w:rFonts w:ascii="Calibri" w:cs="Calibri" w:eastAsia="Calibri" w:hAnsi="Calibri"/>
                <w:sz w:val="18"/>
                <w:szCs w:val="18"/>
                <w:color w:val="0000FF"/>
              </w:rPr>
            </w:pPr>
            <w:hyperlink r:id="rId156">
              <w:r>
                <w:rPr>
                  <w:rFonts w:ascii="Calibri" w:cs="Calibri" w:eastAsia="Calibri" w:hAnsi="Calibri"/>
                  <w:sz w:val="18"/>
                  <w:szCs w:val="18"/>
                  <w:color w:val="0000FF"/>
                </w:rPr>
                <w:t>Broadcom Inc. Employee Stock Purchase Plan (as</w:t>
              </w:r>
            </w:hyperlink>
          </w:p>
        </w:tc>
        <w:tc>
          <w:tcPr>
            <w:tcW w:w="2000" w:type="dxa"/>
            <w:vAlign w:val="bottom"/>
            <w:gridSpan w:val="2"/>
          </w:tcPr>
          <w:p>
            <w:pPr>
              <w:ind w:left="20"/>
              <w:spacing w:after="0" w:line="206" w:lineRule="exact"/>
              <w:rPr>
                <w:sz w:val="20"/>
                <w:szCs w:val="20"/>
                <w:color w:val="auto"/>
              </w:rPr>
            </w:pPr>
            <w:r>
              <w:rPr>
                <w:rFonts w:ascii="Calibri" w:cs="Calibri" w:eastAsia="Calibri" w:hAnsi="Calibri"/>
                <w:sz w:val="18"/>
                <w:szCs w:val="18"/>
                <w:color w:val="auto"/>
              </w:rPr>
              <w:t>Broadcom Inc. Defnitve</w:t>
            </w:r>
          </w:p>
        </w:tc>
        <w:tc>
          <w:tcPr>
            <w:tcW w:w="1180" w:type="dxa"/>
            <w:vAlign w:val="bottom"/>
          </w:tcPr>
          <w:p>
            <w:pPr>
              <w:ind w:left="20"/>
              <w:spacing w:after="0" w:line="206" w:lineRule="exact"/>
              <w:rPr>
                <w:sz w:val="20"/>
                <w:szCs w:val="20"/>
                <w:color w:val="auto"/>
              </w:rPr>
            </w:pPr>
            <w:r>
              <w:rPr>
                <w:rFonts w:ascii="Calibri" w:cs="Calibri" w:eastAsia="Calibri" w:hAnsi="Calibri"/>
                <w:sz w:val="18"/>
                <w:szCs w:val="18"/>
                <w:color w:val="auto"/>
              </w:rPr>
              <w:t>001-38449</w:t>
            </w:r>
          </w:p>
        </w:tc>
        <w:tc>
          <w:tcPr>
            <w:tcW w:w="80" w:type="dxa"/>
            <w:vAlign w:val="bottom"/>
          </w:tcPr>
          <w:p>
            <w:pPr>
              <w:spacing w:after="0"/>
              <w:rPr>
                <w:sz w:val="17"/>
                <w:szCs w:val="17"/>
                <w:color w:val="auto"/>
              </w:rPr>
            </w:pPr>
          </w:p>
        </w:tc>
        <w:tc>
          <w:tcPr>
            <w:tcW w:w="1120" w:type="dxa"/>
            <w:vAlign w:val="bottom"/>
            <w:gridSpan w:val="2"/>
          </w:tcPr>
          <w:p>
            <w:pPr>
              <w:jc w:val="center"/>
              <w:ind w:right="100"/>
              <w:spacing w:after="0" w:line="206" w:lineRule="exact"/>
              <w:rPr>
                <w:sz w:val="20"/>
                <w:szCs w:val="20"/>
                <w:color w:val="auto"/>
              </w:rPr>
            </w:pPr>
            <w:r>
              <w:rPr>
                <w:rFonts w:ascii="Calibri" w:cs="Calibri" w:eastAsia="Calibri" w:hAnsi="Calibri"/>
                <w:sz w:val="18"/>
                <w:szCs w:val="18"/>
                <w:color w:val="auto"/>
                <w:w w:val="96"/>
              </w:rPr>
              <w:t>Appendix B-1</w:t>
            </w:r>
          </w:p>
        </w:tc>
        <w:tc>
          <w:tcPr>
            <w:tcW w:w="1140" w:type="dxa"/>
            <w:vAlign w:val="bottom"/>
          </w:tcPr>
          <w:p>
            <w:pPr>
              <w:jc w:val="right"/>
              <w:ind w:right="233"/>
              <w:spacing w:after="0" w:line="206" w:lineRule="exact"/>
              <w:rPr>
                <w:sz w:val="20"/>
                <w:szCs w:val="20"/>
                <w:color w:val="auto"/>
              </w:rPr>
            </w:pPr>
            <w:r>
              <w:rPr>
                <w:rFonts w:ascii="Calibri" w:cs="Calibri" w:eastAsia="Calibri" w:hAnsi="Calibri"/>
                <w:sz w:val="18"/>
                <w:szCs w:val="18"/>
                <w:color w:val="auto"/>
                <w:w w:val="95"/>
              </w:rPr>
              <w:t>02-19-2019</w:t>
            </w:r>
          </w:p>
        </w:tc>
        <w:tc>
          <w:tcPr>
            <w:tcW w:w="0" w:type="dxa"/>
            <w:vAlign w:val="bottom"/>
          </w:tcPr>
          <w:p>
            <w:pPr>
              <w:spacing w:after="0"/>
              <w:rPr>
                <w:sz w:val="1"/>
                <w:szCs w:val="1"/>
                <w:color w:val="auto"/>
              </w:rPr>
            </w:pPr>
          </w:p>
        </w:tc>
      </w:tr>
      <w:tr>
        <w:trPr>
          <w:trHeight w:val="152"/>
        </w:trPr>
        <w:tc>
          <w:tcPr>
            <w:tcW w:w="8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00" w:type="dxa"/>
            <w:vAlign w:val="bottom"/>
            <w:tcBorders>
              <w:top w:val="single" w:sz="8" w:color="0000FF"/>
            </w:tcBorders>
            <w:gridSpan w:val="22"/>
          </w:tcPr>
          <w:p>
            <w:pPr>
              <w:spacing w:after="0" w:line="152" w:lineRule="exact"/>
              <w:rPr>
                <w:rFonts w:ascii="Calibri" w:cs="Calibri" w:eastAsia="Calibri" w:hAnsi="Calibri"/>
                <w:sz w:val="15"/>
                <w:szCs w:val="15"/>
                <w:color w:val="0000FF"/>
              </w:rPr>
            </w:pPr>
            <w:hyperlink r:id="rId156">
              <w:r>
                <w:rPr>
                  <w:rFonts w:ascii="Calibri" w:cs="Calibri" w:eastAsia="Calibri" w:hAnsi="Calibri"/>
                  <w:sz w:val="15"/>
                  <w:szCs w:val="15"/>
                  <w:color w:val="0000FF"/>
                </w:rPr>
                <w:t>amended and restated on April 1, 2019).</w:t>
              </w:r>
            </w:hyperlink>
          </w:p>
        </w:tc>
        <w:tc>
          <w:tcPr>
            <w:tcW w:w="8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gridSpan w:val="2"/>
          </w:tcPr>
          <w:p>
            <w:pPr>
              <w:spacing w:after="0"/>
              <w:rPr>
                <w:sz w:val="13"/>
                <w:szCs w:val="13"/>
                <w:color w:val="auto"/>
              </w:rPr>
            </w:pPr>
          </w:p>
        </w:tc>
        <w:tc>
          <w:tcPr>
            <w:tcW w:w="2000" w:type="dxa"/>
            <w:vAlign w:val="bottom"/>
            <w:gridSpan w:val="2"/>
          </w:tcPr>
          <w:p>
            <w:pPr>
              <w:ind w:left="20"/>
              <w:spacing w:after="0" w:line="152" w:lineRule="exact"/>
              <w:rPr>
                <w:sz w:val="20"/>
                <w:szCs w:val="20"/>
                <w:color w:val="auto"/>
              </w:rPr>
            </w:pPr>
            <w:r>
              <w:rPr>
                <w:rFonts w:ascii="Calibri" w:cs="Calibri" w:eastAsia="Calibri" w:hAnsi="Calibri"/>
                <w:sz w:val="15"/>
                <w:szCs w:val="15"/>
                <w:color w:val="auto"/>
              </w:rPr>
              <w:t>Proxy Statement on</w:t>
            </w:r>
          </w:p>
        </w:tc>
        <w:tc>
          <w:tcPr>
            <w:tcW w:w="1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186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0" w:type="dxa"/>
            <w:vAlign w:val="bottom"/>
            <w:gridSpan w:val="2"/>
          </w:tcPr>
          <w:p>
            <w:pPr>
              <w:ind w:left="20"/>
              <w:spacing w:after="0" w:line="196" w:lineRule="exact"/>
              <w:rPr>
                <w:sz w:val="20"/>
                <w:szCs w:val="20"/>
                <w:color w:val="auto"/>
              </w:rPr>
            </w:pPr>
            <w:r>
              <w:rPr>
                <w:rFonts w:ascii="Calibri" w:cs="Calibri" w:eastAsia="Calibri" w:hAnsi="Calibri"/>
                <w:sz w:val="18"/>
                <w:szCs w:val="18"/>
                <w:color w:val="auto"/>
              </w:rPr>
              <w:t>Schedule 14A</w:t>
            </w: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860" w:type="dxa"/>
            <w:vAlign w:val="bottom"/>
          </w:tcPr>
          <w:p>
            <w:pPr>
              <w:jc w:val="right"/>
              <w:spacing w:after="0" w:line="194" w:lineRule="exact"/>
              <w:rPr>
                <w:sz w:val="20"/>
                <w:szCs w:val="20"/>
                <w:color w:val="auto"/>
              </w:rPr>
            </w:pPr>
            <w:r>
              <w:rPr>
                <w:rFonts w:ascii="Calibri" w:cs="Calibri" w:eastAsia="Calibri" w:hAnsi="Calibri"/>
                <w:sz w:val="18"/>
                <w:szCs w:val="18"/>
                <w:color w:val="auto"/>
              </w:rPr>
              <w:t>10.12</w:t>
            </w:r>
          </w:p>
        </w:tc>
        <w:tc>
          <w:tcPr>
            <w:tcW w:w="300" w:type="dxa"/>
            <w:vAlign w:val="bottom"/>
          </w:tcPr>
          <w:p>
            <w:pPr>
              <w:jc w:val="right"/>
              <w:ind w:right="72"/>
              <w:spacing w:after="0" w:line="194" w:lineRule="exact"/>
              <w:rPr>
                <w:sz w:val="20"/>
                <w:szCs w:val="20"/>
                <w:color w:val="auto"/>
              </w:rPr>
            </w:pPr>
            <w:r>
              <w:rPr>
                <w:rFonts w:ascii="Calibri" w:cs="Calibri" w:eastAsia="Calibri" w:hAnsi="Calibri"/>
                <w:sz w:val="18"/>
                <w:szCs w:val="18"/>
                <w:color w:val="auto"/>
              </w:rPr>
              <w:t>+</w:t>
            </w:r>
          </w:p>
        </w:tc>
        <w:tc>
          <w:tcPr>
            <w:tcW w:w="20" w:type="dxa"/>
            <w:vAlign w:val="bottom"/>
          </w:tcPr>
          <w:p>
            <w:pPr>
              <w:spacing w:after="0"/>
              <w:rPr>
                <w:sz w:val="16"/>
                <w:szCs w:val="16"/>
                <w:color w:val="auto"/>
              </w:rPr>
            </w:pPr>
          </w:p>
        </w:tc>
        <w:tc>
          <w:tcPr>
            <w:tcW w:w="3640" w:type="dxa"/>
            <w:vAlign w:val="bottom"/>
            <w:gridSpan w:val="27"/>
          </w:tcPr>
          <w:p>
            <w:pPr>
              <w:spacing w:after="0" w:line="194" w:lineRule="exact"/>
              <w:rPr>
                <w:rFonts w:ascii="Calibri" w:cs="Calibri" w:eastAsia="Calibri" w:hAnsi="Calibri"/>
                <w:sz w:val="18"/>
                <w:szCs w:val="18"/>
                <w:color w:val="0000FF"/>
              </w:rPr>
            </w:pPr>
            <w:hyperlink r:id="rId157">
              <w:r>
                <w:rPr>
                  <w:rFonts w:ascii="Calibri" w:cs="Calibri" w:eastAsia="Calibri" w:hAnsi="Calibri"/>
                  <w:sz w:val="18"/>
                  <w:szCs w:val="18"/>
                  <w:color w:val="0000FF"/>
                </w:rPr>
                <w:t>LSI Corporaton 2003 Equity Incentve Plan, as</w:t>
              </w:r>
            </w:hyperlink>
          </w:p>
        </w:tc>
        <w:tc>
          <w:tcPr>
            <w:tcW w:w="2000" w:type="dxa"/>
            <w:vAlign w:val="bottom"/>
            <w:gridSpan w:val="2"/>
          </w:tcPr>
          <w:p>
            <w:pPr>
              <w:ind w:left="20"/>
              <w:spacing w:after="0" w:line="194" w:lineRule="exact"/>
              <w:rPr>
                <w:sz w:val="20"/>
                <w:szCs w:val="20"/>
                <w:color w:val="auto"/>
              </w:rPr>
            </w:pPr>
            <w:r>
              <w:rPr>
                <w:rFonts w:ascii="Calibri" w:cs="Calibri" w:eastAsia="Calibri" w:hAnsi="Calibri"/>
                <w:sz w:val="18"/>
                <w:szCs w:val="18"/>
                <w:color w:val="auto"/>
              </w:rPr>
              <w:t>Avago Technologies</w:t>
            </w:r>
          </w:p>
        </w:tc>
        <w:tc>
          <w:tcPr>
            <w:tcW w:w="1180" w:type="dxa"/>
            <w:vAlign w:val="bottom"/>
          </w:tcPr>
          <w:p>
            <w:pPr>
              <w:ind w:left="20"/>
              <w:spacing w:after="0" w:line="194" w:lineRule="exact"/>
              <w:rPr>
                <w:sz w:val="20"/>
                <w:szCs w:val="20"/>
                <w:color w:val="auto"/>
              </w:rPr>
            </w:pPr>
            <w:r>
              <w:rPr>
                <w:rFonts w:ascii="Calibri" w:cs="Calibri" w:eastAsia="Calibri" w:hAnsi="Calibri"/>
                <w:sz w:val="18"/>
                <w:szCs w:val="18"/>
                <w:color w:val="auto"/>
              </w:rPr>
              <w:t>333-195741</w:t>
            </w:r>
          </w:p>
        </w:tc>
        <w:tc>
          <w:tcPr>
            <w:tcW w:w="80" w:type="dxa"/>
            <w:vAlign w:val="bottom"/>
          </w:tcPr>
          <w:p>
            <w:pPr>
              <w:spacing w:after="0"/>
              <w:rPr>
                <w:sz w:val="16"/>
                <w:szCs w:val="16"/>
                <w:color w:val="auto"/>
              </w:rPr>
            </w:pPr>
          </w:p>
        </w:tc>
        <w:tc>
          <w:tcPr>
            <w:tcW w:w="1020" w:type="dxa"/>
            <w:vAlign w:val="bottom"/>
          </w:tcPr>
          <w:p>
            <w:pPr>
              <w:jc w:val="center"/>
              <w:spacing w:after="0" w:line="194" w:lineRule="exact"/>
              <w:rPr>
                <w:sz w:val="20"/>
                <w:szCs w:val="20"/>
                <w:color w:val="auto"/>
              </w:rPr>
            </w:pPr>
            <w:r>
              <w:rPr>
                <w:rFonts w:ascii="Calibri" w:cs="Calibri" w:eastAsia="Calibri" w:hAnsi="Calibri"/>
                <w:sz w:val="18"/>
                <w:szCs w:val="18"/>
                <w:color w:val="auto"/>
                <w:w w:val="96"/>
              </w:rPr>
              <w:t>4.1</w:t>
            </w:r>
          </w:p>
        </w:tc>
        <w:tc>
          <w:tcPr>
            <w:tcW w:w="100" w:type="dxa"/>
            <w:vAlign w:val="bottom"/>
          </w:tcPr>
          <w:p>
            <w:pPr>
              <w:spacing w:after="0"/>
              <w:rPr>
                <w:sz w:val="16"/>
                <w:szCs w:val="16"/>
                <w:color w:val="auto"/>
              </w:rPr>
            </w:pPr>
          </w:p>
        </w:tc>
        <w:tc>
          <w:tcPr>
            <w:tcW w:w="1140" w:type="dxa"/>
            <w:vAlign w:val="bottom"/>
          </w:tcPr>
          <w:p>
            <w:pPr>
              <w:jc w:val="right"/>
              <w:ind w:right="233"/>
              <w:spacing w:after="0" w:line="194" w:lineRule="exact"/>
              <w:rPr>
                <w:sz w:val="20"/>
                <w:szCs w:val="20"/>
                <w:color w:val="auto"/>
              </w:rPr>
            </w:pPr>
            <w:r>
              <w:rPr>
                <w:rFonts w:ascii="Calibri" w:cs="Calibri" w:eastAsia="Calibri" w:hAnsi="Calibri"/>
                <w:sz w:val="18"/>
                <w:szCs w:val="18"/>
                <w:color w:val="auto"/>
                <w:w w:val="95"/>
              </w:rPr>
              <w:t>05-06-2014</w:t>
            </w:r>
          </w:p>
        </w:tc>
        <w:tc>
          <w:tcPr>
            <w:tcW w:w="0" w:type="dxa"/>
            <w:vAlign w:val="bottom"/>
          </w:tcPr>
          <w:p>
            <w:pPr>
              <w:spacing w:after="0"/>
              <w:rPr>
                <w:sz w:val="1"/>
                <w:szCs w:val="1"/>
                <w:color w:val="auto"/>
              </w:rPr>
            </w:pPr>
          </w:p>
        </w:tc>
      </w:tr>
      <w:tr>
        <w:trPr>
          <w:trHeight w:val="152"/>
        </w:trPr>
        <w:tc>
          <w:tcPr>
            <w:tcW w:w="8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160" w:type="dxa"/>
            <w:vAlign w:val="bottom"/>
            <w:tcBorders>
              <w:top w:val="single" w:sz="8" w:color="0000FF"/>
            </w:tcBorders>
            <w:gridSpan w:val="16"/>
          </w:tcPr>
          <w:p>
            <w:pPr>
              <w:spacing w:after="0" w:line="152" w:lineRule="exact"/>
              <w:rPr>
                <w:rFonts w:ascii="Calibri" w:cs="Calibri" w:eastAsia="Calibri" w:hAnsi="Calibri"/>
                <w:sz w:val="15"/>
                <w:szCs w:val="15"/>
                <w:color w:val="0000FF"/>
              </w:rPr>
            </w:pPr>
            <w:hyperlink r:id="rId157">
              <w:r>
                <w:rPr>
                  <w:rFonts w:ascii="Calibri" w:cs="Calibri" w:eastAsia="Calibri" w:hAnsi="Calibri"/>
                  <w:sz w:val="15"/>
                  <w:szCs w:val="15"/>
                  <w:color w:val="0000FF"/>
                </w:rPr>
                <w:t>amended.</w:t>
              </w:r>
            </w:hyperlink>
          </w:p>
        </w:tc>
        <w:tc>
          <w:tcPr>
            <w:tcW w:w="10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gridSpan w:val="2"/>
          </w:tcPr>
          <w:p>
            <w:pPr>
              <w:spacing w:after="0"/>
              <w:rPr>
                <w:sz w:val="13"/>
                <w:szCs w:val="13"/>
                <w:color w:val="auto"/>
              </w:rPr>
            </w:pPr>
          </w:p>
        </w:tc>
        <w:tc>
          <w:tcPr>
            <w:tcW w:w="2000" w:type="dxa"/>
            <w:vAlign w:val="bottom"/>
            <w:gridSpan w:val="2"/>
          </w:tcPr>
          <w:p>
            <w:pPr>
              <w:ind w:left="20"/>
              <w:spacing w:after="0" w:line="152" w:lineRule="exact"/>
              <w:rPr>
                <w:sz w:val="20"/>
                <w:szCs w:val="20"/>
                <w:color w:val="auto"/>
              </w:rPr>
            </w:pPr>
            <w:r>
              <w:rPr>
                <w:rFonts w:ascii="Calibri" w:cs="Calibri" w:eastAsia="Calibri" w:hAnsi="Calibri"/>
                <w:sz w:val="15"/>
                <w:szCs w:val="15"/>
                <w:color w:val="auto"/>
              </w:rPr>
              <w:t>Limited Registraton</w:t>
            </w:r>
          </w:p>
        </w:tc>
        <w:tc>
          <w:tcPr>
            <w:tcW w:w="1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8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0" w:type="dxa"/>
            <w:vAlign w:val="bottom"/>
            <w:gridSpan w:val="2"/>
          </w:tcPr>
          <w:p>
            <w:pPr>
              <w:ind w:left="20"/>
              <w:spacing w:after="0" w:line="157" w:lineRule="exact"/>
              <w:rPr>
                <w:sz w:val="20"/>
                <w:szCs w:val="20"/>
                <w:color w:val="auto"/>
              </w:rPr>
            </w:pPr>
            <w:r>
              <w:rPr>
                <w:rFonts w:ascii="Calibri" w:cs="Calibri" w:eastAsia="Calibri" w:hAnsi="Calibri"/>
                <w:sz w:val="17"/>
                <w:szCs w:val="17"/>
                <w:color w:val="auto"/>
              </w:rPr>
              <w:t>Statement on</w:t>
            </w:r>
          </w:p>
        </w:tc>
        <w:tc>
          <w:tcPr>
            <w:tcW w:w="1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0" w:type="dxa"/>
            <w:vAlign w:val="bottom"/>
            <w:gridSpan w:val="2"/>
          </w:tcPr>
          <w:p>
            <w:pPr>
              <w:ind w:left="20"/>
              <w:spacing w:after="0" w:line="210" w:lineRule="exact"/>
              <w:rPr>
                <w:sz w:val="20"/>
                <w:szCs w:val="20"/>
                <w:color w:val="auto"/>
              </w:rPr>
            </w:pPr>
            <w:r>
              <w:rPr>
                <w:rFonts w:ascii="Calibri" w:cs="Calibri" w:eastAsia="Calibri" w:hAnsi="Calibri"/>
                <w:sz w:val="18"/>
                <w:szCs w:val="18"/>
                <w:color w:val="auto"/>
              </w:rPr>
              <w:t>Form S-8</w:t>
            </w: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860" w:type="dxa"/>
            <w:vAlign w:val="bottom"/>
          </w:tcPr>
          <w:p>
            <w:pPr>
              <w:jc w:val="right"/>
              <w:spacing w:after="0" w:line="194" w:lineRule="exact"/>
              <w:rPr>
                <w:sz w:val="20"/>
                <w:szCs w:val="20"/>
                <w:color w:val="auto"/>
              </w:rPr>
            </w:pPr>
            <w:r>
              <w:rPr>
                <w:rFonts w:ascii="Calibri" w:cs="Calibri" w:eastAsia="Calibri" w:hAnsi="Calibri"/>
                <w:sz w:val="18"/>
                <w:szCs w:val="18"/>
                <w:color w:val="auto"/>
              </w:rPr>
              <w:t>10.13</w:t>
            </w:r>
          </w:p>
        </w:tc>
        <w:tc>
          <w:tcPr>
            <w:tcW w:w="300" w:type="dxa"/>
            <w:vAlign w:val="bottom"/>
          </w:tcPr>
          <w:p>
            <w:pPr>
              <w:jc w:val="right"/>
              <w:ind w:right="72"/>
              <w:spacing w:after="0" w:line="194" w:lineRule="exact"/>
              <w:rPr>
                <w:sz w:val="20"/>
                <w:szCs w:val="20"/>
                <w:color w:val="auto"/>
              </w:rPr>
            </w:pPr>
            <w:r>
              <w:rPr>
                <w:rFonts w:ascii="Calibri" w:cs="Calibri" w:eastAsia="Calibri" w:hAnsi="Calibri"/>
                <w:sz w:val="18"/>
                <w:szCs w:val="18"/>
                <w:color w:val="auto"/>
              </w:rPr>
              <w:t>+</w:t>
            </w:r>
          </w:p>
        </w:tc>
        <w:tc>
          <w:tcPr>
            <w:tcW w:w="20" w:type="dxa"/>
            <w:vAlign w:val="bottom"/>
          </w:tcPr>
          <w:p>
            <w:pPr>
              <w:spacing w:after="0"/>
              <w:rPr>
                <w:sz w:val="16"/>
                <w:szCs w:val="16"/>
                <w:color w:val="auto"/>
              </w:rPr>
            </w:pPr>
          </w:p>
        </w:tc>
        <w:tc>
          <w:tcPr>
            <w:tcW w:w="3640" w:type="dxa"/>
            <w:vAlign w:val="bottom"/>
            <w:gridSpan w:val="27"/>
          </w:tcPr>
          <w:p>
            <w:pPr>
              <w:spacing w:after="0" w:line="194" w:lineRule="exact"/>
              <w:rPr>
                <w:rFonts w:ascii="Calibri" w:cs="Calibri" w:eastAsia="Calibri" w:hAnsi="Calibri"/>
                <w:sz w:val="18"/>
                <w:szCs w:val="18"/>
                <w:color w:val="0000FF"/>
              </w:rPr>
            </w:pPr>
            <w:hyperlink r:id="rId158">
              <w:r>
                <w:rPr>
                  <w:rFonts w:ascii="Calibri" w:cs="Calibri" w:eastAsia="Calibri" w:hAnsi="Calibri"/>
                  <w:sz w:val="18"/>
                  <w:szCs w:val="18"/>
                  <w:color w:val="0000FF"/>
                </w:rPr>
                <w:t>Amendment to the LSI Corporaton 2003 Equity</w:t>
              </w:r>
            </w:hyperlink>
          </w:p>
        </w:tc>
        <w:tc>
          <w:tcPr>
            <w:tcW w:w="2000" w:type="dxa"/>
            <w:vAlign w:val="bottom"/>
            <w:gridSpan w:val="2"/>
          </w:tcPr>
          <w:p>
            <w:pPr>
              <w:ind w:left="20"/>
              <w:spacing w:after="0" w:line="194" w:lineRule="exact"/>
              <w:rPr>
                <w:sz w:val="20"/>
                <w:szCs w:val="20"/>
                <w:color w:val="auto"/>
              </w:rPr>
            </w:pPr>
            <w:r>
              <w:rPr>
                <w:rFonts w:ascii="Calibri" w:cs="Calibri" w:eastAsia="Calibri" w:hAnsi="Calibri"/>
                <w:sz w:val="18"/>
                <w:szCs w:val="18"/>
                <w:color w:val="auto"/>
              </w:rPr>
              <w:t>Broadcom Limited Annual</w:t>
            </w:r>
          </w:p>
        </w:tc>
        <w:tc>
          <w:tcPr>
            <w:tcW w:w="1180" w:type="dxa"/>
            <w:vAlign w:val="bottom"/>
          </w:tcPr>
          <w:p>
            <w:pPr>
              <w:ind w:left="20"/>
              <w:spacing w:after="0" w:line="194" w:lineRule="exact"/>
              <w:rPr>
                <w:sz w:val="20"/>
                <w:szCs w:val="20"/>
                <w:color w:val="auto"/>
              </w:rPr>
            </w:pPr>
            <w:r>
              <w:rPr>
                <w:rFonts w:ascii="Calibri" w:cs="Calibri" w:eastAsia="Calibri" w:hAnsi="Calibri"/>
                <w:sz w:val="18"/>
                <w:szCs w:val="18"/>
                <w:color w:val="auto"/>
              </w:rPr>
              <w:t>001-37690</w:t>
            </w:r>
          </w:p>
        </w:tc>
        <w:tc>
          <w:tcPr>
            <w:tcW w:w="80" w:type="dxa"/>
            <w:vAlign w:val="bottom"/>
          </w:tcPr>
          <w:p>
            <w:pPr>
              <w:spacing w:after="0"/>
              <w:rPr>
                <w:sz w:val="16"/>
                <w:szCs w:val="16"/>
                <w:color w:val="auto"/>
              </w:rPr>
            </w:pPr>
          </w:p>
        </w:tc>
        <w:tc>
          <w:tcPr>
            <w:tcW w:w="1020" w:type="dxa"/>
            <w:vAlign w:val="bottom"/>
          </w:tcPr>
          <w:p>
            <w:pPr>
              <w:jc w:val="center"/>
              <w:spacing w:after="0" w:line="194" w:lineRule="exact"/>
              <w:rPr>
                <w:sz w:val="20"/>
                <w:szCs w:val="20"/>
                <w:color w:val="auto"/>
              </w:rPr>
            </w:pPr>
            <w:r>
              <w:rPr>
                <w:rFonts w:ascii="Calibri" w:cs="Calibri" w:eastAsia="Calibri" w:hAnsi="Calibri"/>
                <w:sz w:val="18"/>
                <w:szCs w:val="18"/>
                <w:color w:val="auto"/>
                <w:w w:val="92"/>
              </w:rPr>
              <w:t>10.45</w:t>
            </w:r>
          </w:p>
        </w:tc>
        <w:tc>
          <w:tcPr>
            <w:tcW w:w="100" w:type="dxa"/>
            <w:vAlign w:val="bottom"/>
          </w:tcPr>
          <w:p>
            <w:pPr>
              <w:spacing w:after="0"/>
              <w:rPr>
                <w:sz w:val="16"/>
                <w:szCs w:val="16"/>
                <w:color w:val="auto"/>
              </w:rPr>
            </w:pPr>
          </w:p>
        </w:tc>
        <w:tc>
          <w:tcPr>
            <w:tcW w:w="1140" w:type="dxa"/>
            <w:vAlign w:val="bottom"/>
          </w:tcPr>
          <w:p>
            <w:pPr>
              <w:jc w:val="right"/>
              <w:ind w:right="233"/>
              <w:spacing w:after="0" w:line="194" w:lineRule="exact"/>
              <w:rPr>
                <w:sz w:val="20"/>
                <w:szCs w:val="20"/>
                <w:color w:val="auto"/>
              </w:rPr>
            </w:pPr>
            <w:r>
              <w:rPr>
                <w:rFonts w:ascii="Calibri" w:cs="Calibri" w:eastAsia="Calibri" w:hAnsi="Calibri"/>
                <w:sz w:val="18"/>
                <w:szCs w:val="18"/>
                <w:color w:val="auto"/>
                <w:w w:val="95"/>
              </w:rPr>
              <w:t>12-23-2016</w:t>
            </w:r>
          </w:p>
        </w:tc>
        <w:tc>
          <w:tcPr>
            <w:tcW w:w="0" w:type="dxa"/>
            <w:vAlign w:val="bottom"/>
          </w:tcPr>
          <w:p>
            <w:pPr>
              <w:spacing w:after="0"/>
              <w:rPr>
                <w:sz w:val="1"/>
                <w:szCs w:val="1"/>
                <w:color w:val="auto"/>
              </w:rPr>
            </w:pPr>
          </w:p>
        </w:tc>
      </w:tr>
      <w:tr>
        <w:trPr>
          <w:trHeight w:val="152"/>
        </w:trPr>
        <w:tc>
          <w:tcPr>
            <w:tcW w:w="8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80" w:type="dxa"/>
            <w:vAlign w:val="bottom"/>
            <w:tcBorders>
              <w:top w:val="single" w:sz="8" w:color="0000FF"/>
            </w:tcBorders>
            <w:gridSpan w:val="19"/>
          </w:tcPr>
          <w:p>
            <w:pPr>
              <w:spacing w:after="0" w:line="152" w:lineRule="exact"/>
              <w:rPr>
                <w:rFonts w:ascii="Calibri" w:cs="Calibri" w:eastAsia="Calibri" w:hAnsi="Calibri"/>
                <w:sz w:val="15"/>
                <w:szCs w:val="15"/>
                <w:color w:val="0000FF"/>
              </w:rPr>
            </w:pPr>
            <w:hyperlink r:id="rId158">
              <w:r>
                <w:rPr>
                  <w:rFonts w:ascii="Calibri" w:cs="Calibri" w:eastAsia="Calibri" w:hAnsi="Calibri"/>
                  <w:sz w:val="15"/>
                  <w:szCs w:val="15"/>
                  <w:color w:val="0000FF"/>
                </w:rPr>
                <w:t>Incentve Plan (efectve February 1, 2016).</w:t>
              </w:r>
            </w:hyperlink>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gridSpan w:val="2"/>
          </w:tcPr>
          <w:p>
            <w:pPr>
              <w:spacing w:after="0"/>
              <w:rPr>
                <w:sz w:val="13"/>
                <w:szCs w:val="13"/>
                <w:color w:val="auto"/>
              </w:rPr>
            </w:pPr>
          </w:p>
        </w:tc>
        <w:tc>
          <w:tcPr>
            <w:tcW w:w="2000" w:type="dxa"/>
            <w:vAlign w:val="bottom"/>
            <w:gridSpan w:val="2"/>
          </w:tcPr>
          <w:p>
            <w:pPr>
              <w:ind w:left="20"/>
              <w:spacing w:after="0" w:line="152" w:lineRule="exact"/>
              <w:rPr>
                <w:sz w:val="20"/>
                <w:szCs w:val="20"/>
                <w:color w:val="auto"/>
              </w:rPr>
            </w:pPr>
            <w:r>
              <w:rPr>
                <w:rFonts w:ascii="Calibri" w:cs="Calibri" w:eastAsia="Calibri" w:hAnsi="Calibri"/>
                <w:sz w:val="15"/>
                <w:szCs w:val="15"/>
                <w:color w:val="auto"/>
              </w:rPr>
              <w:t>Report on Form 10-K</w:t>
            </w:r>
          </w:p>
        </w:tc>
        <w:tc>
          <w:tcPr>
            <w:tcW w:w="1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900" w:type="dxa"/>
            <w:vAlign w:val="bottom"/>
            <w:gridSpan w:val="2"/>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860" w:type="dxa"/>
            <w:vAlign w:val="bottom"/>
          </w:tcPr>
          <w:p>
            <w:pPr>
              <w:jc w:val="right"/>
              <w:spacing w:after="0" w:line="217" w:lineRule="exact"/>
              <w:rPr>
                <w:sz w:val="20"/>
                <w:szCs w:val="20"/>
                <w:color w:val="auto"/>
              </w:rPr>
            </w:pPr>
            <w:r>
              <w:rPr>
                <w:rFonts w:ascii="Calibri" w:cs="Calibri" w:eastAsia="Calibri" w:hAnsi="Calibri"/>
                <w:sz w:val="18"/>
                <w:szCs w:val="18"/>
                <w:color w:val="auto"/>
              </w:rPr>
              <w:t>10.14</w:t>
            </w:r>
          </w:p>
        </w:tc>
        <w:tc>
          <w:tcPr>
            <w:tcW w:w="300" w:type="dxa"/>
            <w:vAlign w:val="bottom"/>
          </w:tcPr>
          <w:p>
            <w:pPr>
              <w:jc w:val="right"/>
              <w:ind w:right="72"/>
              <w:spacing w:after="0" w:line="217" w:lineRule="exact"/>
              <w:rPr>
                <w:sz w:val="20"/>
                <w:szCs w:val="20"/>
                <w:color w:val="auto"/>
              </w:rPr>
            </w:pPr>
            <w:r>
              <w:rPr>
                <w:rFonts w:ascii="Calibri" w:cs="Calibri" w:eastAsia="Calibri" w:hAnsi="Calibri"/>
                <w:sz w:val="18"/>
                <w:szCs w:val="18"/>
                <w:color w:val="auto"/>
              </w:rPr>
              <w:t>+</w:t>
            </w:r>
          </w:p>
        </w:tc>
        <w:tc>
          <w:tcPr>
            <w:tcW w:w="20" w:type="dxa"/>
            <w:vAlign w:val="bottom"/>
          </w:tcPr>
          <w:p>
            <w:pPr>
              <w:spacing w:after="0"/>
              <w:rPr>
                <w:sz w:val="18"/>
                <w:szCs w:val="18"/>
                <w:color w:val="auto"/>
              </w:rPr>
            </w:pPr>
          </w:p>
        </w:tc>
        <w:tc>
          <w:tcPr>
            <w:tcW w:w="3640" w:type="dxa"/>
            <w:vAlign w:val="bottom"/>
            <w:gridSpan w:val="27"/>
          </w:tcPr>
          <w:p>
            <w:pPr>
              <w:spacing w:after="0" w:line="217" w:lineRule="exact"/>
              <w:rPr>
                <w:rFonts w:ascii="Calibri" w:cs="Calibri" w:eastAsia="Calibri" w:hAnsi="Calibri"/>
                <w:sz w:val="18"/>
                <w:szCs w:val="18"/>
                <w:color w:val="0000FF"/>
              </w:rPr>
            </w:pPr>
            <w:hyperlink r:id="rId159">
              <w:r>
                <w:rPr>
                  <w:rFonts w:ascii="Calibri" w:cs="Calibri" w:eastAsia="Calibri" w:hAnsi="Calibri"/>
                  <w:sz w:val="18"/>
                  <w:szCs w:val="18"/>
                  <w:color w:val="0000FF"/>
                </w:rPr>
                <w:t>Amendment to the LSI Corporaton 2003 Equity</w:t>
              </w:r>
            </w:hyperlink>
          </w:p>
        </w:tc>
        <w:tc>
          <w:tcPr>
            <w:tcW w:w="2000" w:type="dxa"/>
            <w:vAlign w:val="bottom"/>
            <w:gridSpan w:val="2"/>
          </w:tcPr>
          <w:p>
            <w:pPr>
              <w:ind w:left="20"/>
              <w:spacing w:after="0" w:line="217" w:lineRule="exact"/>
              <w:rPr>
                <w:sz w:val="20"/>
                <w:szCs w:val="20"/>
                <w:color w:val="auto"/>
              </w:rPr>
            </w:pPr>
            <w:r>
              <w:rPr>
                <w:rFonts w:ascii="Calibri" w:cs="Calibri" w:eastAsia="Calibri" w:hAnsi="Calibri"/>
                <w:sz w:val="18"/>
                <w:szCs w:val="18"/>
                <w:color w:val="auto"/>
              </w:rPr>
              <w:t>Broadcom Inc. Current</w:t>
            </w:r>
          </w:p>
        </w:tc>
        <w:tc>
          <w:tcPr>
            <w:tcW w:w="1180" w:type="dxa"/>
            <w:vAlign w:val="bottom"/>
          </w:tcPr>
          <w:p>
            <w:pPr>
              <w:ind w:left="20"/>
              <w:spacing w:after="0" w:line="217" w:lineRule="exact"/>
              <w:rPr>
                <w:sz w:val="20"/>
                <w:szCs w:val="20"/>
                <w:color w:val="auto"/>
              </w:rPr>
            </w:pPr>
            <w:r>
              <w:rPr>
                <w:rFonts w:ascii="Calibri" w:cs="Calibri" w:eastAsia="Calibri" w:hAnsi="Calibri"/>
                <w:sz w:val="18"/>
                <w:szCs w:val="18"/>
                <w:color w:val="auto"/>
              </w:rPr>
              <w:t>001-38449</w:t>
            </w:r>
          </w:p>
        </w:tc>
        <w:tc>
          <w:tcPr>
            <w:tcW w:w="80" w:type="dxa"/>
            <w:vAlign w:val="bottom"/>
          </w:tcPr>
          <w:p>
            <w:pPr>
              <w:spacing w:after="0"/>
              <w:rPr>
                <w:sz w:val="18"/>
                <w:szCs w:val="18"/>
                <w:color w:val="auto"/>
              </w:rPr>
            </w:pPr>
          </w:p>
        </w:tc>
        <w:tc>
          <w:tcPr>
            <w:tcW w:w="1020" w:type="dxa"/>
            <w:vAlign w:val="bottom"/>
          </w:tcPr>
          <w:p>
            <w:pPr>
              <w:jc w:val="center"/>
              <w:spacing w:after="0" w:line="217" w:lineRule="exact"/>
              <w:rPr>
                <w:sz w:val="20"/>
                <w:szCs w:val="20"/>
                <w:color w:val="auto"/>
              </w:rPr>
            </w:pPr>
            <w:r>
              <w:rPr>
                <w:rFonts w:ascii="Calibri" w:cs="Calibri" w:eastAsia="Calibri" w:hAnsi="Calibri"/>
                <w:sz w:val="18"/>
                <w:szCs w:val="18"/>
                <w:color w:val="auto"/>
                <w:w w:val="92"/>
              </w:rPr>
              <w:t>10.10</w:t>
            </w:r>
          </w:p>
        </w:tc>
        <w:tc>
          <w:tcPr>
            <w:tcW w:w="100" w:type="dxa"/>
            <w:vAlign w:val="bottom"/>
          </w:tcPr>
          <w:p>
            <w:pPr>
              <w:spacing w:after="0"/>
              <w:rPr>
                <w:sz w:val="18"/>
                <w:szCs w:val="18"/>
                <w:color w:val="auto"/>
              </w:rPr>
            </w:pPr>
          </w:p>
        </w:tc>
        <w:tc>
          <w:tcPr>
            <w:tcW w:w="1140" w:type="dxa"/>
            <w:vAlign w:val="bottom"/>
          </w:tcPr>
          <w:p>
            <w:pPr>
              <w:jc w:val="right"/>
              <w:ind w:right="233"/>
              <w:spacing w:after="0" w:line="217" w:lineRule="exact"/>
              <w:rPr>
                <w:sz w:val="20"/>
                <w:szCs w:val="20"/>
                <w:color w:val="auto"/>
              </w:rPr>
            </w:pPr>
            <w:r>
              <w:rPr>
                <w:rFonts w:ascii="Calibri" w:cs="Calibri" w:eastAsia="Calibri" w:hAnsi="Calibri"/>
                <w:sz w:val="18"/>
                <w:szCs w:val="18"/>
                <w:color w:val="auto"/>
                <w:w w:val="95"/>
              </w:rPr>
              <w:t>04-04-2018</w:t>
            </w:r>
          </w:p>
        </w:tc>
        <w:tc>
          <w:tcPr>
            <w:tcW w:w="0" w:type="dxa"/>
            <w:vAlign w:val="bottom"/>
          </w:tcPr>
          <w:p>
            <w:pPr>
              <w:spacing w:after="0"/>
              <w:rPr>
                <w:sz w:val="1"/>
                <w:szCs w:val="1"/>
                <w:color w:val="auto"/>
              </w:rPr>
            </w:pPr>
          </w:p>
        </w:tc>
      </w:tr>
      <w:tr>
        <w:trPr>
          <w:trHeight w:val="152"/>
        </w:trPr>
        <w:tc>
          <w:tcPr>
            <w:tcW w:w="8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80" w:type="dxa"/>
            <w:vAlign w:val="bottom"/>
            <w:tcBorders>
              <w:top w:val="single" w:sz="8" w:color="0000FF"/>
              <w:bottom w:val="single" w:sz="8" w:color="0000FF"/>
            </w:tcBorders>
            <w:gridSpan w:val="7"/>
          </w:tcPr>
          <w:p>
            <w:pPr>
              <w:spacing w:after="0" w:line="152" w:lineRule="exact"/>
              <w:rPr>
                <w:rFonts w:ascii="Calibri" w:cs="Calibri" w:eastAsia="Calibri" w:hAnsi="Calibri"/>
                <w:sz w:val="15"/>
                <w:szCs w:val="15"/>
                <w:color w:val="0000FF"/>
              </w:rPr>
            </w:pPr>
            <w:hyperlink r:id="rId159">
              <w:r>
                <w:rPr>
                  <w:rFonts w:ascii="Calibri" w:cs="Calibri" w:eastAsia="Calibri" w:hAnsi="Calibri"/>
                  <w:sz w:val="15"/>
                  <w:szCs w:val="15"/>
                  <w:color w:val="0000FF"/>
                </w:rPr>
                <w:t>Incentve Plan (efectve April 4, 2018).</w:t>
              </w:r>
            </w:hyperlink>
          </w:p>
        </w:tc>
        <w:tc>
          <w:tcPr>
            <w:tcW w:w="600" w:type="dxa"/>
            <w:vAlign w:val="bottom"/>
            <w:tcBorders>
              <w:top w:val="single" w:sz="8" w:color="0000FF"/>
            </w:tcBorders>
            <w:gridSpan w:val="12"/>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gridSpan w:val="2"/>
          </w:tcPr>
          <w:p>
            <w:pPr>
              <w:spacing w:after="0"/>
              <w:rPr>
                <w:sz w:val="13"/>
                <w:szCs w:val="13"/>
                <w:color w:val="auto"/>
              </w:rPr>
            </w:pPr>
          </w:p>
        </w:tc>
        <w:tc>
          <w:tcPr>
            <w:tcW w:w="2000" w:type="dxa"/>
            <w:vAlign w:val="bottom"/>
            <w:gridSpan w:val="2"/>
          </w:tcPr>
          <w:p>
            <w:pPr>
              <w:ind w:left="20"/>
              <w:spacing w:after="0" w:line="152" w:lineRule="exact"/>
              <w:rPr>
                <w:sz w:val="20"/>
                <w:szCs w:val="20"/>
                <w:color w:val="auto"/>
              </w:rPr>
            </w:pPr>
            <w:r>
              <w:rPr>
                <w:rFonts w:ascii="Calibri" w:cs="Calibri" w:eastAsia="Calibri" w:hAnsi="Calibri"/>
                <w:sz w:val="15"/>
                <w:szCs w:val="15"/>
                <w:color w:val="auto"/>
              </w:rPr>
              <w:t>Report on Form 8-K12B</w:t>
            </w:r>
          </w:p>
        </w:tc>
        <w:tc>
          <w:tcPr>
            <w:tcW w:w="1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8"/>
        </w:trPr>
        <w:tc>
          <w:tcPr>
            <w:tcW w:w="860" w:type="dxa"/>
            <w:vAlign w:val="bottom"/>
          </w:tcPr>
          <w:p>
            <w:pPr>
              <w:jc w:val="right"/>
              <w:spacing w:after="0" w:line="217" w:lineRule="exact"/>
              <w:rPr>
                <w:sz w:val="20"/>
                <w:szCs w:val="20"/>
                <w:color w:val="auto"/>
              </w:rPr>
            </w:pPr>
            <w:r>
              <w:rPr>
                <w:rFonts w:ascii="Calibri" w:cs="Calibri" w:eastAsia="Calibri" w:hAnsi="Calibri"/>
                <w:sz w:val="18"/>
                <w:szCs w:val="18"/>
                <w:color w:val="auto"/>
              </w:rPr>
              <w:t>10.15</w:t>
            </w:r>
          </w:p>
        </w:tc>
        <w:tc>
          <w:tcPr>
            <w:tcW w:w="300" w:type="dxa"/>
            <w:vAlign w:val="bottom"/>
          </w:tcPr>
          <w:p>
            <w:pPr>
              <w:jc w:val="right"/>
              <w:ind w:right="72"/>
              <w:spacing w:after="0" w:line="217" w:lineRule="exact"/>
              <w:rPr>
                <w:sz w:val="20"/>
                <w:szCs w:val="20"/>
                <w:color w:val="auto"/>
              </w:rPr>
            </w:pPr>
            <w:r>
              <w:rPr>
                <w:rFonts w:ascii="Calibri" w:cs="Calibri" w:eastAsia="Calibri" w:hAnsi="Calibri"/>
                <w:sz w:val="18"/>
                <w:szCs w:val="18"/>
                <w:color w:val="auto"/>
              </w:rPr>
              <w:t>+</w:t>
            </w:r>
          </w:p>
        </w:tc>
        <w:tc>
          <w:tcPr>
            <w:tcW w:w="20" w:type="dxa"/>
            <w:vAlign w:val="bottom"/>
          </w:tcPr>
          <w:p>
            <w:pPr>
              <w:spacing w:after="0"/>
              <w:rPr>
                <w:sz w:val="18"/>
                <w:szCs w:val="18"/>
                <w:color w:val="auto"/>
              </w:rPr>
            </w:pPr>
          </w:p>
        </w:tc>
        <w:tc>
          <w:tcPr>
            <w:tcW w:w="3640" w:type="dxa"/>
            <w:vAlign w:val="bottom"/>
            <w:gridSpan w:val="27"/>
          </w:tcPr>
          <w:p>
            <w:pPr>
              <w:spacing w:after="0" w:line="217" w:lineRule="exact"/>
              <w:rPr>
                <w:rFonts w:ascii="Calibri" w:cs="Calibri" w:eastAsia="Calibri" w:hAnsi="Calibri"/>
                <w:sz w:val="18"/>
                <w:szCs w:val="18"/>
                <w:color w:val="0000FF"/>
              </w:rPr>
            </w:pPr>
            <w:hyperlink r:id="rId160">
              <w:r>
                <w:rPr>
                  <w:rFonts w:ascii="Calibri" w:cs="Calibri" w:eastAsia="Calibri" w:hAnsi="Calibri"/>
                  <w:sz w:val="18"/>
                  <w:szCs w:val="18"/>
                  <w:color w:val="0000FF"/>
                </w:rPr>
                <w:t>Broadcom Inc. 2012 Stock Incentve Plan (as</w:t>
              </w:r>
            </w:hyperlink>
          </w:p>
        </w:tc>
        <w:tc>
          <w:tcPr>
            <w:tcW w:w="2000" w:type="dxa"/>
            <w:vAlign w:val="bottom"/>
            <w:gridSpan w:val="2"/>
          </w:tcPr>
          <w:p>
            <w:pPr>
              <w:ind w:left="20"/>
              <w:spacing w:after="0" w:line="217" w:lineRule="exact"/>
              <w:rPr>
                <w:sz w:val="20"/>
                <w:szCs w:val="20"/>
                <w:color w:val="auto"/>
              </w:rPr>
            </w:pPr>
            <w:r>
              <w:rPr>
                <w:rFonts w:ascii="Calibri" w:cs="Calibri" w:eastAsia="Calibri" w:hAnsi="Calibri"/>
                <w:sz w:val="18"/>
                <w:szCs w:val="18"/>
                <w:color w:val="auto"/>
              </w:rPr>
              <w:t>Broadcom Inc. Quarterly</w:t>
            </w:r>
          </w:p>
        </w:tc>
        <w:tc>
          <w:tcPr>
            <w:tcW w:w="1180" w:type="dxa"/>
            <w:vAlign w:val="bottom"/>
          </w:tcPr>
          <w:p>
            <w:pPr>
              <w:ind w:left="20"/>
              <w:spacing w:after="0" w:line="217" w:lineRule="exact"/>
              <w:rPr>
                <w:sz w:val="20"/>
                <w:szCs w:val="20"/>
                <w:color w:val="auto"/>
              </w:rPr>
            </w:pPr>
            <w:r>
              <w:rPr>
                <w:rFonts w:ascii="Calibri" w:cs="Calibri" w:eastAsia="Calibri" w:hAnsi="Calibri"/>
                <w:sz w:val="18"/>
                <w:szCs w:val="18"/>
                <w:color w:val="auto"/>
              </w:rPr>
              <w:t>001-38449</w:t>
            </w:r>
          </w:p>
        </w:tc>
        <w:tc>
          <w:tcPr>
            <w:tcW w:w="80" w:type="dxa"/>
            <w:vAlign w:val="bottom"/>
          </w:tcPr>
          <w:p>
            <w:pPr>
              <w:spacing w:after="0"/>
              <w:rPr>
                <w:sz w:val="18"/>
                <w:szCs w:val="18"/>
                <w:color w:val="auto"/>
              </w:rPr>
            </w:pPr>
          </w:p>
        </w:tc>
        <w:tc>
          <w:tcPr>
            <w:tcW w:w="1020" w:type="dxa"/>
            <w:vAlign w:val="bottom"/>
          </w:tcPr>
          <w:p>
            <w:pPr>
              <w:jc w:val="center"/>
              <w:spacing w:after="0" w:line="217" w:lineRule="exact"/>
              <w:rPr>
                <w:sz w:val="20"/>
                <w:szCs w:val="20"/>
                <w:color w:val="auto"/>
              </w:rPr>
            </w:pPr>
            <w:r>
              <w:rPr>
                <w:rFonts w:ascii="Calibri" w:cs="Calibri" w:eastAsia="Calibri" w:hAnsi="Calibri"/>
                <w:sz w:val="18"/>
                <w:szCs w:val="18"/>
                <w:color w:val="auto"/>
                <w:w w:val="93"/>
              </w:rPr>
              <w:t>10.1</w:t>
            </w:r>
          </w:p>
        </w:tc>
        <w:tc>
          <w:tcPr>
            <w:tcW w:w="100" w:type="dxa"/>
            <w:vAlign w:val="bottom"/>
          </w:tcPr>
          <w:p>
            <w:pPr>
              <w:spacing w:after="0"/>
              <w:rPr>
                <w:sz w:val="18"/>
                <w:szCs w:val="18"/>
                <w:color w:val="auto"/>
              </w:rPr>
            </w:pPr>
          </w:p>
        </w:tc>
        <w:tc>
          <w:tcPr>
            <w:tcW w:w="1140" w:type="dxa"/>
            <w:vAlign w:val="bottom"/>
          </w:tcPr>
          <w:p>
            <w:pPr>
              <w:jc w:val="right"/>
              <w:ind w:right="233"/>
              <w:spacing w:after="0" w:line="217" w:lineRule="exact"/>
              <w:rPr>
                <w:sz w:val="20"/>
                <w:szCs w:val="20"/>
                <w:color w:val="auto"/>
              </w:rPr>
            </w:pPr>
            <w:r>
              <w:rPr>
                <w:rFonts w:ascii="Calibri" w:cs="Calibri" w:eastAsia="Calibri" w:hAnsi="Calibri"/>
                <w:sz w:val="18"/>
                <w:szCs w:val="18"/>
                <w:color w:val="auto"/>
                <w:w w:val="95"/>
              </w:rPr>
              <w:t>06-11-2021</w:t>
            </w:r>
          </w:p>
        </w:tc>
        <w:tc>
          <w:tcPr>
            <w:tcW w:w="0" w:type="dxa"/>
            <w:vAlign w:val="bottom"/>
          </w:tcPr>
          <w:p>
            <w:pPr>
              <w:spacing w:after="0"/>
              <w:rPr>
                <w:sz w:val="1"/>
                <w:szCs w:val="1"/>
                <w:color w:val="auto"/>
              </w:rPr>
            </w:pPr>
          </w:p>
        </w:tc>
      </w:tr>
      <w:tr>
        <w:trPr>
          <w:trHeight w:val="152"/>
        </w:trPr>
        <w:tc>
          <w:tcPr>
            <w:tcW w:w="8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20" w:type="dxa"/>
            <w:vAlign w:val="bottom"/>
            <w:tcBorders>
              <w:top w:val="single" w:sz="8" w:color="0000FF"/>
              <w:bottom w:val="single" w:sz="8" w:color="0000FF"/>
            </w:tcBorders>
            <w:gridSpan w:val="10"/>
          </w:tcPr>
          <w:p>
            <w:pPr>
              <w:spacing w:after="0" w:line="152" w:lineRule="exact"/>
              <w:rPr>
                <w:rFonts w:ascii="Calibri" w:cs="Calibri" w:eastAsia="Calibri" w:hAnsi="Calibri"/>
                <w:sz w:val="15"/>
                <w:szCs w:val="15"/>
                <w:color w:val="0000FF"/>
              </w:rPr>
            </w:pPr>
            <w:hyperlink r:id="rId160">
              <w:r>
                <w:rPr>
                  <w:rFonts w:ascii="Calibri" w:cs="Calibri" w:eastAsia="Calibri" w:hAnsi="Calibri"/>
                  <w:sz w:val="15"/>
                  <w:szCs w:val="15"/>
                  <w:color w:val="0000FF"/>
                </w:rPr>
                <w:t>amended and restated on April 5, 2021).</w:t>
              </w:r>
            </w:hyperlink>
          </w:p>
        </w:tc>
        <w:tc>
          <w:tcPr>
            <w:tcW w:w="220" w:type="dxa"/>
            <w:vAlign w:val="bottom"/>
            <w:tcBorders>
              <w:top w:val="single" w:sz="8" w:color="0000FF"/>
            </w:tcBorders>
            <w:gridSpan w:val="3"/>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gridSpan w:val="3"/>
          </w:tcPr>
          <w:p>
            <w:pPr>
              <w:spacing w:after="0"/>
              <w:rPr>
                <w:sz w:val="13"/>
                <w:szCs w:val="13"/>
                <w:color w:val="auto"/>
              </w:rPr>
            </w:pPr>
          </w:p>
        </w:tc>
        <w:tc>
          <w:tcPr>
            <w:tcW w:w="10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gridSpan w:val="2"/>
          </w:tcPr>
          <w:p>
            <w:pPr>
              <w:spacing w:after="0"/>
              <w:rPr>
                <w:sz w:val="13"/>
                <w:szCs w:val="13"/>
                <w:color w:val="auto"/>
              </w:rPr>
            </w:pPr>
          </w:p>
        </w:tc>
        <w:tc>
          <w:tcPr>
            <w:tcW w:w="2000" w:type="dxa"/>
            <w:vAlign w:val="bottom"/>
            <w:gridSpan w:val="2"/>
          </w:tcPr>
          <w:p>
            <w:pPr>
              <w:ind w:left="20"/>
              <w:spacing w:after="0" w:line="152" w:lineRule="exact"/>
              <w:rPr>
                <w:sz w:val="20"/>
                <w:szCs w:val="20"/>
                <w:color w:val="auto"/>
              </w:rPr>
            </w:pPr>
            <w:r>
              <w:rPr>
                <w:rFonts w:ascii="Calibri" w:cs="Calibri" w:eastAsia="Calibri" w:hAnsi="Calibri"/>
                <w:sz w:val="15"/>
                <w:szCs w:val="15"/>
                <w:color w:val="auto"/>
              </w:rPr>
              <w:t>Report on Form 10-Q</w:t>
            </w:r>
          </w:p>
        </w:tc>
        <w:tc>
          <w:tcPr>
            <w:tcW w:w="1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8"/>
        </w:trPr>
        <w:tc>
          <w:tcPr>
            <w:tcW w:w="860" w:type="dxa"/>
            <w:vAlign w:val="bottom"/>
          </w:tcPr>
          <w:p>
            <w:pPr>
              <w:jc w:val="right"/>
              <w:spacing w:after="0" w:line="217" w:lineRule="exact"/>
              <w:rPr>
                <w:sz w:val="20"/>
                <w:szCs w:val="20"/>
                <w:color w:val="auto"/>
              </w:rPr>
            </w:pPr>
            <w:r>
              <w:rPr>
                <w:rFonts w:ascii="Calibri" w:cs="Calibri" w:eastAsia="Calibri" w:hAnsi="Calibri"/>
                <w:sz w:val="18"/>
                <w:szCs w:val="18"/>
                <w:color w:val="auto"/>
              </w:rPr>
              <w:t>10.16</w:t>
            </w:r>
          </w:p>
        </w:tc>
        <w:tc>
          <w:tcPr>
            <w:tcW w:w="300" w:type="dxa"/>
            <w:vAlign w:val="bottom"/>
          </w:tcPr>
          <w:p>
            <w:pPr>
              <w:jc w:val="right"/>
              <w:ind w:right="72"/>
              <w:spacing w:after="0" w:line="217" w:lineRule="exact"/>
              <w:rPr>
                <w:sz w:val="20"/>
                <w:szCs w:val="20"/>
                <w:color w:val="auto"/>
              </w:rPr>
            </w:pPr>
            <w:r>
              <w:rPr>
                <w:rFonts w:ascii="Calibri" w:cs="Calibri" w:eastAsia="Calibri" w:hAnsi="Calibri"/>
                <w:sz w:val="18"/>
                <w:szCs w:val="18"/>
                <w:color w:val="auto"/>
              </w:rPr>
              <w:t>+</w:t>
            </w:r>
          </w:p>
        </w:tc>
        <w:tc>
          <w:tcPr>
            <w:tcW w:w="20" w:type="dxa"/>
            <w:vAlign w:val="bottom"/>
          </w:tcPr>
          <w:p>
            <w:pPr>
              <w:spacing w:after="0"/>
              <w:rPr>
                <w:sz w:val="18"/>
                <w:szCs w:val="18"/>
                <w:color w:val="auto"/>
              </w:rPr>
            </w:pPr>
          </w:p>
        </w:tc>
        <w:tc>
          <w:tcPr>
            <w:tcW w:w="3640" w:type="dxa"/>
            <w:vAlign w:val="bottom"/>
            <w:gridSpan w:val="27"/>
          </w:tcPr>
          <w:p>
            <w:pPr>
              <w:spacing w:after="0" w:line="217" w:lineRule="exact"/>
              <w:rPr>
                <w:rFonts w:ascii="Calibri" w:cs="Calibri" w:eastAsia="Calibri" w:hAnsi="Calibri"/>
                <w:sz w:val="18"/>
                <w:szCs w:val="18"/>
                <w:color w:val="0000FF"/>
              </w:rPr>
            </w:pPr>
            <w:hyperlink r:id="rId161">
              <w:r>
                <w:rPr>
                  <w:rFonts w:ascii="Calibri" w:cs="Calibri" w:eastAsia="Calibri" w:hAnsi="Calibri"/>
                  <w:sz w:val="18"/>
                  <w:szCs w:val="18"/>
                  <w:color w:val="0000FF"/>
                </w:rPr>
                <w:t>Form of Annual Bonus Plan for Executve</w:t>
              </w:r>
            </w:hyperlink>
          </w:p>
        </w:tc>
        <w:tc>
          <w:tcPr>
            <w:tcW w:w="2000" w:type="dxa"/>
            <w:vAlign w:val="bottom"/>
            <w:gridSpan w:val="2"/>
          </w:tcPr>
          <w:p>
            <w:pPr>
              <w:ind w:left="20"/>
              <w:spacing w:after="0" w:line="217" w:lineRule="exact"/>
              <w:rPr>
                <w:sz w:val="20"/>
                <w:szCs w:val="20"/>
                <w:color w:val="auto"/>
              </w:rPr>
            </w:pPr>
            <w:r>
              <w:rPr>
                <w:rFonts w:ascii="Calibri" w:cs="Calibri" w:eastAsia="Calibri" w:hAnsi="Calibri"/>
                <w:sz w:val="18"/>
                <w:szCs w:val="18"/>
                <w:color w:val="auto"/>
              </w:rPr>
              <w:t>Broadcom Limited Annual</w:t>
            </w:r>
          </w:p>
        </w:tc>
        <w:tc>
          <w:tcPr>
            <w:tcW w:w="1180" w:type="dxa"/>
            <w:vAlign w:val="bottom"/>
          </w:tcPr>
          <w:p>
            <w:pPr>
              <w:ind w:left="20"/>
              <w:spacing w:after="0" w:line="217" w:lineRule="exact"/>
              <w:rPr>
                <w:sz w:val="20"/>
                <w:szCs w:val="20"/>
                <w:color w:val="auto"/>
              </w:rPr>
            </w:pPr>
            <w:r>
              <w:rPr>
                <w:rFonts w:ascii="Calibri" w:cs="Calibri" w:eastAsia="Calibri" w:hAnsi="Calibri"/>
                <w:sz w:val="18"/>
                <w:szCs w:val="18"/>
                <w:color w:val="auto"/>
              </w:rPr>
              <w:t>001-37690</w:t>
            </w:r>
          </w:p>
        </w:tc>
        <w:tc>
          <w:tcPr>
            <w:tcW w:w="80" w:type="dxa"/>
            <w:vAlign w:val="bottom"/>
          </w:tcPr>
          <w:p>
            <w:pPr>
              <w:spacing w:after="0"/>
              <w:rPr>
                <w:sz w:val="18"/>
                <w:szCs w:val="18"/>
                <w:color w:val="auto"/>
              </w:rPr>
            </w:pPr>
          </w:p>
        </w:tc>
        <w:tc>
          <w:tcPr>
            <w:tcW w:w="1020" w:type="dxa"/>
            <w:vAlign w:val="bottom"/>
          </w:tcPr>
          <w:p>
            <w:pPr>
              <w:jc w:val="center"/>
              <w:spacing w:after="0" w:line="217" w:lineRule="exact"/>
              <w:rPr>
                <w:sz w:val="20"/>
                <w:szCs w:val="20"/>
                <w:color w:val="auto"/>
              </w:rPr>
            </w:pPr>
            <w:r>
              <w:rPr>
                <w:rFonts w:ascii="Calibri" w:cs="Calibri" w:eastAsia="Calibri" w:hAnsi="Calibri"/>
                <w:sz w:val="18"/>
                <w:szCs w:val="18"/>
                <w:color w:val="auto"/>
                <w:w w:val="92"/>
              </w:rPr>
              <w:t>10.53</w:t>
            </w:r>
          </w:p>
        </w:tc>
        <w:tc>
          <w:tcPr>
            <w:tcW w:w="100" w:type="dxa"/>
            <w:vAlign w:val="bottom"/>
          </w:tcPr>
          <w:p>
            <w:pPr>
              <w:spacing w:after="0"/>
              <w:rPr>
                <w:sz w:val="18"/>
                <w:szCs w:val="18"/>
                <w:color w:val="auto"/>
              </w:rPr>
            </w:pPr>
          </w:p>
        </w:tc>
        <w:tc>
          <w:tcPr>
            <w:tcW w:w="1140" w:type="dxa"/>
            <w:vAlign w:val="bottom"/>
          </w:tcPr>
          <w:p>
            <w:pPr>
              <w:jc w:val="right"/>
              <w:ind w:right="233"/>
              <w:spacing w:after="0" w:line="217" w:lineRule="exact"/>
              <w:rPr>
                <w:sz w:val="20"/>
                <w:szCs w:val="20"/>
                <w:color w:val="auto"/>
              </w:rPr>
            </w:pPr>
            <w:r>
              <w:rPr>
                <w:rFonts w:ascii="Calibri" w:cs="Calibri" w:eastAsia="Calibri" w:hAnsi="Calibri"/>
                <w:sz w:val="18"/>
                <w:szCs w:val="18"/>
                <w:color w:val="auto"/>
                <w:w w:val="95"/>
              </w:rPr>
              <w:t>12-23-2016</w:t>
            </w:r>
          </w:p>
        </w:tc>
        <w:tc>
          <w:tcPr>
            <w:tcW w:w="0" w:type="dxa"/>
            <w:vAlign w:val="bottom"/>
          </w:tcPr>
          <w:p>
            <w:pPr>
              <w:spacing w:after="0"/>
              <w:rPr>
                <w:sz w:val="1"/>
                <w:szCs w:val="1"/>
                <w:color w:val="auto"/>
              </w:rPr>
            </w:pPr>
          </w:p>
        </w:tc>
      </w:tr>
      <w:tr>
        <w:trPr>
          <w:trHeight w:val="152"/>
        </w:trPr>
        <w:tc>
          <w:tcPr>
            <w:tcW w:w="8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20" w:type="dxa"/>
            <w:vAlign w:val="bottom"/>
            <w:tcBorders>
              <w:top w:val="single" w:sz="8" w:color="0000FF"/>
            </w:tcBorders>
            <w:gridSpan w:val="10"/>
          </w:tcPr>
          <w:p>
            <w:pPr>
              <w:spacing w:after="0" w:line="152" w:lineRule="exact"/>
              <w:rPr>
                <w:rFonts w:ascii="Calibri" w:cs="Calibri" w:eastAsia="Calibri" w:hAnsi="Calibri"/>
                <w:sz w:val="15"/>
                <w:szCs w:val="15"/>
                <w:color w:val="0000FF"/>
              </w:rPr>
            </w:pPr>
            <w:hyperlink r:id="rId161">
              <w:r>
                <w:rPr>
                  <w:rFonts w:ascii="Calibri" w:cs="Calibri" w:eastAsia="Calibri" w:hAnsi="Calibri"/>
                  <w:sz w:val="15"/>
                  <w:szCs w:val="15"/>
                  <w:color w:val="0000FF"/>
                </w:rPr>
                <w:t>Employees.</w:t>
              </w:r>
            </w:hyperlink>
          </w:p>
        </w:tc>
        <w:tc>
          <w:tcPr>
            <w:tcW w:w="140" w:type="dxa"/>
            <w:vAlign w:val="bottom"/>
            <w:gridSpan w:val="2"/>
          </w:tcPr>
          <w:p>
            <w:pPr>
              <w:spacing w:after="0"/>
              <w:rPr>
                <w:sz w:val="13"/>
                <w:szCs w:val="13"/>
                <w:color w:val="auto"/>
              </w:rPr>
            </w:pPr>
          </w:p>
        </w:tc>
        <w:tc>
          <w:tcPr>
            <w:tcW w:w="100" w:type="dxa"/>
            <w:vAlign w:val="bottom"/>
            <w:gridSpan w:val="2"/>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gridSpan w:val="3"/>
          </w:tcPr>
          <w:p>
            <w:pPr>
              <w:spacing w:after="0"/>
              <w:rPr>
                <w:sz w:val="13"/>
                <w:szCs w:val="13"/>
                <w:color w:val="auto"/>
              </w:rPr>
            </w:pPr>
          </w:p>
        </w:tc>
        <w:tc>
          <w:tcPr>
            <w:tcW w:w="10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gridSpan w:val="2"/>
          </w:tcPr>
          <w:p>
            <w:pPr>
              <w:spacing w:after="0"/>
              <w:rPr>
                <w:sz w:val="13"/>
                <w:szCs w:val="13"/>
                <w:color w:val="auto"/>
              </w:rPr>
            </w:pPr>
          </w:p>
        </w:tc>
        <w:tc>
          <w:tcPr>
            <w:tcW w:w="2000" w:type="dxa"/>
            <w:vAlign w:val="bottom"/>
            <w:gridSpan w:val="2"/>
          </w:tcPr>
          <w:p>
            <w:pPr>
              <w:ind w:left="20"/>
              <w:spacing w:after="0" w:line="152" w:lineRule="exact"/>
              <w:rPr>
                <w:sz w:val="20"/>
                <w:szCs w:val="20"/>
                <w:color w:val="auto"/>
              </w:rPr>
            </w:pPr>
            <w:r>
              <w:rPr>
                <w:rFonts w:ascii="Calibri" w:cs="Calibri" w:eastAsia="Calibri" w:hAnsi="Calibri"/>
                <w:sz w:val="15"/>
                <w:szCs w:val="15"/>
                <w:color w:val="auto"/>
              </w:rPr>
              <w:t>Report on Form 10-K</w:t>
            </w:r>
          </w:p>
        </w:tc>
        <w:tc>
          <w:tcPr>
            <w:tcW w:w="1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860" w:type="dxa"/>
            <w:vAlign w:val="bottom"/>
          </w:tcPr>
          <w:p>
            <w:pPr>
              <w:jc w:val="right"/>
              <w:spacing w:after="0" w:line="217" w:lineRule="exact"/>
              <w:rPr>
                <w:sz w:val="20"/>
                <w:szCs w:val="20"/>
                <w:color w:val="auto"/>
              </w:rPr>
            </w:pPr>
            <w:r>
              <w:rPr>
                <w:rFonts w:ascii="Calibri" w:cs="Calibri" w:eastAsia="Calibri" w:hAnsi="Calibri"/>
                <w:sz w:val="18"/>
                <w:szCs w:val="18"/>
                <w:color w:val="auto"/>
              </w:rPr>
              <w:t>10.17</w:t>
            </w:r>
          </w:p>
        </w:tc>
        <w:tc>
          <w:tcPr>
            <w:tcW w:w="300" w:type="dxa"/>
            <w:vAlign w:val="bottom"/>
          </w:tcPr>
          <w:p>
            <w:pPr>
              <w:jc w:val="right"/>
              <w:ind w:right="72"/>
              <w:spacing w:after="0" w:line="217" w:lineRule="exact"/>
              <w:rPr>
                <w:sz w:val="20"/>
                <w:szCs w:val="20"/>
                <w:color w:val="auto"/>
              </w:rPr>
            </w:pPr>
            <w:r>
              <w:rPr>
                <w:rFonts w:ascii="Calibri" w:cs="Calibri" w:eastAsia="Calibri" w:hAnsi="Calibri"/>
                <w:sz w:val="18"/>
                <w:szCs w:val="18"/>
                <w:color w:val="auto"/>
              </w:rPr>
              <w:t>+</w:t>
            </w:r>
          </w:p>
        </w:tc>
        <w:tc>
          <w:tcPr>
            <w:tcW w:w="20" w:type="dxa"/>
            <w:vAlign w:val="bottom"/>
          </w:tcPr>
          <w:p>
            <w:pPr>
              <w:spacing w:after="0"/>
              <w:rPr>
                <w:sz w:val="18"/>
                <w:szCs w:val="18"/>
                <w:color w:val="auto"/>
              </w:rPr>
            </w:pPr>
          </w:p>
        </w:tc>
        <w:tc>
          <w:tcPr>
            <w:tcW w:w="2800" w:type="dxa"/>
            <w:vAlign w:val="bottom"/>
            <w:tcBorders>
              <w:bottom w:val="single" w:sz="8" w:color="0000FF"/>
            </w:tcBorders>
            <w:gridSpan w:val="9"/>
          </w:tcPr>
          <w:p>
            <w:pPr>
              <w:spacing w:after="0" w:line="217" w:lineRule="exact"/>
              <w:rPr>
                <w:rFonts w:ascii="Calibri" w:cs="Calibri" w:eastAsia="Calibri" w:hAnsi="Calibri"/>
                <w:sz w:val="18"/>
                <w:szCs w:val="18"/>
                <w:color w:val="0000FF"/>
                <w:w w:val="95"/>
              </w:rPr>
            </w:pPr>
            <w:hyperlink r:id="rId162">
              <w:r>
                <w:rPr>
                  <w:rFonts w:ascii="Calibri" w:cs="Calibri" w:eastAsia="Calibri" w:hAnsi="Calibri"/>
                  <w:sz w:val="18"/>
                  <w:szCs w:val="18"/>
                  <w:color w:val="0000FF"/>
                  <w:w w:val="95"/>
                </w:rPr>
                <w:t>Form of Opton Agreement under Avago</w:t>
              </w:r>
            </w:hyperlink>
          </w:p>
        </w:tc>
        <w:tc>
          <w:tcPr>
            <w:tcW w:w="840" w:type="dxa"/>
            <w:vAlign w:val="bottom"/>
            <w:gridSpan w:val="18"/>
          </w:tcPr>
          <w:p>
            <w:pPr>
              <w:spacing w:after="0"/>
              <w:rPr>
                <w:sz w:val="18"/>
                <w:szCs w:val="18"/>
                <w:color w:val="auto"/>
              </w:rPr>
            </w:pPr>
          </w:p>
        </w:tc>
        <w:tc>
          <w:tcPr>
            <w:tcW w:w="2000" w:type="dxa"/>
            <w:vAlign w:val="bottom"/>
            <w:gridSpan w:val="2"/>
          </w:tcPr>
          <w:p>
            <w:pPr>
              <w:ind w:left="20"/>
              <w:spacing w:after="0" w:line="217" w:lineRule="exact"/>
              <w:rPr>
                <w:sz w:val="20"/>
                <w:szCs w:val="20"/>
                <w:color w:val="auto"/>
              </w:rPr>
            </w:pPr>
            <w:r>
              <w:rPr>
                <w:rFonts w:ascii="Calibri" w:cs="Calibri" w:eastAsia="Calibri" w:hAnsi="Calibri"/>
                <w:sz w:val="18"/>
                <w:szCs w:val="18"/>
                <w:color w:val="auto"/>
              </w:rPr>
              <w:t>Avago Technologies</w:t>
            </w:r>
          </w:p>
        </w:tc>
        <w:tc>
          <w:tcPr>
            <w:tcW w:w="1180" w:type="dxa"/>
            <w:vAlign w:val="bottom"/>
          </w:tcPr>
          <w:p>
            <w:pPr>
              <w:ind w:left="20"/>
              <w:spacing w:after="0" w:line="217" w:lineRule="exact"/>
              <w:rPr>
                <w:sz w:val="20"/>
                <w:szCs w:val="20"/>
                <w:color w:val="auto"/>
              </w:rPr>
            </w:pPr>
            <w:r>
              <w:rPr>
                <w:rFonts w:ascii="Calibri" w:cs="Calibri" w:eastAsia="Calibri" w:hAnsi="Calibri"/>
                <w:sz w:val="18"/>
                <w:szCs w:val="18"/>
                <w:color w:val="auto"/>
              </w:rPr>
              <w:t>333-153127</w:t>
            </w:r>
          </w:p>
        </w:tc>
        <w:tc>
          <w:tcPr>
            <w:tcW w:w="80" w:type="dxa"/>
            <w:vAlign w:val="bottom"/>
          </w:tcPr>
          <w:p>
            <w:pPr>
              <w:spacing w:after="0"/>
              <w:rPr>
                <w:sz w:val="18"/>
                <w:szCs w:val="18"/>
                <w:color w:val="auto"/>
              </w:rPr>
            </w:pPr>
          </w:p>
        </w:tc>
        <w:tc>
          <w:tcPr>
            <w:tcW w:w="1020" w:type="dxa"/>
            <w:vAlign w:val="bottom"/>
          </w:tcPr>
          <w:p>
            <w:pPr>
              <w:jc w:val="center"/>
              <w:spacing w:after="0" w:line="217" w:lineRule="exact"/>
              <w:rPr>
                <w:sz w:val="20"/>
                <w:szCs w:val="20"/>
                <w:color w:val="auto"/>
              </w:rPr>
            </w:pPr>
            <w:r>
              <w:rPr>
                <w:rFonts w:ascii="Calibri" w:cs="Calibri" w:eastAsia="Calibri" w:hAnsi="Calibri"/>
                <w:sz w:val="18"/>
                <w:szCs w:val="18"/>
                <w:color w:val="auto"/>
                <w:w w:val="92"/>
              </w:rPr>
              <w:t>10.61</w:t>
            </w:r>
          </w:p>
        </w:tc>
        <w:tc>
          <w:tcPr>
            <w:tcW w:w="100" w:type="dxa"/>
            <w:vAlign w:val="bottom"/>
          </w:tcPr>
          <w:p>
            <w:pPr>
              <w:spacing w:after="0"/>
              <w:rPr>
                <w:sz w:val="18"/>
                <w:szCs w:val="18"/>
                <w:color w:val="auto"/>
              </w:rPr>
            </w:pPr>
          </w:p>
        </w:tc>
        <w:tc>
          <w:tcPr>
            <w:tcW w:w="1140" w:type="dxa"/>
            <w:vAlign w:val="bottom"/>
          </w:tcPr>
          <w:p>
            <w:pPr>
              <w:jc w:val="right"/>
              <w:ind w:right="233"/>
              <w:spacing w:after="0" w:line="217" w:lineRule="exact"/>
              <w:rPr>
                <w:sz w:val="20"/>
                <w:szCs w:val="20"/>
                <w:color w:val="auto"/>
              </w:rPr>
            </w:pPr>
            <w:r>
              <w:rPr>
                <w:rFonts w:ascii="Calibri" w:cs="Calibri" w:eastAsia="Calibri" w:hAnsi="Calibri"/>
                <w:sz w:val="18"/>
                <w:szCs w:val="18"/>
                <w:color w:val="auto"/>
                <w:w w:val="95"/>
              </w:rPr>
              <w:t>07-27-2009</w:t>
            </w:r>
          </w:p>
        </w:tc>
        <w:tc>
          <w:tcPr>
            <w:tcW w:w="0" w:type="dxa"/>
            <w:vAlign w:val="bottom"/>
          </w:tcPr>
          <w:p>
            <w:pPr>
              <w:spacing w:after="0"/>
              <w:rPr>
                <w:sz w:val="1"/>
                <w:szCs w:val="1"/>
                <w:color w:val="auto"/>
              </w:rPr>
            </w:pPr>
          </w:p>
        </w:tc>
      </w:tr>
      <w:tr>
        <w:trPr>
          <w:trHeight w:val="152"/>
        </w:trPr>
        <w:tc>
          <w:tcPr>
            <w:tcW w:w="8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40" w:type="dxa"/>
            <w:vAlign w:val="bottom"/>
            <w:gridSpan w:val="27"/>
          </w:tcPr>
          <w:p>
            <w:pPr>
              <w:spacing w:after="0" w:line="152" w:lineRule="exact"/>
              <w:rPr>
                <w:rFonts w:ascii="Calibri" w:cs="Calibri" w:eastAsia="Calibri" w:hAnsi="Calibri"/>
                <w:sz w:val="15"/>
                <w:szCs w:val="15"/>
                <w:color w:val="0000FF"/>
              </w:rPr>
            </w:pPr>
            <w:hyperlink r:id="rId162">
              <w:r>
                <w:rPr>
                  <w:rFonts w:ascii="Calibri" w:cs="Calibri" w:eastAsia="Calibri" w:hAnsi="Calibri"/>
                  <w:sz w:val="15"/>
                  <w:szCs w:val="15"/>
                  <w:color w:val="0000FF"/>
                </w:rPr>
                <w:t>Technologies Limited 2009 Equity Incentve Plan.</w:t>
              </w:r>
            </w:hyperlink>
          </w:p>
        </w:tc>
        <w:tc>
          <w:tcPr>
            <w:tcW w:w="2000" w:type="dxa"/>
            <w:vAlign w:val="bottom"/>
            <w:gridSpan w:val="2"/>
          </w:tcPr>
          <w:p>
            <w:pPr>
              <w:ind w:left="20"/>
              <w:spacing w:after="0" w:line="152" w:lineRule="exact"/>
              <w:rPr>
                <w:sz w:val="20"/>
                <w:szCs w:val="20"/>
                <w:color w:val="auto"/>
              </w:rPr>
            </w:pPr>
            <w:r>
              <w:rPr>
                <w:rFonts w:ascii="Calibri" w:cs="Calibri" w:eastAsia="Calibri" w:hAnsi="Calibri"/>
                <w:sz w:val="15"/>
                <w:szCs w:val="15"/>
                <w:color w:val="auto"/>
              </w:rPr>
              <w:t>Limited Amendment No. 5</w:t>
            </w:r>
          </w:p>
        </w:tc>
        <w:tc>
          <w:tcPr>
            <w:tcW w:w="1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8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186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0" w:type="dxa"/>
            <w:vAlign w:val="bottom"/>
            <w:gridSpan w:val="2"/>
          </w:tcPr>
          <w:p>
            <w:pPr>
              <w:ind w:left="20"/>
              <w:spacing w:after="0" w:line="157" w:lineRule="exact"/>
              <w:rPr>
                <w:sz w:val="20"/>
                <w:szCs w:val="20"/>
                <w:color w:val="auto"/>
              </w:rPr>
            </w:pPr>
            <w:r>
              <w:rPr>
                <w:rFonts w:ascii="Calibri" w:cs="Calibri" w:eastAsia="Calibri" w:hAnsi="Calibri"/>
                <w:sz w:val="17"/>
                <w:szCs w:val="17"/>
                <w:color w:val="auto"/>
              </w:rPr>
              <w:t>to Registraton Statement</w:t>
            </w:r>
          </w:p>
        </w:tc>
        <w:tc>
          <w:tcPr>
            <w:tcW w:w="1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0" w:type="dxa"/>
            <w:vAlign w:val="bottom"/>
            <w:gridSpan w:val="2"/>
          </w:tcPr>
          <w:p>
            <w:pPr>
              <w:ind w:left="20"/>
              <w:spacing w:after="0" w:line="172" w:lineRule="exact"/>
              <w:rPr>
                <w:sz w:val="20"/>
                <w:szCs w:val="20"/>
                <w:color w:val="auto"/>
              </w:rPr>
            </w:pPr>
            <w:r>
              <w:rPr>
                <w:rFonts w:ascii="Calibri" w:cs="Calibri" w:eastAsia="Calibri" w:hAnsi="Calibri"/>
                <w:sz w:val="18"/>
                <w:szCs w:val="18"/>
                <w:color w:val="auto"/>
              </w:rPr>
              <w:t>on</w:t>
            </w: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0" w:type="dxa"/>
            <w:vAlign w:val="bottom"/>
            <w:gridSpan w:val="2"/>
          </w:tcPr>
          <w:p>
            <w:pPr>
              <w:ind w:left="20"/>
              <w:spacing w:after="0" w:line="210" w:lineRule="exact"/>
              <w:rPr>
                <w:sz w:val="20"/>
                <w:szCs w:val="20"/>
                <w:color w:val="auto"/>
              </w:rPr>
            </w:pPr>
            <w:r>
              <w:rPr>
                <w:rFonts w:ascii="Calibri" w:cs="Calibri" w:eastAsia="Calibri" w:hAnsi="Calibri"/>
                <w:sz w:val="18"/>
                <w:szCs w:val="18"/>
                <w:color w:val="auto"/>
              </w:rPr>
              <w:t>Form S-1</w:t>
            </w: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860" w:type="dxa"/>
            <w:vAlign w:val="bottom"/>
          </w:tcPr>
          <w:p>
            <w:pPr>
              <w:jc w:val="right"/>
              <w:spacing w:after="0" w:line="206" w:lineRule="exact"/>
              <w:rPr>
                <w:sz w:val="20"/>
                <w:szCs w:val="20"/>
                <w:color w:val="auto"/>
              </w:rPr>
            </w:pPr>
            <w:r>
              <w:rPr>
                <w:rFonts w:ascii="Calibri" w:cs="Calibri" w:eastAsia="Calibri" w:hAnsi="Calibri"/>
                <w:sz w:val="18"/>
                <w:szCs w:val="18"/>
                <w:color w:val="auto"/>
              </w:rPr>
              <w:t>10.18</w:t>
            </w:r>
          </w:p>
        </w:tc>
        <w:tc>
          <w:tcPr>
            <w:tcW w:w="300" w:type="dxa"/>
            <w:vAlign w:val="bottom"/>
          </w:tcPr>
          <w:p>
            <w:pPr>
              <w:jc w:val="right"/>
              <w:ind w:right="72"/>
              <w:spacing w:after="0" w:line="206" w:lineRule="exact"/>
              <w:rPr>
                <w:sz w:val="20"/>
                <w:szCs w:val="20"/>
                <w:color w:val="auto"/>
              </w:rPr>
            </w:pPr>
            <w:r>
              <w:rPr>
                <w:rFonts w:ascii="Calibri" w:cs="Calibri" w:eastAsia="Calibri" w:hAnsi="Calibri"/>
                <w:sz w:val="18"/>
                <w:szCs w:val="18"/>
                <w:color w:val="auto"/>
              </w:rPr>
              <w:t>+</w:t>
            </w:r>
          </w:p>
        </w:tc>
        <w:tc>
          <w:tcPr>
            <w:tcW w:w="20" w:type="dxa"/>
            <w:vAlign w:val="bottom"/>
          </w:tcPr>
          <w:p>
            <w:pPr>
              <w:spacing w:after="0"/>
              <w:rPr>
                <w:sz w:val="17"/>
                <w:szCs w:val="17"/>
                <w:color w:val="auto"/>
              </w:rPr>
            </w:pPr>
          </w:p>
        </w:tc>
        <w:tc>
          <w:tcPr>
            <w:tcW w:w="3640" w:type="dxa"/>
            <w:vAlign w:val="bottom"/>
            <w:gridSpan w:val="27"/>
          </w:tcPr>
          <w:p>
            <w:pPr>
              <w:spacing w:after="0" w:line="206" w:lineRule="exact"/>
              <w:rPr>
                <w:rFonts w:ascii="Calibri" w:cs="Calibri" w:eastAsia="Calibri" w:hAnsi="Calibri"/>
                <w:sz w:val="18"/>
                <w:szCs w:val="18"/>
                <w:color w:val="0000FF"/>
              </w:rPr>
            </w:pPr>
            <w:hyperlink r:id="rId163">
              <w:r>
                <w:rPr>
                  <w:rFonts w:ascii="Calibri" w:cs="Calibri" w:eastAsia="Calibri" w:hAnsi="Calibri"/>
                  <w:sz w:val="18"/>
                  <w:szCs w:val="18"/>
                  <w:color w:val="0000FF"/>
                </w:rPr>
                <w:t>Form of Restricted Stock Unit Agreement (Sell to</w:t>
              </w:r>
            </w:hyperlink>
          </w:p>
        </w:tc>
        <w:tc>
          <w:tcPr>
            <w:tcW w:w="2000" w:type="dxa"/>
            <w:vAlign w:val="bottom"/>
            <w:gridSpan w:val="2"/>
          </w:tcPr>
          <w:p>
            <w:pPr>
              <w:ind w:left="20"/>
              <w:spacing w:after="0" w:line="206" w:lineRule="exact"/>
              <w:rPr>
                <w:sz w:val="20"/>
                <w:szCs w:val="20"/>
                <w:color w:val="auto"/>
              </w:rPr>
            </w:pPr>
            <w:r>
              <w:rPr>
                <w:rFonts w:ascii="Calibri" w:cs="Calibri" w:eastAsia="Calibri" w:hAnsi="Calibri"/>
                <w:sz w:val="18"/>
                <w:szCs w:val="18"/>
                <w:color w:val="auto"/>
              </w:rPr>
              <w:t>Broadcom Limited Annual</w:t>
            </w:r>
          </w:p>
        </w:tc>
        <w:tc>
          <w:tcPr>
            <w:tcW w:w="1180" w:type="dxa"/>
            <w:vAlign w:val="bottom"/>
          </w:tcPr>
          <w:p>
            <w:pPr>
              <w:ind w:left="20"/>
              <w:spacing w:after="0" w:line="206" w:lineRule="exact"/>
              <w:rPr>
                <w:sz w:val="20"/>
                <w:szCs w:val="20"/>
                <w:color w:val="auto"/>
              </w:rPr>
            </w:pPr>
            <w:r>
              <w:rPr>
                <w:rFonts w:ascii="Calibri" w:cs="Calibri" w:eastAsia="Calibri" w:hAnsi="Calibri"/>
                <w:sz w:val="18"/>
                <w:szCs w:val="18"/>
                <w:color w:val="auto"/>
              </w:rPr>
              <w:t>001-37690</w:t>
            </w:r>
          </w:p>
        </w:tc>
        <w:tc>
          <w:tcPr>
            <w:tcW w:w="80" w:type="dxa"/>
            <w:vAlign w:val="bottom"/>
          </w:tcPr>
          <w:p>
            <w:pPr>
              <w:spacing w:after="0"/>
              <w:rPr>
                <w:sz w:val="17"/>
                <w:szCs w:val="17"/>
                <w:color w:val="auto"/>
              </w:rPr>
            </w:pPr>
          </w:p>
        </w:tc>
        <w:tc>
          <w:tcPr>
            <w:tcW w:w="1020" w:type="dxa"/>
            <w:vAlign w:val="bottom"/>
          </w:tcPr>
          <w:p>
            <w:pPr>
              <w:jc w:val="center"/>
              <w:spacing w:after="0" w:line="206" w:lineRule="exact"/>
              <w:rPr>
                <w:sz w:val="20"/>
                <w:szCs w:val="20"/>
                <w:color w:val="auto"/>
              </w:rPr>
            </w:pPr>
            <w:r>
              <w:rPr>
                <w:rFonts w:ascii="Calibri" w:cs="Calibri" w:eastAsia="Calibri" w:hAnsi="Calibri"/>
                <w:sz w:val="18"/>
                <w:szCs w:val="18"/>
                <w:color w:val="auto"/>
                <w:w w:val="92"/>
              </w:rPr>
              <w:t>10.49</w:t>
            </w:r>
          </w:p>
        </w:tc>
        <w:tc>
          <w:tcPr>
            <w:tcW w:w="100" w:type="dxa"/>
            <w:vAlign w:val="bottom"/>
          </w:tcPr>
          <w:p>
            <w:pPr>
              <w:spacing w:after="0"/>
              <w:rPr>
                <w:sz w:val="17"/>
                <w:szCs w:val="17"/>
                <w:color w:val="auto"/>
              </w:rPr>
            </w:pPr>
          </w:p>
        </w:tc>
        <w:tc>
          <w:tcPr>
            <w:tcW w:w="1140" w:type="dxa"/>
            <w:vAlign w:val="bottom"/>
          </w:tcPr>
          <w:p>
            <w:pPr>
              <w:jc w:val="right"/>
              <w:ind w:right="233"/>
              <w:spacing w:after="0" w:line="206" w:lineRule="exact"/>
              <w:rPr>
                <w:sz w:val="20"/>
                <w:szCs w:val="20"/>
                <w:color w:val="auto"/>
              </w:rPr>
            </w:pPr>
            <w:r>
              <w:rPr>
                <w:rFonts w:ascii="Calibri" w:cs="Calibri" w:eastAsia="Calibri" w:hAnsi="Calibri"/>
                <w:sz w:val="18"/>
                <w:szCs w:val="18"/>
                <w:color w:val="auto"/>
                <w:w w:val="95"/>
              </w:rPr>
              <w:t>12-21-2017</w:t>
            </w:r>
          </w:p>
        </w:tc>
        <w:tc>
          <w:tcPr>
            <w:tcW w:w="0" w:type="dxa"/>
            <w:vAlign w:val="bottom"/>
          </w:tcPr>
          <w:p>
            <w:pPr>
              <w:spacing w:after="0"/>
              <w:rPr>
                <w:sz w:val="1"/>
                <w:szCs w:val="1"/>
                <w:color w:val="auto"/>
              </w:rPr>
            </w:pPr>
          </w:p>
        </w:tc>
      </w:tr>
      <w:tr>
        <w:trPr>
          <w:trHeight w:val="152"/>
        </w:trPr>
        <w:tc>
          <w:tcPr>
            <w:tcW w:w="8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380" w:type="dxa"/>
            <w:vAlign w:val="bottom"/>
            <w:tcBorders>
              <w:top w:val="single" w:sz="8" w:color="0000FF"/>
            </w:tcBorders>
            <w:gridSpan w:val="21"/>
          </w:tcPr>
          <w:p>
            <w:pPr>
              <w:spacing w:after="0" w:line="152" w:lineRule="exact"/>
              <w:rPr>
                <w:rFonts w:ascii="Calibri" w:cs="Calibri" w:eastAsia="Calibri" w:hAnsi="Calibri"/>
                <w:sz w:val="15"/>
                <w:szCs w:val="15"/>
                <w:color w:val="0000FF"/>
              </w:rPr>
            </w:pPr>
            <w:hyperlink r:id="rId163">
              <w:r>
                <w:rPr>
                  <w:rFonts w:ascii="Calibri" w:cs="Calibri" w:eastAsia="Calibri" w:hAnsi="Calibri"/>
                  <w:sz w:val="15"/>
                  <w:szCs w:val="15"/>
                  <w:color w:val="0000FF"/>
                </w:rPr>
                <w:t>Cover) Under Avago Technologies Limited 2009</w:t>
              </w:r>
            </w:hyperlink>
          </w:p>
        </w:tc>
        <w:tc>
          <w:tcPr>
            <w:tcW w:w="10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gridSpan w:val="2"/>
          </w:tcPr>
          <w:p>
            <w:pPr>
              <w:spacing w:after="0"/>
              <w:rPr>
                <w:sz w:val="13"/>
                <w:szCs w:val="13"/>
                <w:color w:val="auto"/>
              </w:rPr>
            </w:pPr>
          </w:p>
        </w:tc>
        <w:tc>
          <w:tcPr>
            <w:tcW w:w="2000" w:type="dxa"/>
            <w:vAlign w:val="bottom"/>
            <w:gridSpan w:val="2"/>
          </w:tcPr>
          <w:p>
            <w:pPr>
              <w:ind w:left="20"/>
              <w:spacing w:after="0" w:line="152" w:lineRule="exact"/>
              <w:rPr>
                <w:sz w:val="20"/>
                <w:szCs w:val="20"/>
                <w:color w:val="auto"/>
              </w:rPr>
            </w:pPr>
            <w:r>
              <w:rPr>
                <w:rFonts w:ascii="Calibri" w:cs="Calibri" w:eastAsia="Calibri" w:hAnsi="Calibri"/>
                <w:sz w:val="15"/>
                <w:szCs w:val="15"/>
                <w:color w:val="auto"/>
              </w:rPr>
              <w:t>Report on Form 10-K</w:t>
            </w:r>
          </w:p>
        </w:tc>
        <w:tc>
          <w:tcPr>
            <w:tcW w:w="1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60" w:type="dxa"/>
            <w:vAlign w:val="bottom"/>
            <w:tcBorders>
              <w:top w:val="single" w:sz="8" w:color="0000FF"/>
            </w:tcBorders>
            <w:gridSpan w:val="18"/>
          </w:tcPr>
          <w:p>
            <w:pPr>
              <w:spacing w:after="0" w:line="165" w:lineRule="exact"/>
              <w:rPr>
                <w:rFonts w:ascii="Calibri" w:cs="Calibri" w:eastAsia="Calibri" w:hAnsi="Calibri"/>
                <w:sz w:val="18"/>
                <w:szCs w:val="18"/>
                <w:color w:val="0000FF"/>
                <w:w w:val="94"/>
              </w:rPr>
            </w:pPr>
            <w:hyperlink r:id="rId163">
              <w:r>
                <w:rPr>
                  <w:rFonts w:ascii="Calibri" w:cs="Calibri" w:eastAsia="Calibri" w:hAnsi="Calibri"/>
                  <w:sz w:val="18"/>
                  <w:szCs w:val="18"/>
                  <w:color w:val="0000FF"/>
                  <w:w w:val="94"/>
                </w:rPr>
                <w:t>Equity Incentve Award Plan (efectve December</w:t>
              </w:r>
            </w:hyperlink>
          </w:p>
        </w:tc>
        <w:tc>
          <w:tcPr>
            <w:tcW w:w="10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gridSpan w:val="2"/>
          </w:tcPr>
          <w:p>
            <w:pPr>
              <w:spacing w:after="0"/>
              <w:rPr>
                <w:sz w:val="14"/>
                <w:szCs w:val="14"/>
                <w:color w:val="auto"/>
              </w:rPr>
            </w:pPr>
          </w:p>
        </w:tc>
        <w:tc>
          <w:tcPr>
            <w:tcW w:w="1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8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Borders>
              <w:top w:val="single" w:sz="8" w:color="0000FF"/>
              <w:bottom w:val="single" w:sz="8" w:color="0000FF"/>
            </w:tcBorders>
            <w:gridSpan w:val="3"/>
          </w:tcPr>
          <w:p>
            <w:pPr>
              <w:spacing w:after="0" w:line="152" w:lineRule="exact"/>
              <w:rPr>
                <w:rFonts w:ascii="Calibri" w:cs="Calibri" w:eastAsia="Calibri" w:hAnsi="Calibri"/>
                <w:sz w:val="15"/>
                <w:szCs w:val="15"/>
                <w:color w:val="0000FF"/>
              </w:rPr>
            </w:pPr>
            <w:hyperlink r:id="rId163">
              <w:r>
                <w:rPr>
                  <w:rFonts w:ascii="Calibri" w:cs="Calibri" w:eastAsia="Calibri" w:hAnsi="Calibri"/>
                  <w:sz w:val="15"/>
                  <w:szCs w:val="15"/>
                  <w:color w:val="0000FF"/>
                </w:rPr>
                <w:t>5, 2017).</w:t>
              </w:r>
            </w:hyperlink>
          </w:p>
        </w:tc>
        <w:tc>
          <w:tcPr>
            <w:tcW w:w="10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186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4"/>
        </w:trPr>
        <w:tc>
          <w:tcPr>
            <w:tcW w:w="860" w:type="dxa"/>
            <w:vAlign w:val="bottom"/>
          </w:tcPr>
          <w:p>
            <w:pPr>
              <w:jc w:val="right"/>
              <w:spacing w:after="0" w:line="205" w:lineRule="exact"/>
              <w:rPr>
                <w:sz w:val="20"/>
                <w:szCs w:val="20"/>
                <w:color w:val="auto"/>
              </w:rPr>
            </w:pPr>
            <w:r>
              <w:rPr>
                <w:rFonts w:ascii="Calibri" w:cs="Calibri" w:eastAsia="Calibri" w:hAnsi="Calibri"/>
                <w:sz w:val="18"/>
                <w:szCs w:val="18"/>
                <w:color w:val="auto"/>
              </w:rPr>
              <w:t>10.19</w:t>
            </w:r>
          </w:p>
        </w:tc>
        <w:tc>
          <w:tcPr>
            <w:tcW w:w="300" w:type="dxa"/>
            <w:vAlign w:val="bottom"/>
          </w:tcPr>
          <w:p>
            <w:pPr>
              <w:jc w:val="right"/>
              <w:ind w:right="72"/>
              <w:spacing w:after="0" w:line="205" w:lineRule="exact"/>
              <w:rPr>
                <w:sz w:val="20"/>
                <w:szCs w:val="20"/>
                <w:color w:val="auto"/>
              </w:rPr>
            </w:pPr>
            <w:r>
              <w:rPr>
                <w:rFonts w:ascii="Calibri" w:cs="Calibri" w:eastAsia="Calibri" w:hAnsi="Calibri"/>
                <w:sz w:val="18"/>
                <w:szCs w:val="18"/>
                <w:color w:val="auto"/>
              </w:rPr>
              <w:t>+</w:t>
            </w:r>
          </w:p>
        </w:tc>
        <w:tc>
          <w:tcPr>
            <w:tcW w:w="20" w:type="dxa"/>
            <w:vAlign w:val="bottom"/>
          </w:tcPr>
          <w:p>
            <w:pPr>
              <w:spacing w:after="0"/>
              <w:rPr>
                <w:sz w:val="17"/>
                <w:szCs w:val="17"/>
                <w:color w:val="auto"/>
              </w:rPr>
            </w:pPr>
          </w:p>
        </w:tc>
        <w:tc>
          <w:tcPr>
            <w:tcW w:w="3640" w:type="dxa"/>
            <w:vAlign w:val="bottom"/>
            <w:gridSpan w:val="27"/>
          </w:tcPr>
          <w:p>
            <w:pPr>
              <w:spacing w:after="0" w:line="205" w:lineRule="exact"/>
              <w:rPr>
                <w:rFonts w:ascii="Calibri" w:cs="Calibri" w:eastAsia="Calibri" w:hAnsi="Calibri"/>
                <w:sz w:val="18"/>
                <w:szCs w:val="18"/>
                <w:color w:val="0000FF"/>
                <w:w w:val="98"/>
              </w:rPr>
            </w:pPr>
            <w:hyperlink r:id="rId164">
              <w:r>
                <w:rPr>
                  <w:rFonts w:ascii="Calibri" w:cs="Calibri" w:eastAsia="Calibri" w:hAnsi="Calibri"/>
                  <w:sz w:val="18"/>
                  <w:szCs w:val="18"/>
                  <w:color w:val="0000FF"/>
                  <w:w w:val="98"/>
                </w:rPr>
                <w:t>Form of Agreement for Mult-Year Equity Award of</w:t>
              </w:r>
            </w:hyperlink>
          </w:p>
        </w:tc>
        <w:tc>
          <w:tcPr>
            <w:tcW w:w="2000" w:type="dxa"/>
            <w:vAlign w:val="bottom"/>
            <w:gridSpan w:val="2"/>
          </w:tcPr>
          <w:p>
            <w:pPr>
              <w:ind w:left="20"/>
              <w:spacing w:after="0" w:line="205" w:lineRule="exact"/>
              <w:rPr>
                <w:sz w:val="20"/>
                <w:szCs w:val="20"/>
                <w:color w:val="auto"/>
              </w:rPr>
            </w:pPr>
            <w:r>
              <w:rPr>
                <w:rFonts w:ascii="Calibri" w:cs="Calibri" w:eastAsia="Calibri" w:hAnsi="Calibri"/>
                <w:sz w:val="18"/>
                <w:szCs w:val="18"/>
                <w:color w:val="auto"/>
              </w:rPr>
              <w:t>Broadcom Inc. Current</w:t>
            </w:r>
          </w:p>
        </w:tc>
        <w:tc>
          <w:tcPr>
            <w:tcW w:w="1180" w:type="dxa"/>
            <w:vAlign w:val="bottom"/>
          </w:tcPr>
          <w:p>
            <w:pPr>
              <w:ind w:left="20"/>
              <w:spacing w:after="0" w:line="205" w:lineRule="exact"/>
              <w:rPr>
                <w:sz w:val="20"/>
                <w:szCs w:val="20"/>
                <w:color w:val="auto"/>
              </w:rPr>
            </w:pPr>
            <w:r>
              <w:rPr>
                <w:rFonts w:ascii="Calibri" w:cs="Calibri" w:eastAsia="Calibri" w:hAnsi="Calibri"/>
                <w:sz w:val="18"/>
                <w:szCs w:val="18"/>
                <w:color w:val="auto"/>
              </w:rPr>
              <w:t>001-38449</w:t>
            </w:r>
          </w:p>
        </w:tc>
        <w:tc>
          <w:tcPr>
            <w:tcW w:w="80" w:type="dxa"/>
            <w:vAlign w:val="bottom"/>
          </w:tcPr>
          <w:p>
            <w:pPr>
              <w:spacing w:after="0"/>
              <w:rPr>
                <w:sz w:val="17"/>
                <w:szCs w:val="17"/>
                <w:color w:val="auto"/>
              </w:rPr>
            </w:pPr>
          </w:p>
        </w:tc>
        <w:tc>
          <w:tcPr>
            <w:tcW w:w="1020" w:type="dxa"/>
            <w:vAlign w:val="bottom"/>
          </w:tcPr>
          <w:p>
            <w:pPr>
              <w:jc w:val="center"/>
              <w:spacing w:after="0" w:line="205" w:lineRule="exact"/>
              <w:rPr>
                <w:sz w:val="20"/>
                <w:szCs w:val="20"/>
                <w:color w:val="auto"/>
              </w:rPr>
            </w:pPr>
            <w:r>
              <w:rPr>
                <w:rFonts w:ascii="Calibri" w:cs="Calibri" w:eastAsia="Calibri" w:hAnsi="Calibri"/>
                <w:sz w:val="18"/>
                <w:szCs w:val="18"/>
                <w:color w:val="auto"/>
                <w:w w:val="93"/>
              </w:rPr>
              <w:t>10.1</w:t>
            </w:r>
          </w:p>
        </w:tc>
        <w:tc>
          <w:tcPr>
            <w:tcW w:w="100" w:type="dxa"/>
            <w:vAlign w:val="bottom"/>
          </w:tcPr>
          <w:p>
            <w:pPr>
              <w:spacing w:after="0"/>
              <w:rPr>
                <w:sz w:val="17"/>
                <w:szCs w:val="17"/>
                <w:color w:val="auto"/>
              </w:rPr>
            </w:pPr>
          </w:p>
        </w:tc>
        <w:tc>
          <w:tcPr>
            <w:tcW w:w="1140" w:type="dxa"/>
            <w:vAlign w:val="bottom"/>
          </w:tcPr>
          <w:p>
            <w:pPr>
              <w:jc w:val="right"/>
              <w:ind w:right="233"/>
              <w:spacing w:after="0" w:line="205" w:lineRule="exact"/>
              <w:rPr>
                <w:sz w:val="20"/>
                <w:szCs w:val="20"/>
                <w:color w:val="auto"/>
              </w:rPr>
            </w:pPr>
            <w:r>
              <w:rPr>
                <w:rFonts w:ascii="Calibri" w:cs="Calibri" w:eastAsia="Calibri" w:hAnsi="Calibri"/>
                <w:sz w:val="18"/>
                <w:szCs w:val="18"/>
                <w:color w:val="auto"/>
                <w:w w:val="95"/>
              </w:rPr>
              <w:t>12-06-2018</w:t>
            </w:r>
          </w:p>
        </w:tc>
        <w:tc>
          <w:tcPr>
            <w:tcW w:w="0" w:type="dxa"/>
            <w:vAlign w:val="bottom"/>
          </w:tcPr>
          <w:p>
            <w:pPr>
              <w:spacing w:after="0"/>
              <w:rPr>
                <w:sz w:val="1"/>
                <w:szCs w:val="1"/>
                <w:color w:val="auto"/>
              </w:rPr>
            </w:pPr>
          </w:p>
        </w:tc>
      </w:tr>
      <w:tr>
        <w:trPr>
          <w:trHeight w:val="152"/>
        </w:trPr>
        <w:tc>
          <w:tcPr>
            <w:tcW w:w="8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500" w:type="dxa"/>
            <w:vAlign w:val="bottom"/>
            <w:tcBorders>
              <w:top w:val="single" w:sz="8" w:color="0000FF"/>
            </w:tcBorders>
            <w:gridSpan w:val="25"/>
          </w:tcPr>
          <w:p>
            <w:pPr>
              <w:spacing w:after="0" w:line="152" w:lineRule="exact"/>
              <w:rPr>
                <w:rFonts w:ascii="Calibri" w:cs="Calibri" w:eastAsia="Calibri" w:hAnsi="Calibri"/>
                <w:sz w:val="15"/>
                <w:szCs w:val="15"/>
                <w:color w:val="0000FF"/>
              </w:rPr>
            </w:pPr>
            <w:hyperlink r:id="rId164">
              <w:r>
                <w:rPr>
                  <w:rFonts w:ascii="Calibri" w:cs="Calibri" w:eastAsia="Calibri" w:hAnsi="Calibri"/>
                  <w:sz w:val="15"/>
                  <w:szCs w:val="15"/>
                  <w:color w:val="0000FF"/>
                </w:rPr>
                <w:t>Restricted Stock Unit Award under the Avago</w:t>
              </w:r>
            </w:hyperlink>
          </w:p>
        </w:tc>
        <w:tc>
          <w:tcPr>
            <w:tcW w:w="140" w:type="dxa"/>
            <w:vAlign w:val="bottom"/>
            <w:gridSpan w:val="2"/>
          </w:tcPr>
          <w:p>
            <w:pPr>
              <w:spacing w:after="0"/>
              <w:rPr>
                <w:sz w:val="13"/>
                <w:szCs w:val="13"/>
                <w:color w:val="auto"/>
              </w:rPr>
            </w:pPr>
          </w:p>
        </w:tc>
        <w:tc>
          <w:tcPr>
            <w:tcW w:w="2000" w:type="dxa"/>
            <w:vAlign w:val="bottom"/>
            <w:gridSpan w:val="2"/>
          </w:tcPr>
          <w:p>
            <w:pPr>
              <w:ind w:left="20"/>
              <w:spacing w:after="0" w:line="152" w:lineRule="exact"/>
              <w:rPr>
                <w:sz w:val="20"/>
                <w:szCs w:val="20"/>
                <w:color w:val="auto"/>
              </w:rPr>
            </w:pPr>
            <w:r>
              <w:rPr>
                <w:rFonts w:ascii="Calibri" w:cs="Calibri" w:eastAsia="Calibri" w:hAnsi="Calibri"/>
                <w:sz w:val="15"/>
                <w:szCs w:val="15"/>
                <w:color w:val="auto"/>
              </w:rPr>
              <w:t>Report on Form 8-K</w:t>
            </w:r>
          </w:p>
        </w:tc>
        <w:tc>
          <w:tcPr>
            <w:tcW w:w="1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120" w:type="dxa"/>
            <w:vAlign w:val="bottom"/>
            <w:tcBorders>
              <w:top w:val="single" w:sz="8" w:color="0000FF"/>
            </w:tcBorders>
            <w:gridSpan w:val="15"/>
          </w:tcPr>
          <w:p>
            <w:pPr>
              <w:spacing w:after="0" w:line="165" w:lineRule="exact"/>
              <w:rPr>
                <w:rFonts w:ascii="Calibri" w:cs="Calibri" w:eastAsia="Calibri" w:hAnsi="Calibri"/>
                <w:sz w:val="18"/>
                <w:szCs w:val="18"/>
                <w:color w:val="0000FF"/>
                <w:w w:val="99"/>
              </w:rPr>
            </w:pPr>
            <w:hyperlink r:id="rId164">
              <w:r>
                <w:rPr>
                  <w:rFonts w:ascii="Calibri" w:cs="Calibri" w:eastAsia="Calibri" w:hAnsi="Calibri"/>
                  <w:sz w:val="18"/>
                  <w:szCs w:val="18"/>
                  <w:color w:val="0000FF"/>
                  <w:w w:val="99"/>
                </w:rPr>
                <w:t>Technologies Limited 2009 Equity Incentve</w:t>
              </w:r>
            </w:hyperlink>
          </w:p>
        </w:tc>
        <w:tc>
          <w:tcPr>
            <w:tcW w:w="520" w:type="dxa"/>
            <w:vAlign w:val="bottom"/>
            <w:gridSpan w:val="12"/>
          </w:tcPr>
          <w:p>
            <w:pPr>
              <w:jc w:val="right"/>
              <w:ind w:right="160"/>
              <w:spacing w:after="0" w:line="165" w:lineRule="exact"/>
              <w:rPr>
                <w:rFonts w:ascii="Calibri" w:cs="Calibri" w:eastAsia="Calibri" w:hAnsi="Calibri"/>
                <w:sz w:val="18"/>
                <w:szCs w:val="18"/>
                <w:color w:val="0000FF"/>
                <w:w w:val="71"/>
              </w:rPr>
            </w:pPr>
            <w:hyperlink r:id="rId164">
              <w:r>
                <w:rPr>
                  <w:rFonts w:ascii="Calibri" w:cs="Calibri" w:eastAsia="Calibri" w:hAnsi="Calibri"/>
                  <w:sz w:val="18"/>
                  <w:szCs w:val="18"/>
                  <w:color w:val="0000FF"/>
                  <w:w w:val="71"/>
                </w:rPr>
                <w:t>Award</w:t>
              </w:r>
            </w:hyperlink>
          </w:p>
        </w:tc>
        <w:tc>
          <w:tcPr>
            <w:tcW w:w="1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8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80" w:type="dxa"/>
            <w:vAlign w:val="bottom"/>
            <w:tcBorders>
              <w:top w:val="single" w:sz="8" w:color="0000FF"/>
            </w:tcBorders>
            <w:gridSpan w:val="24"/>
          </w:tcPr>
          <w:p>
            <w:pPr>
              <w:spacing w:after="0" w:line="152" w:lineRule="exact"/>
              <w:rPr>
                <w:rFonts w:ascii="Calibri" w:cs="Calibri" w:eastAsia="Calibri" w:hAnsi="Calibri"/>
                <w:sz w:val="15"/>
                <w:szCs w:val="15"/>
                <w:color w:val="0000FF"/>
              </w:rPr>
            </w:pPr>
            <w:hyperlink r:id="rId164">
              <w:r>
                <w:rPr>
                  <w:rFonts w:ascii="Calibri" w:cs="Calibri" w:eastAsia="Calibri" w:hAnsi="Calibri"/>
                  <w:sz w:val="15"/>
                  <w:szCs w:val="15"/>
                  <w:color w:val="0000FF"/>
                </w:rPr>
                <w:t>Plan).</w:t>
              </w:r>
            </w:hyperlink>
          </w:p>
        </w:tc>
        <w:tc>
          <w:tcPr>
            <w:tcW w:w="160" w:type="dxa"/>
            <w:vAlign w:val="bottom"/>
            <w:gridSpan w:val="3"/>
          </w:tcPr>
          <w:p>
            <w:pPr>
              <w:spacing w:after="0"/>
              <w:rPr>
                <w:sz w:val="13"/>
                <w:szCs w:val="13"/>
                <w:color w:val="auto"/>
              </w:rPr>
            </w:pPr>
          </w:p>
        </w:tc>
        <w:tc>
          <w:tcPr>
            <w:tcW w:w="1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520" w:type="dxa"/>
            <w:vAlign w:val="bottom"/>
            <w:gridSpan w:val="10"/>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80" w:type="dxa"/>
            <w:vAlign w:val="bottom"/>
            <w:gridSpan w:val="7"/>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860" w:type="dxa"/>
            <w:vAlign w:val="bottom"/>
          </w:tcPr>
          <w:p>
            <w:pPr>
              <w:jc w:val="right"/>
              <w:spacing w:after="0" w:line="205" w:lineRule="exact"/>
              <w:rPr>
                <w:sz w:val="20"/>
                <w:szCs w:val="20"/>
                <w:color w:val="auto"/>
              </w:rPr>
            </w:pPr>
            <w:r>
              <w:rPr>
                <w:rFonts w:ascii="Calibri" w:cs="Calibri" w:eastAsia="Calibri" w:hAnsi="Calibri"/>
                <w:sz w:val="18"/>
                <w:szCs w:val="18"/>
                <w:color w:val="auto"/>
              </w:rPr>
              <w:t>10.20</w:t>
            </w:r>
          </w:p>
        </w:tc>
        <w:tc>
          <w:tcPr>
            <w:tcW w:w="300" w:type="dxa"/>
            <w:vAlign w:val="bottom"/>
          </w:tcPr>
          <w:p>
            <w:pPr>
              <w:jc w:val="right"/>
              <w:ind w:right="72"/>
              <w:spacing w:after="0" w:line="205" w:lineRule="exact"/>
              <w:rPr>
                <w:sz w:val="20"/>
                <w:szCs w:val="20"/>
                <w:color w:val="auto"/>
              </w:rPr>
            </w:pPr>
            <w:r>
              <w:rPr>
                <w:rFonts w:ascii="Calibri" w:cs="Calibri" w:eastAsia="Calibri" w:hAnsi="Calibri"/>
                <w:sz w:val="18"/>
                <w:szCs w:val="18"/>
                <w:color w:val="auto"/>
              </w:rPr>
              <w:t>+</w:t>
            </w:r>
          </w:p>
        </w:tc>
        <w:tc>
          <w:tcPr>
            <w:tcW w:w="20" w:type="dxa"/>
            <w:vAlign w:val="bottom"/>
          </w:tcPr>
          <w:p>
            <w:pPr>
              <w:spacing w:after="0"/>
              <w:rPr>
                <w:sz w:val="17"/>
                <w:szCs w:val="17"/>
                <w:color w:val="auto"/>
              </w:rPr>
            </w:pPr>
          </w:p>
        </w:tc>
        <w:tc>
          <w:tcPr>
            <w:tcW w:w="3060" w:type="dxa"/>
            <w:vAlign w:val="bottom"/>
            <w:tcBorders>
              <w:bottom w:val="single" w:sz="8" w:color="0000FF"/>
            </w:tcBorders>
            <w:gridSpan w:val="14"/>
          </w:tcPr>
          <w:p>
            <w:pPr>
              <w:spacing w:after="0" w:line="205" w:lineRule="exact"/>
              <w:rPr>
                <w:rFonts w:ascii="Calibri" w:cs="Calibri" w:eastAsia="Calibri" w:hAnsi="Calibri"/>
                <w:sz w:val="18"/>
                <w:szCs w:val="18"/>
                <w:color w:val="0000FF"/>
                <w:w w:val="94"/>
              </w:rPr>
            </w:pPr>
            <w:hyperlink r:id="rId165">
              <w:r>
                <w:rPr>
                  <w:rFonts w:ascii="Calibri" w:cs="Calibri" w:eastAsia="Calibri" w:hAnsi="Calibri"/>
                  <w:sz w:val="18"/>
                  <w:szCs w:val="18"/>
                  <w:color w:val="0000FF"/>
                  <w:w w:val="94"/>
                </w:rPr>
                <w:t>Form of Performance Share Unit Agreement</w:t>
              </w:r>
            </w:hyperlink>
          </w:p>
        </w:tc>
        <w:tc>
          <w:tcPr>
            <w:tcW w:w="580" w:type="dxa"/>
            <w:vAlign w:val="bottom"/>
            <w:gridSpan w:val="13"/>
          </w:tcPr>
          <w:p>
            <w:pPr>
              <w:spacing w:after="0"/>
              <w:rPr>
                <w:sz w:val="17"/>
                <w:szCs w:val="17"/>
                <w:color w:val="auto"/>
              </w:rPr>
            </w:pPr>
          </w:p>
        </w:tc>
        <w:tc>
          <w:tcPr>
            <w:tcW w:w="2000" w:type="dxa"/>
            <w:vAlign w:val="bottom"/>
            <w:gridSpan w:val="2"/>
          </w:tcPr>
          <w:p>
            <w:pPr>
              <w:ind w:left="20"/>
              <w:spacing w:after="0" w:line="205" w:lineRule="exact"/>
              <w:rPr>
                <w:sz w:val="20"/>
                <w:szCs w:val="20"/>
                <w:color w:val="auto"/>
              </w:rPr>
            </w:pPr>
            <w:r>
              <w:rPr>
                <w:rFonts w:ascii="Calibri" w:cs="Calibri" w:eastAsia="Calibri" w:hAnsi="Calibri"/>
                <w:sz w:val="18"/>
                <w:szCs w:val="18"/>
                <w:color w:val="auto"/>
              </w:rPr>
              <w:t>Broadcom Limited</w:t>
            </w:r>
          </w:p>
        </w:tc>
        <w:tc>
          <w:tcPr>
            <w:tcW w:w="1180" w:type="dxa"/>
            <w:vAlign w:val="bottom"/>
          </w:tcPr>
          <w:p>
            <w:pPr>
              <w:ind w:left="20"/>
              <w:spacing w:after="0" w:line="205" w:lineRule="exact"/>
              <w:rPr>
                <w:sz w:val="20"/>
                <w:szCs w:val="20"/>
                <w:color w:val="auto"/>
              </w:rPr>
            </w:pPr>
            <w:r>
              <w:rPr>
                <w:rFonts w:ascii="Calibri" w:cs="Calibri" w:eastAsia="Calibri" w:hAnsi="Calibri"/>
                <w:sz w:val="18"/>
                <w:szCs w:val="18"/>
                <w:color w:val="auto"/>
              </w:rPr>
              <w:t>001-37690</w:t>
            </w:r>
          </w:p>
        </w:tc>
        <w:tc>
          <w:tcPr>
            <w:tcW w:w="80" w:type="dxa"/>
            <w:vAlign w:val="bottom"/>
          </w:tcPr>
          <w:p>
            <w:pPr>
              <w:spacing w:after="0"/>
              <w:rPr>
                <w:sz w:val="17"/>
                <w:szCs w:val="17"/>
                <w:color w:val="auto"/>
              </w:rPr>
            </w:pPr>
          </w:p>
        </w:tc>
        <w:tc>
          <w:tcPr>
            <w:tcW w:w="1020" w:type="dxa"/>
            <w:vAlign w:val="bottom"/>
          </w:tcPr>
          <w:p>
            <w:pPr>
              <w:jc w:val="center"/>
              <w:spacing w:after="0" w:line="205" w:lineRule="exact"/>
              <w:rPr>
                <w:sz w:val="20"/>
                <w:szCs w:val="20"/>
                <w:color w:val="auto"/>
              </w:rPr>
            </w:pPr>
            <w:r>
              <w:rPr>
                <w:rFonts w:ascii="Calibri" w:cs="Calibri" w:eastAsia="Calibri" w:hAnsi="Calibri"/>
                <w:sz w:val="18"/>
                <w:szCs w:val="18"/>
                <w:color w:val="auto"/>
                <w:w w:val="93"/>
              </w:rPr>
              <w:t>10.2</w:t>
            </w:r>
          </w:p>
        </w:tc>
        <w:tc>
          <w:tcPr>
            <w:tcW w:w="100" w:type="dxa"/>
            <w:vAlign w:val="bottom"/>
          </w:tcPr>
          <w:p>
            <w:pPr>
              <w:spacing w:after="0"/>
              <w:rPr>
                <w:sz w:val="17"/>
                <w:szCs w:val="17"/>
                <w:color w:val="auto"/>
              </w:rPr>
            </w:pPr>
          </w:p>
        </w:tc>
        <w:tc>
          <w:tcPr>
            <w:tcW w:w="1140" w:type="dxa"/>
            <w:vAlign w:val="bottom"/>
          </w:tcPr>
          <w:p>
            <w:pPr>
              <w:jc w:val="right"/>
              <w:ind w:right="233"/>
              <w:spacing w:after="0" w:line="205" w:lineRule="exact"/>
              <w:rPr>
                <w:sz w:val="20"/>
                <w:szCs w:val="20"/>
                <w:color w:val="auto"/>
              </w:rPr>
            </w:pPr>
            <w:r>
              <w:rPr>
                <w:rFonts w:ascii="Calibri" w:cs="Calibri" w:eastAsia="Calibri" w:hAnsi="Calibri"/>
                <w:sz w:val="18"/>
                <w:szCs w:val="18"/>
                <w:color w:val="auto"/>
                <w:w w:val="95"/>
              </w:rPr>
              <w:t>03-15-2018</w:t>
            </w:r>
          </w:p>
        </w:tc>
        <w:tc>
          <w:tcPr>
            <w:tcW w:w="0" w:type="dxa"/>
            <w:vAlign w:val="bottom"/>
          </w:tcPr>
          <w:p>
            <w:pPr>
              <w:spacing w:after="0"/>
              <w:rPr>
                <w:sz w:val="1"/>
                <w:szCs w:val="1"/>
                <w:color w:val="auto"/>
              </w:rPr>
            </w:pPr>
          </w:p>
        </w:tc>
      </w:tr>
      <w:tr>
        <w:trPr>
          <w:trHeight w:val="152"/>
        </w:trPr>
        <w:tc>
          <w:tcPr>
            <w:tcW w:w="8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40" w:type="dxa"/>
            <w:vAlign w:val="bottom"/>
            <w:gridSpan w:val="27"/>
          </w:tcPr>
          <w:p>
            <w:pPr>
              <w:spacing w:after="0" w:line="152" w:lineRule="exact"/>
              <w:rPr>
                <w:rFonts w:ascii="Calibri" w:cs="Calibri" w:eastAsia="Calibri" w:hAnsi="Calibri"/>
                <w:sz w:val="15"/>
                <w:szCs w:val="15"/>
                <w:color w:val="0000FF"/>
              </w:rPr>
            </w:pPr>
            <w:hyperlink r:id="rId165">
              <w:r>
                <w:rPr>
                  <w:rFonts w:ascii="Calibri" w:cs="Calibri" w:eastAsia="Calibri" w:hAnsi="Calibri"/>
                  <w:sz w:val="15"/>
                  <w:szCs w:val="15"/>
                  <w:color w:val="0000FF"/>
                </w:rPr>
                <w:t>(Relatve TSR) under Avago Technologies Limited</w:t>
              </w:r>
            </w:hyperlink>
          </w:p>
        </w:tc>
        <w:tc>
          <w:tcPr>
            <w:tcW w:w="2000" w:type="dxa"/>
            <w:vAlign w:val="bottom"/>
            <w:gridSpan w:val="2"/>
          </w:tcPr>
          <w:p>
            <w:pPr>
              <w:ind w:left="20"/>
              <w:spacing w:after="0" w:line="152" w:lineRule="exact"/>
              <w:rPr>
                <w:sz w:val="20"/>
                <w:szCs w:val="20"/>
                <w:color w:val="auto"/>
              </w:rPr>
            </w:pPr>
            <w:r>
              <w:rPr>
                <w:rFonts w:ascii="Calibri" w:cs="Calibri" w:eastAsia="Calibri" w:hAnsi="Calibri"/>
                <w:sz w:val="15"/>
                <w:szCs w:val="15"/>
                <w:color w:val="auto"/>
              </w:rPr>
              <w:t>Quarterly Report on Form</w:t>
            </w:r>
          </w:p>
        </w:tc>
        <w:tc>
          <w:tcPr>
            <w:tcW w:w="1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360" w:type="dxa"/>
            <w:vAlign w:val="bottom"/>
            <w:tcBorders>
              <w:top w:val="single" w:sz="8" w:color="0000FF"/>
            </w:tcBorders>
            <w:gridSpan w:val="20"/>
          </w:tcPr>
          <w:p>
            <w:pPr>
              <w:spacing w:after="0" w:line="165" w:lineRule="exact"/>
              <w:rPr>
                <w:rFonts w:ascii="Calibri" w:cs="Calibri" w:eastAsia="Calibri" w:hAnsi="Calibri"/>
                <w:sz w:val="18"/>
                <w:szCs w:val="18"/>
                <w:color w:val="0000FF"/>
              </w:rPr>
            </w:pPr>
            <w:hyperlink r:id="rId165">
              <w:r>
                <w:rPr>
                  <w:rFonts w:ascii="Calibri" w:cs="Calibri" w:eastAsia="Calibri" w:hAnsi="Calibri"/>
                  <w:sz w:val="18"/>
                  <w:szCs w:val="18"/>
                  <w:color w:val="0000FF"/>
                </w:rPr>
                <w:t>2009 Equity Incentve Plan (efectve March 13,</w:t>
              </w:r>
            </w:hyperlink>
          </w:p>
        </w:tc>
        <w:tc>
          <w:tcPr>
            <w:tcW w:w="280" w:type="dxa"/>
            <w:vAlign w:val="bottom"/>
            <w:gridSpan w:val="7"/>
          </w:tcPr>
          <w:p>
            <w:pPr>
              <w:spacing w:after="0"/>
              <w:rPr>
                <w:sz w:val="14"/>
                <w:szCs w:val="14"/>
                <w:color w:val="auto"/>
              </w:rPr>
            </w:pPr>
          </w:p>
        </w:tc>
        <w:tc>
          <w:tcPr>
            <w:tcW w:w="2000" w:type="dxa"/>
            <w:vAlign w:val="bottom"/>
            <w:gridSpan w:val="2"/>
          </w:tcPr>
          <w:p>
            <w:pPr>
              <w:ind w:left="20"/>
              <w:spacing w:after="0" w:line="165" w:lineRule="exact"/>
              <w:rPr>
                <w:sz w:val="20"/>
                <w:szCs w:val="20"/>
                <w:color w:val="auto"/>
              </w:rPr>
            </w:pPr>
            <w:r>
              <w:rPr>
                <w:rFonts w:ascii="Calibri" w:cs="Calibri" w:eastAsia="Calibri" w:hAnsi="Calibri"/>
                <w:sz w:val="18"/>
                <w:szCs w:val="18"/>
                <w:color w:val="auto"/>
              </w:rPr>
              <w:t>10-Q</w:t>
            </w: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8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Borders>
              <w:top w:val="single" w:sz="8" w:color="0000FF"/>
              <w:bottom w:val="single" w:sz="8" w:color="0000FF"/>
            </w:tcBorders>
            <w:gridSpan w:val="2"/>
          </w:tcPr>
          <w:p>
            <w:pPr>
              <w:spacing w:after="0" w:line="152" w:lineRule="exact"/>
              <w:rPr>
                <w:rFonts w:ascii="Calibri" w:cs="Calibri" w:eastAsia="Calibri" w:hAnsi="Calibri"/>
                <w:sz w:val="15"/>
                <w:szCs w:val="15"/>
                <w:color w:val="0000FF"/>
              </w:rPr>
            </w:pPr>
            <w:hyperlink r:id="rId165">
              <w:r>
                <w:rPr>
                  <w:rFonts w:ascii="Calibri" w:cs="Calibri" w:eastAsia="Calibri" w:hAnsi="Calibri"/>
                  <w:sz w:val="15"/>
                  <w:szCs w:val="15"/>
                  <w:color w:val="0000FF"/>
                </w:rPr>
                <w:t>2018).</w:t>
              </w:r>
            </w:hyperlink>
          </w:p>
        </w:tc>
        <w:tc>
          <w:tcPr>
            <w:tcW w:w="16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186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4"/>
        </w:trPr>
        <w:tc>
          <w:tcPr>
            <w:tcW w:w="860" w:type="dxa"/>
            <w:vAlign w:val="bottom"/>
          </w:tcPr>
          <w:p>
            <w:pPr>
              <w:jc w:val="right"/>
              <w:spacing w:after="0" w:line="205" w:lineRule="exact"/>
              <w:rPr>
                <w:sz w:val="20"/>
                <w:szCs w:val="20"/>
                <w:color w:val="auto"/>
              </w:rPr>
            </w:pPr>
            <w:r>
              <w:rPr>
                <w:rFonts w:ascii="Calibri" w:cs="Calibri" w:eastAsia="Calibri" w:hAnsi="Calibri"/>
                <w:sz w:val="18"/>
                <w:szCs w:val="18"/>
                <w:color w:val="auto"/>
              </w:rPr>
              <w:t>10.21</w:t>
            </w:r>
          </w:p>
        </w:tc>
        <w:tc>
          <w:tcPr>
            <w:tcW w:w="300" w:type="dxa"/>
            <w:vAlign w:val="bottom"/>
          </w:tcPr>
          <w:p>
            <w:pPr>
              <w:jc w:val="right"/>
              <w:ind w:right="72"/>
              <w:spacing w:after="0" w:line="205" w:lineRule="exact"/>
              <w:rPr>
                <w:sz w:val="20"/>
                <w:szCs w:val="20"/>
                <w:color w:val="auto"/>
              </w:rPr>
            </w:pPr>
            <w:r>
              <w:rPr>
                <w:rFonts w:ascii="Calibri" w:cs="Calibri" w:eastAsia="Calibri" w:hAnsi="Calibri"/>
                <w:sz w:val="18"/>
                <w:szCs w:val="18"/>
                <w:color w:val="auto"/>
              </w:rPr>
              <w:t>+</w:t>
            </w:r>
          </w:p>
        </w:tc>
        <w:tc>
          <w:tcPr>
            <w:tcW w:w="20" w:type="dxa"/>
            <w:vAlign w:val="bottom"/>
          </w:tcPr>
          <w:p>
            <w:pPr>
              <w:spacing w:after="0"/>
              <w:rPr>
                <w:sz w:val="17"/>
                <w:szCs w:val="17"/>
                <w:color w:val="auto"/>
              </w:rPr>
            </w:pPr>
          </w:p>
        </w:tc>
        <w:tc>
          <w:tcPr>
            <w:tcW w:w="3640" w:type="dxa"/>
            <w:vAlign w:val="bottom"/>
            <w:gridSpan w:val="27"/>
          </w:tcPr>
          <w:p>
            <w:pPr>
              <w:spacing w:after="0" w:line="205" w:lineRule="exact"/>
              <w:rPr>
                <w:rFonts w:ascii="Calibri" w:cs="Calibri" w:eastAsia="Calibri" w:hAnsi="Calibri"/>
                <w:sz w:val="18"/>
                <w:szCs w:val="18"/>
                <w:color w:val="0000FF"/>
                <w:w w:val="98"/>
              </w:rPr>
            </w:pPr>
            <w:hyperlink r:id="rId166">
              <w:r>
                <w:rPr>
                  <w:rFonts w:ascii="Calibri" w:cs="Calibri" w:eastAsia="Calibri" w:hAnsi="Calibri"/>
                  <w:sz w:val="18"/>
                  <w:szCs w:val="18"/>
                  <w:color w:val="0000FF"/>
                  <w:w w:val="98"/>
                </w:rPr>
                <w:t>Form of Agreement for Mult-Year Equity Award of</w:t>
              </w:r>
            </w:hyperlink>
          </w:p>
        </w:tc>
        <w:tc>
          <w:tcPr>
            <w:tcW w:w="2000" w:type="dxa"/>
            <w:vAlign w:val="bottom"/>
            <w:gridSpan w:val="2"/>
          </w:tcPr>
          <w:p>
            <w:pPr>
              <w:ind w:left="20"/>
              <w:spacing w:after="0" w:line="205" w:lineRule="exact"/>
              <w:rPr>
                <w:sz w:val="20"/>
                <w:szCs w:val="20"/>
                <w:color w:val="auto"/>
              </w:rPr>
            </w:pPr>
            <w:r>
              <w:rPr>
                <w:rFonts w:ascii="Calibri" w:cs="Calibri" w:eastAsia="Calibri" w:hAnsi="Calibri"/>
                <w:sz w:val="18"/>
                <w:szCs w:val="18"/>
                <w:color w:val="auto"/>
              </w:rPr>
              <w:t>Broadcom Inc. Current</w:t>
            </w:r>
          </w:p>
        </w:tc>
        <w:tc>
          <w:tcPr>
            <w:tcW w:w="1180" w:type="dxa"/>
            <w:vAlign w:val="bottom"/>
          </w:tcPr>
          <w:p>
            <w:pPr>
              <w:ind w:left="20"/>
              <w:spacing w:after="0" w:line="205" w:lineRule="exact"/>
              <w:rPr>
                <w:sz w:val="20"/>
                <w:szCs w:val="20"/>
                <w:color w:val="auto"/>
              </w:rPr>
            </w:pPr>
            <w:r>
              <w:rPr>
                <w:rFonts w:ascii="Calibri" w:cs="Calibri" w:eastAsia="Calibri" w:hAnsi="Calibri"/>
                <w:sz w:val="18"/>
                <w:szCs w:val="18"/>
                <w:color w:val="auto"/>
              </w:rPr>
              <w:t>001-38449</w:t>
            </w:r>
          </w:p>
        </w:tc>
        <w:tc>
          <w:tcPr>
            <w:tcW w:w="80" w:type="dxa"/>
            <w:vAlign w:val="bottom"/>
          </w:tcPr>
          <w:p>
            <w:pPr>
              <w:spacing w:after="0"/>
              <w:rPr>
                <w:sz w:val="17"/>
                <w:szCs w:val="17"/>
                <w:color w:val="auto"/>
              </w:rPr>
            </w:pPr>
          </w:p>
        </w:tc>
        <w:tc>
          <w:tcPr>
            <w:tcW w:w="1020" w:type="dxa"/>
            <w:vAlign w:val="bottom"/>
          </w:tcPr>
          <w:p>
            <w:pPr>
              <w:jc w:val="center"/>
              <w:spacing w:after="0" w:line="205" w:lineRule="exact"/>
              <w:rPr>
                <w:sz w:val="20"/>
                <w:szCs w:val="20"/>
                <w:color w:val="auto"/>
              </w:rPr>
            </w:pPr>
            <w:r>
              <w:rPr>
                <w:rFonts w:ascii="Calibri" w:cs="Calibri" w:eastAsia="Calibri" w:hAnsi="Calibri"/>
                <w:sz w:val="18"/>
                <w:szCs w:val="18"/>
                <w:color w:val="auto"/>
                <w:w w:val="93"/>
              </w:rPr>
              <w:t>10.2</w:t>
            </w:r>
          </w:p>
        </w:tc>
        <w:tc>
          <w:tcPr>
            <w:tcW w:w="100" w:type="dxa"/>
            <w:vAlign w:val="bottom"/>
          </w:tcPr>
          <w:p>
            <w:pPr>
              <w:spacing w:after="0"/>
              <w:rPr>
                <w:sz w:val="17"/>
                <w:szCs w:val="17"/>
                <w:color w:val="auto"/>
              </w:rPr>
            </w:pPr>
          </w:p>
        </w:tc>
        <w:tc>
          <w:tcPr>
            <w:tcW w:w="1140" w:type="dxa"/>
            <w:vAlign w:val="bottom"/>
          </w:tcPr>
          <w:p>
            <w:pPr>
              <w:jc w:val="right"/>
              <w:ind w:right="233"/>
              <w:spacing w:after="0" w:line="205" w:lineRule="exact"/>
              <w:rPr>
                <w:sz w:val="20"/>
                <w:szCs w:val="20"/>
                <w:color w:val="auto"/>
              </w:rPr>
            </w:pPr>
            <w:r>
              <w:rPr>
                <w:rFonts w:ascii="Calibri" w:cs="Calibri" w:eastAsia="Calibri" w:hAnsi="Calibri"/>
                <w:sz w:val="18"/>
                <w:szCs w:val="18"/>
                <w:color w:val="auto"/>
                <w:w w:val="95"/>
              </w:rPr>
              <w:t>12-06-2018</w:t>
            </w:r>
          </w:p>
        </w:tc>
        <w:tc>
          <w:tcPr>
            <w:tcW w:w="0" w:type="dxa"/>
            <w:vAlign w:val="bottom"/>
          </w:tcPr>
          <w:p>
            <w:pPr>
              <w:spacing w:after="0"/>
              <w:rPr>
                <w:sz w:val="1"/>
                <w:szCs w:val="1"/>
                <w:color w:val="auto"/>
              </w:rPr>
            </w:pPr>
          </w:p>
        </w:tc>
      </w:tr>
      <w:tr>
        <w:trPr>
          <w:trHeight w:val="152"/>
        </w:trPr>
        <w:tc>
          <w:tcPr>
            <w:tcW w:w="8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500" w:type="dxa"/>
            <w:vAlign w:val="bottom"/>
            <w:tcBorders>
              <w:top w:val="single" w:sz="8" w:color="0000FF"/>
            </w:tcBorders>
            <w:gridSpan w:val="25"/>
          </w:tcPr>
          <w:p>
            <w:pPr>
              <w:spacing w:after="0" w:line="152" w:lineRule="exact"/>
              <w:rPr>
                <w:rFonts w:ascii="Calibri" w:cs="Calibri" w:eastAsia="Calibri" w:hAnsi="Calibri"/>
                <w:sz w:val="15"/>
                <w:szCs w:val="15"/>
                <w:color w:val="0000FF"/>
              </w:rPr>
            </w:pPr>
            <w:hyperlink r:id="rId166">
              <w:r>
                <w:rPr>
                  <w:rFonts w:ascii="Calibri" w:cs="Calibri" w:eastAsia="Calibri" w:hAnsi="Calibri"/>
                  <w:sz w:val="15"/>
                  <w:szCs w:val="15"/>
                  <w:color w:val="0000FF"/>
                </w:rPr>
                <w:t>Performance Stock Units under the Avago</w:t>
              </w:r>
            </w:hyperlink>
          </w:p>
        </w:tc>
        <w:tc>
          <w:tcPr>
            <w:tcW w:w="140" w:type="dxa"/>
            <w:vAlign w:val="bottom"/>
            <w:gridSpan w:val="2"/>
          </w:tcPr>
          <w:p>
            <w:pPr>
              <w:spacing w:after="0"/>
              <w:rPr>
                <w:sz w:val="13"/>
                <w:szCs w:val="13"/>
                <w:color w:val="auto"/>
              </w:rPr>
            </w:pPr>
          </w:p>
        </w:tc>
        <w:tc>
          <w:tcPr>
            <w:tcW w:w="2000" w:type="dxa"/>
            <w:vAlign w:val="bottom"/>
            <w:gridSpan w:val="2"/>
          </w:tcPr>
          <w:p>
            <w:pPr>
              <w:ind w:left="20"/>
              <w:spacing w:after="0" w:line="152" w:lineRule="exact"/>
              <w:rPr>
                <w:sz w:val="20"/>
                <w:szCs w:val="20"/>
                <w:color w:val="auto"/>
              </w:rPr>
            </w:pPr>
            <w:r>
              <w:rPr>
                <w:rFonts w:ascii="Calibri" w:cs="Calibri" w:eastAsia="Calibri" w:hAnsi="Calibri"/>
                <w:sz w:val="15"/>
                <w:szCs w:val="15"/>
                <w:color w:val="auto"/>
              </w:rPr>
              <w:t>Report on Form 8-K</w:t>
            </w:r>
          </w:p>
        </w:tc>
        <w:tc>
          <w:tcPr>
            <w:tcW w:w="1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960" w:type="dxa"/>
            <w:vAlign w:val="bottom"/>
            <w:tcBorders>
              <w:top w:val="single" w:sz="8" w:color="0000FF"/>
            </w:tcBorders>
            <w:gridSpan w:val="12"/>
          </w:tcPr>
          <w:p>
            <w:pPr>
              <w:spacing w:after="0" w:line="165" w:lineRule="exact"/>
              <w:rPr>
                <w:rFonts w:ascii="Calibri" w:cs="Calibri" w:eastAsia="Calibri" w:hAnsi="Calibri"/>
                <w:sz w:val="18"/>
                <w:szCs w:val="18"/>
                <w:color w:val="0000FF"/>
                <w:w w:val="93"/>
              </w:rPr>
            </w:pPr>
            <w:hyperlink r:id="rId166">
              <w:r>
                <w:rPr>
                  <w:rFonts w:ascii="Calibri" w:cs="Calibri" w:eastAsia="Calibri" w:hAnsi="Calibri"/>
                  <w:sz w:val="18"/>
                  <w:szCs w:val="18"/>
                  <w:color w:val="0000FF"/>
                  <w:w w:val="93"/>
                </w:rPr>
                <w:t>Technologies Limited 2009 Equity Incentve</w:t>
              </w:r>
            </w:hyperlink>
          </w:p>
        </w:tc>
        <w:tc>
          <w:tcPr>
            <w:tcW w:w="680" w:type="dxa"/>
            <w:vAlign w:val="bottom"/>
            <w:gridSpan w:val="15"/>
          </w:tcPr>
          <w:p>
            <w:pPr>
              <w:jc w:val="right"/>
              <w:ind w:right="160"/>
              <w:spacing w:after="0" w:line="165" w:lineRule="exact"/>
              <w:rPr>
                <w:rFonts w:ascii="Calibri" w:cs="Calibri" w:eastAsia="Calibri" w:hAnsi="Calibri"/>
                <w:sz w:val="18"/>
                <w:szCs w:val="18"/>
                <w:color w:val="0000FF"/>
              </w:rPr>
            </w:pPr>
            <w:hyperlink r:id="rId166">
              <w:r>
                <w:rPr>
                  <w:rFonts w:ascii="Calibri" w:cs="Calibri" w:eastAsia="Calibri" w:hAnsi="Calibri"/>
                  <w:sz w:val="18"/>
                  <w:szCs w:val="18"/>
                  <w:color w:val="0000FF"/>
                </w:rPr>
                <w:t>Award</w:t>
              </w:r>
            </w:hyperlink>
          </w:p>
        </w:tc>
        <w:tc>
          <w:tcPr>
            <w:tcW w:w="1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8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80" w:type="dxa"/>
            <w:vAlign w:val="bottom"/>
            <w:tcBorders>
              <w:top w:val="single" w:sz="8" w:color="0000FF"/>
            </w:tcBorders>
            <w:gridSpan w:val="24"/>
          </w:tcPr>
          <w:p>
            <w:pPr>
              <w:spacing w:after="0" w:line="152" w:lineRule="exact"/>
              <w:rPr>
                <w:rFonts w:ascii="Calibri" w:cs="Calibri" w:eastAsia="Calibri" w:hAnsi="Calibri"/>
                <w:sz w:val="15"/>
                <w:szCs w:val="15"/>
                <w:color w:val="0000FF"/>
              </w:rPr>
            </w:pPr>
            <w:hyperlink r:id="rId166">
              <w:r>
                <w:rPr>
                  <w:rFonts w:ascii="Calibri" w:cs="Calibri" w:eastAsia="Calibri" w:hAnsi="Calibri"/>
                  <w:sz w:val="15"/>
                  <w:szCs w:val="15"/>
                  <w:color w:val="0000FF"/>
                </w:rPr>
                <w:t>Plan).</w:t>
              </w:r>
            </w:hyperlink>
          </w:p>
        </w:tc>
        <w:tc>
          <w:tcPr>
            <w:tcW w:w="160" w:type="dxa"/>
            <w:vAlign w:val="bottom"/>
            <w:gridSpan w:val="3"/>
          </w:tcPr>
          <w:p>
            <w:pPr>
              <w:spacing w:after="0"/>
              <w:rPr>
                <w:sz w:val="13"/>
                <w:szCs w:val="13"/>
                <w:color w:val="auto"/>
              </w:rPr>
            </w:pPr>
          </w:p>
        </w:tc>
        <w:tc>
          <w:tcPr>
            <w:tcW w:w="1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95"/>
        </w:trPr>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Borders>
              <w:top w:val="single" w:sz="8" w:color="0000FF"/>
            </w:tcBorders>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00" w:type="dxa"/>
            <w:vAlign w:val="bottom"/>
          </w:tcPr>
          <w:p>
            <w:pPr>
              <w:ind w:left="720"/>
              <w:spacing w:after="0"/>
              <w:rPr>
                <w:sz w:val="20"/>
                <w:szCs w:val="20"/>
                <w:color w:val="auto"/>
              </w:rPr>
            </w:pPr>
            <w:r>
              <w:rPr>
                <w:rFonts w:ascii="Calibri" w:cs="Calibri" w:eastAsia="Calibri" w:hAnsi="Calibri"/>
                <w:sz w:val="18"/>
                <w:szCs w:val="18"/>
                <w:color w:val="auto"/>
              </w:rPr>
              <w:t>96</w:t>
            </w: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6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Calibri" w:cs="Calibri" w:eastAsia="Calibri" w:hAnsi="Calibri"/>
          <w:sz w:val="14"/>
          <w:szCs w:val="14"/>
          <w:color w:val="auto"/>
        </w:rPr>
        <w:t>Filed</w:t>
      </w:r>
    </w:p>
    <w:p>
      <w:pPr>
        <w:jc w:val="center"/>
        <w:spacing w:after="0" w:line="203" w:lineRule="auto"/>
        <w:rPr>
          <w:sz w:val="20"/>
          <w:szCs w:val="20"/>
          <w:color w:val="auto"/>
        </w:rPr>
      </w:pPr>
      <w:r>
        <w:rPr>
          <w:rFonts w:ascii="Calibri" w:cs="Calibri" w:eastAsia="Calibri" w:hAnsi="Calibri"/>
          <w:sz w:val="14"/>
          <w:szCs w:val="14"/>
          <w:color w:val="auto"/>
        </w:rPr>
        <w:t>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-81915</wp:posOffset>
            </wp:positionH>
            <wp:positionV relativeFrom="paragraph">
              <wp:posOffset>20955</wp:posOffset>
            </wp:positionV>
            <wp:extent cx="50292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68">
                      <a:extLst>
                        <a:ext uri="{28A0092B-C50C-407E-A947-70E740481C1C}"/>
                      </a:extLst>
                    </a:blip>
                    <a:srcRect/>
                    <a:stretch>
                      <a:fillRect/>
                    </a:stretch>
                  </pic:blipFill>
                  <pic:spPr bwMode="auto">
                    <a:xfrm>
                      <a:off x="0" y="0"/>
                      <a:ext cx="502920" cy="8255"/>
                    </a:xfrm>
                    <a:prstGeom prst="rect">
                      <a:avLst/>
                    </a:prstGeom>
                    <a:noFill/>
                  </pic:spPr>
                </pic:pic>
              </a:graphicData>
            </a:graphic>
          </wp:anchor>
        </w:drawing>
      </w:r>
    </w:p>
    <w:p>
      <w:pPr>
        <w:sectPr>
          <w:pgSz w:w="11900" w:h="16838" w:orient="portrait"/>
          <w:cols w:equalWidth="0" w:num="2">
            <w:col w:w="10340" w:space="240"/>
            <w:col w:w="540"/>
          </w:cols>
          <w:pgMar w:left="320" w:top="109" w:right="459" w:bottom="1440" w:gutter="0" w:footer="0" w:header="0"/>
        </w:sectPr>
      </w:pPr>
    </w:p>
    <w:bookmarkStart w:id="98" w:name="page99"/>
    <w:bookmarkEnd w:id="98"/>
    <w:p>
      <w:pPr>
        <w:spacing w:after="0"/>
        <w:rPr>
          <w:sz w:val="20"/>
          <w:szCs w:val="20"/>
          <w:color w:val="auto"/>
        </w:rPr>
      </w:pPr>
      <w:r>
        <w:rPr>
          <w:rFonts w:ascii="Calibri" w:cs="Calibri" w:eastAsia="Calibri" w:hAnsi="Calibri"/>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gridSpan w:val="3"/>
          </w:tcPr>
          <w:p>
            <w:pPr>
              <w:spacing w:after="0"/>
              <w:rPr>
                <w:sz w:val="20"/>
                <w:szCs w:val="20"/>
                <w:color w:val="auto"/>
              </w:rPr>
            </w:pPr>
            <w:r>
              <w:rPr>
                <w:rFonts w:ascii="Calibri" w:cs="Calibri" w:eastAsia="Calibri" w:hAnsi="Calibri"/>
                <w:sz w:val="14"/>
                <w:szCs w:val="14"/>
                <w:color w:val="auto"/>
                <w:w w:val="99"/>
              </w:rPr>
              <w:t>Incorporated by Reference</w:t>
            </w: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860" w:type="dxa"/>
            <w:vAlign w:val="bottom"/>
            <w:vMerge w:val="restart"/>
          </w:tcPr>
          <w:p>
            <w:pPr>
              <w:jc w:val="center"/>
              <w:spacing w:after="0"/>
              <w:rPr>
                <w:sz w:val="20"/>
                <w:szCs w:val="20"/>
                <w:color w:val="auto"/>
              </w:rPr>
            </w:pPr>
            <w:r>
              <w:rPr>
                <w:rFonts w:ascii="Calibri" w:cs="Calibri" w:eastAsia="Calibri" w:hAnsi="Calibri"/>
                <w:sz w:val="14"/>
                <w:szCs w:val="14"/>
                <w:color w:val="auto"/>
                <w:w w:val="98"/>
              </w:rPr>
              <w:t>Exhibit</w:t>
            </w:r>
          </w:p>
        </w:tc>
        <w:tc>
          <w:tcPr>
            <w:tcW w:w="300" w:type="dxa"/>
            <w:vAlign w:val="bottom"/>
          </w:tcPr>
          <w:p>
            <w:pPr>
              <w:spacing w:after="0"/>
              <w:rPr>
                <w:sz w:val="3"/>
                <w:szCs w:val="3"/>
                <w:color w:val="auto"/>
              </w:rPr>
            </w:pPr>
          </w:p>
        </w:tc>
        <w:tc>
          <w:tcPr>
            <w:tcW w:w="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520" w:type="dxa"/>
            <w:vAlign w:val="bottom"/>
          </w:tcPr>
          <w:p>
            <w:pPr>
              <w:spacing w:after="0"/>
              <w:rPr>
                <w:sz w:val="3"/>
                <w:szCs w:val="3"/>
                <w:color w:val="auto"/>
              </w:rPr>
            </w:pPr>
          </w:p>
        </w:tc>
        <w:tc>
          <w:tcPr>
            <w:tcW w:w="22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19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11"/>
        </w:trPr>
        <w:tc>
          <w:tcPr>
            <w:tcW w:w="86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40" w:type="dxa"/>
            <w:vAlign w:val="bottom"/>
            <w:gridSpan w:val="29"/>
            <w:vMerge w:val="restart"/>
          </w:tcPr>
          <w:p>
            <w:pPr>
              <w:ind w:left="20"/>
              <w:spacing w:after="0"/>
              <w:rPr>
                <w:sz w:val="20"/>
                <w:szCs w:val="20"/>
                <w:color w:val="auto"/>
              </w:rPr>
            </w:pPr>
            <w:r>
              <w:rPr>
                <w:rFonts w:ascii="Calibri" w:cs="Calibri" w:eastAsia="Calibri" w:hAnsi="Calibri"/>
                <w:sz w:val="14"/>
                <w:szCs w:val="14"/>
                <w:color w:val="auto"/>
              </w:rPr>
              <w:t>Descripton</w:t>
            </w:r>
          </w:p>
        </w:tc>
        <w:tc>
          <w:tcPr>
            <w:tcW w:w="2000" w:type="dxa"/>
            <w:vAlign w:val="bottom"/>
            <w:gridSpan w:val="2"/>
            <w:vMerge w:val="restart"/>
          </w:tcPr>
          <w:p>
            <w:pPr>
              <w:ind w:left="800"/>
              <w:spacing w:after="0"/>
              <w:rPr>
                <w:sz w:val="20"/>
                <w:szCs w:val="20"/>
                <w:color w:val="auto"/>
              </w:rPr>
            </w:pPr>
            <w:r>
              <w:rPr>
                <w:rFonts w:ascii="Calibri" w:cs="Calibri" w:eastAsia="Calibri" w:hAnsi="Calibri"/>
                <w:sz w:val="14"/>
                <w:szCs w:val="14"/>
                <w:color w:val="auto"/>
              </w:rPr>
              <w:t>Form</w:t>
            </w:r>
          </w:p>
        </w:tc>
        <w:tc>
          <w:tcPr>
            <w:tcW w:w="1540" w:type="dxa"/>
            <w:vAlign w:val="bottom"/>
            <w:gridSpan w:val="3"/>
            <w:vMerge w:val="restart"/>
          </w:tcPr>
          <w:p>
            <w:pPr>
              <w:ind w:left="360"/>
              <w:spacing w:after="0"/>
              <w:rPr>
                <w:sz w:val="20"/>
                <w:szCs w:val="20"/>
                <w:color w:val="auto"/>
              </w:rPr>
            </w:pPr>
            <w:r>
              <w:rPr>
                <w:rFonts w:ascii="Calibri" w:cs="Calibri" w:eastAsia="Calibri" w:hAnsi="Calibri"/>
                <w:sz w:val="14"/>
                <w:szCs w:val="14"/>
                <w:color w:val="auto"/>
              </w:rPr>
              <w:t>File No.</w:t>
            </w:r>
          </w:p>
        </w:tc>
        <w:tc>
          <w:tcPr>
            <w:tcW w:w="820" w:type="dxa"/>
            <w:vAlign w:val="bottom"/>
            <w:gridSpan w:val="2"/>
            <w:vMerge w:val="restart"/>
          </w:tcPr>
          <w:p>
            <w:pPr>
              <w:ind w:left="20"/>
              <w:spacing w:after="0"/>
              <w:rPr>
                <w:sz w:val="20"/>
                <w:szCs w:val="20"/>
                <w:color w:val="auto"/>
              </w:rPr>
            </w:pPr>
            <w:r>
              <w:rPr>
                <w:rFonts w:ascii="Calibri" w:cs="Calibri" w:eastAsia="Calibri" w:hAnsi="Calibri"/>
                <w:sz w:val="14"/>
                <w:szCs w:val="14"/>
                <w:color w:val="auto"/>
              </w:rPr>
              <w:t>Exhibit</w:t>
            </w:r>
          </w:p>
        </w:tc>
        <w:tc>
          <w:tcPr>
            <w:tcW w:w="1140" w:type="dxa"/>
            <w:vAlign w:val="bottom"/>
            <w:vMerge w:val="restart"/>
          </w:tcPr>
          <w:p>
            <w:pPr>
              <w:jc w:val="right"/>
              <w:ind w:right="173"/>
              <w:spacing w:after="0"/>
              <w:rPr>
                <w:sz w:val="20"/>
                <w:szCs w:val="20"/>
                <w:color w:val="auto"/>
              </w:rPr>
            </w:pPr>
            <w:r>
              <w:rPr>
                <w:rFonts w:ascii="Calibri" w:cs="Calibri" w:eastAsia="Calibri" w:hAnsi="Calibri"/>
                <w:sz w:val="14"/>
                <w:szCs w:val="14"/>
                <w:color w:val="auto"/>
              </w:rPr>
              <w:t>Filing Date</w:t>
            </w:r>
          </w:p>
        </w:tc>
        <w:tc>
          <w:tcPr>
            <w:tcW w:w="0" w:type="dxa"/>
            <w:vAlign w:val="bottom"/>
          </w:tcPr>
          <w:p>
            <w:pPr>
              <w:spacing w:after="0"/>
              <w:rPr>
                <w:sz w:val="1"/>
                <w:szCs w:val="1"/>
                <w:color w:val="auto"/>
              </w:rPr>
            </w:pPr>
          </w:p>
        </w:tc>
      </w:tr>
      <w:tr>
        <w:trPr>
          <w:trHeight w:val="168"/>
        </w:trPr>
        <w:tc>
          <w:tcPr>
            <w:tcW w:w="860" w:type="dxa"/>
            <w:vAlign w:val="bottom"/>
          </w:tcPr>
          <w:p>
            <w:pPr>
              <w:jc w:val="center"/>
              <w:spacing w:after="0" w:line="168" w:lineRule="exact"/>
              <w:rPr>
                <w:sz w:val="20"/>
                <w:szCs w:val="20"/>
                <w:color w:val="auto"/>
              </w:rPr>
            </w:pPr>
            <w:r>
              <w:rPr>
                <w:rFonts w:ascii="Calibri" w:cs="Calibri" w:eastAsia="Calibri" w:hAnsi="Calibri"/>
                <w:sz w:val="14"/>
                <w:szCs w:val="14"/>
                <w:color w:val="auto"/>
                <w:w w:val="98"/>
              </w:rPr>
              <w:t>Number</w:t>
            </w: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40" w:type="dxa"/>
            <w:vAlign w:val="bottom"/>
            <w:gridSpan w:val="29"/>
            <w:vMerge w:val="continue"/>
          </w:tcPr>
          <w:p>
            <w:pPr>
              <w:spacing w:after="0"/>
              <w:rPr>
                <w:sz w:val="14"/>
                <w:szCs w:val="14"/>
                <w:color w:val="auto"/>
              </w:rPr>
            </w:pPr>
          </w:p>
        </w:tc>
        <w:tc>
          <w:tcPr>
            <w:tcW w:w="2000" w:type="dxa"/>
            <w:vAlign w:val="bottom"/>
            <w:gridSpan w:val="2"/>
            <w:vMerge w:val="continue"/>
          </w:tcPr>
          <w:p>
            <w:pPr>
              <w:spacing w:after="0"/>
              <w:rPr>
                <w:sz w:val="14"/>
                <w:szCs w:val="14"/>
                <w:color w:val="auto"/>
              </w:rPr>
            </w:pPr>
          </w:p>
        </w:tc>
        <w:tc>
          <w:tcPr>
            <w:tcW w:w="1540" w:type="dxa"/>
            <w:vAlign w:val="bottom"/>
            <w:gridSpan w:val="3"/>
            <w:vMerge w:val="continue"/>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2"/>
        </w:trPr>
        <w:tc>
          <w:tcPr>
            <w:tcW w:w="860" w:type="dxa"/>
            <w:vAlign w:val="bottom"/>
            <w:tcBorders>
              <w:bottom w:val="single" w:sz="8" w:color="auto"/>
            </w:tcBorders>
          </w:tcPr>
          <w:p>
            <w:pPr>
              <w:spacing w:after="0"/>
              <w:rPr>
                <w:sz w:val="2"/>
                <w:szCs w:val="2"/>
                <w:color w:val="auto"/>
              </w:rPr>
            </w:pPr>
          </w:p>
        </w:tc>
        <w:tc>
          <w:tcPr>
            <w:tcW w:w="300" w:type="dxa"/>
            <w:vAlign w:val="bottom"/>
            <w:vMerge w:val="restart"/>
          </w:tcPr>
          <w:p>
            <w:pPr>
              <w:jc w:val="right"/>
              <w:ind w:right="72"/>
              <w:spacing w:after="0" w:line="217" w:lineRule="exact"/>
              <w:rPr>
                <w:sz w:val="20"/>
                <w:szCs w:val="20"/>
                <w:color w:val="auto"/>
              </w:rPr>
            </w:pPr>
            <w:r>
              <w:rPr>
                <w:rFonts w:ascii="Calibri" w:cs="Calibri" w:eastAsia="Calibri" w:hAnsi="Calibri"/>
                <w:sz w:val="18"/>
                <w:szCs w:val="18"/>
                <w:color w:val="auto"/>
              </w:rPr>
              <w:t>+</w:t>
            </w: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860" w:type="dxa"/>
            <w:vAlign w:val="bottom"/>
          </w:tcPr>
          <w:p>
            <w:pPr>
              <w:jc w:val="center"/>
              <w:ind w:left="334"/>
              <w:spacing w:after="0" w:line="165" w:lineRule="exact"/>
              <w:rPr>
                <w:sz w:val="20"/>
                <w:szCs w:val="20"/>
                <w:color w:val="auto"/>
              </w:rPr>
            </w:pPr>
            <w:r>
              <w:rPr>
                <w:rFonts w:ascii="Calibri" w:cs="Calibri" w:eastAsia="Calibri" w:hAnsi="Calibri"/>
                <w:sz w:val="18"/>
                <w:szCs w:val="18"/>
                <w:color w:val="auto"/>
                <w:w w:val="97"/>
              </w:rPr>
              <w:t>10.22</w:t>
            </w:r>
          </w:p>
        </w:tc>
        <w:tc>
          <w:tcPr>
            <w:tcW w:w="30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3360" w:type="dxa"/>
            <w:vAlign w:val="bottom"/>
            <w:tcBorders>
              <w:bottom w:val="single" w:sz="8" w:color="0000FF"/>
            </w:tcBorders>
            <w:gridSpan w:val="22"/>
          </w:tcPr>
          <w:p>
            <w:pPr>
              <w:spacing w:after="0" w:line="165" w:lineRule="exact"/>
              <w:rPr>
                <w:rFonts w:ascii="Calibri" w:cs="Calibri" w:eastAsia="Calibri" w:hAnsi="Calibri"/>
                <w:sz w:val="18"/>
                <w:szCs w:val="18"/>
                <w:color w:val="0000FF"/>
                <w:w w:val="94"/>
              </w:rPr>
            </w:pPr>
            <w:hyperlink r:id="rId169">
              <w:r>
                <w:rPr>
                  <w:rFonts w:ascii="Calibri" w:cs="Calibri" w:eastAsia="Calibri" w:hAnsi="Calibri"/>
                  <w:sz w:val="18"/>
                  <w:szCs w:val="18"/>
                  <w:color w:val="0000FF"/>
                  <w:w w:val="94"/>
                </w:rPr>
                <w:t>Form of Restricted Stock Unit Award Agreement</w:t>
              </w:r>
            </w:hyperlink>
          </w:p>
        </w:tc>
        <w:tc>
          <w:tcPr>
            <w:tcW w:w="240" w:type="dxa"/>
            <w:vAlign w:val="bottom"/>
            <w:gridSpan w:val="12"/>
          </w:tcPr>
          <w:p>
            <w:pPr>
              <w:spacing w:after="0"/>
              <w:rPr>
                <w:sz w:val="14"/>
                <w:szCs w:val="14"/>
                <w:color w:val="auto"/>
              </w:rPr>
            </w:pPr>
          </w:p>
        </w:tc>
        <w:tc>
          <w:tcPr>
            <w:tcW w:w="60" w:type="dxa"/>
            <w:vAlign w:val="bottom"/>
          </w:tcPr>
          <w:p>
            <w:pPr>
              <w:spacing w:after="0"/>
              <w:rPr>
                <w:sz w:val="14"/>
                <w:szCs w:val="14"/>
                <w:color w:val="auto"/>
              </w:rPr>
            </w:pPr>
          </w:p>
        </w:tc>
        <w:tc>
          <w:tcPr>
            <w:tcW w:w="1900" w:type="dxa"/>
            <w:vAlign w:val="bottom"/>
          </w:tcPr>
          <w:p>
            <w:pPr>
              <w:ind w:left="20"/>
              <w:spacing w:after="0" w:line="165" w:lineRule="exact"/>
              <w:rPr>
                <w:sz w:val="20"/>
                <w:szCs w:val="20"/>
                <w:color w:val="auto"/>
              </w:rPr>
            </w:pPr>
            <w:r>
              <w:rPr>
                <w:rFonts w:ascii="Calibri" w:cs="Calibri" w:eastAsia="Calibri" w:hAnsi="Calibri"/>
                <w:sz w:val="18"/>
                <w:szCs w:val="18"/>
                <w:color w:val="auto"/>
              </w:rPr>
              <w:t>Broadcom Inc. Annual</w:t>
            </w:r>
          </w:p>
        </w:tc>
        <w:tc>
          <w:tcPr>
            <w:tcW w:w="100" w:type="dxa"/>
            <w:vAlign w:val="bottom"/>
          </w:tcPr>
          <w:p>
            <w:pPr>
              <w:spacing w:after="0"/>
              <w:rPr>
                <w:sz w:val="14"/>
                <w:szCs w:val="14"/>
                <w:color w:val="auto"/>
              </w:rPr>
            </w:pPr>
          </w:p>
        </w:tc>
        <w:tc>
          <w:tcPr>
            <w:tcW w:w="1160" w:type="dxa"/>
            <w:vAlign w:val="bottom"/>
          </w:tcPr>
          <w:p>
            <w:pPr>
              <w:spacing w:after="0" w:line="165" w:lineRule="exact"/>
              <w:rPr>
                <w:sz w:val="20"/>
                <w:szCs w:val="20"/>
                <w:color w:val="auto"/>
              </w:rPr>
            </w:pPr>
            <w:r>
              <w:rPr>
                <w:rFonts w:ascii="Calibri" w:cs="Calibri" w:eastAsia="Calibri" w:hAnsi="Calibri"/>
                <w:sz w:val="18"/>
                <w:szCs w:val="18"/>
                <w:color w:val="auto"/>
              </w:rPr>
              <w:t>001-38449</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20" w:type="dxa"/>
            <w:vAlign w:val="bottom"/>
          </w:tcPr>
          <w:p>
            <w:pPr>
              <w:jc w:val="center"/>
              <w:ind w:right="193"/>
              <w:spacing w:after="0" w:line="165" w:lineRule="exact"/>
              <w:rPr>
                <w:sz w:val="20"/>
                <w:szCs w:val="20"/>
                <w:color w:val="auto"/>
              </w:rPr>
            </w:pPr>
            <w:r>
              <w:rPr>
                <w:rFonts w:ascii="Calibri" w:cs="Calibri" w:eastAsia="Calibri" w:hAnsi="Calibri"/>
                <w:sz w:val="18"/>
                <w:szCs w:val="18"/>
                <w:color w:val="auto"/>
                <w:w w:val="97"/>
              </w:rPr>
              <w:t>10.51</w:t>
            </w:r>
          </w:p>
        </w:tc>
        <w:tc>
          <w:tcPr>
            <w:tcW w:w="100" w:type="dxa"/>
            <w:vAlign w:val="bottom"/>
          </w:tcPr>
          <w:p>
            <w:pPr>
              <w:spacing w:after="0"/>
              <w:rPr>
                <w:sz w:val="14"/>
                <w:szCs w:val="14"/>
                <w:color w:val="auto"/>
              </w:rPr>
            </w:pPr>
          </w:p>
        </w:tc>
        <w:tc>
          <w:tcPr>
            <w:tcW w:w="1140" w:type="dxa"/>
            <w:vAlign w:val="bottom"/>
          </w:tcPr>
          <w:p>
            <w:pPr>
              <w:jc w:val="right"/>
              <w:ind w:right="233"/>
              <w:spacing w:after="0" w:line="165" w:lineRule="exact"/>
              <w:rPr>
                <w:sz w:val="20"/>
                <w:szCs w:val="20"/>
                <w:color w:val="auto"/>
              </w:rPr>
            </w:pPr>
            <w:r>
              <w:rPr>
                <w:rFonts w:ascii="Calibri" w:cs="Calibri" w:eastAsia="Calibri" w:hAnsi="Calibri"/>
                <w:sz w:val="18"/>
                <w:szCs w:val="18"/>
                <w:color w:val="auto"/>
                <w:w w:val="95"/>
              </w:rPr>
              <w:t>12-18-2020</w:t>
            </w:r>
          </w:p>
        </w:tc>
        <w:tc>
          <w:tcPr>
            <w:tcW w:w="0" w:type="dxa"/>
            <w:vAlign w:val="bottom"/>
          </w:tcPr>
          <w:p>
            <w:pPr>
              <w:spacing w:after="0"/>
              <w:rPr>
                <w:sz w:val="1"/>
                <w:szCs w:val="1"/>
                <w:color w:val="auto"/>
              </w:rPr>
            </w:pPr>
          </w:p>
        </w:tc>
      </w:tr>
      <w:tr>
        <w:trPr>
          <w:trHeight w:val="152"/>
        </w:trPr>
        <w:tc>
          <w:tcPr>
            <w:tcW w:w="8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60" w:type="dxa"/>
            <w:vAlign w:val="bottom"/>
            <w:gridSpan w:val="35"/>
          </w:tcPr>
          <w:p>
            <w:pPr>
              <w:spacing w:after="0" w:line="152" w:lineRule="exact"/>
              <w:rPr>
                <w:rFonts w:ascii="Calibri" w:cs="Calibri" w:eastAsia="Calibri" w:hAnsi="Calibri"/>
                <w:sz w:val="15"/>
                <w:szCs w:val="15"/>
                <w:color w:val="0000FF"/>
              </w:rPr>
            </w:pPr>
            <w:hyperlink r:id="rId169">
              <w:r>
                <w:rPr>
                  <w:rFonts w:ascii="Calibri" w:cs="Calibri" w:eastAsia="Calibri" w:hAnsi="Calibri"/>
                  <w:sz w:val="15"/>
                  <w:szCs w:val="15"/>
                  <w:color w:val="0000FF"/>
                </w:rPr>
                <w:t>under LSI Corporaton 2003 Equity Incentve Plan,</w:t>
              </w:r>
            </w:hyperlink>
          </w:p>
        </w:tc>
        <w:tc>
          <w:tcPr>
            <w:tcW w:w="2000" w:type="dxa"/>
            <w:vAlign w:val="bottom"/>
            <w:gridSpan w:val="2"/>
          </w:tcPr>
          <w:p>
            <w:pPr>
              <w:ind w:left="20"/>
              <w:spacing w:after="0" w:line="152" w:lineRule="exact"/>
              <w:rPr>
                <w:sz w:val="20"/>
                <w:szCs w:val="20"/>
                <w:color w:val="auto"/>
              </w:rPr>
            </w:pPr>
            <w:r>
              <w:rPr>
                <w:rFonts w:ascii="Calibri" w:cs="Calibri" w:eastAsia="Calibri" w:hAnsi="Calibri"/>
                <w:sz w:val="15"/>
                <w:szCs w:val="15"/>
                <w:color w:val="auto"/>
              </w:rPr>
              <w:t>Report on Form 10-K</w:t>
            </w: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940" w:type="dxa"/>
            <w:vAlign w:val="bottom"/>
            <w:tcBorders>
              <w:top w:val="single" w:sz="8" w:color="0000FF"/>
              <w:bottom w:val="single" w:sz="8" w:color="0000FF"/>
            </w:tcBorders>
            <w:gridSpan w:val="11"/>
          </w:tcPr>
          <w:p>
            <w:pPr>
              <w:spacing w:after="0" w:line="165" w:lineRule="exact"/>
              <w:rPr>
                <w:rFonts w:ascii="Calibri" w:cs="Calibri" w:eastAsia="Calibri" w:hAnsi="Calibri"/>
                <w:sz w:val="18"/>
                <w:szCs w:val="18"/>
                <w:color w:val="0000FF"/>
                <w:w w:val="97"/>
              </w:rPr>
            </w:pPr>
            <w:hyperlink r:id="rId169">
              <w:r>
                <w:rPr>
                  <w:rFonts w:ascii="Calibri" w:cs="Calibri" w:eastAsia="Calibri" w:hAnsi="Calibri"/>
                  <w:sz w:val="18"/>
                  <w:szCs w:val="18"/>
                  <w:color w:val="0000FF"/>
                  <w:w w:val="97"/>
                </w:rPr>
                <w:t>as amended (efectve December 8, 2020).</w:t>
              </w:r>
            </w:hyperlink>
          </w:p>
        </w:tc>
        <w:tc>
          <w:tcPr>
            <w:tcW w:w="540" w:type="dxa"/>
            <w:vAlign w:val="bottom"/>
            <w:tcBorders>
              <w:top w:val="single" w:sz="8" w:color="0000FF"/>
            </w:tcBorders>
            <w:gridSpan w:val="17"/>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gridSpan w:val="2"/>
          </w:tcPr>
          <w:p>
            <w:pPr>
              <w:spacing w:after="0"/>
              <w:rPr>
                <w:sz w:val="14"/>
                <w:szCs w:val="14"/>
                <w:color w:val="auto"/>
              </w:rPr>
            </w:pPr>
          </w:p>
        </w:tc>
        <w:tc>
          <w:tcPr>
            <w:tcW w:w="1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860" w:type="dxa"/>
            <w:vAlign w:val="bottom"/>
          </w:tcPr>
          <w:p>
            <w:pPr>
              <w:jc w:val="center"/>
              <w:ind w:left="334"/>
              <w:spacing w:after="0" w:line="205" w:lineRule="exact"/>
              <w:rPr>
                <w:sz w:val="20"/>
                <w:szCs w:val="20"/>
                <w:color w:val="auto"/>
              </w:rPr>
            </w:pPr>
            <w:r>
              <w:rPr>
                <w:rFonts w:ascii="Calibri" w:cs="Calibri" w:eastAsia="Calibri" w:hAnsi="Calibri"/>
                <w:sz w:val="18"/>
                <w:szCs w:val="18"/>
                <w:color w:val="auto"/>
                <w:w w:val="97"/>
              </w:rPr>
              <w:t>10.23</w:t>
            </w:r>
          </w:p>
        </w:tc>
        <w:tc>
          <w:tcPr>
            <w:tcW w:w="300" w:type="dxa"/>
            <w:vAlign w:val="bottom"/>
          </w:tcPr>
          <w:p>
            <w:pPr>
              <w:jc w:val="right"/>
              <w:ind w:right="72"/>
              <w:spacing w:after="0" w:line="205" w:lineRule="exact"/>
              <w:rPr>
                <w:sz w:val="20"/>
                <w:szCs w:val="20"/>
                <w:color w:val="auto"/>
              </w:rPr>
            </w:pPr>
            <w:r>
              <w:rPr>
                <w:rFonts w:ascii="Calibri" w:cs="Calibri" w:eastAsia="Calibri" w:hAnsi="Calibri"/>
                <w:sz w:val="18"/>
                <w:szCs w:val="18"/>
                <w:color w:val="auto"/>
              </w:rPr>
              <w:t>+</w:t>
            </w:r>
          </w:p>
        </w:tc>
        <w:tc>
          <w:tcPr>
            <w:tcW w:w="20" w:type="dxa"/>
            <w:vAlign w:val="bottom"/>
          </w:tcPr>
          <w:p>
            <w:pPr>
              <w:spacing w:after="0"/>
              <w:rPr>
                <w:sz w:val="17"/>
                <w:szCs w:val="17"/>
                <w:color w:val="auto"/>
              </w:rPr>
            </w:pPr>
          </w:p>
        </w:tc>
        <w:tc>
          <w:tcPr>
            <w:tcW w:w="3660" w:type="dxa"/>
            <w:vAlign w:val="bottom"/>
            <w:gridSpan w:val="35"/>
          </w:tcPr>
          <w:p>
            <w:pPr>
              <w:spacing w:after="0" w:line="205" w:lineRule="exact"/>
              <w:rPr>
                <w:rFonts w:ascii="Calibri" w:cs="Calibri" w:eastAsia="Calibri" w:hAnsi="Calibri"/>
                <w:sz w:val="18"/>
                <w:szCs w:val="18"/>
                <w:color w:val="0000FF"/>
              </w:rPr>
            </w:pPr>
            <w:hyperlink r:id="rId170">
              <w:r>
                <w:rPr>
                  <w:rFonts w:ascii="Calibri" w:cs="Calibri" w:eastAsia="Calibri" w:hAnsi="Calibri"/>
                  <w:sz w:val="18"/>
                  <w:szCs w:val="18"/>
                  <w:color w:val="0000FF"/>
                </w:rPr>
                <w:t>Form of Performance Stock Unit Agreement</w:t>
              </w:r>
            </w:hyperlink>
          </w:p>
        </w:tc>
        <w:tc>
          <w:tcPr>
            <w:tcW w:w="2000" w:type="dxa"/>
            <w:vAlign w:val="bottom"/>
            <w:gridSpan w:val="2"/>
          </w:tcPr>
          <w:p>
            <w:pPr>
              <w:ind w:left="20"/>
              <w:spacing w:after="0" w:line="205" w:lineRule="exact"/>
              <w:rPr>
                <w:sz w:val="20"/>
                <w:szCs w:val="20"/>
                <w:color w:val="auto"/>
              </w:rPr>
            </w:pPr>
            <w:r>
              <w:rPr>
                <w:rFonts w:ascii="Calibri" w:cs="Calibri" w:eastAsia="Calibri" w:hAnsi="Calibri"/>
                <w:sz w:val="18"/>
                <w:szCs w:val="18"/>
                <w:color w:val="auto"/>
              </w:rPr>
              <w:t>Broadcom Inc. Annual</w:t>
            </w:r>
          </w:p>
        </w:tc>
        <w:tc>
          <w:tcPr>
            <w:tcW w:w="1160" w:type="dxa"/>
            <w:vAlign w:val="bottom"/>
          </w:tcPr>
          <w:p>
            <w:pPr>
              <w:spacing w:after="0" w:line="205" w:lineRule="exact"/>
              <w:rPr>
                <w:sz w:val="20"/>
                <w:szCs w:val="20"/>
                <w:color w:val="auto"/>
              </w:rPr>
            </w:pPr>
            <w:r>
              <w:rPr>
                <w:rFonts w:ascii="Calibri" w:cs="Calibri" w:eastAsia="Calibri" w:hAnsi="Calibri"/>
                <w:sz w:val="18"/>
                <w:szCs w:val="18"/>
                <w:color w:val="auto"/>
              </w:rPr>
              <w:t>001-38449</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Pr>
          <w:p>
            <w:pPr>
              <w:jc w:val="center"/>
              <w:ind w:right="193"/>
              <w:spacing w:after="0" w:line="205" w:lineRule="exact"/>
              <w:rPr>
                <w:sz w:val="20"/>
                <w:szCs w:val="20"/>
                <w:color w:val="auto"/>
              </w:rPr>
            </w:pPr>
            <w:r>
              <w:rPr>
                <w:rFonts w:ascii="Calibri" w:cs="Calibri" w:eastAsia="Calibri" w:hAnsi="Calibri"/>
                <w:sz w:val="18"/>
                <w:szCs w:val="18"/>
                <w:color w:val="auto"/>
                <w:w w:val="97"/>
              </w:rPr>
              <w:t>10.52</w:t>
            </w:r>
          </w:p>
        </w:tc>
        <w:tc>
          <w:tcPr>
            <w:tcW w:w="100" w:type="dxa"/>
            <w:vAlign w:val="bottom"/>
          </w:tcPr>
          <w:p>
            <w:pPr>
              <w:spacing w:after="0"/>
              <w:rPr>
                <w:sz w:val="17"/>
                <w:szCs w:val="17"/>
                <w:color w:val="auto"/>
              </w:rPr>
            </w:pPr>
          </w:p>
        </w:tc>
        <w:tc>
          <w:tcPr>
            <w:tcW w:w="1140" w:type="dxa"/>
            <w:vAlign w:val="bottom"/>
          </w:tcPr>
          <w:p>
            <w:pPr>
              <w:jc w:val="right"/>
              <w:ind w:right="233"/>
              <w:spacing w:after="0" w:line="205" w:lineRule="exact"/>
              <w:rPr>
                <w:sz w:val="20"/>
                <w:szCs w:val="20"/>
                <w:color w:val="auto"/>
              </w:rPr>
            </w:pPr>
            <w:r>
              <w:rPr>
                <w:rFonts w:ascii="Calibri" w:cs="Calibri" w:eastAsia="Calibri" w:hAnsi="Calibri"/>
                <w:sz w:val="18"/>
                <w:szCs w:val="18"/>
                <w:color w:val="auto"/>
                <w:w w:val="95"/>
              </w:rPr>
              <w:t>12-18-2020</w:t>
            </w: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0" w:type="dxa"/>
            <w:vAlign w:val="bottom"/>
            <w:tcBorders>
              <w:right w:val="single" w:sz="8" w:color="0000FF"/>
            </w:tcBorders>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00" w:type="dxa"/>
            <w:vAlign w:val="bottom"/>
            <w:gridSpan w:val="2"/>
            <w:vMerge w:val="restart"/>
          </w:tcPr>
          <w:p>
            <w:pPr>
              <w:ind w:left="20"/>
              <w:spacing w:after="0" w:line="172" w:lineRule="exact"/>
              <w:rPr>
                <w:sz w:val="20"/>
                <w:szCs w:val="20"/>
                <w:color w:val="auto"/>
              </w:rPr>
            </w:pPr>
            <w:r>
              <w:rPr>
                <w:rFonts w:ascii="Calibri" w:cs="Calibri" w:eastAsia="Calibri" w:hAnsi="Calibri"/>
                <w:sz w:val="18"/>
                <w:szCs w:val="18"/>
                <w:color w:val="auto"/>
              </w:rPr>
              <w:t>Report on Form 10-K</w:t>
            </w: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8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60" w:type="dxa"/>
            <w:vAlign w:val="bottom"/>
            <w:gridSpan w:val="35"/>
          </w:tcPr>
          <w:p>
            <w:pPr>
              <w:spacing w:after="0" w:line="152" w:lineRule="exact"/>
              <w:rPr>
                <w:rFonts w:ascii="Calibri" w:cs="Calibri" w:eastAsia="Calibri" w:hAnsi="Calibri"/>
                <w:sz w:val="15"/>
                <w:szCs w:val="15"/>
                <w:color w:val="0000FF"/>
              </w:rPr>
            </w:pPr>
            <w:hyperlink r:id="rId170">
              <w:r>
                <w:rPr>
                  <w:rFonts w:ascii="Calibri" w:cs="Calibri" w:eastAsia="Calibri" w:hAnsi="Calibri"/>
                  <w:sz w:val="15"/>
                  <w:szCs w:val="15"/>
                  <w:color w:val="0000FF"/>
                </w:rPr>
                <w:t>(Relatve TSR) under LSI Corporaton 2003 Equity</w:t>
              </w:r>
            </w:hyperlink>
          </w:p>
        </w:tc>
        <w:tc>
          <w:tcPr>
            <w:tcW w:w="2000" w:type="dxa"/>
            <w:vAlign w:val="bottom"/>
            <w:gridSpan w:val="2"/>
            <w:vMerge w:val="continue"/>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380" w:type="dxa"/>
            <w:vAlign w:val="bottom"/>
            <w:tcBorders>
              <w:top w:val="single" w:sz="8" w:color="0000FF"/>
              <w:bottom w:val="single" w:sz="8" w:color="0000FF"/>
            </w:tcBorders>
            <w:gridSpan w:val="23"/>
          </w:tcPr>
          <w:p>
            <w:pPr>
              <w:spacing w:after="0" w:line="165" w:lineRule="exact"/>
              <w:rPr>
                <w:rFonts w:ascii="Calibri" w:cs="Calibri" w:eastAsia="Calibri" w:hAnsi="Calibri"/>
                <w:sz w:val="18"/>
                <w:szCs w:val="18"/>
                <w:color w:val="0000FF"/>
                <w:w w:val="98"/>
              </w:rPr>
            </w:pPr>
            <w:hyperlink r:id="rId170">
              <w:r>
                <w:rPr>
                  <w:rFonts w:ascii="Calibri" w:cs="Calibri" w:eastAsia="Calibri" w:hAnsi="Calibri"/>
                  <w:sz w:val="18"/>
                  <w:szCs w:val="18"/>
                  <w:color w:val="0000FF"/>
                  <w:w w:val="98"/>
                </w:rPr>
                <w:t>Incentve Plan, as amended (efectve December</w:t>
              </w:r>
            </w:hyperlink>
          </w:p>
        </w:tc>
        <w:tc>
          <w:tcPr>
            <w:tcW w:w="160" w:type="dxa"/>
            <w:vAlign w:val="bottom"/>
            <w:tcBorders>
              <w:bottom w:val="single" w:sz="8" w:color="0000FF"/>
            </w:tcBorders>
            <w:gridSpan w:val="8"/>
          </w:tcPr>
          <w:p>
            <w:pPr>
              <w:jc w:val="right"/>
              <w:ind w:right="20"/>
              <w:spacing w:after="0" w:line="165" w:lineRule="exact"/>
              <w:rPr>
                <w:rFonts w:ascii="Calibri" w:cs="Calibri" w:eastAsia="Calibri" w:hAnsi="Calibri"/>
                <w:sz w:val="18"/>
                <w:szCs w:val="18"/>
                <w:color w:val="0000FF"/>
                <w:w w:val="87"/>
              </w:rPr>
            </w:pPr>
            <w:hyperlink r:id="rId170">
              <w:r>
                <w:rPr>
                  <w:rFonts w:ascii="Calibri" w:cs="Calibri" w:eastAsia="Calibri" w:hAnsi="Calibri"/>
                  <w:sz w:val="18"/>
                  <w:szCs w:val="18"/>
                  <w:color w:val="0000FF"/>
                  <w:w w:val="87"/>
                </w:rPr>
                <w:t>8,</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gridSpan w:val="2"/>
          </w:tcPr>
          <w:p>
            <w:pPr>
              <w:spacing w:after="0"/>
              <w:rPr>
                <w:sz w:val="14"/>
                <w:szCs w:val="14"/>
                <w:color w:val="auto"/>
              </w:rPr>
            </w:pPr>
          </w:p>
        </w:tc>
        <w:tc>
          <w:tcPr>
            <w:tcW w:w="1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8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Borders>
              <w:bottom w:val="single" w:sz="8" w:color="0000FF"/>
            </w:tcBorders>
            <w:gridSpan w:val="2"/>
          </w:tcPr>
          <w:p>
            <w:pPr>
              <w:spacing w:after="0" w:line="152" w:lineRule="exact"/>
              <w:rPr>
                <w:rFonts w:ascii="Calibri" w:cs="Calibri" w:eastAsia="Calibri" w:hAnsi="Calibri"/>
                <w:sz w:val="15"/>
                <w:szCs w:val="15"/>
                <w:color w:val="0000FF"/>
              </w:rPr>
            </w:pPr>
            <w:hyperlink r:id="rId170">
              <w:r>
                <w:rPr>
                  <w:rFonts w:ascii="Calibri" w:cs="Calibri" w:eastAsia="Calibri" w:hAnsi="Calibri"/>
                  <w:sz w:val="15"/>
                  <w:szCs w:val="15"/>
                  <w:color w:val="0000FF"/>
                </w:rPr>
                <w:t>2020).</w:t>
              </w:r>
            </w:hyperlink>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4"/>
        </w:trPr>
        <w:tc>
          <w:tcPr>
            <w:tcW w:w="860" w:type="dxa"/>
            <w:vAlign w:val="bottom"/>
          </w:tcPr>
          <w:p>
            <w:pPr>
              <w:jc w:val="center"/>
              <w:ind w:left="334"/>
              <w:spacing w:after="0" w:line="205" w:lineRule="exact"/>
              <w:rPr>
                <w:sz w:val="20"/>
                <w:szCs w:val="20"/>
                <w:color w:val="auto"/>
              </w:rPr>
            </w:pPr>
            <w:r>
              <w:rPr>
                <w:rFonts w:ascii="Calibri" w:cs="Calibri" w:eastAsia="Calibri" w:hAnsi="Calibri"/>
                <w:sz w:val="18"/>
                <w:szCs w:val="18"/>
                <w:color w:val="auto"/>
                <w:w w:val="97"/>
              </w:rPr>
              <w:t>10.24</w:t>
            </w:r>
          </w:p>
        </w:tc>
        <w:tc>
          <w:tcPr>
            <w:tcW w:w="300" w:type="dxa"/>
            <w:vAlign w:val="bottom"/>
          </w:tcPr>
          <w:p>
            <w:pPr>
              <w:jc w:val="right"/>
              <w:ind w:right="72"/>
              <w:spacing w:after="0" w:line="205" w:lineRule="exact"/>
              <w:rPr>
                <w:sz w:val="20"/>
                <w:szCs w:val="20"/>
                <w:color w:val="auto"/>
              </w:rPr>
            </w:pPr>
            <w:r>
              <w:rPr>
                <w:rFonts w:ascii="Calibri" w:cs="Calibri" w:eastAsia="Calibri" w:hAnsi="Calibri"/>
                <w:sz w:val="18"/>
                <w:szCs w:val="18"/>
                <w:color w:val="auto"/>
              </w:rPr>
              <w:t>+</w:t>
            </w:r>
          </w:p>
        </w:tc>
        <w:tc>
          <w:tcPr>
            <w:tcW w:w="20" w:type="dxa"/>
            <w:vAlign w:val="bottom"/>
          </w:tcPr>
          <w:p>
            <w:pPr>
              <w:spacing w:after="0"/>
              <w:rPr>
                <w:sz w:val="17"/>
                <w:szCs w:val="17"/>
                <w:color w:val="auto"/>
              </w:rPr>
            </w:pPr>
          </w:p>
        </w:tc>
        <w:tc>
          <w:tcPr>
            <w:tcW w:w="3360" w:type="dxa"/>
            <w:vAlign w:val="bottom"/>
            <w:tcBorders>
              <w:bottom w:val="single" w:sz="8" w:color="0000FF"/>
            </w:tcBorders>
            <w:gridSpan w:val="22"/>
          </w:tcPr>
          <w:p>
            <w:pPr>
              <w:spacing w:after="0" w:line="205" w:lineRule="exact"/>
              <w:rPr>
                <w:rFonts w:ascii="Calibri" w:cs="Calibri" w:eastAsia="Calibri" w:hAnsi="Calibri"/>
                <w:sz w:val="18"/>
                <w:szCs w:val="18"/>
                <w:color w:val="0000FF"/>
                <w:w w:val="94"/>
              </w:rPr>
            </w:pPr>
            <w:hyperlink r:id="rId171">
              <w:r>
                <w:rPr>
                  <w:rFonts w:ascii="Calibri" w:cs="Calibri" w:eastAsia="Calibri" w:hAnsi="Calibri"/>
                  <w:sz w:val="18"/>
                  <w:szCs w:val="18"/>
                  <w:color w:val="0000FF"/>
                  <w:w w:val="94"/>
                </w:rPr>
                <w:t>Form of Restricted Stock Unit Award Agreement</w:t>
              </w:r>
            </w:hyperlink>
          </w:p>
        </w:tc>
        <w:tc>
          <w:tcPr>
            <w:tcW w:w="300" w:type="dxa"/>
            <w:vAlign w:val="bottom"/>
            <w:gridSpan w:val="13"/>
          </w:tcPr>
          <w:p>
            <w:pPr>
              <w:spacing w:after="0"/>
              <w:rPr>
                <w:sz w:val="17"/>
                <w:szCs w:val="17"/>
                <w:color w:val="auto"/>
              </w:rPr>
            </w:pPr>
          </w:p>
        </w:tc>
        <w:tc>
          <w:tcPr>
            <w:tcW w:w="2000" w:type="dxa"/>
            <w:vAlign w:val="bottom"/>
            <w:gridSpan w:val="2"/>
            <w:vMerge w:val="restart"/>
          </w:tcPr>
          <w:p>
            <w:pPr>
              <w:ind w:left="20"/>
              <w:spacing w:after="0"/>
              <w:rPr>
                <w:sz w:val="20"/>
                <w:szCs w:val="20"/>
                <w:color w:val="auto"/>
              </w:rPr>
            </w:pPr>
            <w:r>
              <w:rPr>
                <w:rFonts w:ascii="Calibri" w:cs="Calibri" w:eastAsia="Calibri" w:hAnsi="Calibri"/>
                <w:sz w:val="18"/>
                <w:szCs w:val="18"/>
                <w:color w:val="auto"/>
              </w:rPr>
              <w:t>Broadcom Limited Annual</w:t>
            </w:r>
          </w:p>
        </w:tc>
        <w:tc>
          <w:tcPr>
            <w:tcW w:w="1160" w:type="dxa"/>
            <w:vAlign w:val="bottom"/>
          </w:tcPr>
          <w:p>
            <w:pPr>
              <w:spacing w:after="0" w:line="205" w:lineRule="exact"/>
              <w:rPr>
                <w:sz w:val="20"/>
                <w:szCs w:val="20"/>
                <w:color w:val="auto"/>
              </w:rPr>
            </w:pPr>
            <w:r>
              <w:rPr>
                <w:rFonts w:ascii="Calibri" w:cs="Calibri" w:eastAsia="Calibri" w:hAnsi="Calibri"/>
                <w:sz w:val="18"/>
                <w:szCs w:val="18"/>
                <w:color w:val="auto"/>
              </w:rPr>
              <w:t>001-37690</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Pr>
          <w:p>
            <w:pPr>
              <w:jc w:val="center"/>
              <w:ind w:right="193"/>
              <w:spacing w:after="0" w:line="205" w:lineRule="exact"/>
              <w:rPr>
                <w:sz w:val="20"/>
                <w:szCs w:val="20"/>
                <w:color w:val="auto"/>
              </w:rPr>
            </w:pPr>
            <w:r>
              <w:rPr>
                <w:rFonts w:ascii="Calibri" w:cs="Calibri" w:eastAsia="Calibri" w:hAnsi="Calibri"/>
                <w:sz w:val="18"/>
                <w:szCs w:val="18"/>
                <w:color w:val="auto"/>
                <w:w w:val="97"/>
              </w:rPr>
              <w:t>10.61</w:t>
            </w:r>
          </w:p>
        </w:tc>
        <w:tc>
          <w:tcPr>
            <w:tcW w:w="100" w:type="dxa"/>
            <w:vAlign w:val="bottom"/>
          </w:tcPr>
          <w:p>
            <w:pPr>
              <w:spacing w:after="0"/>
              <w:rPr>
                <w:sz w:val="17"/>
                <w:szCs w:val="17"/>
                <w:color w:val="auto"/>
              </w:rPr>
            </w:pPr>
          </w:p>
        </w:tc>
        <w:tc>
          <w:tcPr>
            <w:tcW w:w="1140" w:type="dxa"/>
            <w:vAlign w:val="bottom"/>
          </w:tcPr>
          <w:p>
            <w:pPr>
              <w:jc w:val="right"/>
              <w:ind w:right="233"/>
              <w:spacing w:after="0" w:line="205" w:lineRule="exact"/>
              <w:rPr>
                <w:sz w:val="20"/>
                <w:szCs w:val="20"/>
                <w:color w:val="auto"/>
              </w:rPr>
            </w:pPr>
            <w:r>
              <w:rPr>
                <w:rFonts w:ascii="Calibri" w:cs="Calibri" w:eastAsia="Calibri" w:hAnsi="Calibri"/>
                <w:sz w:val="18"/>
                <w:szCs w:val="18"/>
                <w:color w:val="auto"/>
                <w:w w:val="95"/>
              </w:rPr>
              <w:t>12-21-2017</w:t>
            </w:r>
          </w:p>
        </w:tc>
        <w:tc>
          <w:tcPr>
            <w:tcW w:w="0" w:type="dxa"/>
            <w:vAlign w:val="bottom"/>
          </w:tcPr>
          <w:p>
            <w:pPr>
              <w:spacing w:after="0"/>
              <w:rPr>
                <w:sz w:val="1"/>
                <w:szCs w:val="1"/>
                <w:color w:val="auto"/>
              </w:rPr>
            </w:pPr>
          </w:p>
        </w:tc>
      </w:tr>
      <w:tr>
        <w:trPr>
          <w:trHeight w:val="152"/>
        </w:trPr>
        <w:tc>
          <w:tcPr>
            <w:tcW w:w="8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60" w:type="dxa"/>
            <w:vAlign w:val="bottom"/>
            <w:gridSpan w:val="35"/>
          </w:tcPr>
          <w:p>
            <w:pPr>
              <w:spacing w:after="0" w:line="152" w:lineRule="exact"/>
              <w:rPr>
                <w:rFonts w:ascii="Calibri" w:cs="Calibri" w:eastAsia="Calibri" w:hAnsi="Calibri"/>
                <w:sz w:val="15"/>
                <w:szCs w:val="15"/>
                <w:color w:val="0000FF"/>
              </w:rPr>
            </w:pPr>
            <w:hyperlink r:id="rId171">
              <w:r>
                <w:rPr>
                  <w:rFonts w:ascii="Calibri" w:cs="Calibri" w:eastAsia="Calibri" w:hAnsi="Calibri"/>
                  <w:sz w:val="15"/>
                  <w:szCs w:val="15"/>
                  <w:color w:val="0000FF"/>
                </w:rPr>
                <w:t>under Broadcom Corporaton 2012 Stock Incentve</w:t>
              </w:r>
            </w:hyperlink>
          </w:p>
        </w:tc>
        <w:tc>
          <w:tcPr>
            <w:tcW w:w="2000" w:type="dxa"/>
            <w:vAlign w:val="bottom"/>
            <w:gridSpan w:val="2"/>
            <w:vMerge w:val="continue"/>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0" w:type="dxa"/>
            <w:vAlign w:val="bottom"/>
            <w:tcBorders>
              <w:top w:val="single" w:sz="8" w:color="0000FF"/>
              <w:bottom w:val="single" w:sz="8" w:color="0000FF"/>
            </w:tcBorders>
            <w:gridSpan w:val="9"/>
          </w:tcPr>
          <w:p>
            <w:pPr>
              <w:spacing w:after="0" w:line="165" w:lineRule="exact"/>
              <w:rPr>
                <w:rFonts w:ascii="Calibri" w:cs="Calibri" w:eastAsia="Calibri" w:hAnsi="Calibri"/>
                <w:sz w:val="18"/>
                <w:szCs w:val="18"/>
                <w:color w:val="0000FF"/>
                <w:w w:val="97"/>
              </w:rPr>
            </w:pPr>
            <w:hyperlink r:id="rId171">
              <w:r>
                <w:rPr>
                  <w:rFonts w:ascii="Calibri" w:cs="Calibri" w:eastAsia="Calibri" w:hAnsi="Calibri"/>
                  <w:sz w:val="18"/>
                  <w:szCs w:val="18"/>
                  <w:color w:val="0000FF"/>
                  <w:w w:val="97"/>
                </w:rPr>
                <w:t>Plan (efectve December 5, 2017).</w:t>
              </w:r>
            </w:hyperlink>
          </w:p>
        </w:tc>
        <w:tc>
          <w:tcPr>
            <w:tcW w:w="1120" w:type="dxa"/>
            <w:vAlign w:val="bottom"/>
            <w:tcBorders>
              <w:top w:val="single" w:sz="8" w:color="0000FF"/>
            </w:tcBorders>
            <w:gridSpan w:val="21"/>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gridSpan w:val="2"/>
          </w:tcPr>
          <w:p>
            <w:pPr>
              <w:spacing w:after="0"/>
              <w:rPr>
                <w:sz w:val="14"/>
                <w:szCs w:val="14"/>
                <w:color w:val="auto"/>
              </w:rPr>
            </w:pPr>
          </w:p>
        </w:tc>
        <w:tc>
          <w:tcPr>
            <w:tcW w:w="2000" w:type="dxa"/>
            <w:vAlign w:val="bottom"/>
            <w:gridSpan w:val="2"/>
          </w:tcPr>
          <w:p>
            <w:pPr>
              <w:ind w:left="20"/>
              <w:spacing w:after="0" w:line="165" w:lineRule="exact"/>
              <w:rPr>
                <w:sz w:val="20"/>
                <w:szCs w:val="20"/>
                <w:color w:val="auto"/>
              </w:rPr>
            </w:pPr>
            <w:r>
              <w:rPr>
                <w:rFonts w:ascii="Calibri" w:cs="Calibri" w:eastAsia="Calibri" w:hAnsi="Calibri"/>
                <w:sz w:val="18"/>
                <w:szCs w:val="18"/>
                <w:color w:val="auto"/>
              </w:rPr>
              <w:t>Report on Form 10-K</w:t>
            </w: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860" w:type="dxa"/>
            <w:vAlign w:val="bottom"/>
          </w:tcPr>
          <w:p>
            <w:pPr>
              <w:jc w:val="center"/>
              <w:ind w:left="334"/>
              <w:spacing w:after="0" w:line="205" w:lineRule="exact"/>
              <w:rPr>
                <w:sz w:val="20"/>
                <w:szCs w:val="20"/>
                <w:color w:val="auto"/>
              </w:rPr>
            </w:pPr>
            <w:r>
              <w:rPr>
                <w:rFonts w:ascii="Calibri" w:cs="Calibri" w:eastAsia="Calibri" w:hAnsi="Calibri"/>
                <w:sz w:val="18"/>
                <w:szCs w:val="18"/>
                <w:color w:val="auto"/>
                <w:w w:val="97"/>
              </w:rPr>
              <w:t>10.25</w:t>
            </w:r>
          </w:p>
        </w:tc>
        <w:tc>
          <w:tcPr>
            <w:tcW w:w="300" w:type="dxa"/>
            <w:vAlign w:val="bottom"/>
          </w:tcPr>
          <w:p>
            <w:pPr>
              <w:jc w:val="right"/>
              <w:ind w:right="72"/>
              <w:spacing w:after="0" w:line="205" w:lineRule="exact"/>
              <w:rPr>
                <w:sz w:val="20"/>
                <w:szCs w:val="20"/>
                <w:color w:val="auto"/>
              </w:rPr>
            </w:pPr>
            <w:r>
              <w:rPr>
                <w:rFonts w:ascii="Calibri" w:cs="Calibri" w:eastAsia="Calibri" w:hAnsi="Calibri"/>
                <w:sz w:val="18"/>
                <w:szCs w:val="18"/>
                <w:color w:val="auto"/>
              </w:rPr>
              <w:t>+</w:t>
            </w:r>
          </w:p>
        </w:tc>
        <w:tc>
          <w:tcPr>
            <w:tcW w:w="20" w:type="dxa"/>
            <w:vAlign w:val="bottom"/>
          </w:tcPr>
          <w:p>
            <w:pPr>
              <w:spacing w:after="0"/>
              <w:rPr>
                <w:sz w:val="17"/>
                <w:szCs w:val="17"/>
                <w:color w:val="auto"/>
              </w:rPr>
            </w:pPr>
          </w:p>
        </w:tc>
        <w:tc>
          <w:tcPr>
            <w:tcW w:w="3660" w:type="dxa"/>
            <w:vAlign w:val="bottom"/>
            <w:gridSpan w:val="35"/>
          </w:tcPr>
          <w:p>
            <w:pPr>
              <w:spacing w:after="0" w:line="205" w:lineRule="exact"/>
              <w:rPr>
                <w:rFonts w:ascii="Calibri" w:cs="Calibri" w:eastAsia="Calibri" w:hAnsi="Calibri"/>
                <w:sz w:val="18"/>
                <w:szCs w:val="18"/>
                <w:color w:val="0000FF"/>
              </w:rPr>
            </w:pPr>
            <w:hyperlink r:id="rId172">
              <w:r>
                <w:rPr>
                  <w:rFonts w:ascii="Calibri" w:cs="Calibri" w:eastAsia="Calibri" w:hAnsi="Calibri"/>
                  <w:sz w:val="18"/>
                  <w:szCs w:val="18"/>
                  <w:color w:val="0000FF"/>
                </w:rPr>
                <w:t>Form of Restricted Stock Unit Award Agreement</w:t>
              </w:r>
            </w:hyperlink>
          </w:p>
        </w:tc>
        <w:tc>
          <w:tcPr>
            <w:tcW w:w="2000" w:type="dxa"/>
            <w:vAlign w:val="bottom"/>
            <w:gridSpan w:val="2"/>
          </w:tcPr>
          <w:p>
            <w:pPr>
              <w:ind w:left="20"/>
              <w:spacing w:after="0" w:line="205" w:lineRule="exact"/>
              <w:rPr>
                <w:sz w:val="20"/>
                <w:szCs w:val="20"/>
                <w:color w:val="auto"/>
              </w:rPr>
            </w:pPr>
            <w:r>
              <w:rPr>
                <w:rFonts w:ascii="Calibri" w:cs="Calibri" w:eastAsia="Calibri" w:hAnsi="Calibri"/>
                <w:sz w:val="18"/>
                <w:szCs w:val="18"/>
                <w:color w:val="auto"/>
              </w:rPr>
              <w:t>Broadcom Inc. Quarterly</w:t>
            </w:r>
          </w:p>
        </w:tc>
        <w:tc>
          <w:tcPr>
            <w:tcW w:w="1160" w:type="dxa"/>
            <w:vAlign w:val="bottom"/>
          </w:tcPr>
          <w:p>
            <w:pPr>
              <w:spacing w:after="0" w:line="205" w:lineRule="exact"/>
              <w:rPr>
                <w:sz w:val="20"/>
                <w:szCs w:val="20"/>
                <w:color w:val="auto"/>
              </w:rPr>
            </w:pPr>
            <w:r>
              <w:rPr>
                <w:rFonts w:ascii="Calibri" w:cs="Calibri" w:eastAsia="Calibri" w:hAnsi="Calibri"/>
                <w:sz w:val="18"/>
                <w:szCs w:val="18"/>
                <w:color w:val="auto"/>
              </w:rPr>
              <w:t>001-38449</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Pr>
          <w:p>
            <w:pPr>
              <w:jc w:val="center"/>
              <w:ind w:right="213"/>
              <w:spacing w:after="0" w:line="205" w:lineRule="exact"/>
              <w:rPr>
                <w:sz w:val="20"/>
                <w:szCs w:val="20"/>
                <w:color w:val="auto"/>
              </w:rPr>
            </w:pPr>
            <w:r>
              <w:rPr>
                <w:rFonts w:ascii="Calibri" w:cs="Calibri" w:eastAsia="Calibri" w:hAnsi="Calibri"/>
                <w:sz w:val="18"/>
                <w:szCs w:val="18"/>
                <w:color w:val="auto"/>
                <w:w w:val="93"/>
              </w:rPr>
              <w:t>10.3</w:t>
            </w:r>
          </w:p>
        </w:tc>
        <w:tc>
          <w:tcPr>
            <w:tcW w:w="100" w:type="dxa"/>
            <w:vAlign w:val="bottom"/>
          </w:tcPr>
          <w:p>
            <w:pPr>
              <w:spacing w:after="0"/>
              <w:rPr>
                <w:sz w:val="17"/>
                <w:szCs w:val="17"/>
                <w:color w:val="auto"/>
              </w:rPr>
            </w:pPr>
          </w:p>
        </w:tc>
        <w:tc>
          <w:tcPr>
            <w:tcW w:w="1140" w:type="dxa"/>
            <w:vAlign w:val="bottom"/>
          </w:tcPr>
          <w:p>
            <w:pPr>
              <w:jc w:val="right"/>
              <w:ind w:right="233"/>
              <w:spacing w:after="0" w:line="205" w:lineRule="exact"/>
              <w:rPr>
                <w:sz w:val="20"/>
                <w:szCs w:val="20"/>
                <w:color w:val="auto"/>
              </w:rPr>
            </w:pPr>
            <w:r>
              <w:rPr>
                <w:rFonts w:ascii="Calibri" w:cs="Calibri" w:eastAsia="Calibri" w:hAnsi="Calibri"/>
                <w:sz w:val="18"/>
                <w:szCs w:val="18"/>
                <w:color w:val="auto"/>
                <w:w w:val="95"/>
              </w:rPr>
              <w:t>06-11-2021</w:t>
            </w:r>
          </w:p>
        </w:tc>
        <w:tc>
          <w:tcPr>
            <w:tcW w:w="0" w:type="dxa"/>
            <w:vAlign w:val="bottom"/>
          </w:tcPr>
          <w:p>
            <w:pPr>
              <w:spacing w:after="0"/>
              <w:rPr>
                <w:sz w:val="1"/>
                <w:szCs w:val="1"/>
                <w:color w:val="auto"/>
              </w:rPr>
            </w:pPr>
          </w:p>
        </w:tc>
      </w:tr>
      <w:tr>
        <w:trPr>
          <w:trHeight w:val="152"/>
        </w:trPr>
        <w:tc>
          <w:tcPr>
            <w:tcW w:w="8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340" w:type="dxa"/>
            <w:vAlign w:val="bottom"/>
            <w:tcBorders>
              <w:top w:val="single" w:sz="8" w:color="0000FF"/>
            </w:tcBorders>
            <w:gridSpan w:val="21"/>
          </w:tcPr>
          <w:p>
            <w:pPr>
              <w:spacing w:after="0" w:line="152" w:lineRule="exact"/>
              <w:rPr>
                <w:rFonts w:ascii="Calibri" w:cs="Calibri" w:eastAsia="Calibri" w:hAnsi="Calibri"/>
                <w:sz w:val="15"/>
                <w:szCs w:val="15"/>
                <w:color w:val="0000FF"/>
              </w:rPr>
            </w:pPr>
            <w:hyperlink r:id="rId172">
              <w:r>
                <w:rPr>
                  <w:rFonts w:ascii="Calibri" w:cs="Calibri" w:eastAsia="Calibri" w:hAnsi="Calibri"/>
                  <w:sz w:val="15"/>
                  <w:szCs w:val="15"/>
                  <w:color w:val="0000FF"/>
                </w:rPr>
                <w:t>under Broadcom Inc. 2012 Stock Incentve Plan</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2000" w:type="dxa"/>
            <w:vAlign w:val="bottom"/>
            <w:gridSpan w:val="2"/>
          </w:tcPr>
          <w:p>
            <w:pPr>
              <w:ind w:left="20"/>
              <w:spacing w:after="0" w:line="152" w:lineRule="exact"/>
              <w:rPr>
                <w:sz w:val="20"/>
                <w:szCs w:val="20"/>
                <w:color w:val="auto"/>
              </w:rPr>
            </w:pPr>
            <w:r>
              <w:rPr>
                <w:rFonts w:ascii="Calibri" w:cs="Calibri" w:eastAsia="Calibri" w:hAnsi="Calibri"/>
                <w:sz w:val="15"/>
                <w:szCs w:val="15"/>
                <w:color w:val="auto"/>
              </w:rPr>
              <w:t>Report on Form 10-Q</w:t>
            </w: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60" w:type="dxa"/>
            <w:vAlign w:val="bottom"/>
            <w:tcBorders>
              <w:top w:val="single" w:sz="8" w:color="0000FF"/>
              <w:bottom w:val="single" w:sz="8" w:color="0000FF"/>
            </w:tcBorders>
            <w:gridSpan w:val="7"/>
          </w:tcPr>
          <w:p>
            <w:pPr>
              <w:spacing w:after="0" w:line="165" w:lineRule="exact"/>
              <w:rPr>
                <w:rFonts w:ascii="Calibri" w:cs="Calibri" w:eastAsia="Calibri" w:hAnsi="Calibri"/>
                <w:sz w:val="18"/>
                <w:szCs w:val="18"/>
                <w:color w:val="0000FF"/>
                <w:w w:val="98"/>
              </w:rPr>
            </w:pPr>
            <w:hyperlink r:id="rId172">
              <w:r>
                <w:rPr>
                  <w:rFonts w:ascii="Calibri" w:cs="Calibri" w:eastAsia="Calibri" w:hAnsi="Calibri"/>
                  <w:sz w:val="18"/>
                  <w:szCs w:val="18"/>
                  <w:color w:val="0000FF"/>
                  <w:w w:val="98"/>
                </w:rPr>
                <w:t>(efectve April 5, 2021).</w:t>
              </w:r>
            </w:hyperlink>
          </w:p>
        </w:tc>
        <w:tc>
          <w:tcPr>
            <w:tcW w:w="1600" w:type="dxa"/>
            <w:vAlign w:val="bottom"/>
            <w:tcBorders>
              <w:top w:val="single" w:sz="8" w:color="0000FF"/>
            </w:tcBorders>
            <w:gridSpan w:val="11"/>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gridSpan w:val="2"/>
          </w:tcPr>
          <w:p>
            <w:pPr>
              <w:spacing w:after="0"/>
              <w:rPr>
                <w:sz w:val="14"/>
                <w:szCs w:val="14"/>
                <w:color w:val="auto"/>
              </w:rPr>
            </w:pPr>
          </w:p>
        </w:tc>
        <w:tc>
          <w:tcPr>
            <w:tcW w:w="1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860" w:type="dxa"/>
            <w:vAlign w:val="bottom"/>
          </w:tcPr>
          <w:p>
            <w:pPr>
              <w:jc w:val="center"/>
              <w:ind w:left="334"/>
              <w:spacing w:after="0" w:line="205" w:lineRule="exact"/>
              <w:rPr>
                <w:sz w:val="20"/>
                <w:szCs w:val="20"/>
                <w:color w:val="auto"/>
              </w:rPr>
            </w:pPr>
            <w:r>
              <w:rPr>
                <w:rFonts w:ascii="Calibri" w:cs="Calibri" w:eastAsia="Calibri" w:hAnsi="Calibri"/>
                <w:sz w:val="18"/>
                <w:szCs w:val="18"/>
                <w:color w:val="auto"/>
                <w:w w:val="97"/>
              </w:rPr>
              <w:t>10.26</w:t>
            </w:r>
          </w:p>
        </w:tc>
        <w:tc>
          <w:tcPr>
            <w:tcW w:w="300" w:type="dxa"/>
            <w:vAlign w:val="bottom"/>
          </w:tcPr>
          <w:p>
            <w:pPr>
              <w:jc w:val="right"/>
              <w:ind w:right="72"/>
              <w:spacing w:after="0" w:line="205" w:lineRule="exact"/>
              <w:rPr>
                <w:sz w:val="20"/>
                <w:szCs w:val="20"/>
                <w:color w:val="auto"/>
              </w:rPr>
            </w:pPr>
            <w:r>
              <w:rPr>
                <w:rFonts w:ascii="Calibri" w:cs="Calibri" w:eastAsia="Calibri" w:hAnsi="Calibri"/>
                <w:sz w:val="18"/>
                <w:szCs w:val="18"/>
                <w:color w:val="auto"/>
              </w:rPr>
              <w:t>+</w:t>
            </w:r>
          </w:p>
        </w:tc>
        <w:tc>
          <w:tcPr>
            <w:tcW w:w="20" w:type="dxa"/>
            <w:vAlign w:val="bottom"/>
          </w:tcPr>
          <w:p>
            <w:pPr>
              <w:spacing w:after="0"/>
              <w:rPr>
                <w:sz w:val="17"/>
                <w:szCs w:val="17"/>
                <w:color w:val="auto"/>
              </w:rPr>
            </w:pPr>
          </w:p>
        </w:tc>
        <w:tc>
          <w:tcPr>
            <w:tcW w:w="3660" w:type="dxa"/>
            <w:vAlign w:val="bottom"/>
            <w:gridSpan w:val="35"/>
          </w:tcPr>
          <w:p>
            <w:pPr>
              <w:spacing w:after="0" w:line="205" w:lineRule="exact"/>
              <w:rPr>
                <w:rFonts w:ascii="Calibri" w:cs="Calibri" w:eastAsia="Calibri" w:hAnsi="Calibri"/>
                <w:sz w:val="18"/>
                <w:szCs w:val="18"/>
                <w:color w:val="0000FF"/>
              </w:rPr>
            </w:pPr>
            <w:hyperlink r:id="rId173">
              <w:r>
                <w:rPr>
                  <w:rFonts w:ascii="Calibri" w:cs="Calibri" w:eastAsia="Calibri" w:hAnsi="Calibri"/>
                  <w:sz w:val="18"/>
                  <w:szCs w:val="18"/>
                  <w:color w:val="0000FF"/>
                </w:rPr>
                <w:t>Form of Performance Share Unit Agreement</w:t>
              </w:r>
            </w:hyperlink>
          </w:p>
        </w:tc>
        <w:tc>
          <w:tcPr>
            <w:tcW w:w="2000" w:type="dxa"/>
            <w:vAlign w:val="bottom"/>
            <w:gridSpan w:val="2"/>
          </w:tcPr>
          <w:p>
            <w:pPr>
              <w:ind w:left="20"/>
              <w:spacing w:after="0" w:line="205" w:lineRule="exact"/>
              <w:rPr>
                <w:sz w:val="20"/>
                <w:szCs w:val="20"/>
                <w:color w:val="auto"/>
              </w:rPr>
            </w:pPr>
            <w:r>
              <w:rPr>
                <w:rFonts w:ascii="Calibri" w:cs="Calibri" w:eastAsia="Calibri" w:hAnsi="Calibri"/>
                <w:sz w:val="18"/>
                <w:szCs w:val="18"/>
                <w:color w:val="auto"/>
              </w:rPr>
              <w:t>Broadcom Limited</w:t>
            </w:r>
          </w:p>
        </w:tc>
        <w:tc>
          <w:tcPr>
            <w:tcW w:w="1160" w:type="dxa"/>
            <w:vAlign w:val="bottom"/>
          </w:tcPr>
          <w:p>
            <w:pPr>
              <w:spacing w:after="0" w:line="205" w:lineRule="exact"/>
              <w:rPr>
                <w:sz w:val="20"/>
                <w:szCs w:val="20"/>
                <w:color w:val="auto"/>
              </w:rPr>
            </w:pPr>
            <w:r>
              <w:rPr>
                <w:rFonts w:ascii="Calibri" w:cs="Calibri" w:eastAsia="Calibri" w:hAnsi="Calibri"/>
                <w:sz w:val="18"/>
                <w:szCs w:val="18"/>
                <w:color w:val="auto"/>
              </w:rPr>
              <w:t>001-37690</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Pr>
          <w:p>
            <w:pPr>
              <w:jc w:val="center"/>
              <w:ind w:right="213"/>
              <w:spacing w:after="0" w:line="205" w:lineRule="exact"/>
              <w:rPr>
                <w:sz w:val="20"/>
                <w:szCs w:val="20"/>
                <w:color w:val="auto"/>
              </w:rPr>
            </w:pPr>
            <w:r>
              <w:rPr>
                <w:rFonts w:ascii="Calibri" w:cs="Calibri" w:eastAsia="Calibri" w:hAnsi="Calibri"/>
                <w:sz w:val="18"/>
                <w:szCs w:val="18"/>
                <w:color w:val="auto"/>
                <w:w w:val="93"/>
              </w:rPr>
              <w:t>10.5</w:t>
            </w:r>
          </w:p>
        </w:tc>
        <w:tc>
          <w:tcPr>
            <w:tcW w:w="100" w:type="dxa"/>
            <w:vAlign w:val="bottom"/>
          </w:tcPr>
          <w:p>
            <w:pPr>
              <w:spacing w:after="0"/>
              <w:rPr>
                <w:sz w:val="17"/>
                <w:szCs w:val="17"/>
                <w:color w:val="auto"/>
              </w:rPr>
            </w:pPr>
          </w:p>
        </w:tc>
        <w:tc>
          <w:tcPr>
            <w:tcW w:w="1140" w:type="dxa"/>
            <w:vAlign w:val="bottom"/>
          </w:tcPr>
          <w:p>
            <w:pPr>
              <w:jc w:val="right"/>
              <w:ind w:right="233"/>
              <w:spacing w:after="0" w:line="205" w:lineRule="exact"/>
              <w:rPr>
                <w:sz w:val="20"/>
                <w:szCs w:val="20"/>
                <w:color w:val="auto"/>
              </w:rPr>
            </w:pPr>
            <w:r>
              <w:rPr>
                <w:rFonts w:ascii="Calibri" w:cs="Calibri" w:eastAsia="Calibri" w:hAnsi="Calibri"/>
                <w:sz w:val="18"/>
                <w:szCs w:val="18"/>
                <w:color w:val="auto"/>
                <w:w w:val="95"/>
              </w:rPr>
              <w:t>03-15-2018</w:t>
            </w:r>
          </w:p>
        </w:tc>
        <w:tc>
          <w:tcPr>
            <w:tcW w:w="0" w:type="dxa"/>
            <w:vAlign w:val="bottom"/>
          </w:tcPr>
          <w:p>
            <w:pPr>
              <w:spacing w:after="0"/>
              <w:rPr>
                <w:sz w:val="1"/>
                <w:szCs w:val="1"/>
                <w:color w:val="auto"/>
              </w:rPr>
            </w:pPr>
          </w:p>
        </w:tc>
      </w:tr>
      <w:tr>
        <w:trPr>
          <w:trHeight w:val="152"/>
        </w:trPr>
        <w:tc>
          <w:tcPr>
            <w:tcW w:w="8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60" w:type="dxa"/>
            <w:vAlign w:val="bottom"/>
            <w:tcBorders>
              <w:top w:val="single" w:sz="8" w:color="0000FF"/>
            </w:tcBorders>
            <w:gridSpan w:val="13"/>
          </w:tcPr>
          <w:p>
            <w:pPr>
              <w:spacing w:after="0" w:line="152" w:lineRule="exact"/>
              <w:rPr>
                <w:rFonts w:ascii="Calibri" w:cs="Calibri" w:eastAsia="Calibri" w:hAnsi="Calibri"/>
                <w:sz w:val="15"/>
                <w:szCs w:val="15"/>
                <w:color w:val="0000FF"/>
              </w:rPr>
            </w:pPr>
            <w:hyperlink r:id="rId173">
              <w:r>
                <w:rPr>
                  <w:rFonts w:ascii="Calibri" w:cs="Calibri" w:eastAsia="Calibri" w:hAnsi="Calibri"/>
                  <w:sz w:val="15"/>
                  <w:szCs w:val="15"/>
                  <w:color w:val="0000FF"/>
                </w:rPr>
                <w:t>(Relatve TSR) under Broadcom Corporaton</w:t>
              </w:r>
            </w:hyperlink>
          </w:p>
        </w:tc>
        <w:tc>
          <w:tcPr>
            <w:tcW w:w="400" w:type="dxa"/>
            <w:vAlign w:val="bottom"/>
            <w:gridSpan w:val="14"/>
          </w:tcPr>
          <w:p>
            <w:pPr>
              <w:jc w:val="right"/>
              <w:ind w:right="40"/>
              <w:spacing w:after="0" w:line="152" w:lineRule="exact"/>
              <w:rPr>
                <w:rFonts w:ascii="Calibri" w:cs="Calibri" w:eastAsia="Calibri" w:hAnsi="Calibri"/>
                <w:sz w:val="15"/>
                <w:szCs w:val="15"/>
                <w:color w:val="0000FF"/>
              </w:rPr>
            </w:pPr>
            <w:hyperlink r:id="rId173">
              <w:r>
                <w:rPr>
                  <w:rFonts w:ascii="Calibri" w:cs="Calibri" w:eastAsia="Calibri" w:hAnsi="Calibri"/>
                  <w:sz w:val="15"/>
                  <w:szCs w:val="15"/>
                  <w:color w:val="0000FF"/>
                </w:rPr>
                <w:t>2012</w:t>
              </w:r>
            </w:hyperlink>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2000" w:type="dxa"/>
            <w:vAlign w:val="bottom"/>
            <w:gridSpan w:val="2"/>
          </w:tcPr>
          <w:p>
            <w:pPr>
              <w:ind w:left="20"/>
              <w:spacing w:after="0" w:line="152" w:lineRule="exact"/>
              <w:rPr>
                <w:sz w:val="20"/>
                <w:szCs w:val="20"/>
                <w:color w:val="auto"/>
              </w:rPr>
            </w:pPr>
            <w:r>
              <w:rPr>
                <w:rFonts w:ascii="Calibri" w:cs="Calibri" w:eastAsia="Calibri" w:hAnsi="Calibri"/>
                <w:sz w:val="15"/>
                <w:szCs w:val="15"/>
                <w:color w:val="auto"/>
              </w:rPr>
              <w:t>Quarterly Report on Form</w:t>
            </w: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300" w:type="dxa"/>
            <w:vAlign w:val="bottom"/>
            <w:tcBorders>
              <w:top w:val="single" w:sz="8" w:color="0000FF"/>
              <w:bottom w:val="single" w:sz="8" w:color="0000FF"/>
            </w:tcBorders>
            <w:gridSpan w:val="20"/>
          </w:tcPr>
          <w:p>
            <w:pPr>
              <w:spacing w:after="0" w:line="165" w:lineRule="exact"/>
              <w:rPr>
                <w:rFonts w:ascii="Calibri" w:cs="Calibri" w:eastAsia="Calibri" w:hAnsi="Calibri"/>
                <w:sz w:val="18"/>
                <w:szCs w:val="18"/>
                <w:color w:val="0000FF"/>
                <w:w w:val="97"/>
              </w:rPr>
            </w:pPr>
            <w:hyperlink r:id="rId173">
              <w:r>
                <w:rPr>
                  <w:rFonts w:ascii="Calibri" w:cs="Calibri" w:eastAsia="Calibri" w:hAnsi="Calibri"/>
                  <w:sz w:val="18"/>
                  <w:szCs w:val="18"/>
                  <w:color w:val="0000FF"/>
                  <w:w w:val="97"/>
                </w:rPr>
                <w:t>Stock Incentve Plan (efectve March 15, 2018).</w:t>
              </w:r>
            </w:hyperlink>
          </w:p>
        </w:tc>
        <w:tc>
          <w:tcPr>
            <w:tcW w:w="140" w:type="dxa"/>
            <w:vAlign w:val="bottom"/>
            <w:tcBorders>
              <w:top w:val="single" w:sz="8" w:color="0000FF"/>
            </w:tcBorders>
            <w:gridSpan w:val="6"/>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gridSpan w:val="2"/>
          </w:tcPr>
          <w:p>
            <w:pPr>
              <w:spacing w:after="0"/>
              <w:rPr>
                <w:sz w:val="14"/>
                <w:szCs w:val="14"/>
                <w:color w:val="auto"/>
              </w:rPr>
            </w:pPr>
          </w:p>
        </w:tc>
        <w:tc>
          <w:tcPr>
            <w:tcW w:w="2000" w:type="dxa"/>
            <w:vAlign w:val="bottom"/>
            <w:gridSpan w:val="2"/>
          </w:tcPr>
          <w:p>
            <w:pPr>
              <w:ind w:left="20"/>
              <w:spacing w:after="0" w:line="165" w:lineRule="exact"/>
              <w:rPr>
                <w:sz w:val="20"/>
                <w:szCs w:val="20"/>
                <w:color w:val="auto"/>
              </w:rPr>
            </w:pPr>
            <w:r>
              <w:rPr>
                <w:rFonts w:ascii="Calibri" w:cs="Calibri" w:eastAsia="Calibri" w:hAnsi="Calibri"/>
                <w:sz w:val="18"/>
                <w:szCs w:val="18"/>
                <w:color w:val="auto"/>
              </w:rPr>
              <w:t>10-Q</w:t>
            </w: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860" w:type="dxa"/>
            <w:vAlign w:val="bottom"/>
          </w:tcPr>
          <w:p>
            <w:pPr>
              <w:jc w:val="center"/>
              <w:ind w:left="334"/>
              <w:spacing w:after="0" w:line="205" w:lineRule="exact"/>
              <w:rPr>
                <w:sz w:val="20"/>
                <w:szCs w:val="20"/>
                <w:color w:val="auto"/>
              </w:rPr>
            </w:pPr>
            <w:r>
              <w:rPr>
                <w:rFonts w:ascii="Calibri" w:cs="Calibri" w:eastAsia="Calibri" w:hAnsi="Calibri"/>
                <w:sz w:val="18"/>
                <w:szCs w:val="18"/>
                <w:color w:val="auto"/>
                <w:w w:val="97"/>
              </w:rPr>
              <w:t>10.27</w:t>
            </w:r>
          </w:p>
        </w:tc>
        <w:tc>
          <w:tcPr>
            <w:tcW w:w="300" w:type="dxa"/>
            <w:vAlign w:val="bottom"/>
          </w:tcPr>
          <w:p>
            <w:pPr>
              <w:jc w:val="right"/>
              <w:ind w:right="72"/>
              <w:spacing w:after="0" w:line="205" w:lineRule="exact"/>
              <w:rPr>
                <w:sz w:val="20"/>
                <w:szCs w:val="20"/>
                <w:color w:val="auto"/>
              </w:rPr>
            </w:pPr>
            <w:r>
              <w:rPr>
                <w:rFonts w:ascii="Calibri" w:cs="Calibri" w:eastAsia="Calibri" w:hAnsi="Calibri"/>
                <w:sz w:val="18"/>
                <w:szCs w:val="18"/>
                <w:color w:val="auto"/>
              </w:rPr>
              <w:t>+</w:t>
            </w:r>
          </w:p>
        </w:tc>
        <w:tc>
          <w:tcPr>
            <w:tcW w:w="20" w:type="dxa"/>
            <w:vAlign w:val="bottom"/>
          </w:tcPr>
          <w:p>
            <w:pPr>
              <w:spacing w:after="0"/>
              <w:rPr>
                <w:sz w:val="17"/>
                <w:szCs w:val="17"/>
                <w:color w:val="auto"/>
              </w:rPr>
            </w:pPr>
          </w:p>
        </w:tc>
        <w:tc>
          <w:tcPr>
            <w:tcW w:w="3660" w:type="dxa"/>
            <w:vAlign w:val="bottom"/>
            <w:gridSpan w:val="35"/>
          </w:tcPr>
          <w:p>
            <w:pPr>
              <w:spacing w:after="0" w:line="205" w:lineRule="exact"/>
              <w:rPr>
                <w:rFonts w:ascii="Calibri" w:cs="Calibri" w:eastAsia="Calibri" w:hAnsi="Calibri"/>
                <w:sz w:val="18"/>
                <w:szCs w:val="18"/>
                <w:color w:val="0000FF"/>
                <w:w w:val="97"/>
              </w:rPr>
            </w:pPr>
            <w:hyperlink r:id="rId174">
              <w:r>
                <w:rPr>
                  <w:rFonts w:ascii="Calibri" w:cs="Calibri" w:eastAsia="Calibri" w:hAnsi="Calibri"/>
                  <w:sz w:val="18"/>
                  <w:szCs w:val="18"/>
                  <w:color w:val="0000FF"/>
                  <w:w w:val="97"/>
                </w:rPr>
                <w:t>Form of Performance Stock Unit Award Agreement</w:t>
              </w:r>
            </w:hyperlink>
          </w:p>
        </w:tc>
        <w:tc>
          <w:tcPr>
            <w:tcW w:w="2000" w:type="dxa"/>
            <w:vAlign w:val="bottom"/>
            <w:gridSpan w:val="2"/>
          </w:tcPr>
          <w:p>
            <w:pPr>
              <w:ind w:left="20"/>
              <w:spacing w:after="0" w:line="205" w:lineRule="exact"/>
              <w:rPr>
                <w:sz w:val="20"/>
                <w:szCs w:val="20"/>
                <w:color w:val="auto"/>
              </w:rPr>
            </w:pPr>
            <w:r>
              <w:rPr>
                <w:rFonts w:ascii="Calibri" w:cs="Calibri" w:eastAsia="Calibri" w:hAnsi="Calibri"/>
                <w:sz w:val="18"/>
                <w:szCs w:val="18"/>
                <w:color w:val="auto"/>
              </w:rPr>
              <w:t>Broadcom Inc. Quarterly</w:t>
            </w:r>
          </w:p>
        </w:tc>
        <w:tc>
          <w:tcPr>
            <w:tcW w:w="1160" w:type="dxa"/>
            <w:vAlign w:val="bottom"/>
          </w:tcPr>
          <w:p>
            <w:pPr>
              <w:spacing w:after="0" w:line="205" w:lineRule="exact"/>
              <w:rPr>
                <w:sz w:val="20"/>
                <w:szCs w:val="20"/>
                <w:color w:val="auto"/>
              </w:rPr>
            </w:pPr>
            <w:r>
              <w:rPr>
                <w:rFonts w:ascii="Calibri" w:cs="Calibri" w:eastAsia="Calibri" w:hAnsi="Calibri"/>
                <w:sz w:val="18"/>
                <w:szCs w:val="18"/>
                <w:color w:val="auto"/>
              </w:rPr>
              <w:t>001-38449</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Pr>
          <w:p>
            <w:pPr>
              <w:jc w:val="center"/>
              <w:ind w:right="213"/>
              <w:spacing w:after="0" w:line="205" w:lineRule="exact"/>
              <w:rPr>
                <w:sz w:val="20"/>
                <w:szCs w:val="20"/>
                <w:color w:val="auto"/>
              </w:rPr>
            </w:pPr>
            <w:r>
              <w:rPr>
                <w:rFonts w:ascii="Calibri" w:cs="Calibri" w:eastAsia="Calibri" w:hAnsi="Calibri"/>
                <w:sz w:val="18"/>
                <w:szCs w:val="18"/>
                <w:color w:val="auto"/>
                <w:w w:val="93"/>
              </w:rPr>
              <w:t>10.4</w:t>
            </w:r>
          </w:p>
        </w:tc>
        <w:tc>
          <w:tcPr>
            <w:tcW w:w="100" w:type="dxa"/>
            <w:vAlign w:val="bottom"/>
          </w:tcPr>
          <w:p>
            <w:pPr>
              <w:spacing w:after="0"/>
              <w:rPr>
                <w:sz w:val="17"/>
                <w:szCs w:val="17"/>
                <w:color w:val="auto"/>
              </w:rPr>
            </w:pPr>
          </w:p>
        </w:tc>
        <w:tc>
          <w:tcPr>
            <w:tcW w:w="1140" w:type="dxa"/>
            <w:vAlign w:val="bottom"/>
          </w:tcPr>
          <w:p>
            <w:pPr>
              <w:jc w:val="right"/>
              <w:ind w:right="233"/>
              <w:spacing w:after="0" w:line="205" w:lineRule="exact"/>
              <w:rPr>
                <w:sz w:val="20"/>
                <w:szCs w:val="20"/>
                <w:color w:val="auto"/>
              </w:rPr>
            </w:pPr>
            <w:r>
              <w:rPr>
                <w:rFonts w:ascii="Calibri" w:cs="Calibri" w:eastAsia="Calibri" w:hAnsi="Calibri"/>
                <w:sz w:val="18"/>
                <w:szCs w:val="18"/>
                <w:color w:val="auto"/>
                <w:w w:val="95"/>
              </w:rPr>
              <w:t>06-11-2021</w:t>
            </w:r>
          </w:p>
        </w:tc>
        <w:tc>
          <w:tcPr>
            <w:tcW w:w="0" w:type="dxa"/>
            <w:vAlign w:val="bottom"/>
          </w:tcPr>
          <w:p>
            <w:pPr>
              <w:spacing w:after="0"/>
              <w:rPr>
                <w:sz w:val="1"/>
                <w:szCs w:val="1"/>
                <w:color w:val="auto"/>
              </w:rPr>
            </w:pPr>
          </w:p>
        </w:tc>
      </w:tr>
      <w:tr>
        <w:trPr>
          <w:trHeight w:val="152"/>
        </w:trPr>
        <w:tc>
          <w:tcPr>
            <w:tcW w:w="8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560" w:type="dxa"/>
            <w:vAlign w:val="bottom"/>
            <w:tcBorders>
              <w:top w:val="single" w:sz="8" w:color="0000FF"/>
              <w:bottom w:val="single" w:sz="8" w:color="0000FF"/>
            </w:tcBorders>
            <w:gridSpan w:val="32"/>
          </w:tcPr>
          <w:p>
            <w:pPr>
              <w:spacing w:after="0" w:line="152" w:lineRule="exact"/>
              <w:rPr>
                <w:rFonts w:ascii="Calibri" w:cs="Calibri" w:eastAsia="Calibri" w:hAnsi="Calibri"/>
                <w:sz w:val="15"/>
                <w:szCs w:val="15"/>
                <w:color w:val="0000FF"/>
              </w:rPr>
            </w:pPr>
            <w:hyperlink r:id="rId174">
              <w:r>
                <w:rPr>
                  <w:rFonts w:ascii="Calibri" w:cs="Calibri" w:eastAsia="Calibri" w:hAnsi="Calibri"/>
                  <w:sz w:val="15"/>
                  <w:szCs w:val="15"/>
                  <w:color w:val="0000FF"/>
                </w:rPr>
                <w:t>under the Broadcom Inc. 2012 Stock Incentve Plan</w:t>
              </w:r>
            </w:hyperlink>
          </w:p>
        </w:tc>
        <w:tc>
          <w:tcPr>
            <w:tcW w:w="20" w:type="dxa"/>
            <w:vAlign w:val="bottom"/>
            <w:tcBorders>
              <w:bottom w:val="single" w:sz="8" w:color="0000FF"/>
            </w:tcBorders>
          </w:tcPr>
          <w:p>
            <w:pPr>
              <w:spacing w:after="0"/>
              <w:rPr>
                <w:sz w:val="13"/>
                <w:szCs w:val="13"/>
                <w:color w:val="auto"/>
              </w:rPr>
            </w:pPr>
          </w:p>
        </w:tc>
        <w:tc>
          <w:tcPr>
            <w:tcW w:w="80" w:type="dxa"/>
            <w:vAlign w:val="bottom"/>
            <w:gridSpan w:val="2"/>
          </w:tcPr>
          <w:p>
            <w:pPr>
              <w:spacing w:after="0"/>
              <w:rPr>
                <w:sz w:val="13"/>
                <w:szCs w:val="13"/>
                <w:color w:val="auto"/>
              </w:rPr>
            </w:pPr>
          </w:p>
        </w:tc>
        <w:tc>
          <w:tcPr>
            <w:tcW w:w="2000" w:type="dxa"/>
            <w:vAlign w:val="bottom"/>
            <w:gridSpan w:val="2"/>
          </w:tcPr>
          <w:p>
            <w:pPr>
              <w:ind w:left="20"/>
              <w:spacing w:after="0" w:line="152" w:lineRule="exact"/>
              <w:rPr>
                <w:sz w:val="20"/>
                <w:szCs w:val="20"/>
                <w:color w:val="auto"/>
              </w:rPr>
            </w:pPr>
            <w:r>
              <w:rPr>
                <w:rFonts w:ascii="Calibri" w:cs="Calibri" w:eastAsia="Calibri" w:hAnsi="Calibri"/>
                <w:sz w:val="15"/>
                <w:szCs w:val="15"/>
                <w:color w:val="auto"/>
              </w:rPr>
              <w:t>Report on Form 10-Q</w:t>
            </w: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60" w:type="dxa"/>
            <w:vAlign w:val="bottom"/>
            <w:tcBorders>
              <w:bottom w:val="single" w:sz="8" w:color="0000FF"/>
            </w:tcBorders>
            <w:gridSpan w:val="7"/>
          </w:tcPr>
          <w:p>
            <w:pPr>
              <w:spacing w:after="0" w:line="165" w:lineRule="exact"/>
              <w:rPr>
                <w:rFonts w:ascii="Calibri" w:cs="Calibri" w:eastAsia="Calibri" w:hAnsi="Calibri"/>
                <w:sz w:val="18"/>
                <w:szCs w:val="18"/>
                <w:color w:val="0000FF"/>
                <w:w w:val="98"/>
              </w:rPr>
            </w:pPr>
            <w:hyperlink r:id="rId174">
              <w:r>
                <w:rPr>
                  <w:rFonts w:ascii="Calibri" w:cs="Calibri" w:eastAsia="Calibri" w:hAnsi="Calibri"/>
                  <w:sz w:val="18"/>
                  <w:szCs w:val="18"/>
                  <w:color w:val="0000FF"/>
                  <w:w w:val="98"/>
                </w:rPr>
                <w:t>(efectve April 5, 2021).</w:t>
              </w:r>
            </w:hyperlink>
          </w:p>
        </w:tc>
        <w:tc>
          <w:tcPr>
            <w:tcW w:w="1920" w:type="dxa"/>
            <w:vAlign w:val="bottom"/>
            <w:gridSpan w:val="26"/>
          </w:tcPr>
          <w:p>
            <w:pPr>
              <w:spacing w:after="0"/>
              <w:rPr>
                <w:sz w:val="14"/>
                <w:szCs w:val="14"/>
                <w:color w:val="auto"/>
              </w:rPr>
            </w:pPr>
          </w:p>
        </w:tc>
        <w:tc>
          <w:tcPr>
            <w:tcW w:w="80" w:type="dxa"/>
            <w:vAlign w:val="bottom"/>
            <w:gridSpan w:val="2"/>
          </w:tcPr>
          <w:p>
            <w:pPr>
              <w:spacing w:after="0"/>
              <w:rPr>
                <w:sz w:val="14"/>
                <w:szCs w:val="14"/>
                <w:color w:val="auto"/>
              </w:rPr>
            </w:pPr>
          </w:p>
        </w:tc>
        <w:tc>
          <w:tcPr>
            <w:tcW w:w="1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860" w:type="dxa"/>
            <w:vAlign w:val="bottom"/>
          </w:tcPr>
          <w:p>
            <w:pPr>
              <w:jc w:val="center"/>
              <w:ind w:left="334"/>
              <w:spacing w:after="0" w:line="205" w:lineRule="exact"/>
              <w:rPr>
                <w:sz w:val="20"/>
                <w:szCs w:val="20"/>
                <w:color w:val="auto"/>
              </w:rPr>
            </w:pPr>
            <w:r>
              <w:rPr>
                <w:rFonts w:ascii="Calibri" w:cs="Calibri" w:eastAsia="Calibri" w:hAnsi="Calibri"/>
                <w:sz w:val="18"/>
                <w:szCs w:val="18"/>
                <w:color w:val="auto"/>
                <w:w w:val="97"/>
              </w:rPr>
              <w:t>10.28</w:t>
            </w:r>
          </w:p>
        </w:tc>
        <w:tc>
          <w:tcPr>
            <w:tcW w:w="300" w:type="dxa"/>
            <w:vAlign w:val="bottom"/>
          </w:tcPr>
          <w:p>
            <w:pPr>
              <w:jc w:val="right"/>
              <w:ind w:right="72"/>
              <w:spacing w:after="0" w:line="205" w:lineRule="exact"/>
              <w:rPr>
                <w:sz w:val="20"/>
                <w:szCs w:val="20"/>
                <w:color w:val="auto"/>
              </w:rPr>
            </w:pPr>
            <w:r>
              <w:rPr>
                <w:rFonts w:ascii="Calibri" w:cs="Calibri" w:eastAsia="Calibri" w:hAnsi="Calibri"/>
                <w:sz w:val="18"/>
                <w:szCs w:val="18"/>
                <w:color w:val="auto"/>
              </w:rPr>
              <w:t>+</w:t>
            </w:r>
          </w:p>
        </w:tc>
        <w:tc>
          <w:tcPr>
            <w:tcW w:w="20" w:type="dxa"/>
            <w:vAlign w:val="bottom"/>
          </w:tcPr>
          <w:p>
            <w:pPr>
              <w:spacing w:after="0"/>
              <w:rPr>
                <w:sz w:val="17"/>
                <w:szCs w:val="17"/>
                <w:color w:val="auto"/>
              </w:rPr>
            </w:pPr>
          </w:p>
        </w:tc>
        <w:tc>
          <w:tcPr>
            <w:tcW w:w="3660" w:type="dxa"/>
            <w:vAlign w:val="bottom"/>
            <w:gridSpan w:val="35"/>
          </w:tcPr>
          <w:p>
            <w:pPr>
              <w:spacing w:after="0" w:line="205" w:lineRule="exact"/>
              <w:rPr>
                <w:rFonts w:ascii="Calibri" w:cs="Calibri" w:eastAsia="Calibri" w:hAnsi="Calibri"/>
                <w:sz w:val="18"/>
                <w:szCs w:val="18"/>
                <w:color w:val="0000FF"/>
                <w:w w:val="97"/>
              </w:rPr>
            </w:pPr>
            <w:hyperlink r:id="rId175">
              <w:r>
                <w:rPr>
                  <w:rFonts w:ascii="Calibri" w:cs="Calibri" w:eastAsia="Calibri" w:hAnsi="Calibri"/>
                  <w:sz w:val="18"/>
                  <w:szCs w:val="18"/>
                  <w:color w:val="0000FF"/>
                  <w:w w:val="97"/>
                </w:rPr>
                <w:t>Form of Performance Stock Unit Award Agreement</w:t>
              </w:r>
            </w:hyperlink>
          </w:p>
        </w:tc>
        <w:tc>
          <w:tcPr>
            <w:tcW w:w="2000" w:type="dxa"/>
            <w:vAlign w:val="bottom"/>
            <w:gridSpan w:val="2"/>
          </w:tcPr>
          <w:p>
            <w:pPr>
              <w:ind w:left="20"/>
              <w:spacing w:after="0" w:line="205" w:lineRule="exact"/>
              <w:rPr>
                <w:sz w:val="20"/>
                <w:szCs w:val="20"/>
                <w:color w:val="auto"/>
              </w:rPr>
            </w:pPr>
            <w:r>
              <w:rPr>
                <w:rFonts w:ascii="Calibri" w:cs="Calibri" w:eastAsia="Calibri" w:hAnsi="Calibri"/>
                <w:sz w:val="18"/>
                <w:szCs w:val="18"/>
                <w:color w:val="auto"/>
              </w:rPr>
              <w:t>Broadcom Inc. Current</w:t>
            </w:r>
          </w:p>
        </w:tc>
        <w:tc>
          <w:tcPr>
            <w:tcW w:w="1160" w:type="dxa"/>
            <w:vAlign w:val="bottom"/>
          </w:tcPr>
          <w:p>
            <w:pPr>
              <w:spacing w:after="0" w:line="205" w:lineRule="exact"/>
              <w:rPr>
                <w:sz w:val="20"/>
                <w:szCs w:val="20"/>
                <w:color w:val="auto"/>
              </w:rPr>
            </w:pPr>
            <w:r>
              <w:rPr>
                <w:rFonts w:ascii="Calibri" w:cs="Calibri" w:eastAsia="Calibri" w:hAnsi="Calibri"/>
                <w:sz w:val="18"/>
                <w:szCs w:val="18"/>
                <w:color w:val="auto"/>
              </w:rPr>
              <w:t>001-38449</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Pr>
          <w:p>
            <w:pPr>
              <w:jc w:val="center"/>
              <w:ind w:right="213"/>
              <w:spacing w:after="0" w:line="205" w:lineRule="exact"/>
              <w:rPr>
                <w:sz w:val="20"/>
                <w:szCs w:val="20"/>
                <w:color w:val="auto"/>
              </w:rPr>
            </w:pPr>
            <w:r>
              <w:rPr>
                <w:rFonts w:ascii="Calibri" w:cs="Calibri" w:eastAsia="Calibri" w:hAnsi="Calibri"/>
                <w:sz w:val="18"/>
                <w:szCs w:val="18"/>
                <w:color w:val="auto"/>
                <w:w w:val="93"/>
              </w:rPr>
              <w:t>10.1</w:t>
            </w:r>
          </w:p>
        </w:tc>
        <w:tc>
          <w:tcPr>
            <w:tcW w:w="100" w:type="dxa"/>
            <w:vAlign w:val="bottom"/>
          </w:tcPr>
          <w:p>
            <w:pPr>
              <w:spacing w:after="0"/>
              <w:rPr>
                <w:sz w:val="17"/>
                <w:szCs w:val="17"/>
                <w:color w:val="auto"/>
              </w:rPr>
            </w:pPr>
          </w:p>
        </w:tc>
        <w:tc>
          <w:tcPr>
            <w:tcW w:w="1140" w:type="dxa"/>
            <w:vAlign w:val="bottom"/>
          </w:tcPr>
          <w:p>
            <w:pPr>
              <w:jc w:val="right"/>
              <w:ind w:right="233"/>
              <w:spacing w:after="0" w:line="205" w:lineRule="exact"/>
              <w:rPr>
                <w:sz w:val="20"/>
                <w:szCs w:val="20"/>
                <w:color w:val="auto"/>
              </w:rPr>
            </w:pPr>
            <w:r>
              <w:rPr>
                <w:rFonts w:ascii="Calibri" w:cs="Calibri" w:eastAsia="Calibri" w:hAnsi="Calibri"/>
                <w:sz w:val="18"/>
                <w:szCs w:val="18"/>
                <w:color w:val="auto"/>
                <w:w w:val="95"/>
              </w:rPr>
              <w:t>11-02-2022</w:t>
            </w:r>
          </w:p>
        </w:tc>
        <w:tc>
          <w:tcPr>
            <w:tcW w:w="0" w:type="dxa"/>
            <w:vAlign w:val="bottom"/>
          </w:tcPr>
          <w:p>
            <w:pPr>
              <w:spacing w:after="0"/>
              <w:rPr>
                <w:sz w:val="1"/>
                <w:szCs w:val="1"/>
                <w:color w:val="auto"/>
              </w:rPr>
            </w:pPr>
          </w:p>
        </w:tc>
      </w:tr>
      <w:tr>
        <w:trPr>
          <w:trHeight w:val="152"/>
        </w:trPr>
        <w:tc>
          <w:tcPr>
            <w:tcW w:w="8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540" w:type="dxa"/>
            <w:vAlign w:val="bottom"/>
            <w:tcBorders>
              <w:top w:val="single" w:sz="8" w:color="0000FF"/>
            </w:tcBorders>
            <w:gridSpan w:val="31"/>
          </w:tcPr>
          <w:p>
            <w:pPr>
              <w:spacing w:after="0" w:line="152" w:lineRule="exact"/>
              <w:rPr>
                <w:rFonts w:ascii="Calibri" w:cs="Calibri" w:eastAsia="Calibri" w:hAnsi="Calibri"/>
                <w:sz w:val="15"/>
                <w:szCs w:val="15"/>
                <w:color w:val="0000FF"/>
              </w:rPr>
            </w:pPr>
            <w:hyperlink r:id="rId175">
              <w:r>
                <w:rPr>
                  <w:rFonts w:ascii="Calibri" w:cs="Calibri" w:eastAsia="Calibri" w:hAnsi="Calibri"/>
                  <w:sz w:val="15"/>
                  <w:szCs w:val="15"/>
                  <w:color w:val="0000FF"/>
                </w:rPr>
                <w:t>(Price Contngency) under Broadcom Inc. 2012</w:t>
              </w:r>
            </w:hyperlink>
          </w:p>
        </w:tc>
        <w:tc>
          <w:tcPr>
            <w:tcW w:w="120" w:type="dxa"/>
            <w:vAlign w:val="bottom"/>
            <w:gridSpan w:val="4"/>
          </w:tcPr>
          <w:p>
            <w:pPr>
              <w:spacing w:after="0"/>
              <w:rPr>
                <w:sz w:val="13"/>
                <w:szCs w:val="13"/>
                <w:color w:val="auto"/>
              </w:rPr>
            </w:pPr>
          </w:p>
        </w:tc>
        <w:tc>
          <w:tcPr>
            <w:tcW w:w="2000" w:type="dxa"/>
            <w:vAlign w:val="bottom"/>
            <w:gridSpan w:val="2"/>
          </w:tcPr>
          <w:p>
            <w:pPr>
              <w:ind w:left="20"/>
              <w:spacing w:after="0" w:line="152" w:lineRule="exact"/>
              <w:rPr>
                <w:sz w:val="20"/>
                <w:szCs w:val="20"/>
                <w:color w:val="auto"/>
              </w:rPr>
            </w:pPr>
            <w:r>
              <w:rPr>
                <w:rFonts w:ascii="Calibri" w:cs="Calibri" w:eastAsia="Calibri" w:hAnsi="Calibri"/>
                <w:sz w:val="15"/>
                <w:szCs w:val="15"/>
                <w:color w:val="auto"/>
              </w:rPr>
              <w:t>Report on Form 8-K</w:t>
            </w: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20" w:type="dxa"/>
            <w:vAlign w:val="bottom"/>
            <w:tcBorders>
              <w:top w:val="single" w:sz="8" w:color="0000FF"/>
            </w:tcBorders>
            <w:gridSpan w:val="16"/>
          </w:tcPr>
          <w:p>
            <w:pPr>
              <w:spacing w:after="0" w:line="165" w:lineRule="exact"/>
              <w:rPr>
                <w:rFonts w:ascii="Calibri" w:cs="Calibri" w:eastAsia="Calibri" w:hAnsi="Calibri"/>
                <w:sz w:val="18"/>
                <w:szCs w:val="18"/>
                <w:color w:val="0000FF"/>
              </w:rPr>
            </w:pPr>
            <w:hyperlink r:id="rId175">
              <w:r>
                <w:rPr>
                  <w:rFonts w:ascii="Calibri" w:cs="Calibri" w:eastAsia="Calibri" w:hAnsi="Calibri"/>
                  <w:sz w:val="18"/>
                  <w:szCs w:val="18"/>
                  <w:color w:val="0000FF"/>
                </w:rPr>
                <w:t>Stock Incentve Plan.</w:t>
              </w:r>
            </w:hyperlink>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160" w:type="dxa"/>
            <w:vAlign w:val="bottom"/>
            <w:gridSpan w:val="6"/>
          </w:tcPr>
          <w:p>
            <w:pPr>
              <w:spacing w:after="0"/>
              <w:rPr>
                <w:sz w:val="14"/>
                <w:szCs w:val="14"/>
                <w:color w:val="auto"/>
              </w:rPr>
            </w:pPr>
          </w:p>
        </w:tc>
        <w:tc>
          <w:tcPr>
            <w:tcW w:w="1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60" w:type="dxa"/>
            <w:vAlign w:val="bottom"/>
            <w:gridSpan w:val="6"/>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860" w:type="dxa"/>
            <w:vAlign w:val="bottom"/>
          </w:tcPr>
          <w:p>
            <w:pPr>
              <w:jc w:val="center"/>
              <w:ind w:left="334"/>
              <w:spacing w:after="0" w:line="205" w:lineRule="exact"/>
              <w:rPr>
                <w:sz w:val="20"/>
                <w:szCs w:val="20"/>
                <w:color w:val="auto"/>
              </w:rPr>
            </w:pPr>
            <w:r>
              <w:rPr>
                <w:rFonts w:ascii="Calibri" w:cs="Calibri" w:eastAsia="Calibri" w:hAnsi="Calibri"/>
                <w:sz w:val="18"/>
                <w:szCs w:val="18"/>
                <w:color w:val="auto"/>
                <w:w w:val="97"/>
              </w:rPr>
              <w:t>10.29</w:t>
            </w:r>
          </w:p>
        </w:tc>
        <w:tc>
          <w:tcPr>
            <w:tcW w:w="300" w:type="dxa"/>
            <w:vAlign w:val="bottom"/>
          </w:tcPr>
          <w:p>
            <w:pPr>
              <w:jc w:val="right"/>
              <w:ind w:right="72"/>
              <w:spacing w:after="0" w:line="205" w:lineRule="exact"/>
              <w:rPr>
                <w:sz w:val="20"/>
                <w:szCs w:val="20"/>
                <w:color w:val="auto"/>
              </w:rPr>
            </w:pPr>
            <w:r>
              <w:rPr>
                <w:rFonts w:ascii="Calibri" w:cs="Calibri" w:eastAsia="Calibri" w:hAnsi="Calibri"/>
                <w:sz w:val="18"/>
                <w:szCs w:val="18"/>
                <w:color w:val="auto"/>
              </w:rPr>
              <w:t>+</w:t>
            </w:r>
          </w:p>
        </w:tc>
        <w:tc>
          <w:tcPr>
            <w:tcW w:w="20" w:type="dxa"/>
            <w:vAlign w:val="bottom"/>
          </w:tcPr>
          <w:p>
            <w:pPr>
              <w:spacing w:after="0"/>
              <w:rPr>
                <w:sz w:val="17"/>
                <w:szCs w:val="17"/>
                <w:color w:val="auto"/>
              </w:rPr>
            </w:pPr>
          </w:p>
        </w:tc>
        <w:tc>
          <w:tcPr>
            <w:tcW w:w="3500" w:type="dxa"/>
            <w:vAlign w:val="bottom"/>
            <w:tcBorders>
              <w:bottom w:val="single" w:sz="8" w:color="0000FF"/>
            </w:tcBorders>
            <w:gridSpan w:val="29"/>
          </w:tcPr>
          <w:p>
            <w:pPr>
              <w:spacing w:after="0" w:line="205" w:lineRule="exact"/>
              <w:rPr>
                <w:rFonts w:ascii="Calibri" w:cs="Calibri" w:eastAsia="Calibri" w:hAnsi="Calibri"/>
                <w:sz w:val="18"/>
                <w:szCs w:val="18"/>
                <w:color w:val="0000FF"/>
                <w:w w:val="95"/>
              </w:rPr>
            </w:pPr>
            <w:hyperlink r:id="rId176">
              <w:r>
                <w:rPr>
                  <w:rFonts w:ascii="Calibri" w:cs="Calibri" w:eastAsia="Calibri" w:hAnsi="Calibri"/>
                  <w:sz w:val="18"/>
                  <w:szCs w:val="18"/>
                  <w:color w:val="0000FF"/>
                  <w:w w:val="95"/>
                </w:rPr>
                <w:t>Performance Stock Unit Award Agreement, dated</w:t>
              </w:r>
            </w:hyperlink>
          </w:p>
        </w:tc>
        <w:tc>
          <w:tcPr>
            <w:tcW w:w="160" w:type="dxa"/>
            <w:vAlign w:val="bottom"/>
            <w:gridSpan w:val="6"/>
          </w:tcPr>
          <w:p>
            <w:pPr>
              <w:spacing w:after="0"/>
              <w:rPr>
                <w:sz w:val="17"/>
                <w:szCs w:val="17"/>
                <w:color w:val="auto"/>
              </w:rPr>
            </w:pPr>
          </w:p>
        </w:tc>
        <w:tc>
          <w:tcPr>
            <w:tcW w:w="2000" w:type="dxa"/>
            <w:vAlign w:val="bottom"/>
            <w:gridSpan w:val="2"/>
          </w:tcPr>
          <w:p>
            <w:pPr>
              <w:ind w:left="20"/>
              <w:spacing w:after="0" w:line="205" w:lineRule="exact"/>
              <w:rPr>
                <w:sz w:val="20"/>
                <w:szCs w:val="20"/>
                <w:color w:val="auto"/>
              </w:rPr>
            </w:pPr>
            <w:r>
              <w:rPr>
                <w:rFonts w:ascii="Calibri" w:cs="Calibri" w:eastAsia="Calibri" w:hAnsi="Calibri"/>
                <w:sz w:val="18"/>
                <w:szCs w:val="18"/>
                <w:color w:val="auto"/>
              </w:rPr>
              <w:t>Broadcom Inc. Quarterly</w:t>
            </w:r>
          </w:p>
        </w:tc>
        <w:tc>
          <w:tcPr>
            <w:tcW w:w="1160" w:type="dxa"/>
            <w:vAlign w:val="bottom"/>
          </w:tcPr>
          <w:p>
            <w:pPr>
              <w:spacing w:after="0" w:line="205" w:lineRule="exact"/>
              <w:rPr>
                <w:sz w:val="20"/>
                <w:szCs w:val="20"/>
                <w:color w:val="auto"/>
              </w:rPr>
            </w:pPr>
            <w:r>
              <w:rPr>
                <w:rFonts w:ascii="Calibri" w:cs="Calibri" w:eastAsia="Calibri" w:hAnsi="Calibri"/>
                <w:sz w:val="18"/>
                <w:szCs w:val="18"/>
                <w:color w:val="auto"/>
              </w:rPr>
              <w:t>001-38449</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Pr>
          <w:p>
            <w:pPr>
              <w:jc w:val="center"/>
              <w:ind w:right="213"/>
              <w:spacing w:after="0" w:line="205" w:lineRule="exact"/>
              <w:rPr>
                <w:sz w:val="20"/>
                <w:szCs w:val="20"/>
                <w:color w:val="auto"/>
              </w:rPr>
            </w:pPr>
            <w:r>
              <w:rPr>
                <w:rFonts w:ascii="Calibri" w:cs="Calibri" w:eastAsia="Calibri" w:hAnsi="Calibri"/>
                <w:sz w:val="18"/>
                <w:szCs w:val="18"/>
                <w:color w:val="auto"/>
                <w:w w:val="93"/>
              </w:rPr>
              <w:t>10.2</w:t>
            </w:r>
          </w:p>
        </w:tc>
        <w:tc>
          <w:tcPr>
            <w:tcW w:w="100" w:type="dxa"/>
            <w:vAlign w:val="bottom"/>
          </w:tcPr>
          <w:p>
            <w:pPr>
              <w:spacing w:after="0"/>
              <w:rPr>
                <w:sz w:val="17"/>
                <w:szCs w:val="17"/>
                <w:color w:val="auto"/>
              </w:rPr>
            </w:pPr>
          </w:p>
        </w:tc>
        <w:tc>
          <w:tcPr>
            <w:tcW w:w="1140" w:type="dxa"/>
            <w:vAlign w:val="bottom"/>
          </w:tcPr>
          <w:p>
            <w:pPr>
              <w:jc w:val="right"/>
              <w:ind w:right="233"/>
              <w:spacing w:after="0" w:line="205" w:lineRule="exact"/>
              <w:rPr>
                <w:sz w:val="20"/>
                <w:szCs w:val="20"/>
                <w:color w:val="auto"/>
              </w:rPr>
            </w:pPr>
            <w:r>
              <w:rPr>
                <w:rFonts w:ascii="Calibri" w:cs="Calibri" w:eastAsia="Calibri" w:hAnsi="Calibri"/>
                <w:sz w:val="18"/>
                <w:szCs w:val="18"/>
                <w:color w:val="auto"/>
                <w:w w:val="95"/>
              </w:rPr>
              <w:t>06-11-2021</w:t>
            </w:r>
          </w:p>
        </w:tc>
        <w:tc>
          <w:tcPr>
            <w:tcW w:w="0" w:type="dxa"/>
            <w:vAlign w:val="bottom"/>
          </w:tcPr>
          <w:p>
            <w:pPr>
              <w:spacing w:after="0"/>
              <w:rPr>
                <w:sz w:val="1"/>
                <w:szCs w:val="1"/>
                <w:color w:val="auto"/>
              </w:rPr>
            </w:pPr>
          </w:p>
        </w:tc>
      </w:tr>
      <w:tr>
        <w:trPr>
          <w:trHeight w:val="152"/>
        </w:trPr>
        <w:tc>
          <w:tcPr>
            <w:tcW w:w="8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60" w:type="dxa"/>
            <w:vAlign w:val="bottom"/>
            <w:gridSpan w:val="35"/>
          </w:tcPr>
          <w:p>
            <w:pPr>
              <w:spacing w:after="0" w:line="152" w:lineRule="exact"/>
              <w:rPr>
                <w:rFonts w:ascii="Calibri" w:cs="Calibri" w:eastAsia="Calibri" w:hAnsi="Calibri"/>
                <w:sz w:val="15"/>
                <w:szCs w:val="15"/>
                <w:color w:val="0000FF"/>
              </w:rPr>
            </w:pPr>
            <w:hyperlink r:id="rId176">
              <w:r>
                <w:rPr>
                  <w:rFonts w:ascii="Calibri" w:cs="Calibri" w:eastAsia="Calibri" w:hAnsi="Calibri"/>
                  <w:sz w:val="15"/>
                  <w:szCs w:val="15"/>
                  <w:color w:val="0000FF"/>
                </w:rPr>
                <w:t>April 5, 2021, between Broadcom Inc. and Hock E.</w:t>
              </w:r>
            </w:hyperlink>
          </w:p>
        </w:tc>
        <w:tc>
          <w:tcPr>
            <w:tcW w:w="2000" w:type="dxa"/>
            <w:vAlign w:val="bottom"/>
            <w:gridSpan w:val="2"/>
          </w:tcPr>
          <w:p>
            <w:pPr>
              <w:ind w:left="20"/>
              <w:spacing w:after="0" w:line="152" w:lineRule="exact"/>
              <w:rPr>
                <w:sz w:val="20"/>
                <w:szCs w:val="20"/>
                <w:color w:val="auto"/>
              </w:rPr>
            </w:pPr>
            <w:r>
              <w:rPr>
                <w:rFonts w:ascii="Calibri" w:cs="Calibri" w:eastAsia="Calibri" w:hAnsi="Calibri"/>
                <w:sz w:val="15"/>
                <w:szCs w:val="15"/>
                <w:color w:val="auto"/>
              </w:rPr>
              <w:t>Report on Form 10-Q</w:t>
            </w: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Borders>
              <w:top w:val="single" w:sz="8" w:color="0000FF"/>
              <w:bottom w:val="single" w:sz="8" w:color="0000FF"/>
            </w:tcBorders>
          </w:tcPr>
          <w:p>
            <w:pPr>
              <w:spacing w:after="0" w:line="165" w:lineRule="exact"/>
              <w:rPr>
                <w:rFonts w:ascii="Calibri" w:cs="Calibri" w:eastAsia="Calibri" w:hAnsi="Calibri"/>
                <w:sz w:val="18"/>
                <w:szCs w:val="18"/>
                <w:color w:val="0000FF"/>
                <w:w w:val="82"/>
              </w:rPr>
            </w:pPr>
            <w:hyperlink r:id="rId176">
              <w:r>
                <w:rPr>
                  <w:rFonts w:ascii="Calibri" w:cs="Calibri" w:eastAsia="Calibri" w:hAnsi="Calibri"/>
                  <w:sz w:val="18"/>
                  <w:szCs w:val="18"/>
                  <w:color w:val="0000FF"/>
                  <w:w w:val="82"/>
                </w:rPr>
                <w:t>Tan.</w:t>
              </w:r>
            </w:hyperlink>
          </w:p>
        </w:tc>
        <w:tc>
          <w:tcPr>
            <w:tcW w:w="3220" w:type="dxa"/>
            <w:vAlign w:val="bottom"/>
            <w:tcBorders>
              <w:top w:val="single" w:sz="8" w:color="0000FF"/>
            </w:tcBorders>
            <w:gridSpan w:val="28"/>
          </w:tcPr>
          <w:p>
            <w:pPr>
              <w:spacing w:after="0"/>
              <w:rPr>
                <w:sz w:val="14"/>
                <w:szCs w:val="14"/>
                <w:color w:val="auto"/>
              </w:rPr>
            </w:pPr>
          </w:p>
        </w:tc>
        <w:tc>
          <w:tcPr>
            <w:tcW w:w="160" w:type="dxa"/>
            <w:vAlign w:val="bottom"/>
            <w:gridSpan w:val="6"/>
          </w:tcPr>
          <w:p>
            <w:pPr>
              <w:spacing w:after="0"/>
              <w:rPr>
                <w:sz w:val="14"/>
                <w:szCs w:val="14"/>
                <w:color w:val="auto"/>
              </w:rPr>
            </w:pPr>
          </w:p>
        </w:tc>
        <w:tc>
          <w:tcPr>
            <w:tcW w:w="1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860" w:type="dxa"/>
            <w:vAlign w:val="bottom"/>
          </w:tcPr>
          <w:p>
            <w:pPr>
              <w:jc w:val="center"/>
              <w:ind w:left="334"/>
              <w:spacing w:after="0" w:line="205" w:lineRule="exact"/>
              <w:rPr>
                <w:sz w:val="20"/>
                <w:szCs w:val="20"/>
                <w:color w:val="auto"/>
              </w:rPr>
            </w:pPr>
            <w:r>
              <w:rPr>
                <w:rFonts w:ascii="Calibri" w:cs="Calibri" w:eastAsia="Calibri" w:hAnsi="Calibri"/>
                <w:sz w:val="18"/>
                <w:szCs w:val="18"/>
                <w:color w:val="auto"/>
                <w:w w:val="97"/>
              </w:rPr>
              <w:t>10.30</w:t>
            </w:r>
          </w:p>
        </w:tc>
        <w:tc>
          <w:tcPr>
            <w:tcW w:w="300" w:type="dxa"/>
            <w:vAlign w:val="bottom"/>
          </w:tcPr>
          <w:p>
            <w:pPr>
              <w:jc w:val="right"/>
              <w:ind w:right="72"/>
              <w:spacing w:after="0" w:line="205" w:lineRule="exact"/>
              <w:rPr>
                <w:sz w:val="20"/>
                <w:szCs w:val="20"/>
                <w:color w:val="auto"/>
              </w:rPr>
            </w:pPr>
            <w:r>
              <w:rPr>
                <w:rFonts w:ascii="Calibri" w:cs="Calibri" w:eastAsia="Calibri" w:hAnsi="Calibri"/>
                <w:sz w:val="18"/>
                <w:szCs w:val="18"/>
                <w:color w:val="auto"/>
              </w:rPr>
              <w:t>+</w:t>
            </w:r>
          </w:p>
        </w:tc>
        <w:tc>
          <w:tcPr>
            <w:tcW w:w="20" w:type="dxa"/>
            <w:vAlign w:val="bottom"/>
          </w:tcPr>
          <w:p>
            <w:pPr>
              <w:spacing w:after="0"/>
              <w:rPr>
                <w:sz w:val="17"/>
                <w:szCs w:val="17"/>
                <w:color w:val="auto"/>
              </w:rPr>
            </w:pPr>
          </w:p>
        </w:tc>
        <w:tc>
          <w:tcPr>
            <w:tcW w:w="3240" w:type="dxa"/>
            <w:vAlign w:val="bottom"/>
            <w:tcBorders>
              <w:bottom w:val="single" w:sz="8" w:color="0000FF"/>
            </w:tcBorders>
            <w:gridSpan w:val="17"/>
          </w:tcPr>
          <w:p>
            <w:pPr>
              <w:spacing w:after="0" w:line="205" w:lineRule="exact"/>
              <w:rPr>
                <w:rFonts w:ascii="Calibri" w:cs="Calibri" w:eastAsia="Calibri" w:hAnsi="Calibri"/>
                <w:sz w:val="18"/>
                <w:szCs w:val="18"/>
                <w:color w:val="0000FF"/>
                <w:w w:val="97"/>
              </w:rPr>
            </w:pPr>
            <w:hyperlink r:id="rId177">
              <w:r>
                <w:rPr>
                  <w:rFonts w:ascii="Calibri" w:cs="Calibri" w:eastAsia="Calibri" w:hAnsi="Calibri"/>
                  <w:sz w:val="18"/>
                  <w:szCs w:val="18"/>
                  <w:color w:val="0000FF"/>
                  <w:w w:val="97"/>
                </w:rPr>
                <w:t>Policy on Acceleraton of Executve Staf Equity</w:t>
              </w:r>
            </w:hyperlink>
          </w:p>
        </w:tc>
        <w:tc>
          <w:tcPr>
            <w:tcW w:w="420" w:type="dxa"/>
            <w:vAlign w:val="bottom"/>
            <w:gridSpan w:val="18"/>
          </w:tcPr>
          <w:p>
            <w:pPr>
              <w:spacing w:after="0"/>
              <w:rPr>
                <w:sz w:val="17"/>
                <w:szCs w:val="17"/>
                <w:color w:val="auto"/>
              </w:rPr>
            </w:pPr>
          </w:p>
        </w:tc>
        <w:tc>
          <w:tcPr>
            <w:tcW w:w="2000" w:type="dxa"/>
            <w:vAlign w:val="bottom"/>
            <w:gridSpan w:val="2"/>
          </w:tcPr>
          <w:p>
            <w:pPr>
              <w:ind w:left="20"/>
              <w:spacing w:after="0" w:line="205" w:lineRule="exact"/>
              <w:rPr>
                <w:sz w:val="20"/>
                <w:szCs w:val="20"/>
                <w:color w:val="auto"/>
              </w:rPr>
            </w:pPr>
            <w:r>
              <w:rPr>
                <w:rFonts w:ascii="Calibri" w:cs="Calibri" w:eastAsia="Calibri" w:hAnsi="Calibri"/>
                <w:sz w:val="18"/>
                <w:szCs w:val="18"/>
                <w:color w:val="auto"/>
              </w:rPr>
              <w:t>Broadcom Inc. Current</w:t>
            </w:r>
          </w:p>
        </w:tc>
        <w:tc>
          <w:tcPr>
            <w:tcW w:w="1160" w:type="dxa"/>
            <w:vAlign w:val="bottom"/>
          </w:tcPr>
          <w:p>
            <w:pPr>
              <w:spacing w:after="0" w:line="205" w:lineRule="exact"/>
              <w:rPr>
                <w:sz w:val="20"/>
                <w:szCs w:val="20"/>
                <w:color w:val="auto"/>
              </w:rPr>
            </w:pPr>
            <w:r>
              <w:rPr>
                <w:rFonts w:ascii="Calibri" w:cs="Calibri" w:eastAsia="Calibri" w:hAnsi="Calibri"/>
                <w:sz w:val="18"/>
                <w:szCs w:val="18"/>
                <w:color w:val="auto"/>
              </w:rPr>
              <w:t>001-38449</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Pr>
          <w:p>
            <w:pPr>
              <w:jc w:val="center"/>
              <w:ind w:right="213"/>
              <w:spacing w:after="0" w:line="205" w:lineRule="exact"/>
              <w:rPr>
                <w:sz w:val="20"/>
                <w:szCs w:val="20"/>
                <w:color w:val="auto"/>
              </w:rPr>
            </w:pPr>
            <w:r>
              <w:rPr>
                <w:rFonts w:ascii="Calibri" w:cs="Calibri" w:eastAsia="Calibri" w:hAnsi="Calibri"/>
                <w:sz w:val="18"/>
                <w:szCs w:val="18"/>
                <w:color w:val="auto"/>
                <w:w w:val="93"/>
              </w:rPr>
              <w:t>10.1</w:t>
            </w:r>
          </w:p>
        </w:tc>
        <w:tc>
          <w:tcPr>
            <w:tcW w:w="100" w:type="dxa"/>
            <w:vAlign w:val="bottom"/>
          </w:tcPr>
          <w:p>
            <w:pPr>
              <w:spacing w:after="0"/>
              <w:rPr>
                <w:sz w:val="17"/>
                <w:szCs w:val="17"/>
                <w:color w:val="auto"/>
              </w:rPr>
            </w:pPr>
          </w:p>
        </w:tc>
        <w:tc>
          <w:tcPr>
            <w:tcW w:w="1140" w:type="dxa"/>
            <w:vAlign w:val="bottom"/>
          </w:tcPr>
          <w:p>
            <w:pPr>
              <w:jc w:val="right"/>
              <w:ind w:right="233"/>
              <w:spacing w:after="0" w:line="205" w:lineRule="exact"/>
              <w:rPr>
                <w:sz w:val="20"/>
                <w:szCs w:val="20"/>
                <w:color w:val="auto"/>
              </w:rPr>
            </w:pPr>
            <w:r>
              <w:rPr>
                <w:rFonts w:ascii="Calibri" w:cs="Calibri" w:eastAsia="Calibri" w:hAnsi="Calibri"/>
                <w:sz w:val="18"/>
                <w:szCs w:val="18"/>
                <w:color w:val="auto"/>
                <w:w w:val="95"/>
              </w:rPr>
              <w:t>06-03-2021</w:t>
            </w:r>
          </w:p>
        </w:tc>
        <w:tc>
          <w:tcPr>
            <w:tcW w:w="0" w:type="dxa"/>
            <w:vAlign w:val="bottom"/>
          </w:tcPr>
          <w:p>
            <w:pPr>
              <w:spacing w:after="0"/>
              <w:rPr>
                <w:sz w:val="1"/>
                <w:szCs w:val="1"/>
                <w:color w:val="auto"/>
              </w:rPr>
            </w:pPr>
          </w:p>
        </w:tc>
      </w:tr>
      <w:tr>
        <w:trPr>
          <w:trHeight w:val="152"/>
        </w:trPr>
        <w:tc>
          <w:tcPr>
            <w:tcW w:w="8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60" w:type="dxa"/>
            <w:vAlign w:val="bottom"/>
            <w:gridSpan w:val="35"/>
          </w:tcPr>
          <w:p>
            <w:pPr>
              <w:spacing w:after="0" w:line="152" w:lineRule="exact"/>
              <w:rPr>
                <w:rFonts w:ascii="Calibri" w:cs="Calibri" w:eastAsia="Calibri" w:hAnsi="Calibri"/>
                <w:sz w:val="15"/>
                <w:szCs w:val="15"/>
                <w:color w:val="0000FF"/>
              </w:rPr>
            </w:pPr>
            <w:hyperlink r:id="rId177">
              <w:r>
                <w:rPr>
                  <w:rFonts w:ascii="Calibri" w:cs="Calibri" w:eastAsia="Calibri" w:hAnsi="Calibri"/>
                  <w:sz w:val="15"/>
                  <w:szCs w:val="15"/>
                  <w:color w:val="0000FF"/>
                </w:rPr>
                <w:t>Awards in the Event of Permanent Disability (as</w:t>
              </w:r>
            </w:hyperlink>
          </w:p>
        </w:tc>
        <w:tc>
          <w:tcPr>
            <w:tcW w:w="2000" w:type="dxa"/>
            <w:vAlign w:val="bottom"/>
            <w:gridSpan w:val="2"/>
          </w:tcPr>
          <w:p>
            <w:pPr>
              <w:ind w:left="20"/>
              <w:spacing w:after="0" w:line="152" w:lineRule="exact"/>
              <w:rPr>
                <w:sz w:val="20"/>
                <w:szCs w:val="20"/>
                <w:color w:val="auto"/>
              </w:rPr>
            </w:pPr>
            <w:r>
              <w:rPr>
                <w:rFonts w:ascii="Calibri" w:cs="Calibri" w:eastAsia="Calibri" w:hAnsi="Calibri"/>
                <w:sz w:val="15"/>
                <w:szCs w:val="15"/>
                <w:color w:val="auto"/>
              </w:rPr>
              <w:t>Report on Form 8-K</w:t>
            </w: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80" w:type="dxa"/>
            <w:vAlign w:val="bottom"/>
            <w:tcBorders>
              <w:top w:val="single" w:sz="8" w:color="0000FF"/>
            </w:tcBorders>
            <w:gridSpan w:val="19"/>
          </w:tcPr>
          <w:p>
            <w:pPr>
              <w:spacing w:after="0" w:line="165" w:lineRule="exact"/>
              <w:rPr>
                <w:rFonts w:ascii="Calibri" w:cs="Calibri" w:eastAsia="Calibri" w:hAnsi="Calibri"/>
                <w:sz w:val="18"/>
                <w:szCs w:val="18"/>
                <w:color w:val="0000FF"/>
              </w:rPr>
            </w:pPr>
            <w:hyperlink r:id="rId177">
              <w:r>
                <w:rPr>
                  <w:rFonts w:ascii="Calibri" w:cs="Calibri" w:eastAsia="Calibri" w:hAnsi="Calibri"/>
                  <w:sz w:val="18"/>
                  <w:szCs w:val="18"/>
                  <w:color w:val="0000FF"/>
                </w:rPr>
                <w:t>amended June 2, 2021).</w:t>
              </w:r>
            </w:hyperlink>
          </w:p>
        </w:tc>
        <w:tc>
          <w:tcPr>
            <w:tcW w:w="20" w:type="dxa"/>
            <w:vAlign w:val="bottom"/>
          </w:tcPr>
          <w:p>
            <w:pPr>
              <w:spacing w:after="0"/>
              <w:rPr>
                <w:sz w:val="14"/>
                <w:szCs w:val="14"/>
                <w:color w:val="auto"/>
              </w:rPr>
            </w:pPr>
          </w:p>
        </w:tc>
        <w:tc>
          <w:tcPr>
            <w:tcW w:w="6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0" w:type="dxa"/>
            <w:vAlign w:val="bottom"/>
            <w:gridSpan w:val="8"/>
          </w:tcPr>
          <w:p>
            <w:pPr>
              <w:spacing w:after="0"/>
              <w:rPr>
                <w:sz w:val="14"/>
                <w:szCs w:val="14"/>
                <w:color w:val="auto"/>
              </w:rPr>
            </w:pPr>
          </w:p>
        </w:tc>
        <w:tc>
          <w:tcPr>
            <w:tcW w:w="1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0" w:type="dxa"/>
            <w:vAlign w:val="bottom"/>
            <w:gridSpan w:val="8"/>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860" w:type="dxa"/>
            <w:vAlign w:val="bottom"/>
          </w:tcPr>
          <w:p>
            <w:pPr>
              <w:jc w:val="center"/>
              <w:ind w:left="334"/>
              <w:spacing w:after="0" w:line="205" w:lineRule="exact"/>
              <w:rPr>
                <w:sz w:val="20"/>
                <w:szCs w:val="20"/>
                <w:color w:val="auto"/>
              </w:rPr>
            </w:pPr>
            <w:r>
              <w:rPr>
                <w:rFonts w:ascii="Calibri" w:cs="Calibri" w:eastAsia="Calibri" w:hAnsi="Calibri"/>
                <w:sz w:val="18"/>
                <w:szCs w:val="18"/>
                <w:color w:val="auto"/>
                <w:w w:val="97"/>
              </w:rPr>
              <w:t>10.31</w:t>
            </w:r>
          </w:p>
        </w:tc>
        <w:tc>
          <w:tcPr>
            <w:tcW w:w="300" w:type="dxa"/>
            <w:vAlign w:val="bottom"/>
          </w:tcPr>
          <w:p>
            <w:pPr>
              <w:jc w:val="right"/>
              <w:ind w:right="72"/>
              <w:spacing w:after="0" w:line="205" w:lineRule="exact"/>
              <w:rPr>
                <w:sz w:val="20"/>
                <w:szCs w:val="20"/>
                <w:color w:val="auto"/>
              </w:rPr>
            </w:pPr>
            <w:r>
              <w:rPr>
                <w:rFonts w:ascii="Calibri" w:cs="Calibri" w:eastAsia="Calibri" w:hAnsi="Calibri"/>
                <w:sz w:val="18"/>
                <w:szCs w:val="18"/>
                <w:color w:val="auto"/>
              </w:rPr>
              <w:t>+</w:t>
            </w:r>
          </w:p>
        </w:tc>
        <w:tc>
          <w:tcPr>
            <w:tcW w:w="20" w:type="dxa"/>
            <w:vAlign w:val="bottom"/>
          </w:tcPr>
          <w:p>
            <w:pPr>
              <w:spacing w:after="0"/>
              <w:rPr>
                <w:sz w:val="17"/>
                <w:szCs w:val="17"/>
                <w:color w:val="auto"/>
              </w:rPr>
            </w:pPr>
          </w:p>
        </w:tc>
        <w:tc>
          <w:tcPr>
            <w:tcW w:w="3660" w:type="dxa"/>
            <w:vAlign w:val="bottom"/>
            <w:gridSpan w:val="35"/>
          </w:tcPr>
          <w:p>
            <w:pPr>
              <w:spacing w:after="0" w:line="205" w:lineRule="exact"/>
              <w:rPr>
                <w:rFonts w:ascii="Calibri" w:cs="Calibri" w:eastAsia="Calibri" w:hAnsi="Calibri"/>
                <w:sz w:val="18"/>
                <w:szCs w:val="18"/>
                <w:color w:val="0000FF"/>
              </w:rPr>
            </w:pPr>
            <w:hyperlink r:id="rId178">
              <w:r>
                <w:rPr>
                  <w:rFonts w:ascii="Calibri" w:cs="Calibri" w:eastAsia="Calibri" w:hAnsi="Calibri"/>
                  <w:sz w:val="18"/>
                  <w:szCs w:val="18"/>
                  <w:color w:val="0000FF"/>
                </w:rPr>
                <w:t>Policy on Acceleraton of Equity Awards in the</w:t>
              </w:r>
            </w:hyperlink>
          </w:p>
        </w:tc>
        <w:tc>
          <w:tcPr>
            <w:tcW w:w="2000" w:type="dxa"/>
            <w:vAlign w:val="bottom"/>
            <w:gridSpan w:val="2"/>
          </w:tcPr>
          <w:p>
            <w:pPr>
              <w:ind w:left="20"/>
              <w:spacing w:after="0" w:line="205" w:lineRule="exact"/>
              <w:rPr>
                <w:sz w:val="20"/>
                <w:szCs w:val="20"/>
                <w:color w:val="auto"/>
              </w:rPr>
            </w:pPr>
            <w:r>
              <w:rPr>
                <w:rFonts w:ascii="Calibri" w:cs="Calibri" w:eastAsia="Calibri" w:hAnsi="Calibri"/>
                <w:sz w:val="18"/>
                <w:szCs w:val="18"/>
                <w:color w:val="auto"/>
              </w:rPr>
              <w:t>Broadcom Inc. Quarterly</w:t>
            </w:r>
          </w:p>
        </w:tc>
        <w:tc>
          <w:tcPr>
            <w:tcW w:w="1160" w:type="dxa"/>
            <w:vAlign w:val="bottom"/>
          </w:tcPr>
          <w:p>
            <w:pPr>
              <w:spacing w:after="0" w:line="205" w:lineRule="exact"/>
              <w:rPr>
                <w:sz w:val="20"/>
                <w:szCs w:val="20"/>
                <w:color w:val="auto"/>
              </w:rPr>
            </w:pPr>
            <w:r>
              <w:rPr>
                <w:rFonts w:ascii="Calibri" w:cs="Calibri" w:eastAsia="Calibri" w:hAnsi="Calibri"/>
                <w:sz w:val="18"/>
                <w:szCs w:val="18"/>
                <w:color w:val="auto"/>
              </w:rPr>
              <w:t>001-38449</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Pr>
          <w:p>
            <w:pPr>
              <w:jc w:val="center"/>
              <w:ind w:right="213"/>
              <w:spacing w:after="0" w:line="205" w:lineRule="exact"/>
              <w:rPr>
                <w:sz w:val="20"/>
                <w:szCs w:val="20"/>
                <w:color w:val="auto"/>
              </w:rPr>
            </w:pPr>
            <w:r>
              <w:rPr>
                <w:rFonts w:ascii="Calibri" w:cs="Calibri" w:eastAsia="Calibri" w:hAnsi="Calibri"/>
                <w:sz w:val="18"/>
                <w:szCs w:val="18"/>
                <w:color w:val="auto"/>
                <w:w w:val="93"/>
              </w:rPr>
              <w:t>10.2</w:t>
            </w:r>
          </w:p>
        </w:tc>
        <w:tc>
          <w:tcPr>
            <w:tcW w:w="100" w:type="dxa"/>
            <w:vAlign w:val="bottom"/>
          </w:tcPr>
          <w:p>
            <w:pPr>
              <w:spacing w:after="0"/>
              <w:rPr>
                <w:sz w:val="17"/>
                <w:szCs w:val="17"/>
                <w:color w:val="auto"/>
              </w:rPr>
            </w:pPr>
          </w:p>
        </w:tc>
        <w:tc>
          <w:tcPr>
            <w:tcW w:w="1140" w:type="dxa"/>
            <w:vAlign w:val="bottom"/>
          </w:tcPr>
          <w:p>
            <w:pPr>
              <w:jc w:val="right"/>
              <w:ind w:right="233"/>
              <w:spacing w:after="0" w:line="205" w:lineRule="exact"/>
              <w:rPr>
                <w:sz w:val="20"/>
                <w:szCs w:val="20"/>
                <w:color w:val="auto"/>
              </w:rPr>
            </w:pPr>
            <w:r>
              <w:rPr>
                <w:rFonts w:ascii="Calibri" w:cs="Calibri" w:eastAsia="Calibri" w:hAnsi="Calibri"/>
                <w:sz w:val="18"/>
                <w:szCs w:val="18"/>
                <w:color w:val="auto"/>
                <w:w w:val="95"/>
              </w:rPr>
              <w:t>09-06-2023</w:t>
            </w:r>
          </w:p>
        </w:tc>
        <w:tc>
          <w:tcPr>
            <w:tcW w:w="0" w:type="dxa"/>
            <w:vAlign w:val="bottom"/>
          </w:tcPr>
          <w:p>
            <w:pPr>
              <w:spacing w:after="0"/>
              <w:rPr>
                <w:sz w:val="1"/>
                <w:szCs w:val="1"/>
                <w:color w:val="auto"/>
              </w:rPr>
            </w:pPr>
          </w:p>
        </w:tc>
      </w:tr>
      <w:tr>
        <w:trPr>
          <w:trHeight w:val="152"/>
        </w:trPr>
        <w:tc>
          <w:tcPr>
            <w:tcW w:w="8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180" w:type="dxa"/>
            <w:vAlign w:val="bottom"/>
            <w:tcBorders>
              <w:top w:val="single" w:sz="8" w:color="0000FF"/>
              <w:bottom w:val="single" w:sz="8" w:color="0000FF"/>
            </w:tcBorders>
            <w:gridSpan w:val="14"/>
          </w:tcPr>
          <w:p>
            <w:pPr>
              <w:spacing w:after="0" w:line="152" w:lineRule="exact"/>
              <w:rPr>
                <w:rFonts w:ascii="Calibri" w:cs="Calibri" w:eastAsia="Calibri" w:hAnsi="Calibri"/>
                <w:sz w:val="15"/>
                <w:szCs w:val="15"/>
                <w:color w:val="0000FF"/>
              </w:rPr>
            </w:pPr>
            <w:hyperlink r:id="rId178">
              <w:r>
                <w:rPr>
                  <w:rFonts w:ascii="Calibri" w:cs="Calibri" w:eastAsia="Calibri" w:hAnsi="Calibri"/>
                  <w:sz w:val="15"/>
                  <w:szCs w:val="15"/>
                  <w:color w:val="0000FF"/>
                </w:rPr>
                <w:t>Event of Death (as amended January 1, 2023).</w:t>
              </w:r>
            </w:hyperlink>
          </w:p>
        </w:tc>
        <w:tc>
          <w:tcPr>
            <w:tcW w:w="20" w:type="dxa"/>
            <w:vAlign w:val="bottom"/>
            <w:tcBorders>
              <w:bottom w:val="single" w:sz="8" w:color="0000FF"/>
            </w:tcBorders>
          </w:tcPr>
          <w:p>
            <w:pPr>
              <w:spacing w:after="0"/>
              <w:rPr>
                <w:sz w:val="13"/>
                <w:szCs w:val="13"/>
                <w:color w:val="auto"/>
              </w:rPr>
            </w:pPr>
          </w:p>
        </w:tc>
        <w:tc>
          <w:tcPr>
            <w:tcW w:w="100" w:type="dxa"/>
            <w:vAlign w:val="bottom"/>
            <w:gridSpan w:val="5"/>
          </w:tcPr>
          <w:p>
            <w:pPr>
              <w:spacing w:after="0"/>
              <w:rPr>
                <w:sz w:val="13"/>
                <w:szCs w:val="13"/>
                <w:color w:val="auto"/>
              </w:rPr>
            </w:pPr>
          </w:p>
        </w:tc>
        <w:tc>
          <w:tcPr>
            <w:tcW w:w="6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0" w:type="dxa"/>
            <w:vAlign w:val="bottom"/>
            <w:gridSpan w:val="8"/>
          </w:tcPr>
          <w:p>
            <w:pPr>
              <w:spacing w:after="0"/>
              <w:rPr>
                <w:sz w:val="13"/>
                <w:szCs w:val="13"/>
                <w:color w:val="auto"/>
              </w:rPr>
            </w:pPr>
          </w:p>
        </w:tc>
        <w:tc>
          <w:tcPr>
            <w:tcW w:w="2000" w:type="dxa"/>
            <w:vAlign w:val="bottom"/>
            <w:gridSpan w:val="2"/>
          </w:tcPr>
          <w:p>
            <w:pPr>
              <w:ind w:left="20"/>
              <w:spacing w:after="0" w:line="152" w:lineRule="exact"/>
              <w:rPr>
                <w:sz w:val="20"/>
                <w:szCs w:val="20"/>
                <w:color w:val="auto"/>
              </w:rPr>
            </w:pPr>
            <w:r>
              <w:rPr>
                <w:rFonts w:ascii="Calibri" w:cs="Calibri" w:eastAsia="Calibri" w:hAnsi="Calibri"/>
                <w:sz w:val="15"/>
                <w:szCs w:val="15"/>
                <w:color w:val="auto"/>
              </w:rPr>
              <w:t>Report on Form 10-Q</w:t>
            </w: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8"/>
        </w:trPr>
        <w:tc>
          <w:tcPr>
            <w:tcW w:w="860" w:type="dxa"/>
            <w:vAlign w:val="bottom"/>
          </w:tcPr>
          <w:p>
            <w:pPr>
              <w:jc w:val="center"/>
              <w:ind w:left="334"/>
              <w:spacing w:after="0" w:line="217" w:lineRule="exact"/>
              <w:rPr>
                <w:sz w:val="20"/>
                <w:szCs w:val="20"/>
                <w:color w:val="auto"/>
              </w:rPr>
            </w:pPr>
            <w:r>
              <w:rPr>
                <w:rFonts w:ascii="Calibri" w:cs="Calibri" w:eastAsia="Calibri" w:hAnsi="Calibri"/>
                <w:sz w:val="18"/>
                <w:szCs w:val="18"/>
                <w:color w:val="auto"/>
                <w:w w:val="97"/>
              </w:rPr>
              <w:t>10.32</w:t>
            </w:r>
          </w:p>
        </w:tc>
        <w:tc>
          <w:tcPr>
            <w:tcW w:w="300" w:type="dxa"/>
            <w:vAlign w:val="bottom"/>
          </w:tcPr>
          <w:p>
            <w:pPr>
              <w:jc w:val="right"/>
              <w:ind w:right="72"/>
              <w:spacing w:after="0" w:line="217" w:lineRule="exact"/>
              <w:rPr>
                <w:sz w:val="20"/>
                <w:szCs w:val="20"/>
                <w:color w:val="auto"/>
              </w:rPr>
            </w:pPr>
            <w:r>
              <w:rPr>
                <w:rFonts w:ascii="Calibri" w:cs="Calibri" w:eastAsia="Calibri" w:hAnsi="Calibri"/>
                <w:sz w:val="18"/>
                <w:szCs w:val="18"/>
                <w:color w:val="auto"/>
              </w:rPr>
              <w:t>+</w:t>
            </w:r>
          </w:p>
        </w:tc>
        <w:tc>
          <w:tcPr>
            <w:tcW w:w="20" w:type="dxa"/>
            <w:vAlign w:val="bottom"/>
          </w:tcPr>
          <w:p>
            <w:pPr>
              <w:spacing w:after="0"/>
              <w:rPr>
                <w:sz w:val="18"/>
                <w:szCs w:val="18"/>
                <w:color w:val="auto"/>
              </w:rPr>
            </w:pPr>
          </w:p>
        </w:tc>
        <w:tc>
          <w:tcPr>
            <w:tcW w:w="3040" w:type="dxa"/>
            <w:vAlign w:val="bottom"/>
            <w:tcBorders>
              <w:bottom w:val="single" w:sz="8" w:color="0000FF"/>
            </w:tcBorders>
            <w:gridSpan w:val="12"/>
          </w:tcPr>
          <w:p>
            <w:pPr>
              <w:spacing w:after="0" w:line="217" w:lineRule="exact"/>
              <w:rPr>
                <w:rFonts w:ascii="Calibri" w:cs="Calibri" w:eastAsia="Calibri" w:hAnsi="Calibri"/>
                <w:sz w:val="18"/>
                <w:szCs w:val="18"/>
                <w:color w:val="0000FF"/>
                <w:w w:val="96"/>
              </w:rPr>
            </w:pPr>
            <w:hyperlink r:id="rId179">
              <w:r>
                <w:rPr>
                  <w:rFonts w:ascii="Calibri" w:cs="Calibri" w:eastAsia="Calibri" w:hAnsi="Calibri"/>
                  <w:sz w:val="18"/>
                  <w:szCs w:val="18"/>
                  <w:color w:val="0000FF"/>
                  <w:w w:val="96"/>
                </w:rPr>
                <w:t>Amended and Restated Severance Benefts</w:t>
              </w:r>
            </w:hyperlink>
          </w:p>
        </w:tc>
        <w:tc>
          <w:tcPr>
            <w:tcW w:w="620" w:type="dxa"/>
            <w:vAlign w:val="bottom"/>
            <w:gridSpan w:val="23"/>
          </w:tcPr>
          <w:p>
            <w:pPr>
              <w:spacing w:after="0"/>
              <w:rPr>
                <w:sz w:val="18"/>
                <w:szCs w:val="18"/>
                <w:color w:val="auto"/>
              </w:rPr>
            </w:pPr>
          </w:p>
        </w:tc>
        <w:tc>
          <w:tcPr>
            <w:tcW w:w="2000" w:type="dxa"/>
            <w:vAlign w:val="bottom"/>
            <w:gridSpan w:val="2"/>
          </w:tcPr>
          <w:p>
            <w:pPr>
              <w:ind w:left="20"/>
              <w:spacing w:after="0" w:line="217" w:lineRule="exact"/>
              <w:rPr>
                <w:sz w:val="20"/>
                <w:szCs w:val="20"/>
                <w:color w:val="auto"/>
              </w:rPr>
            </w:pPr>
            <w:r>
              <w:rPr>
                <w:rFonts w:ascii="Calibri" w:cs="Calibri" w:eastAsia="Calibri" w:hAnsi="Calibri"/>
                <w:sz w:val="18"/>
                <w:szCs w:val="18"/>
                <w:color w:val="auto"/>
              </w:rPr>
              <w:t>Broadcom Inc. Current</w:t>
            </w:r>
          </w:p>
        </w:tc>
        <w:tc>
          <w:tcPr>
            <w:tcW w:w="1160" w:type="dxa"/>
            <w:vAlign w:val="bottom"/>
          </w:tcPr>
          <w:p>
            <w:pPr>
              <w:spacing w:after="0" w:line="217" w:lineRule="exact"/>
              <w:rPr>
                <w:sz w:val="20"/>
                <w:szCs w:val="20"/>
                <w:color w:val="auto"/>
              </w:rPr>
            </w:pPr>
            <w:r>
              <w:rPr>
                <w:rFonts w:ascii="Calibri" w:cs="Calibri" w:eastAsia="Calibri" w:hAnsi="Calibri"/>
                <w:sz w:val="18"/>
                <w:szCs w:val="18"/>
                <w:color w:val="auto"/>
              </w:rPr>
              <w:t>001-38449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jc w:val="center"/>
              <w:ind w:right="213"/>
              <w:spacing w:after="0" w:line="217" w:lineRule="exact"/>
              <w:rPr>
                <w:sz w:val="20"/>
                <w:szCs w:val="20"/>
                <w:color w:val="auto"/>
              </w:rPr>
            </w:pPr>
            <w:r>
              <w:rPr>
                <w:rFonts w:ascii="Calibri" w:cs="Calibri" w:eastAsia="Calibri" w:hAnsi="Calibri"/>
                <w:sz w:val="18"/>
                <w:szCs w:val="18"/>
                <w:color w:val="auto"/>
                <w:w w:val="93"/>
              </w:rPr>
              <w:t>10.1</w:t>
            </w:r>
          </w:p>
        </w:tc>
        <w:tc>
          <w:tcPr>
            <w:tcW w:w="100" w:type="dxa"/>
            <w:vAlign w:val="bottom"/>
          </w:tcPr>
          <w:p>
            <w:pPr>
              <w:spacing w:after="0"/>
              <w:rPr>
                <w:sz w:val="18"/>
                <w:szCs w:val="18"/>
                <w:color w:val="auto"/>
              </w:rPr>
            </w:pPr>
          </w:p>
        </w:tc>
        <w:tc>
          <w:tcPr>
            <w:tcW w:w="1140" w:type="dxa"/>
            <w:vAlign w:val="bottom"/>
          </w:tcPr>
          <w:p>
            <w:pPr>
              <w:jc w:val="right"/>
              <w:ind w:right="233"/>
              <w:spacing w:after="0" w:line="217" w:lineRule="exact"/>
              <w:rPr>
                <w:sz w:val="20"/>
                <w:szCs w:val="20"/>
                <w:color w:val="auto"/>
              </w:rPr>
            </w:pPr>
            <w:r>
              <w:rPr>
                <w:rFonts w:ascii="Calibri" w:cs="Calibri" w:eastAsia="Calibri" w:hAnsi="Calibri"/>
                <w:sz w:val="18"/>
                <w:szCs w:val="18"/>
                <w:color w:val="auto"/>
                <w:w w:val="95"/>
              </w:rPr>
              <w:t>12-10-2020</w:t>
            </w:r>
          </w:p>
        </w:tc>
        <w:tc>
          <w:tcPr>
            <w:tcW w:w="0" w:type="dxa"/>
            <w:vAlign w:val="bottom"/>
          </w:tcPr>
          <w:p>
            <w:pPr>
              <w:spacing w:after="0"/>
              <w:rPr>
                <w:sz w:val="1"/>
                <w:szCs w:val="1"/>
                <w:color w:val="auto"/>
              </w:rPr>
            </w:pPr>
          </w:p>
        </w:tc>
      </w:tr>
      <w:tr>
        <w:trPr>
          <w:trHeight w:val="152"/>
        </w:trPr>
        <w:tc>
          <w:tcPr>
            <w:tcW w:w="8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60" w:type="dxa"/>
            <w:vAlign w:val="bottom"/>
            <w:gridSpan w:val="35"/>
          </w:tcPr>
          <w:p>
            <w:pPr>
              <w:spacing w:after="0" w:line="152" w:lineRule="exact"/>
              <w:rPr>
                <w:rFonts w:ascii="Calibri" w:cs="Calibri" w:eastAsia="Calibri" w:hAnsi="Calibri"/>
                <w:sz w:val="15"/>
                <w:szCs w:val="15"/>
                <w:color w:val="0000FF"/>
              </w:rPr>
            </w:pPr>
            <w:hyperlink r:id="rId179">
              <w:r>
                <w:rPr>
                  <w:rFonts w:ascii="Calibri" w:cs="Calibri" w:eastAsia="Calibri" w:hAnsi="Calibri"/>
                  <w:sz w:val="15"/>
                  <w:szCs w:val="15"/>
                  <w:color w:val="0000FF"/>
                </w:rPr>
                <w:t>Agreement, dated December 10, 2020, between</w:t>
              </w:r>
            </w:hyperlink>
          </w:p>
        </w:tc>
        <w:tc>
          <w:tcPr>
            <w:tcW w:w="2000" w:type="dxa"/>
            <w:vAlign w:val="bottom"/>
            <w:gridSpan w:val="2"/>
          </w:tcPr>
          <w:p>
            <w:pPr>
              <w:ind w:left="20"/>
              <w:spacing w:after="0" w:line="152" w:lineRule="exact"/>
              <w:rPr>
                <w:sz w:val="20"/>
                <w:szCs w:val="20"/>
                <w:color w:val="auto"/>
              </w:rPr>
            </w:pPr>
            <w:r>
              <w:rPr>
                <w:rFonts w:ascii="Calibri" w:cs="Calibri" w:eastAsia="Calibri" w:hAnsi="Calibri"/>
                <w:sz w:val="15"/>
                <w:szCs w:val="15"/>
                <w:color w:val="auto"/>
              </w:rPr>
              <w:t>Report on Form 8-K</w:t>
            </w: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180" w:type="dxa"/>
            <w:vAlign w:val="bottom"/>
            <w:tcBorders>
              <w:top w:val="single" w:sz="8" w:color="0000FF"/>
              <w:bottom w:val="single" w:sz="8" w:color="0000FF"/>
            </w:tcBorders>
            <w:gridSpan w:val="8"/>
          </w:tcPr>
          <w:p>
            <w:pPr>
              <w:spacing w:after="0" w:line="165" w:lineRule="exact"/>
              <w:rPr>
                <w:rFonts w:ascii="Calibri" w:cs="Calibri" w:eastAsia="Calibri" w:hAnsi="Calibri"/>
                <w:sz w:val="18"/>
                <w:szCs w:val="18"/>
                <w:color w:val="0000FF"/>
                <w:w w:val="93"/>
              </w:rPr>
            </w:pPr>
            <w:hyperlink r:id="rId179">
              <w:r>
                <w:rPr>
                  <w:rFonts w:ascii="Calibri" w:cs="Calibri" w:eastAsia="Calibri" w:hAnsi="Calibri"/>
                  <w:sz w:val="18"/>
                  <w:szCs w:val="18"/>
                  <w:color w:val="0000FF"/>
                  <w:w w:val="93"/>
                </w:rPr>
                <w:t>Broadcom Inc. and Hock E. Tan.</w:t>
              </w:r>
            </w:hyperlink>
          </w:p>
        </w:tc>
        <w:tc>
          <w:tcPr>
            <w:tcW w:w="1180" w:type="dxa"/>
            <w:vAlign w:val="bottom"/>
            <w:tcBorders>
              <w:top w:val="single" w:sz="8" w:color="0000FF"/>
            </w:tcBorders>
            <w:gridSpan w:val="14"/>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0" w:type="dxa"/>
            <w:vAlign w:val="bottom"/>
            <w:gridSpan w:val="8"/>
          </w:tcPr>
          <w:p>
            <w:pPr>
              <w:spacing w:after="0"/>
              <w:rPr>
                <w:sz w:val="14"/>
                <w:szCs w:val="14"/>
                <w:color w:val="auto"/>
              </w:rPr>
            </w:pPr>
          </w:p>
        </w:tc>
        <w:tc>
          <w:tcPr>
            <w:tcW w:w="1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860" w:type="dxa"/>
            <w:vAlign w:val="bottom"/>
          </w:tcPr>
          <w:p>
            <w:pPr>
              <w:jc w:val="center"/>
              <w:ind w:left="334"/>
              <w:spacing w:after="0" w:line="205" w:lineRule="exact"/>
              <w:rPr>
                <w:sz w:val="20"/>
                <w:szCs w:val="20"/>
                <w:color w:val="auto"/>
              </w:rPr>
            </w:pPr>
            <w:r>
              <w:rPr>
                <w:rFonts w:ascii="Calibri" w:cs="Calibri" w:eastAsia="Calibri" w:hAnsi="Calibri"/>
                <w:sz w:val="18"/>
                <w:szCs w:val="18"/>
                <w:color w:val="auto"/>
                <w:w w:val="97"/>
              </w:rPr>
              <w:t>10.33</w:t>
            </w:r>
          </w:p>
        </w:tc>
        <w:tc>
          <w:tcPr>
            <w:tcW w:w="300" w:type="dxa"/>
            <w:vAlign w:val="bottom"/>
          </w:tcPr>
          <w:p>
            <w:pPr>
              <w:jc w:val="right"/>
              <w:ind w:right="72"/>
              <w:spacing w:after="0" w:line="205" w:lineRule="exact"/>
              <w:rPr>
                <w:sz w:val="20"/>
                <w:szCs w:val="20"/>
                <w:color w:val="auto"/>
              </w:rPr>
            </w:pPr>
            <w:r>
              <w:rPr>
                <w:rFonts w:ascii="Calibri" w:cs="Calibri" w:eastAsia="Calibri" w:hAnsi="Calibri"/>
                <w:sz w:val="18"/>
                <w:szCs w:val="18"/>
                <w:color w:val="auto"/>
              </w:rPr>
              <w:t>+</w:t>
            </w:r>
          </w:p>
        </w:tc>
        <w:tc>
          <w:tcPr>
            <w:tcW w:w="20" w:type="dxa"/>
            <w:vAlign w:val="bottom"/>
          </w:tcPr>
          <w:p>
            <w:pPr>
              <w:spacing w:after="0"/>
              <w:rPr>
                <w:sz w:val="17"/>
                <w:szCs w:val="17"/>
                <w:color w:val="auto"/>
              </w:rPr>
            </w:pPr>
          </w:p>
        </w:tc>
        <w:tc>
          <w:tcPr>
            <w:tcW w:w="3040" w:type="dxa"/>
            <w:vAlign w:val="bottom"/>
            <w:tcBorders>
              <w:bottom w:val="single" w:sz="8" w:color="0000FF"/>
            </w:tcBorders>
            <w:gridSpan w:val="12"/>
          </w:tcPr>
          <w:p>
            <w:pPr>
              <w:spacing w:after="0" w:line="205" w:lineRule="exact"/>
              <w:rPr>
                <w:rFonts w:ascii="Calibri" w:cs="Calibri" w:eastAsia="Calibri" w:hAnsi="Calibri"/>
                <w:sz w:val="18"/>
                <w:szCs w:val="18"/>
                <w:color w:val="0000FF"/>
                <w:w w:val="96"/>
              </w:rPr>
            </w:pPr>
            <w:hyperlink r:id="rId180">
              <w:r>
                <w:rPr>
                  <w:rFonts w:ascii="Calibri" w:cs="Calibri" w:eastAsia="Calibri" w:hAnsi="Calibri"/>
                  <w:sz w:val="18"/>
                  <w:szCs w:val="18"/>
                  <w:color w:val="0000FF"/>
                  <w:w w:val="96"/>
                </w:rPr>
                <w:t>Amended and Restated Severance Benefts</w:t>
              </w:r>
            </w:hyperlink>
          </w:p>
        </w:tc>
        <w:tc>
          <w:tcPr>
            <w:tcW w:w="620" w:type="dxa"/>
            <w:vAlign w:val="bottom"/>
            <w:gridSpan w:val="23"/>
          </w:tcPr>
          <w:p>
            <w:pPr>
              <w:spacing w:after="0"/>
              <w:rPr>
                <w:sz w:val="17"/>
                <w:szCs w:val="17"/>
                <w:color w:val="auto"/>
              </w:rPr>
            </w:pPr>
          </w:p>
        </w:tc>
        <w:tc>
          <w:tcPr>
            <w:tcW w:w="2000" w:type="dxa"/>
            <w:vAlign w:val="bottom"/>
            <w:gridSpan w:val="2"/>
          </w:tcPr>
          <w:p>
            <w:pPr>
              <w:ind w:left="20"/>
              <w:spacing w:after="0" w:line="205" w:lineRule="exact"/>
              <w:rPr>
                <w:sz w:val="20"/>
                <w:szCs w:val="20"/>
                <w:color w:val="auto"/>
              </w:rPr>
            </w:pPr>
            <w:r>
              <w:rPr>
                <w:rFonts w:ascii="Calibri" w:cs="Calibri" w:eastAsia="Calibri" w:hAnsi="Calibri"/>
                <w:sz w:val="18"/>
                <w:szCs w:val="18"/>
                <w:color w:val="auto"/>
              </w:rPr>
              <w:t>Broadcom Inc. Current</w:t>
            </w:r>
          </w:p>
        </w:tc>
        <w:tc>
          <w:tcPr>
            <w:tcW w:w="1160" w:type="dxa"/>
            <w:vAlign w:val="bottom"/>
          </w:tcPr>
          <w:p>
            <w:pPr>
              <w:spacing w:after="0" w:line="205" w:lineRule="exact"/>
              <w:rPr>
                <w:sz w:val="20"/>
                <w:szCs w:val="20"/>
                <w:color w:val="auto"/>
              </w:rPr>
            </w:pPr>
            <w:r>
              <w:rPr>
                <w:rFonts w:ascii="Calibri" w:cs="Calibri" w:eastAsia="Calibri" w:hAnsi="Calibri"/>
                <w:sz w:val="18"/>
                <w:szCs w:val="18"/>
                <w:color w:val="auto"/>
              </w:rPr>
              <w:t>001-38449</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Pr>
          <w:p>
            <w:pPr>
              <w:jc w:val="center"/>
              <w:ind w:right="213"/>
              <w:spacing w:after="0" w:line="205" w:lineRule="exact"/>
              <w:rPr>
                <w:sz w:val="20"/>
                <w:szCs w:val="20"/>
                <w:color w:val="auto"/>
              </w:rPr>
            </w:pPr>
            <w:r>
              <w:rPr>
                <w:rFonts w:ascii="Calibri" w:cs="Calibri" w:eastAsia="Calibri" w:hAnsi="Calibri"/>
                <w:sz w:val="18"/>
                <w:szCs w:val="18"/>
                <w:color w:val="auto"/>
                <w:w w:val="93"/>
              </w:rPr>
              <w:t>10.2</w:t>
            </w:r>
          </w:p>
        </w:tc>
        <w:tc>
          <w:tcPr>
            <w:tcW w:w="100" w:type="dxa"/>
            <w:vAlign w:val="bottom"/>
          </w:tcPr>
          <w:p>
            <w:pPr>
              <w:spacing w:after="0"/>
              <w:rPr>
                <w:sz w:val="17"/>
                <w:szCs w:val="17"/>
                <w:color w:val="auto"/>
              </w:rPr>
            </w:pPr>
          </w:p>
        </w:tc>
        <w:tc>
          <w:tcPr>
            <w:tcW w:w="1140" w:type="dxa"/>
            <w:vAlign w:val="bottom"/>
          </w:tcPr>
          <w:p>
            <w:pPr>
              <w:jc w:val="right"/>
              <w:ind w:right="233"/>
              <w:spacing w:after="0" w:line="205" w:lineRule="exact"/>
              <w:rPr>
                <w:sz w:val="20"/>
                <w:szCs w:val="20"/>
                <w:color w:val="auto"/>
              </w:rPr>
            </w:pPr>
            <w:r>
              <w:rPr>
                <w:rFonts w:ascii="Calibri" w:cs="Calibri" w:eastAsia="Calibri" w:hAnsi="Calibri"/>
                <w:sz w:val="18"/>
                <w:szCs w:val="18"/>
                <w:color w:val="auto"/>
                <w:w w:val="95"/>
              </w:rPr>
              <w:t>12-10-2020</w:t>
            </w:r>
          </w:p>
        </w:tc>
        <w:tc>
          <w:tcPr>
            <w:tcW w:w="0" w:type="dxa"/>
            <w:vAlign w:val="bottom"/>
          </w:tcPr>
          <w:p>
            <w:pPr>
              <w:spacing w:after="0"/>
              <w:rPr>
                <w:sz w:val="1"/>
                <w:szCs w:val="1"/>
                <w:color w:val="auto"/>
              </w:rPr>
            </w:pPr>
          </w:p>
        </w:tc>
      </w:tr>
      <w:tr>
        <w:trPr>
          <w:trHeight w:val="152"/>
        </w:trPr>
        <w:tc>
          <w:tcPr>
            <w:tcW w:w="8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60" w:type="dxa"/>
            <w:vAlign w:val="bottom"/>
            <w:gridSpan w:val="35"/>
          </w:tcPr>
          <w:p>
            <w:pPr>
              <w:spacing w:after="0" w:line="152" w:lineRule="exact"/>
              <w:rPr>
                <w:rFonts w:ascii="Calibri" w:cs="Calibri" w:eastAsia="Calibri" w:hAnsi="Calibri"/>
                <w:sz w:val="15"/>
                <w:szCs w:val="15"/>
                <w:color w:val="0000FF"/>
              </w:rPr>
            </w:pPr>
            <w:hyperlink r:id="rId180">
              <w:r>
                <w:rPr>
                  <w:rFonts w:ascii="Calibri" w:cs="Calibri" w:eastAsia="Calibri" w:hAnsi="Calibri"/>
                  <w:sz w:val="15"/>
                  <w:szCs w:val="15"/>
                  <w:color w:val="0000FF"/>
                </w:rPr>
                <w:t>Agreement, dated December 10, 2020, between</w:t>
              </w:r>
            </w:hyperlink>
          </w:p>
        </w:tc>
        <w:tc>
          <w:tcPr>
            <w:tcW w:w="2000" w:type="dxa"/>
            <w:vAlign w:val="bottom"/>
            <w:gridSpan w:val="2"/>
          </w:tcPr>
          <w:p>
            <w:pPr>
              <w:ind w:left="20"/>
              <w:spacing w:after="0" w:line="152" w:lineRule="exact"/>
              <w:rPr>
                <w:sz w:val="20"/>
                <w:szCs w:val="20"/>
                <w:color w:val="auto"/>
              </w:rPr>
            </w:pPr>
            <w:r>
              <w:rPr>
                <w:rFonts w:ascii="Calibri" w:cs="Calibri" w:eastAsia="Calibri" w:hAnsi="Calibri"/>
                <w:sz w:val="15"/>
                <w:szCs w:val="15"/>
                <w:color w:val="auto"/>
              </w:rPr>
              <w:t>Report on Form 8-K</w:t>
            </w: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40" w:type="dxa"/>
            <w:vAlign w:val="bottom"/>
            <w:tcBorders>
              <w:top w:val="single" w:sz="8" w:color="0000FF"/>
              <w:bottom w:val="single" w:sz="8" w:color="0000FF"/>
            </w:tcBorders>
            <w:gridSpan w:val="10"/>
          </w:tcPr>
          <w:p>
            <w:pPr>
              <w:spacing w:after="0" w:line="165" w:lineRule="exact"/>
              <w:rPr>
                <w:rFonts w:ascii="Calibri" w:cs="Calibri" w:eastAsia="Calibri" w:hAnsi="Calibri"/>
                <w:sz w:val="18"/>
                <w:szCs w:val="18"/>
                <w:color w:val="0000FF"/>
                <w:w w:val="94"/>
              </w:rPr>
            </w:pPr>
            <w:hyperlink r:id="rId180">
              <w:r>
                <w:rPr>
                  <w:rFonts w:ascii="Calibri" w:cs="Calibri" w:eastAsia="Calibri" w:hAnsi="Calibri"/>
                  <w:sz w:val="18"/>
                  <w:szCs w:val="18"/>
                  <w:color w:val="0000FF"/>
                  <w:w w:val="94"/>
                </w:rPr>
                <w:t>Broadcom Inc. and Charlie B. Kawwas.</w:t>
              </w:r>
            </w:hyperlink>
          </w:p>
        </w:tc>
        <w:tc>
          <w:tcPr>
            <w:tcW w:w="720" w:type="dxa"/>
            <w:vAlign w:val="bottom"/>
            <w:tcBorders>
              <w:top w:val="single" w:sz="8" w:color="0000FF"/>
            </w:tcBorders>
            <w:gridSpan w:val="12"/>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0" w:type="dxa"/>
            <w:vAlign w:val="bottom"/>
            <w:gridSpan w:val="8"/>
          </w:tcPr>
          <w:p>
            <w:pPr>
              <w:spacing w:after="0"/>
              <w:rPr>
                <w:sz w:val="14"/>
                <w:szCs w:val="14"/>
                <w:color w:val="auto"/>
              </w:rPr>
            </w:pPr>
          </w:p>
        </w:tc>
        <w:tc>
          <w:tcPr>
            <w:tcW w:w="1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860" w:type="dxa"/>
            <w:vAlign w:val="bottom"/>
          </w:tcPr>
          <w:p>
            <w:pPr>
              <w:jc w:val="center"/>
              <w:ind w:left="334"/>
              <w:spacing w:after="0" w:line="205" w:lineRule="exact"/>
              <w:rPr>
                <w:sz w:val="20"/>
                <w:szCs w:val="20"/>
                <w:color w:val="auto"/>
              </w:rPr>
            </w:pPr>
            <w:r>
              <w:rPr>
                <w:rFonts w:ascii="Calibri" w:cs="Calibri" w:eastAsia="Calibri" w:hAnsi="Calibri"/>
                <w:sz w:val="18"/>
                <w:szCs w:val="18"/>
                <w:color w:val="auto"/>
                <w:w w:val="97"/>
              </w:rPr>
              <w:t>10.34</w:t>
            </w:r>
          </w:p>
        </w:tc>
        <w:tc>
          <w:tcPr>
            <w:tcW w:w="300" w:type="dxa"/>
            <w:vAlign w:val="bottom"/>
          </w:tcPr>
          <w:p>
            <w:pPr>
              <w:jc w:val="right"/>
              <w:ind w:right="72"/>
              <w:spacing w:after="0" w:line="205" w:lineRule="exact"/>
              <w:rPr>
                <w:sz w:val="20"/>
                <w:szCs w:val="20"/>
                <w:color w:val="auto"/>
              </w:rPr>
            </w:pPr>
            <w:r>
              <w:rPr>
                <w:rFonts w:ascii="Calibri" w:cs="Calibri" w:eastAsia="Calibri" w:hAnsi="Calibri"/>
                <w:sz w:val="18"/>
                <w:szCs w:val="18"/>
                <w:color w:val="auto"/>
              </w:rPr>
              <w:t>+</w:t>
            </w:r>
          </w:p>
        </w:tc>
        <w:tc>
          <w:tcPr>
            <w:tcW w:w="20" w:type="dxa"/>
            <w:vAlign w:val="bottom"/>
          </w:tcPr>
          <w:p>
            <w:pPr>
              <w:spacing w:after="0"/>
              <w:rPr>
                <w:sz w:val="17"/>
                <w:szCs w:val="17"/>
                <w:color w:val="auto"/>
              </w:rPr>
            </w:pPr>
          </w:p>
        </w:tc>
        <w:tc>
          <w:tcPr>
            <w:tcW w:w="3660" w:type="dxa"/>
            <w:vAlign w:val="bottom"/>
            <w:gridSpan w:val="35"/>
          </w:tcPr>
          <w:p>
            <w:pPr>
              <w:spacing w:after="0" w:line="205" w:lineRule="exact"/>
              <w:rPr>
                <w:rFonts w:ascii="Calibri" w:cs="Calibri" w:eastAsia="Calibri" w:hAnsi="Calibri"/>
                <w:sz w:val="18"/>
                <w:szCs w:val="18"/>
                <w:color w:val="0000FF"/>
              </w:rPr>
            </w:pPr>
            <w:hyperlink r:id="rId181">
              <w:r>
                <w:rPr>
                  <w:rFonts w:ascii="Calibri" w:cs="Calibri" w:eastAsia="Calibri" w:hAnsi="Calibri"/>
                  <w:sz w:val="18"/>
                  <w:szCs w:val="18"/>
                  <w:color w:val="0000FF"/>
                </w:rPr>
                <w:t>Severance Benefts Agreement, dated September</w:t>
              </w:r>
            </w:hyperlink>
          </w:p>
        </w:tc>
        <w:tc>
          <w:tcPr>
            <w:tcW w:w="2000" w:type="dxa"/>
            <w:vAlign w:val="bottom"/>
            <w:gridSpan w:val="2"/>
          </w:tcPr>
          <w:p>
            <w:pPr>
              <w:ind w:left="20"/>
              <w:spacing w:after="0" w:line="205" w:lineRule="exact"/>
              <w:rPr>
                <w:sz w:val="20"/>
                <w:szCs w:val="20"/>
                <w:color w:val="auto"/>
              </w:rPr>
            </w:pPr>
            <w:r>
              <w:rPr>
                <w:rFonts w:ascii="Calibri" w:cs="Calibri" w:eastAsia="Calibri" w:hAnsi="Calibri"/>
                <w:sz w:val="18"/>
                <w:szCs w:val="18"/>
                <w:color w:val="auto"/>
              </w:rPr>
              <w:t>Broadcom Inc. Quarterly</w:t>
            </w:r>
          </w:p>
        </w:tc>
        <w:tc>
          <w:tcPr>
            <w:tcW w:w="1160" w:type="dxa"/>
            <w:vAlign w:val="bottom"/>
          </w:tcPr>
          <w:p>
            <w:pPr>
              <w:spacing w:after="0" w:line="205" w:lineRule="exact"/>
              <w:rPr>
                <w:sz w:val="20"/>
                <w:szCs w:val="20"/>
                <w:color w:val="auto"/>
              </w:rPr>
            </w:pPr>
            <w:r>
              <w:rPr>
                <w:rFonts w:ascii="Calibri" w:cs="Calibri" w:eastAsia="Calibri" w:hAnsi="Calibri"/>
                <w:sz w:val="18"/>
                <w:szCs w:val="18"/>
                <w:color w:val="auto"/>
              </w:rPr>
              <w:t>001-38449</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Pr>
          <w:p>
            <w:pPr>
              <w:jc w:val="center"/>
              <w:ind w:right="193"/>
              <w:spacing w:after="0" w:line="205" w:lineRule="exact"/>
              <w:rPr>
                <w:sz w:val="20"/>
                <w:szCs w:val="20"/>
                <w:color w:val="auto"/>
              </w:rPr>
            </w:pPr>
            <w:r>
              <w:rPr>
                <w:rFonts w:ascii="Calibri" w:cs="Calibri" w:eastAsia="Calibri" w:hAnsi="Calibri"/>
                <w:sz w:val="18"/>
                <w:szCs w:val="18"/>
                <w:color w:val="auto"/>
                <w:w w:val="97"/>
              </w:rPr>
              <w:t>10.18</w:t>
            </w:r>
          </w:p>
        </w:tc>
        <w:tc>
          <w:tcPr>
            <w:tcW w:w="100" w:type="dxa"/>
            <w:vAlign w:val="bottom"/>
          </w:tcPr>
          <w:p>
            <w:pPr>
              <w:spacing w:after="0"/>
              <w:rPr>
                <w:sz w:val="17"/>
                <w:szCs w:val="17"/>
                <w:color w:val="auto"/>
              </w:rPr>
            </w:pPr>
          </w:p>
        </w:tc>
        <w:tc>
          <w:tcPr>
            <w:tcW w:w="1140" w:type="dxa"/>
            <w:vAlign w:val="bottom"/>
          </w:tcPr>
          <w:p>
            <w:pPr>
              <w:jc w:val="right"/>
              <w:ind w:right="233"/>
              <w:spacing w:after="0" w:line="205" w:lineRule="exact"/>
              <w:rPr>
                <w:sz w:val="20"/>
                <w:szCs w:val="20"/>
                <w:color w:val="auto"/>
              </w:rPr>
            </w:pPr>
            <w:r>
              <w:rPr>
                <w:rFonts w:ascii="Calibri" w:cs="Calibri" w:eastAsia="Calibri" w:hAnsi="Calibri"/>
                <w:sz w:val="18"/>
                <w:szCs w:val="18"/>
                <w:color w:val="auto"/>
                <w:w w:val="95"/>
              </w:rPr>
              <w:t>06-16-2018</w:t>
            </w:r>
          </w:p>
        </w:tc>
        <w:tc>
          <w:tcPr>
            <w:tcW w:w="0" w:type="dxa"/>
            <w:vAlign w:val="bottom"/>
          </w:tcPr>
          <w:p>
            <w:pPr>
              <w:spacing w:after="0"/>
              <w:rPr>
                <w:sz w:val="1"/>
                <w:szCs w:val="1"/>
                <w:color w:val="auto"/>
              </w:rPr>
            </w:pPr>
          </w:p>
        </w:tc>
      </w:tr>
      <w:tr>
        <w:trPr>
          <w:trHeight w:val="152"/>
        </w:trPr>
        <w:tc>
          <w:tcPr>
            <w:tcW w:w="8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60" w:type="dxa"/>
            <w:vAlign w:val="bottom"/>
            <w:tcBorders>
              <w:top w:val="single" w:sz="8" w:color="0000FF"/>
            </w:tcBorders>
            <w:gridSpan w:val="27"/>
          </w:tcPr>
          <w:p>
            <w:pPr>
              <w:spacing w:after="0" w:line="152" w:lineRule="exact"/>
              <w:rPr>
                <w:rFonts w:ascii="Calibri" w:cs="Calibri" w:eastAsia="Calibri" w:hAnsi="Calibri"/>
                <w:sz w:val="15"/>
                <w:szCs w:val="15"/>
                <w:color w:val="0000FF"/>
              </w:rPr>
            </w:pPr>
            <w:hyperlink r:id="rId181">
              <w:r>
                <w:rPr>
                  <w:rFonts w:ascii="Calibri" w:cs="Calibri" w:eastAsia="Calibri" w:hAnsi="Calibri"/>
                  <w:sz w:val="15"/>
                  <w:szCs w:val="15"/>
                  <w:color w:val="0000FF"/>
                </w:rPr>
                <w:t>26, 2017, between Broadcom Limited and Mark</w:t>
              </w:r>
            </w:hyperlink>
          </w:p>
        </w:tc>
        <w:tc>
          <w:tcPr>
            <w:tcW w:w="200" w:type="dxa"/>
            <w:vAlign w:val="bottom"/>
            <w:gridSpan w:val="8"/>
          </w:tcPr>
          <w:p>
            <w:pPr>
              <w:spacing w:after="0"/>
              <w:rPr>
                <w:sz w:val="13"/>
                <w:szCs w:val="13"/>
                <w:color w:val="auto"/>
              </w:rPr>
            </w:pPr>
          </w:p>
        </w:tc>
        <w:tc>
          <w:tcPr>
            <w:tcW w:w="2000" w:type="dxa"/>
            <w:vAlign w:val="bottom"/>
            <w:gridSpan w:val="2"/>
          </w:tcPr>
          <w:p>
            <w:pPr>
              <w:ind w:left="20"/>
              <w:spacing w:after="0" w:line="152" w:lineRule="exact"/>
              <w:rPr>
                <w:sz w:val="20"/>
                <w:szCs w:val="20"/>
                <w:color w:val="auto"/>
              </w:rPr>
            </w:pPr>
            <w:r>
              <w:rPr>
                <w:rFonts w:ascii="Calibri" w:cs="Calibri" w:eastAsia="Calibri" w:hAnsi="Calibri"/>
                <w:sz w:val="15"/>
                <w:szCs w:val="15"/>
                <w:color w:val="auto"/>
              </w:rPr>
              <w:t>Report on Form 10-Q</w:t>
            </w: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40" w:type="dxa"/>
            <w:vAlign w:val="bottom"/>
            <w:tcBorders>
              <w:top w:val="single" w:sz="8" w:color="0000FF"/>
              <w:bottom w:val="single" w:sz="8" w:color="0000FF"/>
            </w:tcBorders>
            <w:gridSpan w:val="4"/>
          </w:tcPr>
          <w:p>
            <w:pPr>
              <w:spacing w:after="0" w:line="165" w:lineRule="exact"/>
              <w:rPr>
                <w:rFonts w:ascii="Calibri" w:cs="Calibri" w:eastAsia="Calibri" w:hAnsi="Calibri"/>
                <w:sz w:val="18"/>
                <w:szCs w:val="18"/>
                <w:color w:val="0000FF"/>
                <w:w w:val="89"/>
              </w:rPr>
            </w:pPr>
            <w:hyperlink r:id="rId181">
              <w:r>
                <w:rPr>
                  <w:rFonts w:ascii="Calibri" w:cs="Calibri" w:eastAsia="Calibri" w:hAnsi="Calibri"/>
                  <w:sz w:val="18"/>
                  <w:szCs w:val="18"/>
                  <w:color w:val="0000FF"/>
                  <w:w w:val="89"/>
                </w:rPr>
                <w:t>Brazeal.</w:t>
              </w:r>
            </w:hyperlink>
          </w:p>
        </w:tc>
        <w:tc>
          <w:tcPr>
            <w:tcW w:w="2760" w:type="dxa"/>
            <w:vAlign w:val="bottom"/>
            <w:tcBorders>
              <w:top w:val="single" w:sz="8" w:color="0000FF"/>
            </w:tcBorders>
            <w:gridSpan w:val="16"/>
          </w:tcPr>
          <w:p>
            <w:pPr>
              <w:spacing w:after="0"/>
              <w:rPr>
                <w:sz w:val="14"/>
                <w:szCs w:val="14"/>
                <w:color w:val="auto"/>
              </w:rPr>
            </w:pPr>
          </w:p>
        </w:tc>
        <w:tc>
          <w:tcPr>
            <w:tcW w:w="100" w:type="dxa"/>
            <w:vAlign w:val="bottom"/>
            <w:gridSpan w:val="4"/>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gridSpan w:val="10"/>
          </w:tcPr>
          <w:p>
            <w:pPr>
              <w:spacing w:after="0"/>
              <w:rPr>
                <w:sz w:val="14"/>
                <w:szCs w:val="14"/>
                <w:color w:val="auto"/>
              </w:rPr>
            </w:pPr>
          </w:p>
        </w:tc>
        <w:tc>
          <w:tcPr>
            <w:tcW w:w="1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860" w:type="dxa"/>
            <w:vAlign w:val="bottom"/>
          </w:tcPr>
          <w:p>
            <w:pPr>
              <w:jc w:val="center"/>
              <w:ind w:left="334"/>
              <w:spacing w:after="0" w:line="205" w:lineRule="exact"/>
              <w:rPr>
                <w:sz w:val="20"/>
                <w:szCs w:val="20"/>
                <w:color w:val="auto"/>
              </w:rPr>
            </w:pPr>
            <w:r>
              <w:rPr>
                <w:rFonts w:ascii="Calibri" w:cs="Calibri" w:eastAsia="Calibri" w:hAnsi="Calibri"/>
                <w:sz w:val="18"/>
                <w:szCs w:val="18"/>
                <w:color w:val="auto"/>
                <w:w w:val="97"/>
              </w:rPr>
              <w:t>10.35</w:t>
            </w:r>
          </w:p>
        </w:tc>
        <w:tc>
          <w:tcPr>
            <w:tcW w:w="300" w:type="dxa"/>
            <w:vAlign w:val="bottom"/>
          </w:tcPr>
          <w:p>
            <w:pPr>
              <w:jc w:val="right"/>
              <w:ind w:right="72"/>
              <w:spacing w:after="0" w:line="205" w:lineRule="exact"/>
              <w:rPr>
                <w:sz w:val="20"/>
                <w:szCs w:val="20"/>
                <w:color w:val="auto"/>
              </w:rPr>
            </w:pPr>
            <w:r>
              <w:rPr>
                <w:rFonts w:ascii="Calibri" w:cs="Calibri" w:eastAsia="Calibri" w:hAnsi="Calibri"/>
                <w:sz w:val="18"/>
                <w:szCs w:val="18"/>
                <w:color w:val="auto"/>
              </w:rPr>
              <w:t>+</w:t>
            </w:r>
          </w:p>
        </w:tc>
        <w:tc>
          <w:tcPr>
            <w:tcW w:w="20" w:type="dxa"/>
            <w:vAlign w:val="bottom"/>
          </w:tcPr>
          <w:p>
            <w:pPr>
              <w:spacing w:after="0"/>
              <w:rPr>
                <w:sz w:val="17"/>
                <w:szCs w:val="17"/>
                <w:color w:val="auto"/>
              </w:rPr>
            </w:pPr>
          </w:p>
        </w:tc>
        <w:tc>
          <w:tcPr>
            <w:tcW w:w="3660" w:type="dxa"/>
            <w:vAlign w:val="bottom"/>
            <w:gridSpan w:val="35"/>
          </w:tcPr>
          <w:p>
            <w:pPr>
              <w:spacing w:after="0" w:line="205" w:lineRule="exact"/>
              <w:rPr>
                <w:rFonts w:ascii="Calibri" w:cs="Calibri" w:eastAsia="Calibri" w:hAnsi="Calibri"/>
                <w:sz w:val="18"/>
                <w:szCs w:val="18"/>
                <w:color w:val="0000FF"/>
              </w:rPr>
            </w:pPr>
            <w:hyperlink r:id="rId182">
              <w:r>
                <w:rPr>
                  <w:rFonts w:ascii="Calibri" w:cs="Calibri" w:eastAsia="Calibri" w:hAnsi="Calibri"/>
                  <w:sz w:val="18"/>
                  <w:szCs w:val="18"/>
                  <w:color w:val="0000FF"/>
                </w:rPr>
                <w:t>Severance Benefts Agreement, dated December</w:t>
              </w:r>
            </w:hyperlink>
          </w:p>
        </w:tc>
        <w:tc>
          <w:tcPr>
            <w:tcW w:w="2000" w:type="dxa"/>
            <w:vAlign w:val="bottom"/>
            <w:gridSpan w:val="2"/>
          </w:tcPr>
          <w:p>
            <w:pPr>
              <w:ind w:left="20"/>
              <w:spacing w:after="0" w:line="205" w:lineRule="exact"/>
              <w:rPr>
                <w:sz w:val="20"/>
                <w:szCs w:val="20"/>
                <w:color w:val="auto"/>
              </w:rPr>
            </w:pPr>
            <w:r>
              <w:rPr>
                <w:rFonts w:ascii="Calibri" w:cs="Calibri" w:eastAsia="Calibri" w:hAnsi="Calibri"/>
                <w:sz w:val="18"/>
                <w:szCs w:val="18"/>
                <w:color w:val="auto"/>
              </w:rPr>
              <w:t>Broadcom Inc. Current</w:t>
            </w:r>
          </w:p>
        </w:tc>
        <w:tc>
          <w:tcPr>
            <w:tcW w:w="1160" w:type="dxa"/>
            <w:vAlign w:val="bottom"/>
          </w:tcPr>
          <w:p>
            <w:pPr>
              <w:spacing w:after="0" w:line="205" w:lineRule="exact"/>
              <w:rPr>
                <w:sz w:val="20"/>
                <w:szCs w:val="20"/>
                <w:color w:val="auto"/>
              </w:rPr>
            </w:pPr>
            <w:r>
              <w:rPr>
                <w:rFonts w:ascii="Calibri" w:cs="Calibri" w:eastAsia="Calibri" w:hAnsi="Calibri"/>
                <w:sz w:val="18"/>
                <w:szCs w:val="18"/>
                <w:color w:val="auto"/>
              </w:rPr>
              <w:t>001-38449</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Pr>
          <w:p>
            <w:pPr>
              <w:jc w:val="center"/>
              <w:ind w:right="213"/>
              <w:spacing w:after="0" w:line="205" w:lineRule="exact"/>
              <w:rPr>
                <w:sz w:val="20"/>
                <w:szCs w:val="20"/>
                <w:color w:val="auto"/>
              </w:rPr>
            </w:pPr>
            <w:r>
              <w:rPr>
                <w:rFonts w:ascii="Calibri" w:cs="Calibri" w:eastAsia="Calibri" w:hAnsi="Calibri"/>
                <w:sz w:val="18"/>
                <w:szCs w:val="18"/>
                <w:color w:val="auto"/>
                <w:w w:val="93"/>
              </w:rPr>
              <w:t>10.5</w:t>
            </w:r>
          </w:p>
        </w:tc>
        <w:tc>
          <w:tcPr>
            <w:tcW w:w="100" w:type="dxa"/>
            <w:vAlign w:val="bottom"/>
          </w:tcPr>
          <w:p>
            <w:pPr>
              <w:spacing w:after="0"/>
              <w:rPr>
                <w:sz w:val="17"/>
                <w:szCs w:val="17"/>
                <w:color w:val="auto"/>
              </w:rPr>
            </w:pPr>
          </w:p>
        </w:tc>
        <w:tc>
          <w:tcPr>
            <w:tcW w:w="1140" w:type="dxa"/>
            <w:vAlign w:val="bottom"/>
          </w:tcPr>
          <w:p>
            <w:pPr>
              <w:jc w:val="right"/>
              <w:ind w:right="233"/>
              <w:spacing w:after="0" w:line="205" w:lineRule="exact"/>
              <w:rPr>
                <w:sz w:val="20"/>
                <w:szCs w:val="20"/>
                <w:color w:val="auto"/>
              </w:rPr>
            </w:pPr>
            <w:r>
              <w:rPr>
                <w:rFonts w:ascii="Calibri" w:cs="Calibri" w:eastAsia="Calibri" w:hAnsi="Calibri"/>
                <w:sz w:val="18"/>
                <w:szCs w:val="18"/>
                <w:color w:val="auto"/>
                <w:w w:val="95"/>
              </w:rPr>
              <w:t>12-10-2020</w:t>
            </w:r>
          </w:p>
        </w:tc>
        <w:tc>
          <w:tcPr>
            <w:tcW w:w="0" w:type="dxa"/>
            <w:vAlign w:val="bottom"/>
          </w:tcPr>
          <w:p>
            <w:pPr>
              <w:spacing w:after="0"/>
              <w:rPr>
                <w:sz w:val="1"/>
                <w:szCs w:val="1"/>
                <w:color w:val="auto"/>
              </w:rPr>
            </w:pPr>
          </w:p>
        </w:tc>
      </w:tr>
      <w:tr>
        <w:trPr>
          <w:trHeight w:val="152"/>
        </w:trPr>
        <w:tc>
          <w:tcPr>
            <w:tcW w:w="8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00" w:type="dxa"/>
            <w:vAlign w:val="bottom"/>
            <w:tcBorders>
              <w:top w:val="single" w:sz="8" w:color="0000FF"/>
              <w:bottom w:val="single" w:sz="8" w:color="0000FF"/>
            </w:tcBorders>
            <w:gridSpan w:val="24"/>
          </w:tcPr>
          <w:p>
            <w:pPr>
              <w:spacing w:after="0" w:line="152" w:lineRule="exact"/>
              <w:rPr>
                <w:rFonts w:ascii="Calibri" w:cs="Calibri" w:eastAsia="Calibri" w:hAnsi="Calibri"/>
                <w:sz w:val="15"/>
                <w:szCs w:val="15"/>
                <w:color w:val="0000FF"/>
              </w:rPr>
            </w:pPr>
            <w:hyperlink r:id="rId182">
              <w:r>
                <w:rPr>
                  <w:rFonts w:ascii="Calibri" w:cs="Calibri" w:eastAsia="Calibri" w:hAnsi="Calibri"/>
                  <w:sz w:val="15"/>
                  <w:szCs w:val="15"/>
                  <w:color w:val="0000FF"/>
                </w:rPr>
                <w:t>10, 2020, between Broadcom Inc. and Kirsten M.</w:t>
              </w:r>
            </w:hyperlink>
          </w:p>
        </w:tc>
        <w:tc>
          <w:tcPr>
            <w:tcW w:w="20" w:type="dxa"/>
            <w:vAlign w:val="bottom"/>
            <w:tcBorders>
              <w:bottom w:val="single" w:sz="8" w:color="0000FF"/>
            </w:tcBorders>
          </w:tcPr>
          <w:p>
            <w:pPr>
              <w:spacing w:after="0"/>
              <w:rPr>
                <w:sz w:val="13"/>
                <w:szCs w:val="13"/>
                <w:color w:val="auto"/>
              </w:rPr>
            </w:pPr>
          </w:p>
        </w:tc>
        <w:tc>
          <w:tcPr>
            <w:tcW w:w="240" w:type="dxa"/>
            <w:vAlign w:val="bottom"/>
            <w:gridSpan w:val="10"/>
          </w:tcPr>
          <w:p>
            <w:pPr>
              <w:spacing w:after="0"/>
              <w:rPr>
                <w:sz w:val="13"/>
                <w:szCs w:val="13"/>
                <w:color w:val="auto"/>
              </w:rPr>
            </w:pPr>
          </w:p>
        </w:tc>
        <w:tc>
          <w:tcPr>
            <w:tcW w:w="2000" w:type="dxa"/>
            <w:vAlign w:val="bottom"/>
            <w:gridSpan w:val="2"/>
          </w:tcPr>
          <w:p>
            <w:pPr>
              <w:ind w:left="20"/>
              <w:spacing w:after="0" w:line="152" w:lineRule="exact"/>
              <w:rPr>
                <w:sz w:val="20"/>
                <w:szCs w:val="20"/>
                <w:color w:val="auto"/>
              </w:rPr>
            </w:pPr>
            <w:r>
              <w:rPr>
                <w:rFonts w:ascii="Calibri" w:cs="Calibri" w:eastAsia="Calibri" w:hAnsi="Calibri"/>
                <w:sz w:val="15"/>
                <w:szCs w:val="15"/>
                <w:color w:val="auto"/>
              </w:rPr>
              <w:t>Report on Form 8-K</w:t>
            </w: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0" w:type="dxa"/>
            <w:vAlign w:val="bottom"/>
            <w:tcBorders>
              <w:bottom w:val="single" w:sz="8" w:color="0000FF"/>
            </w:tcBorders>
            <w:gridSpan w:val="3"/>
          </w:tcPr>
          <w:p>
            <w:pPr>
              <w:spacing w:after="0" w:line="165" w:lineRule="exact"/>
              <w:rPr>
                <w:rFonts w:ascii="Calibri" w:cs="Calibri" w:eastAsia="Calibri" w:hAnsi="Calibri"/>
                <w:sz w:val="18"/>
                <w:szCs w:val="18"/>
                <w:color w:val="0000FF"/>
                <w:w w:val="90"/>
              </w:rPr>
            </w:pPr>
            <w:hyperlink r:id="rId182">
              <w:r>
                <w:rPr>
                  <w:rFonts w:ascii="Calibri" w:cs="Calibri" w:eastAsia="Calibri" w:hAnsi="Calibri"/>
                  <w:sz w:val="18"/>
                  <w:szCs w:val="18"/>
                  <w:color w:val="0000FF"/>
                  <w:w w:val="90"/>
                </w:rPr>
                <w:t>Spears.</w:t>
              </w:r>
            </w:hyperlink>
          </w:p>
        </w:tc>
        <w:tc>
          <w:tcPr>
            <w:tcW w:w="2920" w:type="dxa"/>
            <w:vAlign w:val="bottom"/>
            <w:gridSpan w:val="22"/>
          </w:tcPr>
          <w:p>
            <w:pPr>
              <w:spacing w:after="0"/>
              <w:rPr>
                <w:sz w:val="14"/>
                <w:szCs w:val="14"/>
                <w:color w:val="auto"/>
              </w:rPr>
            </w:pPr>
          </w:p>
        </w:tc>
        <w:tc>
          <w:tcPr>
            <w:tcW w:w="240" w:type="dxa"/>
            <w:vAlign w:val="bottom"/>
            <w:gridSpan w:val="10"/>
          </w:tcPr>
          <w:p>
            <w:pPr>
              <w:spacing w:after="0"/>
              <w:rPr>
                <w:sz w:val="14"/>
                <w:szCs w:val="14"/>
                <w:color w:val="auto"/>
              </w:rPr>
            </w:pPr>
          </w:p>
        </w:tc>
        <w:tc>
          <w:tcPr>
            <w:tcW w:w="1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860" w:type="dxa"/>
            <w:vAlign w:val="bottom"/>
          </w:tcPr>
          <w:p>
            <w:pPr>
              <w:jc w:val="center"/>
              <w:ind w:left="314"/>
              <w:spacing w:after="0" w:line="205" w:lineRule="exact"/>
              <w:rPr>
                <w:sz w:val="20"/>
                <w:szCs w:val="20"/>
                <w:color w:val="auto"/>
              </w:rPr>
            </w:pPr>
            <w:r>
              <w:rPr>
                <w:rFonts w:ascii="Calibri" w:cs="Calibri" w:eastAsia="Calibri" w:hAnsi="Calibri"/>
                <w:sz w:val="18"/>
                <w:szCs w:val="18"/>
                <w:color w:val="auto"/>
                <w:w w:val="93"/>
              </w:rPr>
              <w:t>21.1</w:t>
            </w: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60" w:type="dxa"/>
            <w:vAlign w:val="bottom"/>
            <w:gridSpan w:val="35"/>
          </w:tcPr>
          <w:p>
            <w:pPr>
              <w:spacing w:after="0" w:line="205" w:lineRule="exact"/>
              <w:rPr>
                <w:sz w:val="20"/>
                <w:szCs w:val="20"/>
                <w:color w:val="auto"/>
              </w:rPr>
            </w:pPr>
            <w:r>
              <w:rPr>
                <w:rFonts w:ascii="Calibri" w:cs="Calibri" w:eastAsia="Calibri" w:hAnsi="Calibri"/>
                <w:sz w:val="18"/>
                <w:szCs w:val="18"/>
                <w:color w:val="0000FF"/>
              </w:rPr>
              <w:t>List of Subsidiaries.</w:t>
            </w:r>
          </w:p>
        </w:tc>
        <w:tc>
          <w:tcPr>
            <w:tcW w:w="1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95"/>
        </w:trPr>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780" w:type="dxa"/>
            <w:vAlign w:val="bottom"/>
            <w:tcBorders>
              <w:top w:val="single" w:sz="8" w:color="0000FF"/>
            </w:tcBorders>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900" w:type="dxa"/>
            <w:vAlign w:val="bottom"/>
          </w:tcPr>
          <w:p>
            <w:pPr>
              <w:ind w:left="700"/>
              <w:spacing w:after="0"/>
              <w:rPr>
                <w:sz w:val="20"/>
                <w:szCs w:val="20"/>
                <w:color w:val="auto"/>
              </w:rPr>
            </w:pPr>
            <w:r>
              <w:rPr>
                <w:rFonts w:ascii="Calibri" w:cs="Calibri" w:eastAsia="Calibri" w:hAnsi="Calibri"/>
                <w:sz w:val="18"/>
                <w:szCs w:val="18"/>
                <w:color w:val="auto"/>
              </w:rPr>
              <w:t>97</w:t>
            </w: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8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Calibri" w:cs="Calibri" w:eastAsia="Calibri" w:hAnsi="Calibri"/>
          <w:sz w:val="14"/>
          <w:szCs w:val="14"/>
          <w:color w:val="auto"/>
        </w:rPr>
        <w:t>Filed</w:t>
      </w:r>
    </w:p>
    <w:p>
      <w:pPr>
        <w:jc w:val="center"/>
        <w:spacing w:after="0" w:line="203" w:lineRule="auto"/>
        <w:rPr>
          <w:sz w:val="20"/>
          <w:szCs w:val="20"/>
          <w:color w:val="auto"/>
        </w:rPr>
      </w:pPr>
      <w:r>
        <w:rPr>
          <w:rFonts w:ascii="Calibri" w:cs="Calibri" w:eastAsia="Calibri" w:hAnsi="Calibri"/>
          <w:sz w:val="14"/>
          <w:szCs w:val="14"/>
          <w:color w:val="auto"/>
        </w:rPr>
        <w:t>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-81915</wp:posOffset>
            </wp:positionH>
            <wp:positionV relativeFrom="paragraph">
              <wp:posOffset>20955</wp:posOffset>
            </wp:positionV>
            <wp:extent cx="50292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84">
                      <a:extLst>
                        <a:ext uri="{28A0092B-C50C-407E-A947-70E740481C1C}"/>
                      </a:extLst>
                    </a:blip>
                    <a:srcRect/>
                    <a:stretch>
                      <a:fillRect/>
                    </a:stretch>
                  </pic:blipFill>
                  <pic:spPr bwMode="auto">
                    <a:xfrm>
                      <a:off x="0" y="0"/>
                      <a:ext cx="5029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220"/>
        <w:spacing w:after="0"/>
        <w:rPr>
          <w:sz w:val="20"/>
          <w:szCs w:val="20"/>
          <w:color w:val="auto"/>
        </w:rPr>
      </w:pPr>
      <w:r>
        <w:rPr>
          <w:rFonts w:ascii="Calibri" w:cs="Calibri" w:eastAsia="Calibri" w:hAnsi="Calibri"/>
          <w:sz w:val="18"/>
          <w:szCs w:val="18"/>
          <w:color w:val="auto"/>
        </w:rPr>
        <w:t>X</w:t>
      </w:r>
    </w:p>
    <w:p>
      <w:pPr>
        <w:sectPr>
          <w:pgSz w:w="11900" w:h="16838" w:orient="portrait"/>
          <w:cols w:equalWidth="0" w:num="2">
            <w:col w:w="10340" w:space="240"/>
            <w:col w:w="540"/>
          </w:cols>
          <w:pgMar w:left="320" w:top="109" w:right="459" w:bottom="1440" w:gutter="0" w:footer="0" w:header="0"/>
        </w:sectPr>
      </w:pPr>
    </w:p>
    <w:bookmarkStart w:id="99" w:name="page100"/>
    <w:bookmarkEnd w:id="99"/>
    <w:p>
      <w:pPr>
        <w:spacing w:after="0"/>
        <w:rPr>
          <w:sz w:val="20"/>
          <w:szCs w:val="20"/>
          <w:color w:val="auto"/>
        </w:rPr>
      </w:pPr>
      <w:r>
        <w:rPr>
          <w:rFonts w:ascii="Calibri" w:cs="Calibri" w:eastAsia="Calibri" w:hAnsi="Calibri"/>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40" w:type="dxa"/>
            <w:vAlign w:val="bottom"/>
            <w:gridSpan w:val="3"/>
          </w:tcPr>
          <w:p>
            <w:pPr>
              <w:spacing w:after="0"/>
              <w:rPr>
                <w:sz w:val="20"/>
                <w:szCs w:val="20"/>
                <w:color w:val="auto"/>
              </w:rPr>
            </w:pPr>
            <w:r>
              <w:rPr>
                <w:rFonts w:ascii="Calibri" w:cs="Calibri" w:eastAsia="Calibri" w:hAnsi="Calibri"/>
                <w:sz w:val="14"/>
                <w:szCs w:val="14"/>
                <w:color w:val="auto"/>
                <w:w w:val="99"/>
              </w:rPr>
              <w:t>Incorporated by Reference</w:t>
            </w: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1160" w:type="dxa"/>
            <w:vAlign w:val="bottom"/>
            <w:gridSpan w:val="2"/>
            <w:vMerge w:val="restart"/>
          </w:tcPr>
          <w:p>
            <w:pPr>
              <w:jc w:val="center"/>
              <w:ind w:right="300"/>
              <w:spacing w:after="0"/>
              <w:rPr>
                <w:sz w:val="20"/>
                <w:szCs w:val="20"/>
                <w:color w:val="auto"/>
              </w:rPr>
            </w:pPr>
            <w:r>
              <w:rPr>
                <w:rFonts w:ascii="Calibri" w:cs="Calibri" w:eastAsia="Calibri" w:hAnsi="Calibri"/>
                <w:sz w:val="14"/>
                <w:szCs w:val="14"/>
                <w:color w:val="auto"/>
                <w:w w:val="98"/>
              </w:rPr>
              <w:t>Exhibit</w:t>
            </w:r>
          </w:p>
        </w:tc>
        <w:tc>
          <w:tcPr>
            <w:tcW w:w="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0" w:type="dxa"/>
            <w:vAlign w:val="bottom"/>
          </w:tcPr>
          <w:p>
            <w:pPr>
              <w:spacing w:after="0"/>
              <w:rPr>
                <w:sz w:val="3"/>
                <w:szCs w:val="3"/>
                <w:color w:val="auto"/>
              </w:rPr>
            </w:pPr>
          </w:p>
        </w:tc>
        <w:tc>
          <w:tcPr>
            <w:tcW w:w="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9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780" w:type="dxa"/>
            <w:vAlign w:val="bottom"/>
            <w:vMerge w:val="restart"/>
          </w:tcPr>
          <w:p>
            <w:pPr>
              <w:jc w:val="center"/>
              <w:spacing w:after="0"/>
              <w:rPr>
                <w:sz w:val="20"/>
                <w:szCs w:val="20"/>
                <w:color w:val="auto"/>
              </w:rPr>
            </w:pPr>
            <w:r>
              <w:rPr>
                <w:rFonts w:ascii="Calibri" w:cs="Calibri" w:eastAsia="Calibri" w:hAnsi="Calibri"/>
                <w:sz w:val="14"/>
                <w:szCs w:val="14"/>
                <w:color w:val="auto"/>
              </w:rPr>
              <w:t>Filed</w:t>
            </w:r>
          </w:p>
        </w:tc>
        <w:tc>
          <w:tcPr>
            <w:tcW w:w="0" w:type="dxa"/>
            <w:vAlign w:val="bottom"/>
          </w:tcPr>
          <w:p>
            <w:pPr>
              <w:spacing w:after="0"/>
              <w:rPr>
                <w:sz w:val="1"/>
                <w:szCs w:val="1"/>
                <w:color w:val="auto"/>
              </w:rPr>
            </w:pPr>
          </w:p>
        </w:tc>
      </w:tr>
      <w:tr>
        <w:trPr>
          <w:trHeight w:val="111"/>
        </w:trPr>
        <w:tc>
          <w:tcPr>
            <w:tcW w:w="1160" w:type="dxa"/>
            <w:vAlign w:val="bottom"/>
            <w:gridSpan w:val="2"/>
            <w:vMerge w:val="continue"/>
          </w:tcPr>
          <w:p>
            <w:pPr>
              <w:spacing w:after="0"/>
              <w:rPr>
                <w:sz w:val="9"/>
                <w:szCs w:val="9"/>
                <w:color w:val="auto"/>
              </w:rPr>
            </w:pPr>
          </w:p>
        </w:tc>
        <w:tc>
          <w:tcPr>
            <w:tcW w:w="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40" w:type="dxa"/>
            <w:vAlign w:val="bottom"/>
          </w:tcPr>
          <w:p>
            <w:pPr>
              <w:spacing w:after="0"/>
              <w:rPr>
                <w:sz w:val="9"/>
                <w:szCs w:val="9"/>
                <w:color w:val="auto"/>
              </w:rPr>
            </w:pPr>
          </w:p>
        </w:tc>
        <w:tc>
          <w:tcPr>
            <w:tcW w:w="340" w:type="dxa"/>
            <w:vAlign w:val="bottom"/>
          </w:tcPr>
          <w:p>
            <w:pPr>
              <w:spacing w:after="0"/>
              <w:rPr>
                <w:sz w:val="9"/>
                <w:szCs w:val="9"/>
                <w:color w:val="auto"/>
              </w:rPr>
            </w:pPr>
          </w:p>
        </w:tc>
        <w:tc>
          <w:tcPr>
            <w:tcW w:w="2540" w:type="dxa"/>
            <w:vAlign w:val="bottom"/>
            <w:gridSpan w:val="14"/>
            <w:vMerge w:val="restart"/>
          </w:tcPr>
          <w:p>
            <w:pPr>
              <w:ind w:left="320"/>
              <w:spacing w:after="0"/>
              <w:rPr>
                <w:sz w:val="20"/>
                <w:szCs w:val="20"/>
                <w:color w:val="auto"/>
              </w:rPr>
            </w:pPr>
            <w:r>
              <w:rPr>
                <w:rFonts w:ascii="Calibri" w:cs="Calibri" w:eastAsia="Calibri" w:hAnsi="Calibri"/>
                <w:sz w:val="14"/>
                <w:szCs w:val="14"/>
                <w:color w:val="auto"/>
              </w:rPr>
              <w:t>Descripton</w:t>
            </w:r>
          </w:p>
        </w:tc>
        <w:tc>
          <w:tcPr>
            <w:tcW w:w="1980" w:type="dxa"/>
            <w:vAlign w:val="bottom"/>
            <w:gridSpan w:val="2"/>
            <w:vMerge w:val="restart"/>
          </w:tcPr>
          <w:p>
            <w:pPr>
              <w:ind w:left="800"/>
              <w:spacing w:after="0"/>
              <w:rPr>
                <w:sz w:val="20"/>
                <w:szCs w:val="20"/>
                <w:color w:val="auto"/>
              </w:rPr>
            </w:pPr>
            <w:r>
              <w:rPr>
                <w:rFonts w:ascii="Calibri" w:cs="Calibri" w:eastAsia="Calibri" w:hAnsi="Calibri"/>
                <w:sz w:val="14"/>
                <w:szCs w:val="14"/>
                <w:color w:val="auto"/>
              </w:rPr>
              <w:t>Form</w:t>
            </w:r>
          </w:p>
        </w:tc>
        <w:tc>
          <w:tcPr>
            <w:tcW w:w="1540" w:type="dxa"/>
            <w:vAlign w:val="bottom"/>
            <w:gridSpan w:val="3"/>
            <w:vMerge w:val="restart"/>
          </w:tcPr>
          <w:p>
            <w:pPr>
              <w:ind w:left="380"/>
              <w:spacing w:after="0"/>
              <w:rPr>
                <w:sz w:val="20"/>
                <w:szCs w:val="20"/>
                <w:color w:val="auto"/>
              </w:rPr>
            </w:pPr>
            <w:r>
              <w:rPr>
                <w:rFonts w:ascii="Calibri" w:cs="Calibri" w:eastAsia="Calibri" w:hAnsi="Calibri"/>
                <w:sz w:val="14"/>
                <w:szCs w:val="14"/>
                <w:color w:val="auto"/>
              </w:rPr>
              <w:t>File No.</w:t>
            </w:r>
          </w:p>
        </w:tc>
        <w:tc>
          <w:tcPr>
            <w:tcW w:w="820" w:type="dxa"/>
            <w:vAlign w:val="bottom"/>
            <w:gridSpan w:val="2"/>
            <w:vMerge w:val="restart"/>
          </w:tcPr>
          <w:p>
            <w:pPr>
              <w:ind w:left="20"/>
              <w:spacing w:after="0"/>
              <w:rPr>
                <w:sz w:val="20"/>
                <w:szCs w:val="20"/>
                <w:color w:val="auto"/>
              </w:rPr>
            </w:pPr>
            <w:r>
              <w:rPr>
                <w:rFonts w:ascii="Calibri" w:cs="Calibri" w:eastAsia="Calibri" w:hAnsi="Calibri"/>
                <w:sz w:val="14"/>
                <w:szCs w:val="14"/>
                <w:color w:val="auto"/>
              </w:rPr>
              <w:t>Exhibit</w:t>
            </w:r>
          </w:p>
        </w:tc>
        <w:tc>
          <w:tcPr>
            <w:tcW w:w="1260" w:type="dxa"/>
            <w:vAlign w:val="bottom"/>
            <w:gridSpan w:val="2"/>
            <w:vMerge w:val="restart"/>
          </w:tcPr>
          <w:p>
            <w:pPr>
              <w:ind w:left="260"/>
              <w:spacing w:after="0"/>
              <w:rPr>
                <w:sz w:val="20"/>
                <w:szCs w:val="20"/>
                <w:color w:val="auto"/>
              </w:rPr>
            </w:pPr>
            <w:r>
              <w:rPr>
                <w:rFonts w:ascii="Calibri" w:cs="Calibri" w:eastAsia="Calibri" w:hAnsi="Calibri"/>
                <w:sz w:val="14"/>
                <w:szCs w:val="14"/>
                <w:color w:val="auto"/>
              </w:rPr>
              <w:t>Filing Date</w:t>
            </w:r>
          </w:p>
        </w:tc>
        <w:tc>
          <w:tcPr>
            <w:tcW w:w="7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68"/>
        </w:trPr>
        <w:tc>
          <w:tcPr>
            <w:tcW w:w="1160" w:type="dxa"/>
            <w:vAlign w:val="bottom"/>
            <w:gridSpan w:val="2"/>
          </w:tcPr>
          <w:p>
            <w:pPr>
              <w:jc w:val="center"/>
              <w:ind w:right="300"/>
              <w:spacing w:after="0" w:line="168" w:lineRule="exact"/>
              <w:rPr>
                <w:sz w:val="20"/>
                <w:szCs w:val="20"/>
                <w:color w:val="auto"/>
              </w:rPr>
            </w:pPr>
            <w:r>
              <w:rPr>
                <w:rFonts w:ascii="Calibri" w:cs="Calibri" w:eastAsia="Calibri" w:hAnsi="Calibri"/>
                <w:sz w:val="14"/>
                <w:szCs w:val="14"/>
                <w:color w:val="auto"/>
                <w:w w:val="98"/>
              </w:rPr>
              <w:t>Number</w:t>
            </w:r>
          </w:p>
        </w:tc>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540" w:type="dxa"/>
            <w:vAlign w:val="bottom"/>
            <w:gridSpan w:val="14"/>
            <w:vMerge w:val="continue"/>
          </w:tcPr>
          <w:p>
            <w:pPr>
              <w:spacing w:after="0"/>
              <w:rPr>
                <w:sz w:val="14"/>
                <w:szCs w:val="14"/>
                <w:color w:val="auto"/>
              </w:rPr>
            </w:pPr>
          </w:p>
        </w:tc>
        <w:tc>
          <w:tcPr>
            <w:tcW w:w="1980" w:type="dxa"/>
            <w:vAlign w:val="bottom"/>
            <w:gridSpan w:val="2"/>
            <w:vMerge w:val="continue"/>
          </w:tcPr>
          <w:p>
            <w:pPr>
              <w:spacing w:after="0"/>
              <w:rPr>
                <w:sz w:val="14"/>
                <w:szCs w:val="14"/>
                <w:color w:val="auto"/>
              </w:rPr>
            </w:pPr>
          </w:p>
        </w:tc>
        <w:tc>
          <w:tcPr>
            <w:tcW w:w="1540" w:type="dxa"/>
            <w:vAlign w:val="bottom"/>
            <w:gridSpan w:val="3"/>
            <w:vMerge w:val="continue"/>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780" w:type="dxa"/>
            <w:vAlign w:val="bottom"/>
          </w:tcPr>
          <w:p>
            <w:pPr>
              <w:jc w:val="center"/>
              <w:spacing w:after="0" w:line="168" w:lineRule="exact"/>
              <w:rPr>
                <w:sz w:val="20"/>
                <w:szCs w:val="20"/>
                <w:color w:val="auto"/>
              </w:rPr>
            </w:pPr>
            <w:r>
              <w:rPr>
                <w:rFonts w:ascii="Calibri" w:cs="Calibri" w:eastAsia="Calibri" w:hAnsi="Calibri"/>
                <w:sz w:val="14"/>
                <w:szCs w:val="14"/>
                <w:color w:val="auto"/>
              </w:rPr>
              <w:t>Herewith</w:t>
            </w:r>
          </w:p>
        </w:tc>
        <w:tc>
          <w:tcPr>
            <w:tcW w:w="0" w:type="dxa"/>
            <w:vAlign w:val="bottom"/>
          </w:tcPr>
          <w:p>
            <w:pPr>
              <w:spacing w:after="0"/>
              <w:rPr>
                <w:sz w:val="1"/>
                <w:szCs w:val="1"/>
                <w:color w:val="auto"/>
              </w:rPr>
            </w:pPr>
          </w:p>
        </w:tc>
      </w:tr>
      <w:tr>
        <w:trPr>
          <w:trHeight w:val="32"/>
        </w:trPr>
        <w:tc>
          <w:tcPr>
            <w:tcW w:w="86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860" w:type="dxa"/>
            <w:vAlign w:val="bottom"/>
          </w:tcPr>
          <w:p>
            <w:pPr>
              <w:jc w:val="right"/>
              <w:spacing w:after="0" w:line="165" w:lineRule="exact"/>
              <w:rPr>
                <w:sz w:val="20"/>
                <w:szCs w:val="20"/>
                <w:color w:val="auto"/>
              </w:rPr>
            </w:pPr>
            <w:r>
              <w:rPr>
                <w:rFonts w:ascii="Calibri" w:cs="Calibri" w:eastAsia="Calibri" w:hAnsi="Calibri"/>
                <w:sz w:val="18"/>
                <w:szCs w:val="18"/>
                <w:color w:val="auto"/>
              </w:rPr>
              <w:t>23.1</w:t>
            </w: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580" w:type="dxa"/>
            <w:vAlign w:val="bottom"/>
            <w:gridSpan w:val="16"/>
          </w:tcPr>
          <w:p>
            <w:pPr>
              <w:spacing w:after="0" w:line="165" w:lineRule="exact"/>
              <w:rPr>
                <w:sz w:val="20"/>
                <w:szCs w:val="20"/>
                <w:color w:val="auto"/>
              </w:rPr>
            </w:pPr>
            <w:r>
              <w:rPr>
                <w:rFonts w:ascii="Calibri" w:cs="Calibri" w:eastAsia="Calibri" w:hAnsi="Calibri"/>
                <w:sz w:val="18"/>
                <w:szCs w:val="18"/>
                <w:color w:val="0000FF"/>
              </w:rPr>
              <w:t>Consent of PricewaterhouseCoopers LLP,</w:t>
            </w:r>
          </w:p>
        </w:tc>
        <w:tc>
          <w:tcPr>
            <w:tcW w:w="1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center"/>
              <w:spacing w:after="0" w:line="165" w:lineRule="exact"/>
              <w:rPr>
                <w:sz w:val="20"/>
                <w:szCs w:val="20"/>
                <w:color w:val="auto"/>
              </w:rPr>
            </w:pPr>
            <w:r>
              <w:rPr>
                <w:rFonts w:ascii="Calibri" w:cs="Calibri" w:eastAsia="Calibri" w:hAnsi="Calibri"/>
                <w:sz w:val="18"/>
                <w:szCs w:val="18"/>
                <w:color w:val="auto"/>
              </w:rPr>
              <w:t>X</w:t>
            </w:r>
          </w:p>
        </w:tc>
        <w:tc>
          <w:tcPr>
            <w:tcW w:w="0" w:type="dxa"/>
            <w:vAlign w:val="bottom"/>
          </w:tcPr>
          <w:p>
            <w:pPr>
              <w:spacing w:after="0"/>
              <w:rPr>
                <w:sz w:val="1"/>
                <w:szCs w:val="1"/>
                <w:color w:val="auto"/>
              </w:rPr>
            </w:pPr>
          </w:p>
        </w:tc>
      </w:tr>
      <w:tr>
        <w:trPr>
          <w:trHeight w:val="152"/>
        </w:trPr>
        <w:tc>
          <w:tcPr>
            <w:tcW w:w="8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20" w:type="dxa"/>
            <w:vAlign w:val="bottom"/>
            <w:tcBorders>
              <w:top w:val="single" w:sz="8" w:color="0000FF"/>
              <w:bottom w:val="single" w:sz="8" w:color="0000FF"/>
            </w:tcBorders>
            <w:gridSpan w:val="6"/>
          </w:tcPr>
          <w:p>
            <w:pPr>
              <w:spacing w:after="0" w:line="152" w:lineRule="exact"/>
              <w:rPr>
                <w:sz w:val="20"/>
                <w:szCs w:val="20"/>
                <w:color w:val="auto"/>
              </w:rPr>
            </w:pPr>
            <w:r>
              <w:rPr>
                <w:rFonts w:ascii="Calibri" w:cs="Calibri" w:eastAsia="Calibri" w:hAnsi="Calibri"/>
                <w:sz w:val="15"/>
                <w:szCs w:val="15"/>
                <w:color w:val="0000FF"/>
              </w:rPr>
              <w:t>independent registered public accountng</w:t>
            </w:r>
          </w:p>
        </w:tc>
        <w:tc>
          <w:tcPr>
            <w:tcW w:w="440" w:type="dxa"/>
            <w:vAlign w:val="bottom"/>
            <w:tcBorders>
              <w:bottom w:val="single" w:sz="8" w:color="0000FF"/>
            </w:tcBorders>
            <w:gridSpan w:val="7"/>
          </w:tcPr>
          <w:p>
            <w:pPr>
              <w:ind w:left="100"/>
              <w:spacing w:after="0" w:line="152" w:lineRule="exact"/>
              <w:rPr>
                <w:sz w:val="20"/>
                <w:szCs w:val="20"/>
                <w:color w:val="auto"/>
              </w:rPr>
            </w:pPr>
            <w:r>
              <w:rPr>
                <w:rFonts w:ascii="Calibri" w:cs="Calibri" w:eastAsia="Calibri" w:hAnsi="Calibri"/>
                <w:sz w:val="15"/>
                <w:szCs w:val="15"/>
                <w:color w:val="0000FF"/>
              </w:rPr>
              <w:t>frm.</w:t>
            </w:r>
          </w:p>
        </w:tc>
        <w:tc>
          <w:tcPr>
            <w:tcW w:w="420" w:type="dxa"/>
            <w:vAlign w:val="bottom"/>
            <w:gridSpan w:val="4"/>
          </w:tcPr>
          <w:p>
            <w:pPr>
              <w:spacing w:after="0"/>
              <w:rPr>
                <w:sz w:val="13"/>
                <w:szCs w:val="13"/>
                <w:color w:val="auto"/>
              </w:rPr>
            </w:pPr>
          </w:p>
        </w:tc>
        <w:tc>
          <w:tcPr>
            <w:tcW w:w="1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8"/>
        </w:trPr>
        <w:tc>
          <w:tcPr>
            <w:tcW w:w="860" w:type="dxa"/>
            <w:vAlign w:val="bottom"/>
          </w:tcPr>
          <w:p>
            <w:pPr>
              <w:jc w:val="right"/>
              <w:spacing w:after="0" w:line="217" w:lineRule="exact"/>
              <w:rPr>
                <w:sz w:val="20"/>
                <w:szCs w:val="20"/>
                <w:color w:val="auto"/>
              </w:rPr>
            </w:pPr>
            <w:r>
              <w:rPr>
                <w:rFonts w:ascii="Calibri" w:cs="Calibri" w:eastAsia="Calibri" w:hAnsi="Calibri"/>
                <w:sz w:val="18"/>
                <w:szCs w:val="18"/>
                <w:color w:val="auto"/>
              </w:rPr>
              <w:t>24.1</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80" w:type="dxa"/>
            <w:vAlign w:val="bottom"/>
            <w:gridSpan w:val="17"/>
          </w:tcPr>
          <w:p>
            <w:pPr>
              <w:spacing w:after="0" w:line="217" w:lineRule="exact"/>
              <w:rPr>
                <w:sz w:val="20"/>
                <w:szCs w:val="20"/>
                <w:color w:val="auto"/>
              </w:rPr>
            </w:pPr>
            <w:r>
              <w:rPr>
                <w:rFonts w:ascii="Calibri" w:cs="Calibri" w:eastAsia="Calibri" w:hAnsi="Calibri"/>
                <w:sz w:val="18"/>
                <w:szCs w:val="18"/>
                <w:color w:val="0000FF"/>
              </w:rPr>
              <w:t>Power of Atorney (see signature page to this</w:t>
            </w:r>
          </w:p>
        </w:tc>
        <w:tc>
          <w:tcPr>
            <w:tcW w:w="1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center"/>
              <w:spacing w:after="0" w:line="217" w:lineRule="exact"/>
              <w:rPr>
                <w:sz w:val="20"/>
                <w:szCs w:val="20"/>
                <w:color w:val="auto"/>
              </w:rPr>
            </w:pPr>
            <w:r>
              <w:rPr>
                <w:rFonts w:ascii="Calibri" w:cs="Calibri" w:eastAsia="Calibri" w:hAnsi="Calibri"/>
                <w:sz w:val="18"/>
                <w:szCs w:val="18"/>
                <w:color w:val="auto"/>
              </w:rPr>
              <w:t>X</w:t>
            </w:r>
          </w:p>
        </w:tc>
        <w:tc>
          <w:tcPr>
            <w:tcW w:w="0" w:type="dxa"/>
            <w:vAlign w:val="bottom"/>
          </w:tcPr>
          <w:p>
            <w:pPr>
              <w:spacing w:after="0"/>
              <w:rPr>
                <w:sz w:val="1"/>
                <w:szCs w:val="1"/>
                <w:color w:val="auto"/>
              </w:rPr>
            </w:pPr>
          </w:p>
        </w:tc>
      </w:tr>
      <w:tr>
        <w:trPr>
          <w:trHeight w:val="152"/>
        </w:trPr>
        <w:tc>
          <w:tcPr>
            <w:tcW w:w="8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120" w:type="dxa"/>
            <w:vAlign w:val="bottom"/>
            <w:tcBorders>
              <w:top w:val="single" w:sz="8" w:color="0000FF"/>
            </w:tcBorders>
            <w:gridSpan w:val="11"/>
          </w:tcPr>
          <w:p>
            <w:pPr>
              <w:spacing w:after="0" w:line="152" w:lineRule="exact"/>
              <w:rPr>
                <w:sz w:val="20"/>
                <w:szCs w:val="20"/>
                <w:color w:val="auto"/>
              </w:rPr>
            </w:pPr>
            <w:r>
              <w:rPr>
                <w:rFonts w:ascii="Calibri" w:cs="Calibri" w:eastAsia="Calibri" w:hAnsi="Calibri"/>
                <w:sz w:val="15"/>
                <w:szCs w:val="15"/>
                <w:color w:val="0000FF"/>
              </w:rPr>
              <w:t>Form 10-K).</w:t>
            </w:r>
          </w:p>
        </w:tc>
        <w:tc>
          <w:tcPr>
            <w:tcW w:w="40" w:type="dxa"/>
            <w:vAlign w:val="bottom"/>
          </w:tcPr>
          <w:p>
            <w:pPr>
              <w:spacing w:after="0"/>
              <w:rPr>
                <w:sz w:val="13"/>
                <w:szCs w:val="13"/>
                <w:color w:val="auto"/>
              </w:rPr>
            </w:pPr>
          </w:p>
        </w:tc>
        <w:tc>
          <w:tcPr>
            <w:tcW w:w="32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gridSpan w:val="2"/>
          </w:tcPr>
          <w:p>
            <w:pPr>
              <w:spacing w:after="0"/>
              <w:rPr>
                <w:sz w:val="13"/>
                <w:szCs w:val="13"/>
                <w:color w:val="auto"/>
              </w:rPr>
            </w:pPr>
          </w:p>
        </w:tc>
        <w:tc>
          <w:tcPr>
            <w:tcW w:w="1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860" w:type="dxa"/>
            <w:vAlign w:val="bottom"/>
          </w:tcPr>
          <w:p>
            <w:pPr>
              <w:jc w:val="right"/>
              <w:spacing w:after="0" w:line="217" w:lineRule="exact"/>
              <w:rPr>
                <w:sz w:val="20"/>
                <w:szCs w:val="20"/>
                <w:color w:val="auto"/>
              </w:rPr>
            </w:pPr>
            <w:r>
              <w:rPr>
                <w:rFonts w:ascii="Calibri" w:cs="Calibri" w:eastAsia="Calibri" w:hAnsi="Calibri"/>
                <w:sz w:val="18"/>
                <w:szCs w:val="18"/>
                <w:color w:val="auto"/>
              </w:rPr>
              <w:t>31.1</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80" w:type="dxa"/>
            <w:vAlign w:val="bottom"/>
            <w:tcBorders>
              <w:bottom w:val="single" w:sz="8" w:color="0000FF"/>
            </w:tcBorders>
            <w:gridSpan w:val="10"/>
          </w:tcPr>
          <w:p>
            <w:pPr>
              <w:spacing w:after="0" w:line="217" w:lineRule="exact"/>
              <w:rPr>
                <w:sz w:val="20"/>
                <w:szCs w:val="20"/>
                <w:color w:val="auto"/>
              </w:rPr>
            </w:pPr>
            <w:r>
              <w:rPr>
                <w:rFonts w:ascii="Calibri" w:cs="Calibri" w:eastAsia="Calibri" w:hAnsi="Calibri"/>
                <w:sz w:val="18"/>
                <w:szCs w:val="18"/>
                <w:color w:val="0000FF"/>
              </w:rPr>
              <w:t>Certfcaton of Principal Executve Ofcer of</w:t>
            </w:r>
          </w:p>
        </w:tc>
        <w:tc>
          <w:tcPr>
            <w:tcW w:w="600" w:type="dxa"/>
            <w:vAlign w:val="bottom"/>
            <w:gridSpan w:val="7"/>
          </w:tcPr>
          <w:p>
            <w:pPr>
              <w:spacing w:after="0"/>
              <w:rPr>
                <w:sz w:val="18"/>
                <w:szCs w:val="18"/>
                <w:color w:val="auto"/>
              </w:rPr>
            </w:pPr>
          </w:p>
        </w:tc>
        <w:tc>
          <w:tcPr>
            <w:tcW w:w="1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center"/>
              <w:spacing w:after="0" w:line="217" w:lineRule="exact"/>
              <w:rPr>
                <w:sz w:val="20"/>
                <w:szCs w:val="20"/>
                <w:color w:val="auto"/>
              </w:rPr>
            </w:pPr>
            <w:r>
              <w:rPr>
                <w:rFonts w:ascii="Calibri" w:cs="Calibri" w:eastAsia="Calibri" w:hAnsi="Calibri"/>
                <w:sz w:val="18"/>
                <w:szCs w:val="18"/>
                <w:color w:val="auto"/>
              </w:rPr>
              <w:t>X</w:t>
            </w:r>
          </w:p>
        </w:tc>
        <w:tc>
          <w:tcPr>
            <w:tcW w:w="0" w:type="dxa"/>
            <w:vAlign w:val="bottom"/>
          </w:tcPr>
          <w:p>
            <w:pPr>
              <w:spacing w:after="0"/>
              <w:rPr>
                <w:sz w:val="1"/>
                <w:szCs w:val="1"/>
                <w:color w:val="auto"/>
              </w:rPr>
            </w:pPr>
          </w:p>
        </w:tc>
      </w:tr>
      <w:tr>
        <w:trPr>
          <w:trHeight w:val="152"/>
        </w:trPr>
        <w:tc>
          <w:tcPr>
            <w:tcW w:w="8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80" w:type="dxa"/>
            <w:vAlign w:val="bottom"/>
            <w:gridSpan w:val="17"/>
          </w:tcPr>
          <w:p>
            <w:pPr>
              <w:spacing w:after="0" w:line="152" w:lineRule="exact"/>
              <w:rPr>
                <w:sz w:val="20"/>
                <w:szCs w:val="20"/>
                <w:color w:val="auto"/>
              </w:rPr>
            </w:pPr>
            <w:r>
              <w:rPr>
                <w:rFonts w:ascii="Calibri" w:cs="Calibri" w:eastAsia="Calibri" w:hAnsi="Calibri"/>
                <w:sz w:val="15"/>
                <w:szCs w:val="15"/>
                <w:color w:val="0000FF"/>
              </w:rPr>
              <w:t>Broadcom Inc. Pursuant to Rule 13a-14 of the</w:t>
            </w:r>
          </w:p>
        </w:tc>
        <w:tc>
          <w:tcPr>
            <w:tcW w:w="1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80" w:type="dxa"/>
            <w:vAlign w:val="bottom"/>
            <w:tcBorders>
              <w:top w:val="single" w:sz="8" w:color="0000FF"/>
              <w:bottom w:val="single" w:sz="8" w:color="0000FF"/>
            </w:tcBorders>
            <w:gridSpan w:val="10"/>
          </w:tcPr>
          <w:p>
            <w:pPr>
              <w:spacing w:after="0" w:line="165" w:lineRule="exact"/>
              <w:rPr>
                <w:sz w:val="20"/>
                <w:szCs w:val="20"/>
                <w:color w:val="auto"/>
              </w:rPr>
            </w:pPr>
            <w:r>
              <w:rPr>
                <w:rFonts w:ascii="Calibri" w:cs="Calibri" w:eastAsia="Calibri" w:hAnsi="Calibri"/>
                <w:sz w:val="18"/>
                <w:szCs w:val="18"/>
                <w:color w:val="0000FF"/>
                <w:w w:val="95"/>
              </w:rPr>
              <w:t>Securites Exchange Act of 1934, as Adopted</w:t>
            </w:r>
          </w:p>
        </w:tc>
        <w:tc>
          <w:tcPr>
            <w:tcW w:w="80" w:type="dxa"/>
            <w:vAlign w:val="bottom"/>
            <w:tcBorders>
              <w:top w:val="single" w:sz="8" w:color="0000FF"/>
            </w:tcBorders>
            <w:gridSpan w:val="2"/>
          </w:tcPr>
          <w:p>
            <w:pPr>
              <w:spacing w:after="0"/>
              <w:rPr>
                <w:sz w:val="14"/>
                <w:szCs w:val="14"/>
                <w:color w:val="auto"/>
              </w:rPr>
            </w:pPr>
          </w:p>
        </w:tc>
        <w:tc>
          <w:tcPr>
            <w:tcW w:w="32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gridSpan w:val="2"/>
          </w:tcPr>
          <w:p>
            <w:pPr>
              <w:spacing w:after="0"/>
              <w:rPr>
                <w:sz w:val="14"/>
                <w:szCs w:val="14"/>
                <w:color w:val="auto"/>
              </w:rPr>
            </w:pPr>
          </w:p>
        </w:tc>
        <w:tc>
          <w:tcPr>
            <w:tcW w:w="1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8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80" w:type="dxa"/>
            <w:vAlign w:val="bottom"/>
            <w:gridSpan w:val="17"/>
          </w:tcPr>
          <w:p>
            <w:pPr>
              <w:spacing w:after="0" w:line="152" w:lineRule="exact"/>
              <w:rPr>
                <w:sz w:val="20"/>
                <w:szCs w:val="20"/>
                <w:color w:val="auto"/>
              </w:rPr>
            </w:pPr>
            <w:r>
              <w:rPr>
                <w:rFonts w:ascii="Calibri" w:cs="Calibri" w:eastAsia="Calibri" w:hAnsi="Calibri"/>
                <w:sz w:val="15"/>
                <w:szCs w:val="15"/>
                <w:color w:val="0000FF"/>
              </w:rPr>
              <w:t>Pursuant to Secton 302 of the Sarbanes-Oxley Act</w:t>
            </w:r>
          </w:p>
        </w:tc>
        <w:tc>
          <w:tcPr>
            <w:tcW w:w="1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8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500" w:type="dxa"/>
            <w:vAlign w:val="bottom"/>
            <w:tcBorders>
              <w:top w:val="single" w:sz="8" w:color="0000FF"/>
            </w:tcBorders>
            <w:gridSpan w:val="15"/>
          </w:tcPr>
          <w:p>
            <w:pPr>
              <w:spacing w:after="0" w:line="152" w:lineRule="exact"/>
              <w:rPr>
                <w:sz w:val="20"/>
                <w:szCs w:val="20"/>
                <w:color w:val="auto"/>
              </w:rPr>
            </w:pPr>
            <w:r>
              <w:rPr>
                <w:rFonts w:ascii="Calibri" w:cs="Calibri" w:eastAsia="Calibri" w:hAnsi="Calibri"/>
                <w:sz w:val="15"/>
                <w:szCs w:val="15"/>
                <w:color w:val="0000FF"/>
              </w:rPr>
              <w:t>of 2002.</w:t>
            </w:r>
          </w:p>
        </w:tc>
        <w:tc>
          <w:tcPr>
            <w:tcW w:w="180" w:type="dxa"/>
            <w:vAlign w:val="bottom"/>
            <w:gridSpan w:val="2"/>
          </w:tcPr>
          <w:p>
            <w:pPr>
              <w:spacing w:after="0"/>
              <w:rPr>
                <w:sz w:val="13"/>
                <w:szCs w:val="13"/>
                <w:color w:val="auto"/>
              </w:rPr>
            </w:pPr>
          </w:p>
        </w:tc>
        <w:tc>
          <w:tcPr>
            <w:tcW w:w="1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gridSpan w:val="5"/>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860" w:type="dxa"/>
            <w:vAlign w:val="bottom"/>
          </w:tcPr>
          <w:p>
            <w:pPr>
              <w:jc w:val="right"/>
              <w:spacing w:after="0" w:line="217" w:lineRule="exact"/>
              <w:rPr>
                <w:sz w:val="20"/>
                <w:szCs w:val="20"/>
                <w:color w:val="auto"/>
              </w:rPr>
            </w:pPr>
            <w:r>
              <w:rPr>
                <w:rFonts w:ascii="Calibri" w:cs="Calibri" w:eastAsia="Calibri" w:hAnsi="Calibri"/>
                <w:sz w:val="18"/>
                <w:szCs w:val="18"/>
                <w:color w:val="auto"/>
              </w:rPr>
              <w:t>31.2</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20" w:type="dxa"/>
            <w:vAlign w:val="bottom"/>
            <w:tcBorders>
              <w:bottom w:val="single" w:sz="8" w:color="0000FF"/>
            </w:tcBorders>
            <w:gridSpan w:val="8"/>
          </w:tcPr>
          <w:p>
            <w:pPr>
              <w:spacing w:after="0" w:line="217" w:lineRule="exact"/>
              <w:rPr>
                <w:sz w:val="20"/>
                <w:szCs w:val="20"/>
                <w:color w:val="auto"/>
              </w:rPr>
            </w:pPr>
            <w:r>
              <w:rPr>
                <w:rFonts w:ascii="Calibri" w:cs="Calibri" w:eastAsia="Calibri" w:hAnsi="Calibri"/>
                <w:sz w:val="18"/>
                <w:szCs w:val="18"/>
                <w:color w:val="0000FF"/>
              </w:rPr>
              <w:t>Certfcaton of Principal Financial Ofcer of</w:t>
            </w:r>
          </w:p>
        </w:tc>
        <w:tc>
          <w:tcPr>
            <w:tcW w:w="660" w:type="dxa"/>
            <w:vAlign w:val="bottom"/>
            <w:gridSpan w:val="9"/>
          </w:tcPr>
          <w:p>
            <w:pPr>
              <w:spacing w:after="0"/>
              <w:rPr>
                <w:sz w:val="18"/>
                <w:szCs w:val="18"/>
                <w:color w:val="auto"/>
              </w:rPr>
            </w:pPr>
          </w:p>
        </w:tc>
        <w:tc>
          <w:tcPr>
            <w:tcW w:w="1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center"/>
              <w:spacing w:after="0" w:line="217" w:lineRule="exact"/>
              <w:rPr>
                <w:sz w:val="20"/>
                <w:szCs w:val="20"/>
                <w:color w:val="auto"/>
              </w:rPr>
            </w:pPr>
            <w:r>
              <w:rPr>
                <w:rFonts w:ascii="Calibri" w:cs="Calibri" w:eastAsia="Calibri" w:hAnsi="Calibri"/>
                <w:sz w:val="18"/>
                <w:szCs w:val="18"/>
                <w:color w:val="auto"/>
              </w:rPr>
              <w:t>X</w:t>
            </w:r>
          </w:p>
        </w:tc>
        <w:tc>
          <w:tcPr>
            <w:tcW w:w="0" w:type="dxa"/>
            <w:vAlign w:val="bottom"/>
          </w:tcPr>
          <w:p>
            <w:pPr>
              <w:spacing w:after="0"/>
              <w:rPr>
                <w:sz w:val="1"/>
                <w:szCs w:val="1"/>
                <w:color w:val="auto"/>
              </w:rPr>
            </w:pPr>
          </w:p>
        </w:tc>
      </w:tr>
      <w:tr>
        <w:trPr>
          <w:trHeight w:val="152"/>
        </w:trPr>
        <w:tc>
          <w:tcPr>
            <w:tcW w:w="8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80" w:type="dxa"/>
            <w:vAlign w:val="bottom"/>
            <w:gridSpan w:val="17"/>
          </w:tcPr>
          <w:p>
            <w:pPr>
              <w:spacing w:after="0" w:line="152" w:lineRule="exact"/>
              <w:rPr>
                <w:sz w:val="20"/>
                <w:szCs w:val="20"/>
                <w:color w:val="auto"/>
              </w:rPr>
            </w:pPr>
            <w:r>
              <w:rPr>
                <w:rFonts w:ascii="Calibri" w:cs="Calibri" w:eastAsia="Calibri" w:hAnsi="Calibri"/>
                <w:sz w:val="15"/>
                <w:szCs w:val="15"/>
                <w:color w:val="0000FF"/>
              </w:rPr>
              <w:t>Broadcom Inc. Pursuant to Rule 13a-14 of the</w:t>
            </w:r>
          </w:p>
        </w:tc>
        <w:tc>
          <w:tcPr>
            <w:tcW w:w="1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80" w:type="dxa"/>
            <w:vAlign w:val="bottom"/>
            <w:tcBorders>
              <w:top w:val="single" w:sz="8" w:color="0000FF"/>
              <w:bottom w:val="single" w:sz="8" w:color="0000FF"/>
            </w:tcBorders>
            <w:gridSpan w:val="10"/>
          </w:tcPr>
          <w:p>
            <w:pPr>
              <w:spacing w:after="0" w:line="165" w:lineRule="exact"/>
              <w:rPr>
                <w:sz w:val="20"/>
                <w:szCs w:val="20"/>
                <w:color w:val="auto"/>
              </w:rPr>
            </w:pPr>
            <w:r>
              <w:rPr>
                <w:rFonts w:ascii="Calibri" w:cs="Calibri" w:eastAsia="Calibri" w:hAnsi="Calibri"/>
                <w:sz w:val="18"/>
                <w:szCs w:val="18"/>
                <w:color w:val="0000FF"/>
                <w:w w:val="95"/>
              </w:rPr>
              <w:t>Securites Exchange Act of 1934, as Adopted</w:t>
            </w:r>
          </w:p>
        </w:tc>
        <w:tc>
          <w:tcPr>
            <w:tcW w:w="80" w:type="dxa"/>
            <w:vAlign w:val="bottom"/>
            <w:tcBorders>
              <w:top w:val="single" w:sz="8" w:color="0000FF"/>
            </w:tcBorders>
            <w:gridSpan w:val="2"/>
          </w:tcPr>
          <w:p>
            <w:pPr>
              <w:spacing w:after="0"/>
              <w:rPr>
                <w:sz w:val="14"/>
                <w:szCs w:val="14"/>
                <w:color w:val="auto"/>
              </w:rPr>
            </w:pPr>
          </w:p>
        </w:tc>
        <w:tc>
          <w:tcPr>
            <w:tcW w:w="320" w:type="dxa"/>
            <w:vAlign w:val="bottom"/>
            <w:gridSpan w:val="2"/>
          </w:tcPr>
          <w:p>
            <w:pPr>
              <w:spacing w:after="0"/>
              <w:rPr>
                <w:sz w:val="14"/>
                <w:szCs w:val="14"/>
                <w:color w:val="auto"/>
              </w:rPr>
            </w:pPr>
          </w:p>
        </w:tc>
        <w:tc>
          <w:tcPr>
            <w:tcW w:w="200" w:type="dxa"/>
            <w:vAlign w:val="bottom"/>
            <w:gridSpan w:val="3"/>
          </w:tcPr>
          <w:p>
            <w:pPr>
              <w:spacing w:after="0"/>
              <w:rPr>
                <w:sz w:val="14"/>
                <w:szCs w:val="14"/>
                <w:color w:val="auto"/>
              </w:rPr>
            </w:pPr>
          </w:p>
        </w:tc>
        <w:tc>
          <w:tcPr>
            <w:tcW w:w="1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8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80" w:type="dxa"/>
            <w:vAlign w:val="bottom"/>
            <w:gridSpan w:val="17"/>
          </w:tcPr>
          <w:p>
            <w:pPr>
              <w:spacing w:after="0" w:line="152" w:lineRule="exact"/>
              <w:rPr>
                <w:sz w:val="20"/>
                <w:szCs w:val="20"/>
                <w:color w:val="auto"/>
              </w:rPr>
            </w:pPr>
            <w:r>
              <w:rPr>
                <w:rFonts w:ascii="Calibri" w:cs="Calibri" w:eastAsia="Calibri" w:hAnsi="Calibri"/>
                <w:sz w:val="15"/>
                <w:szCs w:val="15"/>
                <w:color w:val="0000FF"/>
              </w:rPr>
              <w:t>Pursuant to Secton 302 of the Sarbanes-Oxley Act</w:t>
            </w:r>
          </w:p>
        </w:tc>
        <w:tc>
          <w:tcPr>
            <w:tcW w:w="1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8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500" w:type="dxa"/>
            <w:vAlign w:val="bottom"/>
            <w:tcBorders>
              <w:top w:val="single" w:sz="8" w:color="0000FF"/>
            </w:tcBorders>
            <w:gridSpan w:val="15"/>
          </w:tcPr>
          <w:p>
            <w:pPr>
              <w:spacing w:after="0" w:line="152" w:lineRule="exact"/>
              <w:rPr>
                <w:sz w:val="20"/>
                <w:szCs w:val="20"/>
                <w:color w:val="auto"/>
              </w:rPr>
            </w:pPr>
            <w:r>
              <w:rPr>
                <w:rFonts w:ascii="Calibri" w:cs="Calibri" w:eastAsia="Calibri" w:hAnsi="Calibri"/>
                <w:sz w:val="15"/>
                <w:szCs w:val="15"/>
                <w:color w:val="0000FF"/>
              </w:rPr>
              <w:t>of 2002.</w:t>
            </w:r>
          </w:p>
        </w:tc>
        <w:tc>
          <w:tcPr>
            <w:tcW w:w="180" w:type="dxa"/>
            <w:vAlign w:val="bottom"/>
            <w:gridSpan w:val="2"/>
          </w:tcPr>
          <w:p>
            <w:pPr>
              <w:spacing w:after="0"/>
              <w:rPr>
                <w:sz w:val="13"/>
                <w:szCs w:val="13"/>
                <w:color w:val="auto"/>
              </w:rPr>
            </w:pPr>
          </w:p>
        </w:tc>
        <w:tc>
          <w:tcPr>
            <w:tcW w:w="1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20" w:type="dxa"/>
            <w:vAlign w:val="bottom"/>
            <w:gridSpan w:val="5"/>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860" w:type="dxa"/>
            <w:vAlign w:val="bottom"/>
          </w:tcPr>
          <w:p>
            <w:pPr>
              <w:jc w:val="right"/>
              <w:spacing w:after="0" w:line="217" w:lineRule="exact"/>
              <w:rPr>
                <w:sz w:val="20"/>
                <w:szCs w:val="20"/>
                <w:color w:val="auto"/>
              </w:rPr>
            </w:pPr>
            <w:r>
              <w:rPr>
                <w:rFonts w:ascii="Calibri" w:cs="Calibri" w:eastAsia="Calibri" w:hAnsi="Calibri"/>
                <w:sz w:val="18"/>
                <w:szCs w:val="18"/>
                <w:color w:val="auto"/>
              </w:rPr>
              <w:t>32.1</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80" w:type="dxa"/>
            <w:vAlign w:val="bottom"/>
            <w:gridSpan w:val="17"/>
          </w:tcPr>
          <w:p>
            <w:pPr>
              <w:spacing w:after="0" w:line="217" w:lineRule="exact"/>
              <w:rPr>
                <w:sz w:val="20"/>
                <w:szCs w:val="20"/>
                <w:color w:val="auto"/>
              </w:rPr>
            </w:pPr>
            <w:r>
              <w:rPr>
                <w:rFonts w:ascii="Calibri" w:cs="Calibri" w:eastAsia="Calibri" w:hAnsi="Calibri"/>
                <w:sz w:val="18"/>
                <w:szCs w:val="18"/>
                <w:color w:val="0000FF"/>
              </w:rPr>
              <w:t>Certfcaton of Principal Executve Ofcer of</w:t>
            </w:r>
          </w:p>
        </w:tc>
        <w:tc>
          <w:tcPr>
            <w:tcW w:w="1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center"/>
              <w:spacing w:after="0" w:line="217" w:lineRule="exact"/>
              <w:rPr>
                <w:sz w:val="20"/>
                <w:szCs w:val="20"/>
                <w:color w:val="auto"/>
              </w:rPr>
            </w:pPr>
            <w:r>
              <w:rPr>
                <w:rFonts w:ascii="Calibri" w:cs="Calibri" w:eastAsia="Calibri" w:hAnsi="Calibri"/>
                <w:sz w:val="18"/>
                <w:szCs w:val="18"/>
                <w:color w:val="auto"/>
              </w:rPr>
              <w:t>X</w:t>
            </w:r>
          </w:p>
        </w:tc>
        <w:tc>
          <w:tcPr>
            <w:tcW w:w="0" w:type="dxa"/>
            <w:vAlign w:val="bottom"/>
          </w:tcPr>
          <w:p>
            <w:pPr>
              <w:spacing w:after="0"/>
              <w:rPr>
                <w:sz w:val="1"/>
                <w:szCs w:val="1"/>
                <w:color w:val="auto"/>
              </w:rPr>
            </w:pPr>
          </w:p>
        </w:tc>
      </w:tr>
      <w:tr>
        <w:trPr>
          <w:trHeight w:val="152"/>
        </w:trPr>
        <w:tc>
          <w:tcPr>
            <w:tcW w:w="8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60" w:type="dxa"/>
            <w:vAlign w:val="bottom"/>
            <w:tcBorders>
              <w:top w:val="single" w:sz="8" w:color="0000FF"/>
            </w:tcBorders>
            <w:gridSpan w:val="9"/>
          </w:tcPr>
          <w:p>
            <w:pPr>
              <w:spacing w:after="0" w:line="152" w:lineRule="exact"/>
              <w:rPr>
                <w:sz w:val="20"/>
                <w:szCs w:val="20"/>
                <w:color w:val="auto"/>
              </w:rPr>
            </w:pPr>
            <w:r>
              <w:rPr>
                <w:rFonts w:ascii="Calibri" w:cs="Calibri" w:eastAsia="Calibri" w:hAnsi="Calibri"/>
                <w:sz w:val="15"/>
                <w:szCs w:val="15"/>
                <w:color w:val="0000FF"/>
              </w:rPr>
              <w:t>Broadcom Inc. Pursuant to 18 U.S.C. Secton</w:t>
            </w:r>
          </w:p>
        </w:tc>
        <w:tc>
          <w:tcPr>
            <w:tcW w:w="620" w:type="dxa"/>
            <w:vAlign w:val="bottom"/>
            <w:gridSpan w:val="8"/>
          </w:tcPr>
          <w:p>
            <w:pPr>
              <w:jc w:val="right"/>
              <w:ind w:right="200"/>
              <w:spacing w:after="0" w:line="152" w:lineRule="exact"/>
              <w:rPr>
                <w:sz w:val="20"/>
                <w:szCs w:val="20"/>
                <w:color w:val="auto"/>
              </w:rPr>
            </w:pPr>
            <w:r>
              <w:rPr>
                <w:rFonts w:ascii="Calibri" w:cs="Calibri" w:eastAsia="Calibri" w:hAnsi="Calibri"/>
                <w:sz w:val="15"/>
                <w:szCs w:val="15"/>
                <w:color w:val="0000FF"/>
              </w:rPr>
              <w:t>1350,</w:t>
            </w:r>
          </w:p>
        </w:tc>
        <w:tc>
          <w:tcPr>
            <w:tcW w:w="1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80" w:type="dxa"/>
            <w:vAlign w:val="bottom"/>
            <w:tcBorders>
              <w:top w:val="single" w:sz="8" w:color="0000FF"/>
            </w:tcBorders>
            <w:gridSpan w:val="14"/>
          </w:tcPr>
          <w:p>
            <w:pPr>
              <w:spacing w:after="0" w:line="165" w:lineRule="exact"/>
              <w:rPr>
                <w:sz w:val="20"/>
                <w:szCs w:val="20"/>
                <w:color w:val="auto"/>
              </w:rPr>
            </w:pPr>
            <w:r>
              <w:rPr>
                <w:rFonts w:ascii="Calibri" w:cs="Calibri" w:eastAsia="Calibri" w:hAnsi="Calibri"/>
                <w:sz w:val="18"/>
                <w:szCs w:val="18"/>
                <w:color w:val="0000FF"/>
              </w:rPr>
              <w:t>as Adopted Pursuant to Secton 906 of the</w:t>
            </w:r>
          </w:p>
        </w:tc>
        <w:tc>
          <w:tcPr>
            <w:tcW w:w="200" w:type="dxa"/>
            <w:vAlign w:val="bottom"/>
            <w:gridSpan w:val="3"/>
          </w:tcPr>
          <w:p>
            <w:pPr>
              <w:spacing w:after="0"/>
              <w:rPr>
                <w:sz w:val="14"/>
                <w:szCs w:val="14"/>
                <w:color w:val="auto"/>
              </w:rPr>
            </w:pPr>
          </w:p>
        </w:tc>
        <w:tc>
          <w:tcPr>
            <w:tcW w:w="1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8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960" w:type="dxa"/>
            <w:vAlign w:val="bottom"/>
            <w:tcBorders>
              <w:top w:val="single" w:sz="8" w:color="0000FF"/>
              <w:bottom w:val="single" w:sz="8" w:color="0000FF"/>
            </w:tcBorders>
            <w:gridSpan w:val="5"/>
          </w:tcPr>
          <w:p>
            <w:pPr>
              <w:spacing w:after="0" w:line="152" w:lineRule="exact"/>
              <w:rPr>
                <w:sz w:val="20"/>
                <w:szCs w:val="20"/>
                <w:color w:val="auto"/>
              </w:rPr>
            </w:pPr>
            <w:r>
              <w:rPr>
                <w:rFonts w:ascii="Calibri" w:cs="Calibri" w:eastAsia="Calibri" w:hAnsi="Calibri"/>
                <w:sz w:val="15"/>
                <w:szCs w:val="15"/>
                <w:color w:val="0000FF"/>
              </w:rPr>
              <w:t>Sarbanes-Oxley Act of 2002.</w:t>
            </w:r>
          </w:p>
        </w:tc>
        <w:tc>
          <w:tcPr>
            <w:tcW w:w="980" w:type="dxa"/>
            <w:vAlign w:val="bottom"/>
            <w:tcBorders>
              <w:top w:val="single" w:sz="8" w:color="0000FF"/>
            </w:tcBorders>
            <w:gridSpan w:val="2"/>
          </w:tcPr>
          <w:p>
            <w:pPr>
              <w:spacing w:after="0"/>
              <w:rPr>
                <w:sz w:val="13"/>
                <w:szCs w:val="13"/>
                <w:color w:val="auto"/>
              </w:rPr>
            </w:pPr>
          </w:p>
        </w:tc>
        <w:tc>
          <w:tcPr>
            <w:tcW w:w="740" w:type="dxa"/>
            <w:vAlign w:val="bottom"/>
            <w:gridSpan w:val="10"/>
          </w:tcPr>
          <w:p>
            <w:pPr>
              <w:spacing w:after="0"/>
              <w:rPr>
                <w:sz w:val="13"/>
                <w:szCs w:val="13"/>
                <w:color w:val="auto"/>
              </w:rPr>
            </w:pPr>
          </w:p>
        </w:tc>
        <w:tc>
          <w:tcPr>
            <w:tcW w:w="1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4"/>
        </w:trPr>
        <w:tc>
          <w:tcPr>
            <w:tcW w:w="860" w:type="dxa"/>
            <w:vAlign w:val="bottom"/>
          </w:tcPr>
          <w:p>
            <w:pPr>
              <w:jc w:val="right"/>
              <w:spacing w:after="0" w:line="205" w:lineRule="exact"/>
              <w:rPr>
                <w:sz w:val="20"/>
                <w:szCs w:val="20"/>
                <w:color w:val="auto"/>
              </w:rPr>
            </w:pPr>
            <w:r>
              <w:rPr>
                <w:rFonts w:ascii="Calibri" w:cs="Calibri" w:eastAsia="Calibri" w:hAnsi="Calibri"/>
                <w:sz w:val="18"/>
                <w:szCs w:val="18"/>
                <w:color w:val="auto"/>
              </w:rPr>
              <w:t>32.2</w:t>
            </w: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80" w:type="dxa"/>
            <w:vAlign w:val="bottom"/>
            <w:gridSpan w:val="17"/>
          </w:tcPr>
          <w:p>
            <w:pPr>
              <w:spacing w:after="0" w:line="205" w:lineRule="exact"/>
              <w:rPr>
                <w:sz w:val="20"/>
                <w:szCs w:val="20"/>
                <w:color w:val="auto"/>
              </w:rPr>
            </w:pPr>
            <w:r>
              <w:rPr>
                <w:rFonts w:ascii="Calibri" w:cs="Calibri" w:eastAsia="Calibri" w:hAnsi="Calibri"/>
                <w:sz w:val="18"/>
                <w:szCs w:val="18"/>
                <w:color w:val="0000FF"/>
              </w:rPr>
              <w:t>Certfcaton of Principal Financial Ofcer of</w:t>
            </w:r>
          </w:p>
        </w:tc>
        <w:tc>
          <w:tcPr>
            <w:tcW w:w="1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center"/>
              <w:spacing w:after="0" w:line="205" w:lineRule="exact"/>
              <w:rPr>
                <w:sz w:val="20"/>
                <w:szCs w:val="20"/>
                <w:color w:val="auto"/>
              </w:rPr>
            </w:pPr>
            <w:r>
              <w:rPr>
                <w:rFonts w:ascii="Calibri" w:cs="Calibri" w:eastAsia="Calibri" w:hAnsi="Calibri"/>
                <w:sz w:val="18"/>
                <w:szCs w:val="18"/>
                <w:color w:val="auto"/>
              </w:rPr>
              <w:t>X</w:t>
            </w:r>
          </w:p>
        </w:tc>
        <w:tc>
          <w:tcPr>
            <w:tcW w:w="0" w:type="dxa"/>
            <w:vAlign w:val="bottom"/>
          </w:tcPr>
          <w:p>
            <w:pPr>
              <w:spacing w:after="0"/>
              <w:rPr>
                <w:sz w:val="1"/>
                <w:szCs w:val="1"/>
                <w:color w:val="auto"/>
              </w:rPr>
            </w:pPr>
          </w:p>
        </w:tc>
      </w:tr>
      <w:tr>
        <w:trPr>
          <w:trHeight w:val="152"/>
        </w:trPr>
        <w:tc>
          <w:tcPr>
            <w:tcW w:w="8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20" w:type="dxa"/>
            <w:vAlign w:val="bottom"/>
            <w:tcBorders>
              <w:top w:val="single" w:sz="8" w:color="0000FF"/>
            </w:tcBorders>
            <w:gridSpan w:val="8"/>
          </w:tcPr>
          <w:p>
            <w:pPr>
              <w:spacing w:after="0" w:line="152" w:lineRule="exact"/>
              <w:rPr>
                <w:sz w:val="20"/>
                <w:szCs w:val="20"/>
                <w:color w:val="auto"/>
              </w:rPr>
            </w:pPr>
            <w:r>
              <w:rPr>
                <w:rFonts w:ascii="Calibri" w:cs="Calibri" w:eastAsia="Calibri" w:hAnsi="Calibri"/>
                <w:sz w:val="15"/>
                <w:szCs w:val="15"/>
                <w:color w:val="0000FF"/>
              </w:rPr>
              <w:t>Broadcom Inc. Pursuant to 18 U.S.C. Secton</w:t>
            </w:r>
          </w:p>
        </w:tc>
        <w:tc>
          <w:tcPr>
            <w:tcW w:w="660" w:type="dxa"/>
            <w:vAlign w:val="bottom"/>
            <w:gridSpan w:val="9"/>
          </w:tcPr>
          <w:p>
            <w:pPr>
              <w:jc w:val="right"/>
              <w:ind w:right="200"/>
              <w:spacing w:after="0" w:line="152" w:lineRule="exact"/>
              <w:rPr>
                <w:sz w:val="20"/>
                <w:szCs w:val="20"/>
                <w:color w:val="auto"/>
              </w:rPr>
            </w:pPr>
            <w:r>
              <w:rPr>
                <w:rFonts w:ascii="Calibri" w:cs="Calibri" w:eastAsia="Calibri" w:hAnsi="Calibri"/>
                <w:sz w:val="15"/>
                <w:szCs w:val="15"/>
                <w:color w:val="0000FF"/>
              </w:rPr>
              <w:t>1350,</w:t>
            </w:r>
          </w:p>
        </w:tc>
        <w:tc>
          <w:tcPr>
            <w:tcW w:w="1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80" w:type="dxa"/>
            <w:vAlign w:val="bottom"/>
            <w:tcBorders>
              <w:top w:val="single" w:sz="8" w:color="0000FF"/>
            </w:tcBorders>
            <w:gridSpan w:val="14"/>
          </w:tcPr>
          <w:p>
            <w:pPr>
              <w:spacing w:after="0" w:line="165" w:lineRule="exact"/>
              <w:rPr>
                <w:sz w:val="20"/>
                <w:szCs w:val="20"/>
                <w:color w:val="auto"/>
              </w:rPr>
            </w:pPr>
            <w:r>
              <w:rPr>
                <w:rFonts w:ascii="Calibri" w:cs="Calibri" w:eastAsia="Calibri" w:hAnsi="Calibri"/>
                <w:sz w:val="18"/>
                <w:szCs w:val="18"/>
                <w:color w:val="0000FF"/>
              </w:rPr>
              <w:t>as Adopted Pursuant to Secton 906 of the</w:t>
            </w:r>
          </w:p>
        </w:tc>
        <w:tc>
          <w:tcPr>
            <w:tcW w:w="200" w:type="dxa"/>
            <w:vAlign w:val="bottom"/>
            <w:gridSpan w:val="3"/>
          </w:tcPr>
          <w:p>
            <w:pPr>
              <w:spacing w:after="0"/>
              <w:rPr>
                <w:sz w:val="14"/>
                <w:szCs w:val="14"/>
                <w:color w:val="auto"/>
              </w:rPr>
            </w:pPr>
          </w:p>
        </w:tc>
        <w:tc>
          <w:tcPr>
            <w:tcW w:w="1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8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940" w:type="dxa"/>
            <w:vAlign w:val="bottom"/>
            <w:tcBorders>
              <w:top w:val="single" w:sz="8" w:color="0000FF"/>
            </w:tcBorders>
            <w:gridSpan w:val="7"/>
          </w:tcPr>
          <w:p>
            <w:pPr>
              <w:spacing w:after="0" w:line="152" w:lineRule="exact"/>
              <w:rPr>
                <w:sz w:val="20"/>
                <w:szCs w:val="20"/>
                <w:color w:val="auto"/>
              </w:rPr>
            </w:pPr>
            <w:r>
              <w:rPr>
                <w:rFonts w:ascii="Calibri" w:cs="Calibri" w:eastAsia="Calibri" w:hAnsi="Calibri"/>
                <w:sz w:val="15"/>
                <w:szCs w:val="15"/>
                <w:color w:val="0000FF"/>
              </w:rPr>
              <w:t>Sarbanes-Oxley Act of 2002.</w:t>
            </w:r>
          </w:p>
        </w:tc>
        <w:tc>
          <w:tcPr>
            <w:tcW w:w="740" w:type="dxa"/>
            <w:vAlign w:val="bottom"/>
            <w:gridSpan w:val="10"/>
          </w:tcPr>
          <w:p>
            <w:pPr>
              <w:spacing w:after="0"/>
              <w:rPr>
                <w:sz w:val="13"/>
                <w:szCs w:val="13"/>
                <w:color w:val="auto"/>
              </w:rPr>
            </w:pPr>
          </w:p>
        </w:tc>
        <w:tc>
          <w:tcPr>
            <w:tcW w:w="1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4"/>
        </w:trPr>
        <w:tc>
          <w:tcPr>
            <w:tcW w:w="860" w:type="dxa"/>
            <w:vAlign w:val="bottom"/>
          </w:tcPr>
          <w:p>
            <w:pPr>
              <w:jc w:val="right"/>
              <w:spacing w:after="0" w:line="205" w:lineRule="exact"/>
              <w:rPr>
                <w:sz w:val="20"/>
                <w:szCs w:val="20"/>
                <w:color w:val="auto"/>
              </w:rPr>
            </w:pPr>
            <w:r>
              <w:rPr>
                <w:rFonts w:ascii="Calibri" w:cs="Calibri" w:eastAsia="Calibri" w:hAnsi="Calibri"/>
                <w:sz w:val="18"/>
                <w:szCs w:val="18"/>
                <w:color w:val="auto"/>
              </w:rPr>
              <w:t>97.1</w:t>
            </w: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40" w:type="dxa"/>
            <w:vAlign w:val="bottom"/>
            <w:tcBorders>
              <w:top w:val="single" w:sz="8" w:color="0000FF"/>
              <w:bottom w:val="single" w:sz="8" w:color="0000FF"/>
            </w:tcBorders>
            <w:gridSpan w:val="3"/>
          </w:tcPr>
          <w:p>
            <w:pPr>
              <w:spacing w:after="0" w:line="205" w:lineRule="exact"/>
              <w:rPr>
                <w:sz w:val="20"/>
                <w:szCs w:val="20"/>
                <w:color w:val="auto"/>
              </w:rPr>
            </w:pPr>
            <w:r>
              <w:rPr>
                <w:rFonts w:ascii="Calibri" w:cs="Calibri" w:eastAsia="Calibri" w:hAnsi="Calibri"/>
                <w:sz w:val="18"/>
                <w:szCs w:val="18"/>
                <w:color w:val="0000FF"/>
                <w:w w:val="92"/>
              </w:rPr>
              <w:t>Clawback Policy.</w:t>
            </w:r>
          </w:p>
        </w:tc>
        <w:tc>
          <w:tcPr>
            <w:tcW w:w="800" w:type="dxa"/>
            <w:vAlign w:val="bottom"/>
            <w:tcBorders>
              <w:top w:val="single" w:sz="8" w:color="0000FF"/>
            </w:tcBorders>
          </w:tcPr>
          <w:p>
            <w:pPr>
              <w:spacing w:after="0"/>
              <w:rPr>
                <w:sz w:val="17"/>
                <w:szCs w:val="17"/>
                <w:color w:val="auto"/>
              </w:rPr>
            </w:pPr>
          </w:p>
        </w:tc>
        <w:tc>
          <w:tcPr>
            <w:tcW w:w="1740" w:type="dxa"/>
            <w:vAlign w:val="bottom"/>
            <w:gridSpan w:val="13"/>
          </w:tcPr>
          <w:p>
            <w:pPr>
              <w:spacing w:after="0"/>
              <w:rPr>
                <w:sz w:val="17"/>
                <w:szCs w:val="17"/>
                <w:color w:val="auto"/>
              </w:rPr>
            </w:pPr>
          </w:p>
        </w:tc>
        <w:tc>
          <w:tcPr>
            <w:tcW w:w="1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center"/>
              <w:spacing w:after="0" w:line="205" w:lineRule="exact"/>
              <w:rPr>
                <w:sz w:val="20"/>
                <w:szCs w:val="20"/>
                <w:color w:val="auto"/>
              </w:rPr>
            </w:pPr>
            <w:r>
              <w:rPr>
                <w:rFonts w:ascii="Calibri" w:cs="Calibri" w:eastAsia="Calibri" w:hAnsi="Calibri"/>
                <w:sz w:val="18"/>
                <w:szCs w:val="18"/>
                <w:color w:val="auto"/>
              </w:rPr>
              <w:t>X</w:t>
            </w:r>
          </w:p>
        </w:tc>
        <w:tc>
          <w:tcPr>
            <w:tcW w:w="0" w:type="dxa"/>
            <w:vAlign w:val="bottom"/>
          </w:tcPr>
          <w:p>
            <w:pPr>
              <w:spacing w:after="0"/>
              <w:rPr>
                <w:sz w:val="1"/>
                <w:szCs w:val="1"/>
                <w:color w:val="auto"/>
              </w:rPr>
            </w:pPr>
          </w:p>
        </w:tc>
      </w:tr>
      <w:tr>
        <w:trPr>
          <w:trHeight w:val="197"/>
        </w:trPr>
        <w:tc>
          <w:tcPr>
            <w:tcW w:w="1160" w:type="dxa"/>
            <w:vAlign w:val="bottom"/>
            <w:gridSpan w:val="2"/>
          </w:tcPr>
          <w:p>
            <w:pPr>
              <w:jc w:val="right"/>
              <w:ind w:right="320"/>
              <w:spacing w:after="0" w:line="197" w:lineRule="exact"/>
              <w:rPr>
                <w:sz w:val="20"/>
                <w:szCs w:val="20"/>
                <w:color w:val="auto"/>
              </w:rPr>
            </w:pPr>
            <w:r>
              <w:rPr>
                <w:rFonts w:ascii="Calibri" w:cs="Calibri" w:eastAsia="Calibri" w:hAnsi="Calibri"/>
                <w:sz w:val="18"/>
                <w:szCs w:val="18"/>
                <w:color w:val="auto"/>
              </w:rPr>
              <w:t>101.INS</w:t>
            </w:r>
          </w:p>
        </w:tc>
        <w:tc>
          <w:tcPr>
            <w:tcW w:w="20" w:type="dxa"/>
            <w:vAlign w:val="bottom"/>
          </w:tcPr>
          <w:p>
            <w:pPr>
              <w:spacing w:after="0"/>
              <w:rPr>
                <w:sz w:val="17"/>
                <w:szCs w:val="17"/>
                <w:color w:val="auto"/>
              </w:rPr>
            </w:pPr>
          </w:p>
        </w:tc>
        <w:tc>
          <w:tcPr>
            <w:tcW w:w="3680" w:type="dxa"/>
            <w:vAlign w:val="bottom"/>
            <w:gridSpan w:val="17"/>
          </w:tcPr>
          <w:p>
            <w:pPr>
              <w:spacing w:after="0" w:line="197" w:lineRule="exact"/>
              <w:rPr>
                <w:sz w:val="20"/>
                <w:szCs w:val="20"/>
                <w:color w:val="auto"/>
              </w:rPr>
            </w:pPr>
            <w:r>
              <w:rPr>
                <w:rFonts w:ascii="Calibri" w:cs="Calibri" w:eastAsia="Calibri" w:hAnsi="Calibri"/>
                <w:sz w:val="18"/>
                <w:szCs w:val="18"/>
                <w:color w:val="auto"/>
              </w:rPr>
              <w:t>XBRL Instance Document - the instance document</w:t>
            </w:r>
          </w:p>
        </w:tc>
        <w:tc>
          <w:tcPr>
            <w:tcW w:w="1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center"/>
              <w:spacing w:after="0" w:line="197" w:lineRule="exact"/>
              <w:rPr>
                <w:sz w:val="20"/>
                <w:szCs w:val="20"/>
                <w:color w:val="auto"/>
              </w:rPr>
            </w:pPr>
            <w:r>
              <w:rPr>
                <w:rFonts w:ascii="Calibri" w:cs="Calibri" w:eastAsia="Calibri" w:hAnsi="Calibri"/>
                <w:sz w:val="18"/>
                <w:szCs w:val="18"/>
                <w:color w:val="auto"/>
              </w:rPr>
              <w:t>X</w:t>
            </w:r>
          </w:p>
        </w:tc>
        <w:tc>
          <w:tcPr>
            <w:tcW w:w="0" w:type="dxa"/>
            <w:vAlign w:val="bottom"/>
          </w:tcPr>
          <w:p>
            <w:pPr>
              <w:spacing w:after="0"/>
              <w:rPr>
                <w:sz w:val="1"/>
                <w:szCs w:val="1"/>
                <w:color w:val="auto"/>
              </w:rPr>
            </w:pPr>
          </w:p>
        </w:tc>
      </w:tr>
      <w:tr>
        <w:trPr>
          <w:trHeight w:val="185"/>
        </w:trPr>
        <w:tc>
          <w:tcPr>
            <w:tcW w:w="8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80" w:type="dxa"/>
            <w:vAlign w:val="bottom"/>
            <w:gridSpan w:val="17"/>
          </w:tcPr>
          <w:p>
            <w:pPr>
              <w:spacing w:after="0" w:line="185" w:lineRule="exact"/>
              <w:rPr>
                <w:sz w:val="20"/>
                <w:szCs w:val="20"/>
                <w:color w:val="auto"/>
              </w:rPr>
            </w:pPr>
            <w:r>
              <w:rPr>
                <w:rFonts w:ascii="Calibri" w:cs="Calibri" w:eastAsia="Calibri" w:hAnsi="Calibri"/>
                <w:sz w:val="18"/>
                <w:szCs w:val="18"/>
                <w:color w:val="auto"/>
              </w:rPr>
              <w:t>does not appear in the Interactve Data File</w:t>
            </w:r>
          </w:p>
        </w:tc>
        <w:tc>
          <w:tcPr>
            <w:tcW w:w="1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80" w:type="dxa"/>
            <w:vAlign w:val="bottom"/>
            <w:gridSpan w:val="17"/>
          </w:tcPr>
          <w:p>
            <w:pPr>
              <w:spacing w:after="0" w:line="172" w:lineRule="exact"/>
              <w:rPr>
                <w:sz w:val="20"/>
                <w:szCs w:val="20"/>
                <w:color w:val="auto"/>
              </w:rPr>
            </w:pPr>
            <w:r>
              <w:rPr>
                <w:rFonts w:ascii="Calibri" w:cs="Calibri" w:eastAsia="Calibri" w:hAnsi="Calibri"/>
                <w:sz w:val="18"/>
                <w:szCs w:val="18"/>
                <w:color w:val="auto"/>
              </w:rPr>
              <w:t>because its XBRL tags are embedded within the</w:t>
            </w:r>
          </w:p>
        </w:tc>
        <w:tc>
          <w:tcPr>
            <w:tcW w:w="1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80" w:type="dxa"/>
            <w:vAlign w:val="bottom"/>
            <w:gridSpan w:val="17"/>
          </w:tcPr>
          <w:p>
            <w:pPr>
              <w:spacing w:after="0" w:line="210" w:lineRule="exact"/>
              <w:rPr>
                <w:sz w:val="20"/>
                <w:szCs w:val="20"/>
                <w:color w:val="auto"/>
              </w:rPr>
            </w:pPr>
            <w:r>
              <w:rPr>
                <w:rFonts w:ascii="Calibri" w:cs="Calibri" w:eastAsia="Calibri" w:hAnsi="Calibri"/>
                <w:sz w:val="18"/>
                <w:szCs w:val="18"/>
                <w:color w:val="auto"/>
              </w:rPr>
              <w:t>Inline XBRL document.</w:t>
            </w:r>
          </w:p>
        </w:tc>
        <w:tc>
          <w:tcPr>
            <w:tcW w:w="1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160" w:type="dxa"/>
            <w:vAlign w:val="bottom"/>
            <w:gridSpan w:val="2"/>
          </w:tcPr>
          <w:p>
            <w:pPr>
              <w:jc w:val="right"/>
              <w:ind w:right="320"/>
              <w:spacing w:after="0"/>
              <w:rPr>
                <w:sz w:val="20"/>
                <w:szCs w:val="20"/>
                <w:color w:val="auto"/>
              </w:rPr>
            </w:pPr>
            <w:r>
              <w:rPr>
                <w:rFonts w:ascii="Calibri" w:cs="Calibri" w:eastAsia="Calibri" w:hAnsi="Calibri"/>
                <w:sz w:val="18"/>
                <w:szCs w:val="18"/>
                <w:color w:val="auto"/>
              </w:rPr>
              <w:t>101.SCH</w:t>
            </w:r>
          </w:p>
        </w:tc>
        <w:tc>
          <w:tcPr>
            <w:tcW w:w="20" w:type="dxa"/>
            <w:vAlign w:val="bottom"/>
          </w:tcPr>
          <w:p>
            <w:pPr>
              <w:spacing w:after="0"/>
              <w:rPr>
                <w:sz w:val="19"/>
                <w:szCs w:val="19"/>
                <w:color w:val="auto"/>
              </w:rPr>
            </w:pPr>
          </w:p>
        </w:tc>
        <w:tc>
          <w:tcPr>
            <w:tcW w:w="3680" w:type="dxa"/>
            <w:vAlign w:val="bottom"/>
            <w:gridSpan w:val="17"/>
          </w:tcPr>
          <w:p>
            <w:pPr>
              <w:spacing w:after="0"/>
              <w:rPr>
                <w:sz w:val="20"/>
                <w:szCs w:val="20"/>
                <w:color w:val="auto"/>
              </w:rPr>
            </w:pPr>
            <w:r>
              <w:rPr>
                <w:rFonts w:ascii="Calibri" w:cs="Calibri" w:eastAsia="Calibri" w:hAnsi="Calibri"/>
                <w:sz w:val="18"/>
                <w:szCs w:val="18"/>
                <w:color w:val="auto"/>
              </w:rPr>
              <w:t>XBRL Schema Document.</w:t>
            </w:r>
          </w:p>
        </w:tc>
        <w:tc>
          <w:tcPr>
            <w:tcW w:w="1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center"/>
              <w:spacing w:after="0"/>
              <w:rPr>
                <w:sz w:val="20"/>
                <w:szCs w:val="20"/>
                <w:color w:val="auto"/>
              </w:rPr>
            </w:pPr>
            <w:r>
              <w:rPr>
                <w:rFonts w:ascii="Calibri" w:cs="Calibri" w:eastAsia="Calibri" w:hAnsi="Calibri"/>
                <w:sz w:val="18"/>
                <w:szCs w:val="18"/>
                <w:color w:val="auto"/>
              </w:rPr>
              <w:t>X</w:t>
            </w:r>
          </w:p>
        </w:tc>
        <w:tc>
          <w:tcPr>
            <w:tcW w:w="0" w:type="dxa"/>
            <w:vAlign w:val="bottom"/>
          </w:tcPr>
          <w:p>
            <w:pPr>
              <w:spacing w:after="0"/>
              <w:rPr>
                <w:sz w:val="1"/>
                <w:szCs w:val="1"/>
                <w:color w:val="auto"/>
              </w:rPr>
            </w:pPr>
          </w:p>
        </w:tc>
      </w:tr>
      <w:tr>
        <w:trPr>
          <w:trHeight w:val="224"/>
        </w:trPr>
        <w:tc>
          <w:tcPr>
            <w:tcW w:w="1160" w:type="dxa"/>
            <w:vAlign w:val="bottom"/>
            <w:gridSpan w:val="2"/>
          </w:tcPr>
          <w:p>
            <w:pPr>
              <w:jc w:val="right"/>
              <w:ind w:right="320"/>
              <w:spacing w:after="0"/>
              <w:rPr>
                <w:sz w:val="20"/>
                <w:szCs w:val="20"/>
                <w:color w:val="auto"/>
              </w:rPr>
            </w:pPr>
            <w:r>
              <w:rPr>
                <w:rFonts w:ascii="Calibri" w:cs="Calibri" w:eastAsia="Calibri" w:hAnsi="Calibri"/>
                <w:sz w:val="18"/>
                <w:szCs w:val="18"/>
                <w:color w:val="auto"/>
              </w:rPr>
              <w:t>101.CAL</w:t>
            </w:r>
          </w:p>
        </w:tc>
        <w:tc>
          <w:tcPr>
            <w:tcW w:w="20" w:type="dxa"/>
            <w:vAlign w:val="bottom"/>
          </w:tcPr>
          <w:p>
            <w:pPr>
              <w:spacing w:after="0"/>
              <w:rPr>
                <w:sz w:val="19"/>
                <w:szCs w:val="19"/>
                <w:color w:val="auto"/>
              </w:rPr>
            </w:pPr>
          </w:p>
        </w:tc>
        <w:tc>
          <w:tcPr>
            <w:tcW w:w="3680" w:type="dxa"/>
            <w:vAlign w:val="bottom"/>
            <w:gridSpan w:val="17"/>
          </w:tcPr>
          <w:p>
            <w:pPr>
              <w:spacing w:after="0"/>
              <w:rPr>
                <w:sz w:val="20"/>
                <w:szCs w:val="20"/>
                <w:color w:val="auto"/>
              </w:rPr>
            </w:pPr>
            <w:r>
              <w:rPr>
                <w:rFonts w:ascii="Calibri" w:cs="Calibri" w:eastAsia="Calibri" w:hAnsi="Calibri"/>
                <w:sz w:val="18"/>
                <w:szCs w:val="18"/>
                <w:color w:val="auto"/>
              </w:rPr>
              <w:t>XBRL Calculaton Linkbase Document.</w:t>
            </w:r>
          </w:p>
        </w:tc>
        <w:tc>
          <w:tcPr>
            <w:tcW w:w="1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center"/>
              <w:spacing w:after="0"/>
              <w:rPr>
                <w:sz w:val="20"/>
                <w:szCs w:val="20"/>
                <w:color w:val="auto"/>
              </w:rPr>
            </w:pPr>
            <w:r>
              <w:rPr>
                <w:rFonts w:ascii="Calibri" w:cs="Calibri" w:eastAsia="Calibri" w:hAnsi="Calibri"/>
                <w:sz w:val="18"/>
                <w:szCs w:val="18"/>
                <w:color w:val="auto"/>
              </w:rPr>
              <w:t>X</w:t>
            </w:r>
          </w:p>
        </w:tc>
        <w:tc>
          <w:tcPr>
            <w:tcW w:w="0" w:type="dxa"/>
            <w:vAlign w:val="bottom"/>
          </w:tcPr>
          <w:p>
            <w:pPr>
              <w:spacing w:after="0"/>
              <w:rPr>
                <w:sz w:val="1"/>
                <w:szCs w:val="1"/>
                <w:color w:val="auto"/>
              </w:rPr>
            </w:pPr>
          </w:p>
        </w:tc>
      </w:tr>
      <w:tr>
        <w:trPr>
          <w:trHeight w:val="224"/>
        </w:trPr>
        <w:tc>
          <w:tcPr>
            <w:tcW w:w="1160" w:type="dxa"/>
            <w:vAlign w:val="bottom"/>
            <w:gridSpan w:val="2"/>
          </w:tcPr>
          <w:p>
            <w:pPr>
              <w:jc w:val="right"/>
              <w:ind w:right="320"/>
              <w:spacing w:after="0"/>
              <w:rPr>
                <w:sz w:val="20"/>
                <w:szCs w:val="20"/>
                <w:color w:val="auto"/>
              </w:rPr>
            </w:pPr>
            <w:r>
              <w:rPr>
                <w:rFonts w:ascii="Calibri" w:cs="Calibri" w:eastAsia="Calibri" w:hAnsi="Calibri"/>
                <w:sz w:val="18"/>
                <w:szCs w:val="18"/>
                <w:color w:val="auto"/>
              </w:rPr>
              <w:t>101.DEF</w:t>
            </w:r>
          </w:p>
        </w:tc>
        <w:tc>
          <w:tcPr>
            <w:tcW w:w="20" w:type="dxa"/>
            <w:vAlign w:val="bottom"/>
          </w:tcPr>
          <w:p>
            <w:pPr>
              <w:spacing w:after="0"/>
              <w:rPr>
                <w:sz w:val="19"/>
                <w:szCs w:val="19"/>
                <w:color w:val="auto"/>
              </w:rPr>
            </w:pPr>
          </w:p>
        </w:tc>
        <w:tc>
          <w:tcPr>
            <w:tcW w:w="3680" w:type="dxa"/>
            <w:vAlign w:val="bottom"/>
            <w:gridSpan w:val="17"/>
          </w:tcPr>
          <w:p>
            <w:pPr>
              <w:spacing w:after="0"/>
              <w:rPr>
                <w:sz w:val="20"/>
                <w:szCs w:val="20"/>
                <w:color w:val="auto"/>
              </w:rPr>
            </w:pPr>
            <w:r>
              <w:rPr>
                <w:rFonts w:ascii="Calibri" w:cs="Calibri" w:eastAsia="Calibri" w:hAnsi="Calibri"/>
                <w:sz w:val="18"/>
                <w:szCs w:val="18"/>
                <w:color w:val="auto"/>
              </w:rPr>
              <w:t>XBRL Defniton Linkbase Document.</w:t>
            </w:r>
          </w:p>
        </w:tc>
        <w:tc>
          <w:tcPr>
            <w:tcW w:w="1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center"/>
              <w:spacing w:after="0"/>
              <w:rPr>
                <w:sz w:val="20"/>
                <w:szCs w:val="20"/>
                <w:color w:val="auto"/>
              </w:rPr>
            </w:pPr>
            <w:r>
              <w:rPr>
                <w:rFonts w:ascii="Calibri" w:cs="Calibri" w:eastAsia="Calibri" w:hAnsi="Calibri"/>
                <w:sz w:val="18"/>
                <w:szCs w:val="18"/>
                <w:color w:val="auto"/>
              </w:rPr>
              <w:t>X</w:t>
            </w:r>
          </w:p>
        </w:tc>
        <w:tc>
          <w:tcPr>
            <w:tcW w:w="0" w:type="dxa"/>
            <w:vAlign w:val="bottom"/>
          </w:tcPr>
          <w:p>
            <w:pPr>
              <w:spacing w:after="0"/>
              <w:rPr>
                <w:sz w:val="1"/>
                <w:szCs w:val="1"/>
                <w:color w:val="auto"/>
              </w:rPr>
            </w:pPr>
          </w:p>
        </w:tc>
      </w:tr>
      <w:tr>
        <w:trPr>
          <w:trHeight w:val="224"/>
        </w:trPr>
        <w:tc>
          <w:tcPr>
            <w:tcW w:w="1160" w:type="dxa"/>
            <w:vAlign w:val="bottom"/>
            <w:gridSpan w:val="2"/>
          </w:tcPr>
          <w:p>
            <w:pPr>
              <w:jc w:val="right"/>
              <w:ind w:right="320"/>
              <w:spacing w:after="0"/>
              <w:rPr>
                <w:sz w:val="20"/>
                <w:szCs w:val="20"/>
                <w:color w:val="auto"/>
              </w:rPr>
            </w:pPr>
            <w:r>
              <w:rPr>
                <w:rFonts w:ascii="Calibri" w:cs="Calibri" w:eastAsia="Calibri" w:hAnsi="Calibri"/>
                <w:sz w:val="18"/>
                <w:szCs w:val="18"/>
                <w:color w:val="auto"/>
              </w:rPr>
              <w:t>101.LAB</w:t>
            </w:r>
          </w:p>
        </w:tc>
        <w:tc>
          <w:tcPr>
            <w:tcW w:w="20" w:type="dxa"/>
            <w:vAlign w:val="bottom"/>
          </w:tcPr>
          <w:p>
            <w:pPr>
              <w:spacing w:after="0"/>
              <w:rPr>
                <w:sz w:val="19"/>
                <w:szCs w:val="19"/>
                <w:color w:val="auto"/>
              </w:rPr>
            </w:pPr>
          </w:p>
        </w:tc>
        <w:tc>
          <w:tcPr>
            <w:tcW w:w="3680" w:type="dxa"/>
            <w:vAlign w:val="bottom"/>
            <w:gridSpan w:val="17"/>
          </w:tcPr>
          <w:p>
            <w:pPr>
              <w:spacing w:after="0"/>
              <w:rPr>
                <w:sz w:val="20"/>
                <w:szCs w:val="20"/>
                <w:color w:val="auto"/>
              </w:rPr>
            </w:pPr>
            <w:r>
              <w:rPr>
                <w:rFonts w:ascii="Calibri" w:cs="Calibri" w:eastAsia="Calibri" w:hAnsi="Calibri"/>
                <w:sz w:val="18"/>
                <w:szCs w:val="18"/>
                <w:color w:val="auto"/>
              </w:rPr>
              <w:t>XBRL Labels Linkbase Document.</w:t>
            </w:r>
          </w:p>
        </w:tc>
        <w:tc>
          <w:tcPr>
            <w:tcW w:w="1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center"/>
              <w:spacing w:after="0"/>
              <w:rPr>
                <w:sz w:val="20"/>
                <w:szCs w:val="20"/>
                <w:color w:val="auto"/>
              </w:rPr>
            </w:pPr>
            <w:r>
              <w:rPr>
                <w:rFonts w:ascii="Calibri" w:cs="Calibri" w:eastAsia="Calibri" w:hAnsi="Calibri"/>
                <w:sz w:val="18"/>
                <w:szCs w:val="18"/>
                <w:color w:val="auto"/>
              </w:rPr>
              <w:t>X</w:t>
            </w:r>
          </w:p>
        </w:tc>
        <w:tc>
          <w:tcPr>
            <w:tcW w:w="0" w:type="dxa"/>
            <w:vAlign w:val="bottom"/>
          </w:tcPr>
          <w:p>
            <w:pPr>
              <w:spacing w:after="0"/>
              <w:rPr>
                <w:sz w:val="1"/>
                <w:szCs w:val="1"/>
                <w:color w:val="auto"/>
              </w:rPr>
            </w:pPr>
          </w:p>
        </w:tc>
      </w:tr>
      <w:tr>
        <w:trPr>
          <w:trHeight w:val="224"/>
        </w:trPr>
        <w:tc>
          <w:tcPr>
            <w:tcW w:w="1160" w:type="dxa"/>
            <w:vAlign w:val="bottom"/>
            <w:gridSpan w:val="2"/>
          </w:tcPr>
          <w:p>
            <w:pPr>
              <w:jc w:val="right"/>
              <w:ind w:right="320"/>
              <w:spacing w:after="0"/>
              <w:rPr>
                <w:sz w:val="20"/>
                <w:szCs w:val="20"/>
                <w:color w:val="auto"/>
              </w:rPr>
            </w:pPr>
            <w:r>
              <w:rPr>
                <w:rFonts w:ascii="Calibri" w:cs="Calibri" w:eastAsia="Calibri" w:hAnsi="Calibri"/>
                <w:sz w:val="18"/>
                <w:szCs w:val="18"/>
                <w:color w:val="auto"/>
              </w:rPr>
              <w:t>101.PRE</w:t>
            </w:r>
          </w:p>
        </w:tc>
        <w:tc>
          <w:tcPr>
            <w:tcW w:w="20" w:type="dxa"/>
            <w:vAlign w:val="bottom"/>
          </w:tcPr>
          <w:p>
            <w:pPr>
              <w:spacing w:after="0"/>
              <w:rPr>
                <w:sz w:val="19"/>
                <w:szCs w:val="19"/>
                <w:color w:val="auto"/>
              </w:rPr>
            </w:pPr>
          </w:p>
        </w:tc>
        <w:tc>
          <w:tcPr>
            <w:tcW w:w="3680" w:type="dxa"/>
            <w:vAlign w:val="bottom"/>
            <w:gridSpan w:val="17"/>
          </w:tcPr>
          <w:p>
            <w:pPr>
              <w:spacing w:after="0"/>
              <w:rPr>
                <w:sz w:val="20"/>
                <w:szCs w:val="20"/>
                <w:color w:val="auto"/>
              </w:rPr>
            </w:pPr>
            <w:r>
              <w:rPr>
                <w:rFonts w:ascii="Calibri" w:cs="Calibri" w:eastAsia="Calibri" w:hAnsi="Calibri"/>
                <w:sz w:val="18"/>
                <w:szCs w:val="18"/>
                <w:color w:val="auto"/>
              </w:rPr>
              <w:t>XBRL Presentaton Linkbase Document.</w:t>
            </w:r>
          </w:p>
        </w:tc>
        <w:tc>
          <w:tcPr>
            <w:tcW w:w="1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center"/>
              <w:spacing w:after="0"/>
              <w:rPr>
                <w:sz w:val="20"/>
                <w:szCs w:val="20"/>
                <w:color w:val="auto"/>
              </w:rPr>
            </w:pPr>
            <w:r>
              <w:rPr>
                <w:rFonts w:ascii="Calibri" w:cs="Calibri" w:eastAsia="Calibri" w:hAnsi="Calibri"/>
                <w:sz w:val="18"/>
                <w:szCs w:val="18"/>
                <w:color w:val="auto"/>
              </w:rPr>
              <w:t>X</w:t>
            </w:r>
          </w:p>
        </w:tc>
        <w:tc>
          <w:tcPr>
            <w:tcW w:w="0" w:type="dxa"/>
            <w:vAlign w:val="bottom"/>
          </w:tcPr>
          <w:p>
            <w:pPr>
              <w:spacing w:after="0"/>
              <w:rPr>
                <w:sz w:val="1"/>
                <w:szCs w:val="1"/>
                <w:color w:val="auto"/>
              </w:rPr>
            </w:pPr>
          </w:p>
        </w:tc>
      </w:tr>
      <w:tr>
        <w:trPr>
          <w:trHeight w:val="186"/>
        </w:trPr>
        <w:tc>
          <w:tcPr>
            <w:tcW w:w="860" w:type="dxa"/>
            <w:vAlign w:val="bottom"/>
          </w:tcPr>
          <w:p>
            <w:pPr>
              <w:jc w:val="right"/>
              <w:spacing w:after="0" w:line="186" w:lineRule="exact"/>
              <w:rPr>
                <w:sz w:val="20"/>
                <w:szCs w:val="20"/>
                <w:color w:val="auto"/>
              </w:rPr>
            </w:pPr>
            <w:r>
              <w:rPr>
                <w:rFonts w:ascii="Calibri" w:cs="Calibri" w:eastAsia="Calibri" w:hAnsi="Calibri"/>
                <w:sz w:val="18"/>
                <w:szCs w:val="18"/>
                <w:color w:val="auto"/>
              </w:rPr>
              <w:t>104</w:t>
            </w: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80" w:type="dxa"/>
            <w:vAlign w:val="bottom"/>
            <w:gridSpan w:val="17"/>
          </w:tcPr>
          <w:p>
            <w:pPr>
              <w:spacing w:after="0" w:line="186" w:lineRule="exact"/>
              <w:rPr>
                <w:sz w:val="20"/>
                <w:szCs w:val="20"/>
                <w:color w:val="auto"/>
              </w:rPr>
            </w:pPr>
            <w:r>
              <w:rPr>
                <w:rFonts w:ascii="Calibri" w:cs="Calibri" w:eastAsia="Calibri" w:hAnsi="Calibri"/>
                <w:sz w:val="18"/>
                <w:szCs w:val="18"/>
                <w:color w:val="auto"/>
              </w:rPr>
              <w:t>Cover Page Interactve Data File - the cover page</w:t>
            </w:r>
          </w:p>
        </w:tc>
        <w:tc>
          <w:tcPr>
            <w:tcW w:w="1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center"/>
              <w:spacing w:after="0" w:line="186" w:lineRule="exact"/>
              <w:rPr>
                <w:sz w:val="20"/>
                <w:szCs w:val="20"/>
                <w:color w:val="auto"/>
              </w:rPr>
            </w:pPr>
            <w:r>
              <w:rPr>
                <w:rFonts w:ascii="Calibri" w:cs="Calibri" w:eastAsia="Calibri" w:hAnsi="Calibri"/>
                <w:sz w:val="18"/>
                <w:szCs w:val="18"/>
                <w:color w:val="auto"/>
              </w:rPr>
              <w:t>X</w:t>
            </w:r>
          </w:p>
        </w:tc>
        <w:tc>
          <w:tcPr>
            <w:tcW w:w="0" w:type="dxa"/>
            <w:vAlign w:val="bottom"/>
          </w:tcPr>
          <w:p>
            <w:pPr>
              <w:spacing w:after="0"/>
              <w:rPr>
                <w:sz w:val="1"/>
                <w:szCs w:val="1"/>
                <w:color w:val="auto"/>
              </w:rPr>
            </w:pPr>
          </w:p>
        </w:tc>
      </w:tr>
      <w:tr>
        <w:trPr>
          <w:trHeight w:val="210"/>
        </w:trPr>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80" w:type="dxa"/>
            <w:vAlign w:val="bottom"/>
            <w:gridSpan w:val="17"/>
          </w:tcPr>
          <w:p>
            <w:pPr>
              <w:spacing w:after="0" w:line="210" w:lineRule="exact"/>
              <w:rPr>
                <w:sz w:val="20"/>
                <w:szCs w:val="20"/>
                <w:color w:val="auto"/>
              </w:rPr>
            </w:pPr>
            <w:r>
              <w:rPr>
                <w:rFonts w:ascii="Calibri" w:cs="Calibri" w:eastAsia="Calibri" w:hAnsi="Calibri"/>
                <w:sz w:val="18"/>
                <w:szCs w:val="18"/>
                <w:color w:val="auto"/>
              </w:rPr>
              <w:t>interactve data fle does not appear in the</w:t>
            </w:r>
          </w:p>
        </w:tc>
        <w:tc>
          <w:tcPr>
            <w:tcW w:w="1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ind w:left="1180"/>
        <w:spacing w:after="0" w:line="197" w:lineRule="auto"/>
        <w:rPr>
          <w:sz w:val="20"/>
          <w:szCs w:val="20"/>
          <w:color w:val="auto"/>
        </w:rPr>
      </w:pPr>
      <w:r>
        <w:rPr>
          <w:rFonts w:ascii="Calibri" w:cs="Calibri" w:eastAsia="Calibri" w:hAnsi="Calibri"/>
          <w:sz w:val="18"/>
          <w:szCs w:val="18"/>
          <w:color w:val="auto"/>
        </w:rPr>
        <w:t>Interactve Data File because its XBRL tags are</w:t>
      </w:r>
    </w:p>
    <w:p>
      <w:pPr>
        <w:ind w:left="1180"/>
        <w:spacing w:after="0" w:line="192" w:lineRule="auto"/>
        <w:rPr>
          <w:sz w:val="20"/>
          <w:szCs w:val="20"/>
          <w:color w:val="auto"/>
        </w:rPr>
      </w:pPr>
      <w:r>
        <w:rPr>
          <w:rFonts w:ascii="Calibri" w:cs="Calibri" w:eastAsia="Calibri" w:hAnsi="Calibri"/>
          <w:sz w:val="18"/>
          <w:szCs w:val="18"/>
          <w:color w:val="auto"/>
        </w:rPr>
        <w:t>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13970</wp:posOffset>
            </wp:positionV>
            <wp:extent cx="53657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85">
                      <a:extLst>
                        <a:ext uri="{28A0092B-C50C-407E-A947-70E740481C1C}"/>
                      </a:extLst>
                    </a:blip>
                    <a:srcRect/>
                    <a:stretch>
                      <a:fillRect/>
                    </a:stretch>
                  </pic:blipFill>
                  <pic:spPr bwMode="auto">
                    <a:xfrm>
                      <a:off x="0" y="0"/>
                      <a:ext cx="536575" cy="8255"/>
                    </a:xfrm>
                    <a:prstGeom prst="rect">
                      <a:avLst/>
                    </a:prstGeom>
                    <a:noFill/>
                  </pic:spPr>
                </pic:pic>
              </a:graphicData>
            </a:graphic>
          </wp:anchor>
        </w:drawing>
      </w:r>
    </w:p>
    <w:p>
      <w:pPr>
        <w:spacing w:after="0" w:line="315" w:lineRule="exact"/>
        <w:rPr>
          <w:sz w:val="20"/>
          <w:szCs w:val="20"/>
          <w:color w:val="auto"/>
        </w:rPr>
      </w:pPr>
    </w:p>
    <w:p>
      <w:pPr>
        <w:spacing w:after="0"/>
        <w:rPr>
          <w:sz w:val="20"/>
          <w:szCs w:val="20"/>
          <w:color w:val="auto"/>
        </w:rPr>
      </w:pPr>
      <w:r>
        <w:rPr>
          <w:rFonts w:ascii="Calibri" w:cs="Calibri" w:eastAsia="Calibri" w:hAnsi="Calibri"/>
          <w:sz w:val="18"/>
          <w:szCs w:val="18"/>
          <w:color w:val="auto"/>
        </w:rPr>
        <w:t>Notes:</w:t>
      </w:r>
    </w:p>
    <w:p>
      <w:pPr>
        <w:spacing w:after="0" w:line="31" w:lineRule="exact"/>
        <w:rPr>
          <w:sz w:val="20"/>
          <w:szCs w:val="20"/>
          <w:color w:val="auto"/>
        </w:rPr>
      </w:pPr>
    </w:p>
    <w:p>
      <w:pPr>
        <w:ind w:left="480" w:hanging="457"/>
        <w:spacing w:after="0"/>
        <w:tabs>
          <w:tab w:leader="none" w:pos="480" w:val="left"/>
        </w:tabs>
        <w:numPr>
          <w:ilvl w:val="0"/>
          <w:numId w:val="32"/>
        </w:numPr>
        <w:rPr>
          <w:rFonts w:ascii="Calibri" w:cs="Calibri" w:eastAsia="Calibri" w:hAnsi="Calibri"/>
          <w:sz w:val="18"/>
          <w:szCs w:val="18"/>
          <w:color w:val="auto"/>
        </w:rPr>
      </w:pPr>
      <w:r>
        <w:rPr>
          <w:rFonts w:ascii="Calibri" w:cs="Calibri" w:eastAsia="Calibri" w:hAnsi="Calibri"/>
          <w:sz w:val="18"/>
          <w:szCs w:val="18"/>
          <w:color w:val="auto"/>
        </w:rPr>
        <w:t>Indicates a management contract or compensatory plan or arrangement.</w:t>
      </w:r>
    </w:p>
    <w:p>
      <w:pPr>
        <w:spacing w:after="0" w:line="14" w:lineRule="exact"/>
        <w:rPr>
          <w:sz w:val="20"/>
          <w:szCs w:val="20"/>
          <w:color w:val="auto"/>
        </w:rPr>
      </w:pPr>
    </w:p>
    <w:p>
      <w:pPr>
        <w:ind w:left="480" w:right="420" w:hanging="457"/>
        <w:spacing w:after="0" w:line="208" w:lineRule="auto"/>
        <w:tabs>
          <w:tab w:leader="none" w:pos="480" w:val="left"/>
        </w:tabs>
        <w:numPr>
          <w:ilvl w:val="0"/>
          <w:numId w:val="33"/>
        </w:numPr>
        <w:rPr>
          <w:rFonts w:ascii="Calibri" w:cs="Calibri" w:eastAsia="Calibri" w:hAnsi="Calibri"/>
          <w:sz w:val="18"/>
          <w:szCs w:val="18"/>
          <w:color w:val="auto"/>
        </w:rPr>
      </w:pPr>
      <w:r>
        <w:rPr>
          <w:rFonts w:ascii="Calibri" w:cs="Calibri" w:eastAsia="Calibri" w:hAnsi="Calibri"/>
          <w:sz w:val="18"/>
          <w:szCs w:val="18"/>
          <w:color w:val="auto"/>
        </w:rPr>
        <w:t>Schedules have been omited pursuant to Item 601(b)(2) of Regulaton S-K. Broadcom Inc. hereby undertakes to furnish supplementally copies of any omited schedules upon request by the SEC.</w:t>
      </w:r>
    </w:p>
    <w:p>
      <w:pPr>
        <w:spacing w:after="0" w:line="19" w:lineRule="exact"/>
        <w:rPr>
          <w:sz w:val="20"/>
          <w:szCs w:val="20"/>
          <w:color w:val="auto"/>
        </w:rPr>
      </w:pPr>
    </w:p>
    <w:p>
      <w:pPr>
        <w:ind w:left="480" w:hanging="457"/>
        <w:spacing w:after="0"/>
        <w:tabs>
          <w:tab w:leader="none" w:pos="480" w:val="left"/>
        </w:tabs>
        <w:numPr>
          <w:ilvl w:val="0"/>
          <w:numId w:val="34"/>
        </w:numPr>
        <w:rPr>
          <w:rFonts w:ascii="Calibri" w:cs="Calibri" w:eastAsia="Calibri" w:hAnsi="Calibri"/>
          <w:sz w:val="18"/>
          <w:szCs w:val="18"/>
          <w:color w:val="auto"/>
        </w:rPr>
      </w:pPr>
      <w:r>
        <w:rPr>
          <w:rFonts w:ascii="Calibri" w:cs="Calibri" w:eastAsia="Calibri" w:hAnsi="Calibri"/>
          <w:sz w:val="18"/>
          <w:szCs w:val="18"/>
          <w:color w:val="auto"/>
        </w:rPr>
        <w:t>Certain informaton omited pursuant to a request for confdental treatment fled with the SEC.</w:t>
      </w:r>
    </w:p>
    <w:p>
      <w:pPr>
        <w:spacing w:after="0" w:line="200" w:lineRule="exact"/>
        <w:rPr>
          <w:sz w:val="20"/>
          <w:szCs w:val="20"/>
          <w:color w:val="auto"/>
        </w:rPr>
      </w:pPr>
    </w:p>
    <w:p>
      <w:pPr>
        <w:spacing w:after="0" w:line="214" w:lineRule="exact"/>
        <w:rPr>
          <w:sz w:val="20"/>
          <w:szCs w:val="20"/>
          <w:color w:val="auto"/>
        </w:rPr>
      </w:pPr>
    </w:p>
    <w:p>
      <w:pPr>
        <w:spacing w:after="0"/>
        <w:tabs>
          <w:tab w:leader="none" w:pos="1080" w:val="left"/>
        </w:tabs>
        <w:rPr>
          <w:sz w:val="20"/>
          <w:szCs w:val="20"/>
          <w:color w:val="auto"/>
        </w:rPr>
      </w:pPr>
      <w:r>
        <w:rPr>
          <w:rFonts w:ascii="Calibri" w:cs="Calibri" w:eastAsia="Calibri" w:hAnsi="Calibri"/>
          <w:sz w:val="18"/>
          <w:szCs w:val="18"/>
          <w:b w:val="1"/>
          <w:bCs w:val="1"/>
          <w:color w:val="auto"/>
        </w:rPr>
        <w:t>ITEM 16.</w:t>
      </w:r>
      <w:r>
        <w:rPr>
          <w:sz w:val="20"/>
          <w:szCs w:val="20"/>
          <w:color w:val="auto"/>
        </w:rPr>
        <w:tab/>
      </w:r>
      <w:r>
        <w:rPr>
          <w:rFonts w:ascii="Calibri" w:cs="Calibri" w:eastAsia="Calibri" w:hAnsi="Calibri"/>
          <w:sz w:val="17"/>
          <w:szCs w:val="17"/>
          <w:b w:val="1"/>
          <w:bCs w:val="1"/>
          <w:color w:val="auto"/>
        </w:rPr>
        <w:t>FORM 10-K SUMMARY</w:t>
      </w:r>
    </w:p>
    <w:p>
      <w:pPr>
        <w:spacing w:after="0" w:line="97" w:lineRule="exact"/>
        <w:rPr>
          <w:sz w:val="20"/>
          <w:szCs w:val="20"/>
          <w:color w:val="auto"/>
        </w:rPr>
      </w:pPr>
    </w:p>
    <w:p>
      <w:pPr>
        <w:ind w:left="400"/>
        <w:spacing w:after="0"/>
        <w:rPr>
          <w:sz w:val="20"/>
          <w:szCs w:val="20"/>
          <w:color w:val="auto"/>
        </w:rPr>
      </w:pPr>
      <w:r>
        <w:rPr>
          <w:rFonts w:ascii="Calibri" w:cs="Calibri" w:eastAsia="Calibri" w:hAnsi="Calibri"/>
          <w:sz w:val="18"/>
          <w:szCs w:val="18"/>
          <w:color w:val="auto"/>
        </w:rPr>
        <w:t>None.</w:t>
      </w: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8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9" w:right="339" w:bottom="1440" w:gutter="0" w:footer="0" w:header="0"/>
        </w:sectPr>
      </w:pPr>
    </w:p>
    <w:bookmarkStart w:id="100" w:name="page101"/>
    <w:bookmarkEnd w:id="100"/>
    <w:p>
      <w:pPr>
        <w:spacing w:after="0"/>
        <w:rPr>
          <w:sz w:val="20"/>
          <w:szCs w:val="20"/>
          <w:color w:val="auto"/>
        </w:rPr>
      </w:pPr>
      <w:r>
        <w:rPr>
          <w:rFonts w:ascii="Calibri" w:cs="Calibri" w:eastAsia="Calibri" w:hAnsi="Calibri"/>
          <w:sz w:val="18"/>
          <w:szCs w:val="18"/>
          <w:u w:val="single" w:color="auto"/>
          <w:color w:val="0000FF"/>
        </w:rPr>
        <w:t>Table of Contents</w:t>
      </w:r>
    </w:p>
    <w:p>
      <w:pPr>
        <w:spacing w:after="0" w:line="200" w:lineRule="exact"/>
        <w:rPr>
          <w:sz w:val="20"/>
          <w:szCs w:val="20"/>
          <w:color w:val="auto"/>
        </w:rPr>
      </w:pPr>
    </w:p>
    <w:p>
      <w:pPr>
        <w:spacing w:after="0" w:line="373" w:lineRule="exact"/>
        <w:rPr>
          <w:sz w:val="20"/>
          <w:szCs w:val="20"/>
          <w:color w:val="auto"/>
        </w:rPr>
      </w:pPr>
    </w:p>
    <w:p>
      <w:pPr>
        <w:jc w:val="center"/>
        <w:ind w:right="-119"/>
        <w:spacing w:after="0"/>
        <w:rPr>
          <w:sz w:val="20"/>
          <w:szCs w:val="20"/>
          <w:color w:val="auto"/>
        </w:rPr>
      </w:pPr>
      <w:r>
        <w:rPr>
          <w:rFonts w:ascii="Calibri" w:cs="Calibri" w:eastAsia="Calibri" w:hAnsi="Calibri"/>
          <w:sz w:val="18"/>
          <w:szCs w:val="18"/>
          <w:b w:val="1"/>
          <w:bCs w:val="1"/>
          <w:color w:val="auto"/>
        </w:rPr>
        <w:t>SIGNATURES</w:t>
      </w:r>
    </w:p>
    <w:p>
      <w:pPr>
        <w:spacing w:after="0" w:line="120" w:lineRule="exact"/>
        <w:rPr>
          <w:sz w:val="20"/>
          <w:szCs w:val="20"/>
          <w:color w:val="auto"/>
        </w:rPr>
      </w:pPr>
    </w:p>
    <w:p>
      <w:pPr>
        <w:ind w:right="140" w:firstLine="396"/>
        <w:spacing w:after="0" w:line="230" w:lineRule="auto"/>
        <w:rPr>
          <w:sz w:val="20"/>
          <w:szCs w:val="20"/>
          <w:color w:val="auto"/>
        </w:rPr>
      </w:pPr>
      <w:r>
        <w:rPr>
          <w:rFonts w:ascii="Calibri" w:cs="Calibri" w:eastAsia="Calibri" w:hAnsi="Calibri"/>
          <w:sz w:val="18"/>
          <w:szCs w:val="18"/>
          <w:color w:val="auto"/>
        </w:rPr>
        <w:t>Pursuant to the requirements of Secton 13 or 15(d) of the Securites Exchange Act of 1934, the Registrant has duly caused this report to be signed on its behalf by the undersigned, thereunto duly authorized.</w:t>
      </w:r>
    </w:p>
    <w:p>
      <w:pPr>
        <w:spacing w:after="0" w:line="31" w:lineRule="exact"/>
        <w:rPr>
          <w:sz w:val="20"/>
          <w:szCs w:val="20"/>
          <w:color w:val="auto"/>
        </w:rPr>
      </w:pPr>
    </w:p>
    <w:p>
      <w:pPr>
        <w:ind w:left="6160"/>
        <w:spacing w:after="0"/>
        <w:rPr>
          <w:sz w:val="20"/>
          <w:szCs w:val="20"/>
          <w:color w:val="auto"/>
        </w:rPr>
      </w:pPr>
      <w:r>
        <w:rPr>
          <w:rFonts w:ascii="Calibri" w:cs="Calibri" w:eastAsia="Calibri" w:hAnsi="Calibri"/>
          <w:sz w:val="18"/>
          <w:szCs w:val="18"/>
          <w:color w:val="auto"/>
        </w:rPr>
        <w:t>BROADCOM INC.</w:t>
      </w:r>
    </w:p>
    <w:p>
      <w:pPr>
        <w:spacing w:after="0" w:line="256" w:lineRule="exact"/>
        <w:rPr>
          <w:sz w:val="20"/>
          <w:szCs w:val="20"/>
          <w:color w:val="auto"/>
        </w:rPr>
      </w:pPr>
    </w:p>
    <w:p>
      <w:pPr>
        <w:ind w:left="6160"/>
        <w:spacing w:after="0"/>
        <w:tabs>
          <w:tab w:leader="none" w:pos="6600" w:val="left"/>
        </w:tabs>
        <w:rPr>
          <w:sz w:val="20"/>
          <w:szCs w:val="20"/>
          <w:color w:val="auto"/>
        </w:rPr>
      </w:pPr>
      <w:r>
        <w:rPr>
          <w:rFonts w:ascii="Calibri" w:cs="Calibri" w:eastAsia="Calibri" w:hAnsi="Calibri"/>
          <w:sz w:val="18"/>
          <w:szCs w:val="18"/>
          <w:color w:val="auto"/>
        </w:rPr>
        <w:t>By:</w:t>
      </w:r>
      <w:r>
        <w:rPr>
          <w:sz w:val="20"/>
          <w:szCs w:val="20"/>
          <w:color w:val="auto"/>
        </w:rPr>
        <w:tab/>
      </w:r>
      <w:r>
        <w:rPr>
          <w:rFonts w:ascii="Calibri" w:cs="Calibri" w:eastAsia="Calibri" w:hAnsi="Calibri"/>
          <w:sz w:val="18"/>
          <w:szCs w:val="18"/>
          <w:b w:val="1"/>
          <w:bCs w:val="1"/>
          <w:color w:val="auto"/>
        </w:rPr>
        <w:t>/s/ Hock E. Tan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4196080</wp:posOffset>
            </wp:positionH>
            <wp:positionV relativeFrom="paragraph">
              <wp:posOffset>13970</wp:posOffset>
            </wp:positionV>
            <wp:extent cx="292608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87">
                      <a:extLst>
                        <a:ext uri="{28A0092B-C50C-407E-A947-70E740481C1C}"/>
                      </a:extLst>
                    </a:blip>
                    <a:srcRect/>
                    <a:stretch>
                      <a:fillRect/>
                    </a:stretch>
                  </pic:blipFill>
                  <pic:spPr bwMode="auto">
                    <a:xfrm>
                      <a:off x="0" y="0"/>
                      <a:ext cx="2926080" cy="8255"/>
                    </a:xfrm>
                    <a:prstGeom prst="rect">
                      <a:avLst/>
                    </a:prstGeom>
                    <a:noFill/>
                  </pic:spPr>
                </pic:pic>
              </a:graphicData>
            </a:graphic>
          </wp:anchor>
        </w:drawing>
      </w:r>
    </w:p>
    <w:p>
      <w:pPr>
        <w:sectPr>
          <w:pgSz w:w="11900" w:h="16838" w:orient="portrait"/>
          <w:cols w:equalWidth="0" w:num="1">
            <w:col w:w="11120"/>
          </w:cols>
          <w:pgMar w:left="320" w:top="109" w:right="459" w:bottom="1440" w:gutter="0" w:footer="0" w:header="0"/>
        </w:sectPr>
      </w:pPr>
    </w:p>
    <w:p>
      <w:pPr>
        <w:spacing w:after="0" w:line="28" w:lineRule="exact"/>
        <w:rPr>
          <w:sz w:val="20"/>
          <w:szCs w:val="20"/>
          <w:color w:val="auto"/>
        </w:rPr>
      </w:pPr>
    </w:p>
    <w:p>
      <w:pPr>
        <w:ind w:left="6620"/>
        <w:spacing w:after="0"/>
        <w:rPr>
          <w:sz w:val="20"/>
          <w:szCs w:val="20"/>
          <w:color w:val="auto"/>
        </w:rPr>
      </w:pPr>
      <w:r>
        <w:rPr>
          <w:rFonts w:ascii="Calibri" w:cs="Calibri" w:eastAsia="Calibri" w:hAnsi="Calibri"/>
          <w:sz w:val="17"/>
          <w:szCs w:val="17"/>
          <w:b w:val="1"/>
          <w:bCs w:val="1"/>
          <w:color w:val="auto"/>
        </w:rPr>
        <w:t>Name:</w:t>
      </w:r>
    </w:p>
    <w:p>
      <w:pPr>
        <w:spacing w:after="0" w:line="20" w:lineRule="exact"/>
        <w:rPr>
          <w:sz w:val="20"/>
          <w:szCs w:val="20"/>
          <w:color w:val="auto"/>
        </w:rPr>
      </w:pPr>
      <w:r>
        <w:rPr>
          <w:sz w:val="20"/>
          <w:szCs w:val="20"/>
          <w:color w:val="auto"/>
        </w:rPr>
        <w:br w:type="column"/>
      </w:r>
    </w:p>
    <w:p>
      <w:pPr>
        <w:spacing w:after="0" w:line="8" w:lineRule="exact"/>
        <w:rPr>
          <w:sz w:val="20"/>
          <w:szCs w:val="20"/>
          <w:color w:val="auto"/>
        </w:rPr>
      </w:pPr>
    </w:p>
    <w:p>
      <w:pPr>
        <w:spacing w:after="0"/>
        <w:rPr>
          <w:sz w:val="20"/>
          <w:szCs w:val="20"/>
          <w:color w:val="auto"/>
        </w:rPr>
      </w:pPr>
      <w:r>
        <w:rPr>
          <w:rFonts w:ascii="Calibri" w:cs="Calibri" w:eastAsia="Calibri" w:hAnsi="Calibri"/>
          <w:sz w:val="17"/>
          <w:szCs w:val="17"/>
          <w:b w:val="1"/>
          <w:bCs w:val="1"/>
          <w:color w:val="auto"/>
        </w:rPr>
        <w:t>Hock E. Tan</w:t>
      </w:r>
    </w:p>
    <w:p>
      <w:pPr>
        <w:spacing w:after="0" w:line="17" w:lineRule="exact"/>
        <w:rPr>
          <w:sz w:val="20"/>
          <w:szCs w:val="20"/>
          <w:color w:val="auto"/>
        </w:rPr>
      </w:pPr>
    </w:p>
    <w:p>
      <w:pPr>
        <w:sectPr>
          <w:pgSz w:w="11900" w:h="16838" w:orient="portrait"/>
          <w:cols w:equalWidth="0" w:num="2">
            <w:col w:w="7100" w:space="300"/>
            <w:col w:w="3720"/>
          </w:cols>
          <w:pgMar w:left="320" w:top="109" w:right="459" w:bottom="1440" w:gutter="0" w:footer="0" w:header="0"/>
          <w:type w:val="continuous"/>
        </w:sectPr>
      </w:pPr>
    </w:p>
    <w:p>
      <w:pPr>
        <w:ind w:left="6620"/>
        <w:spacing w:after="0"/>
        <w:rPr>
          <w:sz w:val="20"/>
          <w:szCs w:val="20"/>
          <w:color w:val="auto"/>
        </w:rPr>
      </w:pPr>
      <w:r>
        <w:rPr>
          <w:rFonts w:ascii="Calibri" w:cs="Calibri" w:eastAsia="Calibri" w:hAnsi="Calibri"/>
          <w:sz w:val="17"/>
          <w:szCs w:val="17"/>
          <w:b w:val="1"/>
          <w:bCs w:val="1"/>
          <w:color w:val="auto"/>
        </w:rPr>
        <w:t>Title: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alibri" w:cs="Calibri" w:eastAsia="Calibri" w:hAnsi="Calibri"/>
          <w:sz w:val="17"/>
          <w:szCs w:val="17"/>
          <w:b w:val="1"/>
          <w:bCs w:val="1"/>
          <w:color w:val="auto"/>
        </w:rPr>
        <w:t>President and Chief Executve Ofcer</w:t>
      </w:r>
    </w:p>
    <w:p>
      <w:pPr>
        <w:spacing w:after="0" w:line="200" w:lineRule="exact"/>
        <w:rPr>
          <w:sz w:val="20"/>
          <w:szCs w:val="20"/>
          <w:color w:val="auto"/>
        </w:rPr>
      </w:pPr>
    </w:p>
    <w:p>
      <w:pPr>
        <w:sectPr>
          <w:pgSz w:w="11900" w:h="16838" w:orient="portrait"/>
          <w:cols w:equalWidth="0" w:num="2">
            <w:col w:w="6980" w:space="420"/>
            <w:col w:w="3720"/>
          </w:cols>
          <w:pgMar w:left="320" w:top="109" w:right="459" w:bottom="1440" w:gutter="0" w:footer="0" w:header="0"/>
          <w:type w:val="continuous"/>
        </w:sectPr>
      </w:pPr>
    </w:p>
    <w:p>
      <w:pPr>
        <w:spacing w:after="0" w:line="98" w:lineRule="exact"/>
        <w:rPr>
          <w:sz w:val="20"/>
          <w:szCs w:val="20"/>
          <w:color w:val="auto"/>
        </w:rPr>
      </w:pPr>
    </w:p>
    <w:p>
      <w:pPr>
        <w:spacing w:after="0"/>
        <w:rPr>
          <w:sz w:val="20"/>
          <w:szCs w:val="20"/>
          <w:color w:val="auto"/>
        </w:rPr>
      </w:pPr>
      <w:r>
        <w:rPr>
          <w:rFonts w:ascii="Calibri" w:cs="Calibri" w:eastAsia="Calibri" w:hAnsi="Calibri"/>
          <w:sz w:val="18"/>
          <w:szCs w:val="18"/>
          <w:color w:val="auto"/>
        </w:rPr>
        <w:t>Date: December 14, 2023</w:t>
      </w:r>
    </w:p>
    <w:p>
      <w:pPr>
        <w:spacing w:after="0" w:line="335" w:lineRule="exact"/>
        <w:rPr>
          <w:sz w:val="20"/>
          <w:szCs w:val="20"/>
          <w:color w:val="auto"/>
        </w:rPr>
      </w:pPr>
    </w:p>
    <w:p>
      <w:pPr>
        <w:jc w:val="center"/>
        <w:ind w:right="-139"/>
        <w:spacing w:after="0"/>
        <w:rPr>
          <w:sz w:val="20"/>
          <w:szCs w:val="20"/>
          <w:color w:val="auto"/>
        </w:rPr>
      </w:pPr>
      <w:r>
        <w:rPr>
          <w:rFonts w:ascii="Calibri" w:cs="Calibri" w:eastAsia="Calibri" w:hAnsi="Calibri"/>
          <w:sz w:val="18"/>
          <w:szCs w:val="18"/>
          <w:b w:val="1"/>
          <w:bCs w:val="1"/>
          <w:color w:val="auto"/>
        </w:rPr>
        <w:t>POWER OF ATTORNEY</w:t>
      </w:r>
    </w:p>
    <w:p>
      <w:pPr>
        <w:spacing w:after="0" w:line="120" w:lineRule="exact"/>
        <w:rPr>
          <w:sz w:val="20"/>
          <w:szCs w:val="20"/>
          <w:color w:val="auto"/>
        </w:rPr>
      </w:pPr>
    </w:p>
    <w:p>
      <w:pPr>
        <w:ind w:firstLine="396"/>
        <w:spacing w:after="0" w:line="230" w:lineRule="auto"/>
        <w:rPr>
          <w:sz w:val="20"/>
          <w:szCs w:val="20"/>
          <w:color w:val="auto"/>
        </w:rPr>
      </w:pPr>
      <w:r>
        <w:rPr>
          <w:rFonts w:ascii="Calibri" w:cs="Calibri" w:eastAsia="Calibri" w:hAnsi="Calibri"/>
          <w:sz w:val="18"/>
          <w:szCs w:val="18"/>
          <w:color w:val="auto"/>
        </w:rPr>
        <w:t>Each person whose individual signature appears below hereby authorizes and appoints Hock E. Tan, Kirsten M. Spears and Mark D. Brazeal, and each of them, with full power of substtuton and resubsttuton and full power to act without the other, as his or her true and lawful atorney-in-fact and agent to act in his or her name, place and stead and to execute in the name and on behalf of each person, individually and in each capacity stated below, and to fle any and all amendments to this Annual Report on Form 10-K, and to fle the same, with all exhibits thereto, and other documents in connecton therewith, with the Securites and Exchange Commission, grantng unto said atorneys-in-fact and agents, and each of them, full power and authority to do and perform each and every act and thing, ratfying and confrming all that said atorneys-in-fact and agents or any of them or their or his substtute or substtutes may lawfully do or cause to be done by virtue thereof.</w:t>
      </w:r>
    </w:p>
    <w:p>
      <w:pPr>
        <w:spacing w:after="0" w:line="200" w:lineRule="exact"/>
        <w:rPr>
          <w:sz w:val="20"/>
          <w:szCs w:val="20"/>
          <w:color w:val="auto"/>
        </w:rPr>
      </w:pPr>
    </w:p>
    <w:p>
      <w:pPr>
        <w:spacing w:after="0" w:line="376" w:lineRule="exact"/>
        <w:rPr>
          <w:sz w:val="20"/>
          <w:szCs w:val="20"/>
          <w:color w:val="auto"/>
        </w:rPr>
      </w:pPr>
    </w:p>
    <w:p>
      <w:pPr>
        <w:jc w:val="center"/>
        <w:ind w:right="-139"/>
        <w:spacing w:after="0"/>
        <w:rPr>
          <w:sz w:val="20"/>
          <w:szCs w:val="20"/>
          <w:color w:val="auto"/>
        </w:rPr>
      </w:pPr>
      <w:r>
        <w:rPr>
          <w:rFonts w:ascii="Calibri" w:cs="Calibri" w:eastAsia="Calibri" w:hAnsi="Calibri"/>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8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120"/>
          </w:cols>
          <w:pgMar w:left="320" w:top="109" w:right="459" w:bottom="1440" w:gutter="0" w:footer="0" w:header="0"/>
          <w:type w:val="continuous"/>
        </w:sectPr>
      </w:pPr>
    </w:p>
    <w:bookmarkStart w:id="101" w:name="page102"/>
    <w:bookmarkEnd w:id="101"/>
    <w:p>
      <w:pPr>
        <w:spacing w:after="0"/>
        <w:rPr>
          <w:sz w:val="20"/>
          <w:szCs w:val="20"/>
          <w:color w:val="auto"/>
        </w:rPr>
      </w:pPr>
      <w:r>
        <w:rPr>
          <w:rFonts w:ascii="Calibri" w:cs="Calibri" w:eastAsia="Calibri" w:hAnsi="Calibri"/>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firstLine="396"/>
        <w:spacing w:after="0" w:line="230" w:lineRule="auto"/>
        <w:rPr>
          <w:sz w:val="20"/>
          <w:szCs w:val="20"/>
          <w:color w:val="auto"/>
        </w:rPr>
      </w:pPr>
      <w:r>
        <w:rPr>
          <w:rFonts w:ascii="Calibri" w:cs="Calibri" w:eastAsia="Calibri" w:hAnsi="Calibri"/>
          <w:sz w:val="18"/>
          <w:szCs w:val="18"/>
          <w:color w:val="auto"/>
        </w:rPr>
        <w:t>Pursuant to the requirements of the Securites Exchange Act of 1934, this Annual Report on Form 10-K has been signed by the following persons on behalf of the Registrant in the capacites indicated and on the dates indicated.</w:t>
      </w:r>
    </w:p>
    <w:p>
      <w:pPr>
        <w:spacing w:after="0" w:line="36" w:lineRule="exact"/>
        <w:rPr>
          <w:sz w:val="20"/>
          <w:szCs w:val="20"/>
          <w:color w:val="auto"/>
        </w:rPr>
      </w:pPr>
    </w:p>
    <w:p>
      <w:pPr>
        <w:ind w:left="1480"/>
        <w:spacing w:after="0"/>
        <w:tabs>
          <w:tab w:leader="none" w:pos="6060" w:val="left"/>
          <w:tab w:leader="none" w:pos="9580" w:val="left"/>
        </w:tabs>
        <w:rPr>
          <w:sz w:val="20"/>
          <w:szCs w:val="20"/>
          <w:color w:val="auto"/>
        </w:rPr>
      </w:pPr>
      <w:r>
        <w:rPr>
          <w:rFonts w:ascii="Calibri" w:cs="Calibri" w:eastAsia="Calibri" w:hAnsi="Calibri"/>
          <w:sz w:val="16"/>
          <w:szCs w:val="16"/>
          <w:b w:val="1"/>
          <w:bCs w:val="1"/>
          <w:u w:val="single" w:color="auto"/>
          <w:color w:val="auto"/>
        </w:rPr>
        <w:t>Signature</w:t>
      </w:r>
      <w:r>
        <w:rPr>
          <w:sz w:val="20"/>
          <w:szCs w:val="20"/>
          <w:color w:val="auto"/>
        </w:rPr>
        <w:tab/>
      </w:r>
      <w:r>
        <w:rPr>
          <w:rFonts w:ascii="Calibri" w:cs="Calibri" w:eastAsia="Calibri" w:hAnsi="Calibri"/>
          <w:sz w:val="16"/>
          <w:szCs w:val="16"/>
          <w:b w:val="1"/>
          <w:bCs w:val="1"/>
          <w:u w:val="single" w:color="auto"/>
          <w:color w:val="auto"/>
        </w:rPr>
        <w:t>Title</w:t>
      </w:r>
      <w:r>
        <w:rPr>
          <w:sz w:val="20"/>
          <w:szCs w:val="20"/>
          <w:color w:val="auto"/>
        </w:rPr>
        <w:tab/>
      </w:r>
      <w:r>
        <w:rPr>
          <w:rFonts w:ascii="Calibri" w:cs="Calibri" w:eastAsia="Calibri" w:hAnsi="Calibri"/>
          <w:sz w:val="16"/>
          <w:szCs w:val="16"/>
          <w:b w:val="1"/>
          <w:bCs w:val="1"/>
          <w:u w:val="single" w:color="auto"/>
          <w:color w:val="auto"/>
        </w:rPr>
        <w:t>Date</w:t>
      </w:r>
    </w:p>
    <w:p>
      <w:pPr>
        <w:sectPr>
          <w:pgSz w:w="11900" w:h="16838" w:orient="portrait"/>
          <w:cols w:equalWidth="0" w:num="1">
            <w:col w:w="11120"/>
          </w:cols>
          <w:pgMar w:left="320" w:top="109" w:right="459" w:bottom="1440" w:gutter="0" w:footer="0" w:header="0"/>
        </w:sectPr>
      </w:pP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600" w:type="dxa"/>
            <w:vAlign w:val="bottom"/>
            <w:vMerge w:val="restart"/>
          </w:tcPr>
          <w:p>
            <w:pPr>
              <w:jc w:val="center"/>
              <w:spacing w:after="0"/>
              <w:rPr>
                <w:sz w:val="20"/>
                <w:szCs w:val="20"/>
                <w:color w:val="auto"/>
              </w:rPr>
            </w:pPr>
            <w:r>
              <w:rPr>
                <w:rFonts w:ascii="Calibri" w:cs="Calibri" w:eastAsia="Calibri" w:hAnsi="Calibri"/>
                <w:sz w:val="16"/>
                <w:szCs w:val="16"/>
                <w:b w:val="1"/>
                <w:bCs w:val="1"/>
                <w:color w:val="auto"/>
                <w:w w:val="99"/>
              </w:rPr>
              <w:t>/s/ Hock E. Tan</w:t>
            </w:r>
          </w:p>
        </w:tc>
        <w:tc>
          <w:tcPr>
            <w:tcW w:w="4540" w:type="dxa"/>
            <w:vAlign w:val="bottom"/>
          </w:tcPr>
          <w:p>
            <w:pPr>
              <w:jc w:val="center"/>
              <w:ind w:left="641"/>
              <w:spacing w:after="0"/>
              <w:rPr>
                <w:sz w:val="20"/>
                <w:szCs w:val="20"/>
                <w:color w:val="auto"/>
              </w:rPr>
            </w:pPr>
            <w:r>
              <w:rPr>
                <w:rFonts w:ascii="Calibri" w:cs="Calibri" w:eastAsia="Calibri" w:hAnsi="Calibri"/>
                <w:sz w:val="16"/>
                <w:szCs w:val="16"/>
                <w:color w:val="auto"/>
              </w:rPr>
              <w:t>President, Chief Executve</w:t>
            </w:r>
          </w:p>
        </w:tc>
        <w:tc>
          <w:tcPr>
            <w:tcW w:w="0" w:type="dxa"/>
            <w:vAlign w:val="bottom"/>
          </w:tcPr>
          <w:p>
            <w:pPr>
              <w:spacing w:after="0"/>
              <w:rPr>
                <w:sz w:val="1"/>
                <w:szCs w:val="1"/>
                <w:color w:val="auto"/>
              </w:rPr>
            </w:pPr>
          </w:p>
        </w:tc>
      </w:tr>
      <w:tr>
        <w:trPr>
          <w:trHeight w:val="83"/>
        </w:trPr>
        <w:tc>
          <w:tcPr>
            <w:tcW w:w="3600" w:type="dxa"/>
            <w:vAlign w:val="bottom"/>
            <w:vMerge w:val="continue"/>
          </w:tcPr>
          <w:p>
            <w:pPr>
              <w:spacing w:after="0"/>
              <w:rPr>
                <w:sz w:val="7"/>
                <w:szCs w:val="7"/>
                <w:color w:val="auto"/>
              </w:rPr>
            </w:pPr>
          </w:p>
        </w:tc>
        <w:tc>
          <w:tcPr>
            <w:tcW w:w="4540" w:type="dxa"/>
            <w:vAlign w:val="bottom"/>
            <w:vMerge w:val="restart"/>
          </w:tcPr>
          <w:p>
            <w:pPr>
              <w:jc w:val="center"/>
              <w:ind w:left="641"/>
              <w:spacing w:after="0" w:line="158" w:lineRule="exact"/>
              <w:rPr>
                <w:sz w:val="20"/>
                <w:szCs w:val="20"/>
                <w:color w:val="auto"/>
              </w:rPr>
            </w:pPr>
            <w:r>
              <w:rPr>
                <w:rFonts w:ascii="Calibri" w:cs="Calibri" w:eastAsia="Calibri" w:hAnsi="Calibri"/>
                <w:sz w:val="16"/>
                <w:szCs w:val="16"/>
                <w:color w:val="auto"/>
              </w:rPr>
              <w:t>Ofcer and Director</w:t>
            </w:r>
          </w:p>
        </w:tc>
        <w:tc>
          <w:tcPr>
            <w:tcW w:w="0" w:type="dxa"/>
            <w:vAlign w:val="bottom"/>
          </w:tcPr>
          <w:p>
            <w:pPr>
              <w:spacing w:after="0"/>
              <w:rPr>
                <w:sz w:val="1"/>
                <w:szCs w:val="1"/>
                <w:color w:val="auto"/>
              </w:rPr>
            </w:pPr>
          </w:p>
        </w:tc>
      </w:tr>
      <w:tr>
        <w:trPr>
          <w:trHeight w:val="28"/>
        </w:trPr>
        <w:tc>
          <w:tcPr>
            <w:tcW w:w="3600" w:type="dxa"/>
            <w:vAlign w:val="bottom"/>
            <w:tcBorders>
              <w:bottom w:val="single" w:sz="8" w:color="auto"/>
            </w:tcBorders>
          </w:tcPr>
          <w:p>
            <w:pPr>
              <w:spacing w:after="0"/>
              <w:rPr>
                <w:sz w:val="2"/>
                <w:szCs w:val="2"/>
                <w:color w:val="auto"/>
              </w:rPr>
            </w:pPr>
          </w:p>
        </w:tc>
        <w:tc>
          <w:tcPr>
            <w:tcW w:w="454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7"/>
        </w:trPr>
        <w:tc>
          <w:tcPr>
            <w:tcW w:w="3600" w:type="dxa"/>
            <w:vAlign w:val="bottom"/>
          </w:tcPr>
          <w:p>
            <w:pPr>
              <w:spacing w:after="0"/>
              <w:rPr>
                <w:sz w:val="2"/>
                <w:szCs w:val="2"/>
                <w:color w:val="auto"/>
              </w:rPr>
            </w:pPr>
          </w:p>
        </w:tc>
        <w:tc>
          <w:tcPr>
            <w:tcW w:w="45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3600" w:type="dxa"/>
            <w:vAlign w:val="bottom"/>
          </w:tcPr>
          <w:p>
            <w:pPr>
              <w:jc w:val="center"/>
              <w:spacing w:after="0" w:line="189" w:lineRule="exact"/>
              <w:rPr>
                <w:sz w:val="20"/>
                <w:szCs w:val="20"/>
                <w:color w:val="auto"/>
              </w:rPr>
            </w:pPr>
            <w:r>
              <w:rPr>
                <w:rFonts w:ascii="Calibri" w:cs="Calibri" w:eastAsia="Calibri" w:hAnsi="Calibri"/>
                <w:sz w:val="16"/>
                <w:szCs w:val="16"/>
                <w:b w:val="1"/>
                <w:bCs w:val="1"/>
                <w:color w:val="auto"/>
                <w:w w:val="98"/>
              </w:rPr>
              <w:t>Hock E. Tan</w:t>
            </w:r>
          </w:p>
        </w:tc>
        <w:tc>
          <w:tcPr>
            <w:tcW w:w="4540" w:type="dxa"/>
            <w:vAlign w:val="bottom"/>
          </w:tcPr>
          <w:p>
            <w:pPr>
              <w:jc w:val="center"/>
              <w:ind w:left="641"/>
              <w:spacing w:after="0" w:line="189" w:lineRule="exact"/>
              <w:rPr>
                <w:sz w:val="20"/>
                <w:szCs w:val="20"/>
                <w:color w:val="auto"/>
              </w:rPr>
            </w:pPr>
            <w:r>
              <w:rPr>
                <w:rFonts w:ascii="Calibri" w:cs="Calibri" w:eastAsia="Calibri" w:hAnsi="Calibri"/>
                <w:sz w:val="16"/>
                <w:szCs w:val="16"/>
                <w:color w:val="auto"/>
              </w:rPr>
              <w:t>(Principal Executve Ofcer)</w:t>
            </w:r>
          </w:p>
        </w:tc>
        <w:tc>
          <w:tcPr>
            <w:tcW w:w="0" w:type="dxa"/>
            <w:vAlign w:val="bottom"/>
          </w:tcPr>
          <w:p>
            <w:pPr>
              <w:spacing w:after="0"/>
              <w:rPr>
                <w:sz w:val="1"/>
                <w:szCs w:val="1"/>
                <w:color w:val="auto"/>
              </w:rPr>
            </w:pPr>
          </w:p>
        </w:tc>
      </w:tr>
      <w:tr>
        <w:trPr>
          <w:trHeight w:val="339"/>
        </w:trPr>
        <w:tc>
          <w:tcPr>
            <w:tcW w:w="3600" w:type="dxa"/>
            <w:vAlign w:val="bottom"/>
          </w:tcPr>
          <w:p>
            <w:pPr>
              <w:spacing w:after="0"/>
              <w:rPr>
                <w:sz w:val="24"/>
                <w:szCs w:val="24"/>
                <w:color w:val="auto"/>
              </w:rPr>
            </w:pPr>
          </w:p>
        </w:tc>
        <w:tc>
          <w:tcPr>
            <w:tcW w:w="4540" w:type="dxa"/>
            <w:vAlign w:val="bottom"/>
          </w:tcPr>
          <w:p>
            <w:pPr>
              <w:jc w:val="center"/>
              <w:ind w:left="661"/>
              <w:spacing w:after="0"/>
              <w:rPr>
                <w:sz w:val="20"/>
                <w:szCs w:val="20"/>
                <w:color w:val="auto"/>
              </w:rPr>
            </w:pPr>
            <w:r>
              <w:rPr>
                <w:rFonts w:ascii="Calibri" w:cs="Calibri" w:eastAsia="Calibri" w:hAnsi="Calibri"/>
                <w:sz w:val="16"/>
                <w:szCs w:val="16"/>
                <w:color w:val="auto"/>
              </w:rPr>
              <w:t>Chief Financial Ofcer</w:t>
            </w:r>
          </w:p>
        </w:tc>
        <w:tc>
          <w:tcPr>
            <w:tcW w:w="0" w:type="dxa"/>
            <w:vAlign w:val="bottom"/>
          </w:tcPr>
          <w:p>
            <w:pPr>
              <w:spacing w:after="0"/>
              <w:rPr>
                <w:sz w:val="1"/>
                <w:szCs w:val="1"/>
                <w:color w:val="auto"/>
              </w:rPr>
            </w:pPr>
          </w:p>
        </w:tc>
      </w:tr>
      <w:tr>
        <w:trPr>
          <w:trHeight w:val="189"/>
        </w:trPr>
        <w:tc>
          <w:tcPr>
            <w:tcW w:w="3600" w:type="dxa"/>
            <w:vAlign w:val="bottom"/>
          </w:tcPr>
          <w:p>
            <w:pPr>
              <w:jc w:val="center"/>
              <w:spacing w:after="0" w:line="189" w:lineRule="exact"/>
              <w:rPr>
                <w:sz w:val="20"/>
                <w:szCs w:val="20"/>
                <w:color w:val="auto"/>
              </w:rPr>
            </w:pPr>
            <w:r>
              <w:rPr>
                <w:rFonts w:ascii="Calibri" w:cs="Calibri" w:eastAsia="Calibri" w:hAnsi="Calibri"/>
                <w:sz w:val="16"/>
                <w:szCs w:val="16"/>
                <w:b w:val="1"/>
                <w:bCs w:val="1"/>
                <w:color w:val="auto"/>
                <w:w w:val="98"/>
              </w:rPr>
              <w:t>/s/ Kirsten M. Spears</w:t>
            </w:r>
          </w:p>
        </w:tc>
        <w:tc>
          <w:tcPr>
            <w:tcW w:w="4540" w:type="dxa"/>
            <w:vAlign w:val="bottom"/>
          </w:tcPr>
          <w:p>
            <w:pPr>
              <w:jc w:val="center"/>
              <w:ind w:left="641"/>
              <w:spacing w:after="0" w:line="189" w:lineRule="exact"/>
              <w:rPr>
                <w:sz w:val="20"/>
                <w:szCs w:val="20"/>
                <w:color w:val="auto"/>
              </w:rPr>
            </w:pPr>
            <w:r>
              <w:rPr>
                <w:rFonts w:ascii="Calibri" w:cs="Calibri" w:eastAsia="Calibri" w:hAnsi="Calibri"/>
                <w:sz w:val="16"/>
                <w:szCs w:val="16"/>
                <w:color w:val="auto"/>
              </w:rPr>
              <w:t>(Principal Financial Ofcer and Principal Accountng Ofcer)</w:t>
            </w:r>
          </w:p>
        </w:tc>
        <w:tc>
          <w:tcPr>
            <w:tcW w:w="0" w:type="dxa"/>
            <w:vAlign w:val="bottom"/>
          </w:tcPr>
          <w:p>
            <w:pPr>
              <w:spacing w:after="0"/>
              <w:rPr>
                <w:sz w:val="1"/>
                <w:szCs w:val="1"/>
                <w:color w:val="auto"/>
              </w:rPr>
            </w:pPr>
          </w:p>
        </w:tc>
      </w:tr>
      <w:tr>
        <w:trPr>
          <w:trHeight w:val="28"/>
        </w:trPr>
        <w:tc>
          <w:tcPr>
            <w:tcW w:w="3600" w:type="dxa"/>
            <w:vAlign w:val="bottom"/>
            <w:tcBorders>
              <w:bottom w:val="single" w:sz="8" w:color="auto"/>
            </w:tcBorders>
          </w:tcPr>
          <w:p>
            <w:pPr>
              <w:spacing w:after="0"/>
              <w:rPr>
                <w:sz w:val="2"/>
                <w:szCs w:val="2"/>
                <w:color w:val="auto"/>
              </w:rPr>
            </w:pPr>
          </w:p>
        </w:tc>
        <w:tc>
          <w:tcPr>
            <w:tcW w:w="45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3600" w:type="dxa"/>
            <w:vAlign w:val="bottom"/>
          </w:tcPr>
          <w:p>
            <w:pPr>
              <w:jc w:val="center"/>
              <w:spacing w:after="0" w:line="182" w:lineRule="exact"/>
              <w:rPr>
                <w:sz w:val="20"/>
                <w:szCs w:val="20"/>
                <w:color w:val="auto"/>
              </w:rPr>
            </w:pPr>
            <w:r>
              <w:rPr>
                <w:rFonts w:ascii="Calibri" w:cs="Calibri" w:eastAsia="Calibri" w:hAnsi="Calibri"/>
                <w:sz w:val="16"/>
                <w:szCs w:val="16"/>
                <w:b w:val="1"/>
                <w:bCs w:val="1"/>
                <w:color w:val="auto"/>
                <w:w w:val="99"/>
              </w:rPr>
              <w:t>Kirsten M. Spears</w:t>
            </w:r>
          </w:p>
        </w:tc>
        <w:tc>
          <w:tcPr>
            <w:tcW w:w="4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64"/>
        </w:trPr>
        <w:tc>
          <w:tcPr>
            <w:tcW w:w="3600" w:type="dxa"/>
            <w:vAlign w:val="bottom"/>
          </w:tcPr>
          <w:p>
            <w:pPr>
              <w:jc w:val="center"/>
              <w:spacing w:after="0"/>
              <w:rPr>
                <w:sz w:val="20"/>
                <w:szCs w:val="20"/>
                <w:color w:val="auto"/>
              </w:rPr>
            </w:pPr>
            <w:r>
              <w:rPr>
                <w:rFonts w:ascii="Calibri" w:cs="Calibri" w:eastAsia="Calibri" w:hAnsi="Calibri"/>
                <w:sz w:val="16"/>
                <w:szCs w:val="16"/>
                <w:b w:val="1"/>
                <w:bCs w:val="1"/>
                <w:color w:val="auto"/>
                <w:w w:val="99"/>
              </w:rPr>
              <w:t>/s/ Henry Samueli</w:t>
            </w:r>
          </w:p>
        </w:tc>
        <w:tc>
          <w:tcPr>
            <w:tcW w:w="4540" w:type="dxa"/>
            <w:vAlign w:val="bottom"/>
          </w:tcPr>
          <w:p>
            <w:pPr>
              <w:jc w:val="center"/>
              <w:ind w:left="641"/>
              <w:spacing w:after="0"/>
              <w:rPr>
                <w:sz w:val="20"/>
                <w:szCs w:val="20"/>
                <w:color w:val="auto"/>
              </w:rPr>
            </w:pPr>
            <w:r>
              <w:rPr>
                <w:rFonts w:ascii="Calibri" w:cs="Calibri" w:eastAsia="Calibri" w:hAnsi="Calibri"/>
                <w:sz w:val="16"/>
                <w:szCs w:val="16"/>
                <w:color w:val="auto"/>
                <w:w w:val="99"/>
              </w:rPr>
              <w:t>Chairman of the Board of Directors</w:t>
            </w:r>
          </w:p>
        </w:tc>
        <w:tc>
          <w:tcPr>
            <w:tcW w:w="0" w:type="dxa"/>
            <w:vAlign w:val="bottom"/>
          </w:tcPr>
          <w:p>
            <w:pPr>
              <w:spacing w:after="0"/>
              <w:rPr>
                <w:sz w:val="1"/>
                <w:szCs w:val="1"/>
                <w:color w:val="auto"/>
              </w:rPr>
            </w:pPr>
          </w:p>
        </w:tc>
      </w:tr>
      <w:tr>
        <w:trPr>
          <w:trHeight w:val="28"/>
        </w:trPr>
        <w:tc>
          <w:tcPr>
            <w:tcW w:w="3600" w:type="dxa"/>
            <w:vAlign w:val="bottom"/>
            <w:tcBorders>
              <w:bottom w:val="single" w:sz="8" w:color="auto"/>
            </w:tcBorders>
          </w:tcPr>
          <w:p>
            <w:pPr>
              <w:spacing w:after="0"/>
              <w:rPr>
                <w:sz w:val="2"/>
                <w:szCs w:val="2"/>
                <w:color w:val="auto"/>
              </w:rPr>
            </w:pPr>
          </w:p>
        </w:tc>
        <w:tc>
          <w:tcPr>
            <w:tcW w:w="45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3600" w:type="dxa"/>
            <w:vAlign w:val="bottom"/>
          </w:tcPr>
          <w:p>
            <w:pPr>
              <w:jc w:val="center"/>
              <w:spacing w:after="0" w:line="182" w:lineRule="exact"/>
              <w:rPr>
                <w:sz w:val="20"/>
                <w:szCs w:val="20"/>
                <w:color w:val="auto"/>
              </w:rPr>
            </w:pPr>
            <w:r>
              <w:rPr>
                <w:rFonts w:ascii="Calibri" w:cs="Calibri" w:eastAsia="Calibri" w:hAnsi="Calibri"/>
                <w:sz w:val="16"/>
                <w:szCs w:val="16"/>
                <w:b w:val="1"/>
                <w:bCs w:val="1"/>
                <w:color w:val="auto"/>
                <w:w w:val="99"/>
              </w:rPr>
              <w:t>Henry Samueli</w:t>
            </w:r>
          </w:p>
        </w:tc>
        <w:tc>
          <w:tcPr>
            <w:tcW w:w="4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64"/>
        </w:trPr>
        <w:tc>
          <w:tcPr>
            <w:tcW w:w="3600" w:type="dxa"/>
            <w:vAlign w:val="bottom"/>
          </w:tcPr>
          <w:p>
            <w:pPr>
              <w:jc w:val="center"/>
              <w:spacing w:after="0"/>
              <w:rPr>
                <w:sz w:val="20"/>
                <w:szCs w:val="20"/>
                <w:color w:val="auto"/>
              </w:rPr>
            </w:pPr>
            <w:r>
              <w:rPr>
                <w:rFonts w:ascii="Calibri" w:cs="Calibri" w:eastAsia="Calibri" w:hAnsi="Calibri"/>
                <w:sz w:val="16"/>
                <w:szCs w:val="16"/>
                <w:b w:val="1"/>
                <w:bCs w:val="1"/>
                <w:color w:val="auto"/>
                <w:w w:val="99"/>
              </w:rPr>
              <w:t>/s/ Eddy W. Hartenstein</w:t>
            </w:r>
          </w:p>
        </w:tc>
        <w:tc>
          <w:tcPr>
            <w:tcW w:w="4540" w:type="dxa"/>
            <w:vAlign w:val="bottom"/>
          </w:tcPr>
          <w:p>
            <w:pPr>
              <w:jc w:val="center"/>
              <w:ind w:left="641"/>
              <w:spacing w:after="0"/>
              <w:rPr>
                <w:sz w:val="20"/>
                <w:szCs w:val="20"/>
                <w:color w:val="auto"/>
              </w:rPr>
            </w:pPr>
            <w:r>
              <w:rPr>
                <w:rFonts w:ascii="Calibri" w:cs="Calibri" w:eastAsia="Calibri" w:hAnsi="Calibri"/>
                <w:sz w:val="16"/>
                <w:szCs w:val="16"/>
                <w:color w:val="auto"/>
                <w:w w:val="99"/>
              </w:rPr>
              <w:t>Lead Independent Director</w:t>
            </w:r>
          </w:p>
        </w:tc>
        <w:tc>
          <w:tcPr>
            <w:tcW w:w="0" w:type="dxa"/>
            <w:vAlign w:val="bottom"/>
          </w:tcPr>
          <w:p>
            <w:pPr>
              <w:spacing w:after="0"/>
              <w:rPr>
                <w:sz w:val="1"/>
                <w:szCs w:val="1"/>
                <w:color w:val="auto"/>
              </w:rPr>
            </w:pPr>
          </w:p>
        </w:tc>
      </w:tr>
      <w:tr>
        <w:trPr>
          <w:trHeight w:val="28"/>
        </w:trPr>
        <w:tc>
          <w:tcPr>
            <w:tcW w:w="3600" w:type="dxa"/>
            <w:vAlign w:val="bottom"/>
            <w:tcBorders>
              <w:bottom w:val="single" w:sz="8" w:color="auto"/>
            </w:tcBorders>
          </w:tcPr>
          <w:p>
            <w:pPr>
              <w:spacing w:after="0"/>
              <w:rPr>
                <w:sz w:val="2"/>
                <w:szCs w:val="2"/>
                <w:color w:val="auto"/>
              </w:rPr>
            </w:pPr>
          </w:p>
        </w:tc>
        <w:tc>
          <w:tcPr>
            <w:tcW w:w="45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3600" w:type="dxa"/>
            <w:vAlign w:val="bottom"/>
          </w:tcPr>
          <w:p>
            <w:pPr>
              <w:jc w:val="center"/>
              <w:spacing w:after="0" w:line="182" w:lineRule="exact"/>
              <w:rPr>
                <w:sz w:val="20"/>
                <w:szCs w:val="20"/>
                <w:color w:val="auto"/>
              </w:rPr>
            </w:pPr>
            <w:r>
              <w:rPr>
                <w:rFonts w:ascii="Calibri" w:cs="Calibri" w:eastAsia="Calibri" w:hAnsi="Calibri"/>
                <w:sz w:val="16"/>
                <w:szCs w:val="16"/>
                <w:b w:val="1"/>
                <w:bCs w:val="1"/>
                <w:color w:val="auto"/>
                <w:w w:val="96"/>
              </w:rPr>
              <w:t>Eddy W. Hartenstein</w:t>
            </w:r>
          </w:p>
        </w:tc>
        <w:tc>
          <w:tcPr>
            <w:tcW w:w="4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64"/>
        </w:trPr>
        <w:tc>
          <w:tcPr>
            <w:tcW w:w="3600" w:type="dxa"/>
            <w:vAlign w:val="bottom"/>
          </w:tcPr>
          <w:p>
            <w:pPr>
              <w:jc w:val="center"/>
              <w:spacing w:after="0"/>
              <w:rPr>
                <w:sz w:val="20"/>
                <w:szCs w:val="20"/>
                <w:color w:val="auto"/>
              </w:rPr>
            </w:pPr>
            <w:r>
              <w:rPr>
                <w:rFonts w:ascii="Calibri" w:cs="Calibri" w:eastAsia="Calibri" w:hAnsi="Calibri"/>
                <w:sz w:val="16"/>
                <w:szCs w:val="16"/>
                <w:b w:val="1"/>
                <w:bCs w:val="1"/>
                <w:color w:val="auto"/>
                <w:w w:val="99"/>
              </w:rPr>
              <w:t>/s/ Diane M. Bryant</w:t>
            </w:r>
          </w:p>
        </w:tc>
        <w:tc>
          <w:tcPr>
            <w:tcW w:w="4540" w:type="dxa"/>
            <w:vAlign w:val="bottom"/>
          </w:tcPr>
          <w:p>
            <w:pPr>
              <w:jc w:val="center"/>
              <w:ind w:left="641"/>
              <w:spacing w:after="0"/>
              <w:rPr>
                <w:sz w:val="20"/>
                <w:szCs w:val="20"/>
                <w:color w:val="auto"/>
              </w:rPr>
            </w:pPr>
            <w:r>
              <w:rPr>
                <w:rFonts w:ascii="Calibri" w:cs="Calibri" w:eastAsia="Calibri" w:hAnsi="Calibri"/>
                <w:sz w:val="16"/>
                <w:szCs w:val="16"/>
                <w:color w:val="auto"/>
              </w:rPr>
              <w:t>Director</w:t>
            </w:r>
          </w:p>
        </w:tc>
        <w:tc>
          <w:tcPr>
            <w:tcW w:w="0" w:type="dxa"/>
            <w:vAlign w:val="bottom"/>
          </w:tcPr>
          <w:p>
            <w:pPr>
              <w:spacing w:after="0"/>
              <w:rPr>
                <w:sz w:val="1"/>
                <w:szCs w:val="1"/>
                <w:color w:val="auto"/>
              </w:rPr>
            </w:pPr>
          </w:p>
        </w:tc>
      </w:tr>
      <w:tr>
        <w:trPr>
          <w:trHeight w:val="28"/>
        </w:trPr>
        <w:tc>
          <w:tcPr>
            <w:tcW w:w="3600" w:type="dxa"/>
            <w:vAlign w:val="bottom"/>
            <w:tcBorders>
              <w:bottom w:val="single" w:sz="8" w:color="auto"/>
            </w:tcBorders>
          </w:tcPr>
          <w:p>
            <w:pPr>
              <w:spacing w:after="0"/>
              <w:rPr>
                <w:sz w:val="2"/>
                <w:szCs w:val="2"/>
                <w:color w:val="auto"/>
              </w:rPr>
            </w:pPr>
          </w:p>
        </w:tc>
        <w:tc>
          <w:tcPr>
            <w:tcW w:w="45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3600" w:type="dxa"/>
            <w:vAlign w:val="bottom"/>
          </w:tcPr>
          <w:p>
            <w:pPr>
              <w:jc w:val="center"/>
              <w:spacing w:after="0" w:line="182" w:lineRule="exact"/>
              <w:rPr>
                <w:sz w:val="20"/>
                <w:szCs w:val="20"/>
                <w:color w:val="auto"/>
              </w:rPr>
            </w:pPr>
            <w:r>
              <w:rPr>
                <w:rFonts w:ascii="Calibri" w:cs="Calibri" w:eastAsia="Calibri" w:hAnsi="Calibri"/>
                <w:sz w:val="16"/>
                <w:szCs w:val="16"/>
                <w:b w:val="1"/>
                <w:bCs w:val="1"/>
                <w:color w:val="auto"/>
                <w:w w:val="99"/>
              </w:rPr>
              <w:t>Diane M. Bryant</w:t>
            </w:r>
          </w:p>
        </w:tc>
        <w:tc>
          <w:tcPr>
            <w:tcW w:w="4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51"/>
        </w:trPr>
        <w:tc>
          <w:tcPr>
            <w:tcW w:w="3600" w:type="dxa"/>
            <w:vAlign w:val="bottom"/>
          </w:tcPr>
          <w:p>
            <w:pPr>
              <w:jc w:val="center"/>
              <w:spacing w:after="0"/>
              <w:rPr>
                <w:sz w:val="20"/>
                <w:szCs w:val="20"/>
                <w:color w:val="auto"/>
              </w:rPr>
            </w:pPr>
            <w:r>
              <w:rPr>
                <w:rFonts w:ascii="Calibri" w:cs="Calibri" w:eastAsia="Calibri" w:hAnsi="Calibri"/>
                <w:sz w:val="16"/>
                <w:szCs w:val="16"/>
                <w:b w:val="1"/>
                <w:bCs w:val="1"/>
                <w:color w:val="auto"/>
              </w:rPr>
              <w:t>/s/ Gayla J. Delly</w:t>
            </w:r>
          </w:p>
        </w:tc>
        <w:tc>
          <w:tcPr>
            <w:tcW w:w="4540" w:type="dxa"/>
            <w:vAlign w:val="bottom"/>
          </w:tcPr>
          <w:p>
            <w:pPr>
              <w:jc w:val="center"/>
              <w:ind w:left="641"/>
              <w:spacing w:after="0"/>
              <w:rPr>
                <w:sz w:val="20"/>
                <w:szCs w:val="20"/>
                <w:color w:val="auto"/>
              </w:rPr>
            </w:pPr>
            <w:r>
              <w:rPr>
                <w:rFonts w:ascii="Calibri" w:cs="Calibri" w:eastAsia="Calibri" w:hAnsi="Calibri"/>
                <w:sz w:val="16"/>
                <w:szCs w:val="16"/>
                <w:color w:val="auto"/>
              </w:rPr>
              <w:t>Director</w:t>
            </w:r>
          </w:p>
        </w:tc>
        <w:tc>
          <w:tcPr>
            <w:tcW w:w="0" w:type="dxa"/>
            <w:vAlign w:val="bottom"/>
          </w:tcPr>
          <w:p>
            <w:pPr>
              <w:spacing w:after="0"/>
              <w:rPr>
                <w:sz w:val="1"/>
                <w:szCs w:val="1"/>
                <w:color w:val="auto"/>
              </w:rPr>
            </w:pPr>
          </w:p>
        </w:tc>
      </w:tr>
      <w:tr>
        <w:trPr>
          <w:trHeight w:val="28"/>
        </w:trPr>
        <w:tc>
          <w:tcPr>
            <w:tcW w:w="3600" w:type="dxa"/>
            <w:vAlign w:val="bottom"/>
            <w:tcBorders>
              <w:bottom w:val="single" w:sz="8" w:color="auto"/>
            </w:tcBorders>
          </w:tcPr>
          <w:p>
            <w:pPr>
              <w:spacing w:after="0"/>
              <w:rPr>
                <w:sz w:val="2"/>
                <w:szCs w:val="2"/>
                <w:color w:val="auto"/>
              </w:rPr>
            </w:pPr>
          </w:p>
        </w:tc>
        <w:tc>
          <w:tcPr>
            <w:tcW w:w="45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3600" w:type="dxa"/>
            <w:vAlign w:val="bottom"/>
          </w:tcPr>
          <w:p>
            <w:pPr>
              <w:jc w:val="center"/>
              <w:spacing w:after="0" w:line="182" w:lineRule="exact"/>
              <w:rPr>
                <w:sz w:val="20"/>
                <w:szCs w:val="20"/>
                <w:color w:val="auto"/>
              </w:rPr>
            </w:pPr>
            <w:r>
              <w:rPr>
                <w:rFonts w:ascii="Calibri" w:cs="Calibri" w:eastAsia="Calibri" w:hAnsi="Calibri"/>
                <w:sz w:val="16"/>
                <w:szCs w:val="16"/>
                <w:b w:val="1"/>
                <w:bCs w:val="1"/>
                <w:color w:val="auto"/>
              </w:rPr>
              <w:t>Gayla J. Delly</w:t>
            </w:r>
          </w:p>
        </w:tc>
        <w:tc>
          <w:tcPr>
            <w:tcW w:w="4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64"/>
        </w:trPr>
        <w:tc>
          <w:tcPr>
            <w:tcW w:w="3600" w:type="dxa"/>
            <w:vAlign w:val="bottom"/>
          </w:tcPr>
          <w:p>
            <w:pPr>
              <w:jc w:val="center"/>
              <w:spacing w:after="0"/>
              <w:rPr>
                <w:sz w:val="20"/>
                <w:szCs w:val="20"/>
                <w:color w:val="auto"/>
              </w:rPr>
            </w:pPr>
            <w:r>
              <w:rPr>
                <w:rFonts w:ascii="Calibri" w:cs="Calibri" w:eastAsia="Calibri" w:hAnsi="Calibri"/>
                <w:sz w:val="16"/>
                <w:szCs w:val="16"/>
                <w:b w:val="1"/>
                <w:bCs w:val="1"/>
                <w:color w:val="auto"/>
                <w:w w:val="97"/>
              </w:rPr>
              <w:t>/s/ Raul F. Fernandez</w:t>
            </w:r>
          </w:p>
        </w:tc>
        <w:tc>
          <w:tcPr>
            <w:tcW w:w="4540" w:type="dxa"/>
            <w:vAlign w:val="bottom"/>
          </w:tcPr>
          <w:p>
            <w:pPr>
              <w:jc w:val="center"/>
              <w:ind w:left="641"/>
              <w:spacing w:after="0"/>
              <w:rPr>
                <w:sz w:val="20"/>
                <w:szCs w:val="20"/>
                <w:color w:val="auto"/>
              </w:rPr>
            </w:pPr>
            <w:r>
              <w:rPr>
                <w:rFonts w:ascii="Calibri" w:cs="Calibri" w:eastAsia="Calibri" w:hAnsi="Calibri"/>
                <w:sz w:val="16"/>
                <w:szCs w:val="16"/>
                <w:color w:val="auto"/>
              </w:rPr>
              <w:t>Director</w:t>
            </w:r>
          </w:p>
        </w:tc>
        <w:tc>
          <w:tcPr>
            <w:tcW w:w="0" w:type="dxa"/>
            <w:vAlign w:val="bottom"/>
          </w:tcPr>
          <w:p>
            <w:pPr>
              <w:spacing w:after="0"/>
              <w:rPr>
                <w:sz w:val="1"/>
                <w:szCs w:val="1"/>
                <w:color w:val="auto"/>
              </w:rPr>
            </w:pPr>
          </w:p>
        </w:tc>
      </w:tr>
      <w:tr>
        <w:trPr>
          <w:trHeight w:val="28"/>
        </w:trPr>
        <w:tc>
          <w:tcPr>
            <w:tcW w:w="3600" w:type="dxa"/>
            <w:vAlign w:val="bottom"/>
            <w:tcBorders>
              <w:bottom w:val="single" w:sz="8" w:color="auto"/>
            </w:tcBorders>
          </w:tcPr>
          <w:p>
            <w:pPr>
              <w:spacing w:after="0"/>
              <w:rPr>
                <w:sz w:val="2"/>
                <w:szCs w:val="2"/>
                <w:color w:val="auto"/>
              </w:rPr>
            </w:pPr>
          </w:p>
        </w:tc>
        <w:tc>
          <w:tcPr>
            <w:tcW w:w="45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3600" w:type="dxa"/>
            <w:vAlign w:val="bottom"/>
          </w:tcPr>
          <w:p>
            <w:pPr>
              <w:jc w:val="center"/>
              <w:spacing w:after="0" w:line="182" w:lineRule="exact"/>
              <w:rPr>
                <w:sz w:val="20"/>
                <w:szCs w:val="20"/>
                <w:color w:val="auto"/>
              </w:rPr>
            </w:pPr>
            <w:r>
              <w:rPr>
                <w:rFonts w:ascii="Calibri" w:cs="Calibri" w:eastAsia="Calibri" w:hAnsi="Calibri"/>
                <w:sz w:val="16"/>
                <w:szCs w:val="16"/>
                <w:b w:val="1"/>
                <w:bCs w:val="1"/>
                <w:color w:val="auto"/>
                <w:w w:val="98"/>
              </w:rPr>
              <w:t>Raul F. Fernandez</w:t>
            </w:r>
          </w:p>
        </w:tc>
        <w:tc>
          <w:tcPr>
            <w:tcW w:w="4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64"/>
        </w:trPr>
        <w:tc>
          <w:tcPr>
            <w:tcW w:w="3600" w:type="dxa"/>
            <w:vAlign w:val="bottom"/>
          </w:tcPr>
          <w:p>
            <w:pPr>
              <w:jc w:val="center"/>
              <w:spacing w:after="0"/>
              <w:rPr>
                <w:sz w:val="20"/>
                <w:szCs w:val="20"/>
                <w:color w:val="auto"/>
              </w:rPr>
            </w:pPr>
            <w:r>
              <w:rPr>
                <w:rFonts w:ascii="Calibri" w:cs="Calibri" w:eastAsia="Calibri" w:hAnsi="Calibri"/>
                <w:sz w:val="16"/>
                <w:szCs w:val="16"/>
                <w:b w:val="1"/>
                <w:bCs w:val="1"/>
                <w:color w:val="auto"/>
                <w:w w:val="97"/>
              </w:rPr>
              <w:t>/s/ Check Kian Low</w:t>
            </w:r>
          </w:p>
        </w:tc>
        <w:tc>
          <w:tcPr>
            <w:tcW w:w="4540" w:type="dxa"/>
            <w:vAlign w:val="bottom"/>
          </w:tcPr>
          <w:p>
            <w:pPr>
              <w:jc w:val="center"/>
              <w:ind w:left="641"/>
              <w:spacing w:after="0"/>
              <w:rPr>
                <w:sz w:val="20"/>
                <w:szCs w:val="20"/>
                <w:color w:val="auto"/>
              </w:rPr>
            </w:pPr>
            <w:r>
              <w:rPr>
                <w:rFonts w:ascii="Calibri" w:cs="Calibri" w:eastAsia="Calibri" w:hAnsi="Calibri"/>
                <w:sz w:val="16"/>
                <w:szCs w:val="16"/>
                <w:color w:val="auto"/>
              </w:rPr>
              <w:t>Director</w:t>
            </w:r>
          </w:p>
        </w:tc>
        <w:tc>
          <w:tcPr>
            <w:tcW w:w="0" w:type="dxa"/>
            <w:vAlign w:val="bottom"/>
          </w:tcPr>
          <w:p>
            <w:pPr>
              <w:spacing w:after="0"/>
              <w:rPr>
                <w:sz w:val="1"/>
                <w:szCs w:val="1"/>
                <w:color w:val="auto"/>
              </w:rPr>
            </w:pPr>
          </w:p>
        </w:tc>
      </w:tr>
      <w:tr>
        <w:trPr>
          <w:trHeight w:val="28"/>
        </w:trPr>
        <w:tc>
          <w:tcPr>
            <w:tcW w:w="3600" w:type="dxa"/>
            <w:vAlign w:val="bottom"/>
            <w:tcBorders>
              <w:bottom w:val="single" w:sz="8" w:color="auto"/>
            </w:tcBorders>
          </w:tcPr>
          <w:p>
            <w:pPr>
              <w:spacing w:after="0"/>
              <w:rPr>
                <w:sz w:val="2"/>
                <w:szCs w:val="2"/>
                <w:color w:val="auto"/>
              </w:rPr>
            </w:pPr>
          </w:p>
        </w:tc>
        <w:tc>
          <w:tcPr>
            <w:tcW w:w="45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3600" w:type="dxa"/>
            <w:vAlign w:val="bottom"/>
          </w:tcPr>
          <w:p>
            <w:pPr>
              <w:jc w:val="center"/>
              <w:spacing w:after="0" w:line="182" w:lineRule="exact"/>
              <w:rPr>
                <w:sz w:val="20"/>
                <w:szCs w:val="20"/>
                <w:color w:val="auto"/>
              </w:rPr>
            </w:pPr>
            <w:r>
              <w:rPr>
                <w:rFonts w:ascii="Calibri" w:cs="Calibri" w:eastAsia="Calibri" w:hAnsi="Calibri"/>
                <w:sz w:val="16"/>
                <w:szCs w:val="16"/>
                <w:b w:val="1"/>
                <w:bCs w:val="1"/>
                <w:color w:val="auto"/>
                <w:w w:val="98"/>
              </w:rPr>
              <w:t>Check Kian Low</w:t>
            </w:r>
          </w:p>
        </w:tc>
        <w:tc>
          <w:tcPr>
            <w:tcW w:w="4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64"/>
        </w:trPr>
        <w:tc>
          <w:tcPr>
            <w:tcW w:w="3600" w:type="dxa"/>
            <w:vAlign w:val="bottom"/>
          </w:tcPr>
          <w:p>
            <w:pPr>
              <w:jc w:val="center"/>
              <w:spacing w:after="0"/>
              <w:rPr>
                <w:sz w:val="20"/>
                <w:szCs w:val="20"/>
                <w:color w:val="auto"/>
              </w:rPr>
            </w:pPr>
            <w:r>
              <w:rPr>
                <w:rFonts w:ascii="Calibri" w:cs="Calibri" w:eastAsia="Calibri" w:hAnsi="Calibri"/>
                <w:sz w:val="16"/>
                <w:szCs w:val="16"/>
                <w:b w:val="1"/>
                <w:bCs w:val="1"/>
                <w:color w:val="auto"/>
                <w:w w:val="98"/>
              </w:rPr>
              <w:t>/s/ Justne F. Page</w:t>
            </w:r>
          </w:p>
        </w:tc>
        <w:tc>
          <w:tcPr>
            <w:tcW w:w="4540" w:type="dxa"/>
            <w:vAlign w:val="bottom"/>
          </w:tcPr>
          <w:p>
            <w:pPr>
              <w:jc w:val="center"/>
              <w:ind w:left="641"/>
              <w:spacing w:after="0"/>
              <w:rPr>
                <w:sz w:val="20"/>
                <w:szCs w:val="20"/>
                <w:color w:val="auto"/>
              </w:rPr>
            </w:pPr>
            <w:r>
              <w:rPr>
                <w:rFonts w:ascii="Calibri" w:cs="Calibri" w:eastAsia="Calibri" w:hAnsi="Calibri"/>
                <w:sz w:val="16"/>
                <w:szCs w:val="16"/>
                <w:color w:val="auto"/>
              </w:rPr>
              <w:t>Director</w:t>
            </w:r>
          </w:p>
        </w:tc>
        <w:tc>
          <w:tcPr>
            <w:tcW w:w="0" w:type="dxa"/>
            <w:vAlign w:val="bottom"/>
          </w:tcPr>
          <w:p>
            <w:pPr>
              <w:spacing w:after="0"/>
              <w:rPr>
                <w:sz w:val="1"/>
                <w:szCs w:val="1"/>
                <w:color w:val="auto"/>
              </w:rPr>
            </w:pPr>
          </w:p>
        </w:tc>
      </w:tr>
      <w:tr>
        <w:trPr>
          <w:trHeight w:val="28"/>
        </w:trPr>
        <w:tc>
          <w:tcPr>
            <w:tcW w:w="3600" w:type="dxa"/>
            <w:vAlign w:val="bottom"/>
            <w:tcBorders>
              <w:bottom w:val="single" w:sz="8" w:color="auto"/>
            </w:tcBorders>
          </w:tcPr>
          <w:p>
            <w:pPr>
              <w:spacing w:after="0"/>
              <w:rPr>
                <w:sz w:val="2"/>
                <w:szCs w:val="2"/>
                <w:color w:val="auto"/>
              </w:rPr>
            </w:pPr>
          </w:p>
        </w:tc>
        <w:tc>
          <w:tcPr>
            <w:tcW w:w="45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3600" w:type="dxa"/>
            <w:vAlign w:val="bottom"/>
          </w:tcPr>
          <w:p>
            <w:pPr>
              <w:jc w:val="center"/>
              <w:spacing w:after="0" w:line="182" w:lineRule="exact"/>
              <w:rPr>
                <w:sz w:val="20"/>
                <w:szCs w:val="20"/>
                <w:color w:val="auto"/>
              </w:rPr>
            </w:pPr>
            <w:r>
              <w:rPr>
                <w:rFonts w:ascii="Calibri" w:cs="Calibri" w:eastAsia="Calibri" w:hAnsi="Calibri"/>
                <w:sz w:val="16"/>
                <w:szCs w:val="16"/>
                <w:b w:val="1"/>
                <w:bCs w:val="1"/>
                <w:color w:val="auto"/>
              </w:rPr>
              <w:t>Justne F. Page</w:t>
            </w:r>
          </w:p>
        </w:tc>
        <w:tc>
          <w:tcPr>
            <w:tcW w:w="4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57"/>
        </w:trPr>
        <w:tc>
          <w:tcPr>
            <w:tcW w:w="3600" w:type="dxa"/>
            <w:vAlign w:val="bottom"/>
          </w:tcPr>
          <w:p>
            <w:pPr>
              <w:jc w:val="center"/>
              <w:spacing w:after="0"/>
              <w:rPr>
                <w:sz w:val="20"/>
                <w:szCs w:val="20"/>
                <w:color w:val="auto"/>
              </w:rPr>
            </w:pPr>
            <w:r>
              <w:rPr>
                <w:rFonts w:ascii="Calibri" w:cs="Calibri" w:eastAsia="Calibri" w:hAnsi="Calibri"/>
                <w:sz w:val="16"/>
                <w:szCs w:val="16"/>
                <w:b w:val="1"/>
                <w:bCs w:val="1"/>
                <w:color w:val="auto"/>
                <w:w w:val="97"/>
              </w:rPr>
              <w:t>/s/ Harry L. You</w:t>
            </w:r>
          </w:p>
        </w:tc>
        <w:tc>
          <w:tcPr>
            <w:tcW w:w="4540" w:type="dxa"/>
            <w:vAlign w:val="bottom"/>
          </w:tcPr>
          <w:p>
            <w:pPr>
              <w:jc w:val="center"/>
              <w:ind w:left="641"/>
              <w:spacing w:after="0"/>
              <w:rPr>
                <w:sz w:val="20"/>
                <w:szCs w:val="20"/>
                <w:color w:val="auto"/>
              </w:rPr>
            </w:pPr>
            <w:r>
              <w:rPr>
                <w:rFonts w:ascii="Calibri" w:cs="Calibri" w:eastAsia="Calibri" w:hAnsi="Calibri"/>
                <w:sz w:val="16"/>
                <w:szCs w:val="16"/>
                <w:color w:val="auto"/>
              </w:rPr>
              <w:t>Director</w:t>
            </w:r>
          </w:p>
        </w:tc>
        <w:tc>
          <w:tcPr>
            <w:tcW w:w="0" w:type="dxa"/>
            <w:vAlign w:val="bottom"/>
          </w:tcPr>
          <w:p>
            <w:pPr>
              <w:spacing w:after="0"/>
              <w:rPr>
                <w:sz w:val="1"/>
                <w:szCs w:val="1"/>
                <w:color w:val="auto"/>
              </w:rPr>
            </w:pPr>
          </w:p>
        </w:tc>
      </w:tr>
      <w:tr>
        <w:trPr>
          <w:trHeight w:val="28"/>
        </w:trPr>
        <w:tc>
          <w:tcPr>
            <w:tcW w:w="3600" w:type="dxa"/>
            <w:vAlign w:val="bottom"/>
            <w:tcBorders>
              <w:bottom w:val="single" w:sz="8" w:color="auto"/>
            </w:tcBorders>
          </w:tcPr>
          <w:p>
            <w:pPr>
              <w:spacing w:after="0"/>
              <w:rPr>
                <w:sz w:val="2"/>
                <w:szCs w:val="2"/>
                <w:color w:val="auto"/>
              </w:rPr>
            </w:pPr>
          </w:p>
        </w:tc>
        <w:tc>
          <w:tcPr>
            <w:tcW w:w="45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3600" w:type="dxa"/>
            <w:vAlign w:val="bottom"/>
          </w:tcPr>
          <w:p>
            <w:pPr>
              <w:jc w:val="center"/>
              <w:spacing w:after="0" w:line="182" w:lineRule="exact"/>
              <w:rPr>
                <w:sz w:val="20"/>
                <w:szCs w:val="20"/>
                <w:color w:val="auto"/>
              </w:rPr>
            </w:pPr>
            <w:r>
              <w:rPr>
                <w:rFonts w:ascii="Calibri" w:cs="Calibri" w:eastAsia="Calibri" w:hAnsi="Calibri"/>
                <w:sz w:val="16"/>
                <w:szCs w:val="16"/>
                <w:b w:val="1"/>
                <w:bCs w:val="1"/>
                <w:color w:val="auto"/>
                <w:w w:val="99"/>
              </w:rPr>
              <w:t>Harry L. You</w:t>
            </w:r>
          </w:p>
        </w:tc>
        <w:tc>
          <w:tcPr>
            <w:tcW w:w="45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14" w:lineRule="exact"/>
        <w:rPr>
          <w:sz w:val="20"/>
          <w:szCs w:val="20"/>
          <w:color w:val="auto"/>
        </w:rPr>
      </w:pPr>
    </w:p>
    <w:p>
      <w:pPr>
        <w:spacing w:after="0"/>
        <w:rPr>
          <w:sz w:val="20"/>
          <w:szCs w:val="20"/>
          <w:color w:val="auto"/>
        </w:rPr>
      </w:pPr>
      <w:r>
        <w:rPr>
          <w:rFonts w:ascii="Calibri" w:cs="Calibri" w:eastAsia="Calibri" w:hAnsi="Calibri"/>
          <w:sz w:val="14"/>
          <w:szCs w:val="14"/>
          <w:color w:val="auto"/>
        </w:rPr>
        <w:t>December 14, 2023</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alibri" w:cs="Calibri" w:eastAsia="Calibri" w:hAnsi="Calibri"/>
          <w:sz w:val="14"/>
          <w:szCs w:val="14"/>
          <w:color w:val="auto"/>
        </w:rPr>
        <w:t>December 14, 2023</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Calibri" w:cs="Calibri" w:eastAsia="Calibri" w:hAnsi="Calibri"/>
          <w:sz w:val="14"/>
          <w:szCs w:val="14"/>
          <w:color w:val="auto"/>
        </w:rPr>
        <w:t>December 14, 2023</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Calibri" w:cs="Calibri" w:eastAsia="Calibri" w:hAnsi="Calibri"/>
          <w:sz w:val="14"/>
          <w:szCs w:val="14"/>
          <w:color w:val="auto"/>
        </w:rPr>
        <w:t>December 14, 2023</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Calibri" w:cs="Calibri" w:eastAsia="Calibri" w:hAnsi="Calibri"/>
          <w:sz w:val="14"/>
          <w:szCs w:val="14"/>
          <w:color w:val="auto"/>
        </w:rPr>
        <w:t>December 14, 2023</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Calibri" w:cs="Calibri" w:eastAsia="Calibri" w:hAnsi="Calibri"/>
          <w:sz w:val="14"/>
          <w:szCs w:val="14"/>
          <w:color w:val="auto"/>
        </w:rPr>
        <w:t>December 14, 2023</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Calibri" w:cs="Calibri" w:eastAsia="Calibri" w:hAnsi="Calibri"/>
          <w:sz w:val="14"/>
          <w:szCs w:val="14"/>
          <w:color w:val="auto"/>
        </w:rPr>
        <w:t>December 14, 2023</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Calibri" w:cs="Calibri" w:eastAsia="Calibri" w:hAnsi="Calibri"/>
          <w:sz w:val="14"/>
          <w:szCs w:val="14"/>
          <w:color w:val="auto"/>
        </w:rPr>
        <w:t>December 14, 2023</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Calibri" w:cs="Calibri" w:eastAsia="Calibri" w:hAnsi="Calibri"/>
          <w:sz w:val="14"/>
          <w:szCs w:val="14"/>
          <w:color w:val="auto"/>
        </w:rPr>
        <w:t>December 14, 2023</w:t>
      </w: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Calibri" w:cs="Calibri" w:eastAsia="Calibri" w:hAnsi="Calibri"/>
          <w:sz w:val="14"/>
          <w:szCs w:val="14"/>
          <w:color w:val="auto"/>
        </w:rPr>
        <w:t>December 14, 2023</w:t>
      </w:r>
    </w:p>
    <w:p>
      <w:pPr>
        <w:spacing w:after="0" w:line="447" w:lineRule="exact"/>
        <w:rPr>
          <w:sz w:val="20"/>
          <w:szCs w:val="20"/>
          <w:color w:val="auto"/>
        </w:rPr>
      </w:pPr>
    </w:p>
    <w:p>
      <w:pPr>
        <w:sectPr>
          <w:pgSz w:w="11900" w:h="16838" w:orient="portrait"/>
          <w:cols w:equalWidth="0" w:num="2">
            <w:col w:w="8800" w:space="720"/>
            <w:col w:w="1600"/>
          </w:cols>
          <w:pgMar w:left="320" w:top="109" w:right="4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39"/>
        <w:spacing w:after="0"/>
        <w:rPr>
          <w:sz w:val="20"/>
          <w:szCs w:val="20"/>
          <w:color w:val="auto"/>
        </w:rPr>
      </w:pPr>
      <w:r>
        <w:rPr>
          <w:rFonts w:ascii="Calibri" w:cs="Calibri" w:eastAsia="Calibri" w:hAnsi="Calibri"/>
          <w:sz w:val="17"/>
          <w:szCs w:val="17"/>
          <w:color w:val="auto"/>
        </w:rPr>
        <w:t>100</w:t>
      </w:r>
    </w:p>
    <w:p>
      <w:pPr>
        <w:sectPr>
          <w:pgSz w:w="11900" w:h="16838" w:orient="portrait"/>
          <w:cols w:equalWidth="0" w:num="1">
            <w:col w:w="11120"/>
          </w:cols>
          <w:pgMar w:left="320" w:top="109" w:right="459" w:bottom="1440" w:gutter="0" w:footer="0" w:header="0"/>
          <w:type w:val="continuous"/>
        </w:sectPr>
      </w:pPr>
    </w:p>
    <w:bookmarkStart w:id="102" w:name="page103"/>
    <w:bookmarkEnd w:id="102"/>
    <w:p>
      <w:pPr>
        <w:spacing w:after="0" w:line="5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148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5740" w:type="dxa"/>
            <w:vAlign w:val="bottom"/>
            <w:gridSpan w:val="2"/>
          </w:tcPr>
          <w:p>
            <w:pPr>
              <w:jc w:val="center"/>
              <w:ind w:right="3112"/>
              <w:spacing w:after="0"/>
              <w:rPr>
                <w:sz w:val="20"/>
                <w:szCs w:val="20"/>
                <w:color w:val="auto"/>
              </w:rPr>
            </w:pPr>
            <w:r>
              <w:rPr>
                <w:rFonts w:ascii="Times New Roman" w:cs="Times New Roman" w:eastAsia="Times New Roman" w:hAnsi="Times New Roman"/>
                <w:sz w:val="18"/>
                <w:szCs w:val="18"/>
                <w:b w:val="1"/>
                <w:bCs w:val="1"/>
                <w:color w:val="auto"/>
                <w:w w:val="97"/>
              </w:rPr>
              <w:t>List of Significant Subsidiaries</w:t>
            </w:r>
          </w:p>
        </w:tc>
      </w:tr>
      <w:tr>
        <w:trPr>
          <w:trHeight w:val="238"/>
        </w:trPr>
        <w:tc>
          <w:tcPr>
            <w:tcW w:w="148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5740" w:type="dxa"/>
            <w:vAlign w:val="bottom"/>
            <w:gridSpan w:val="2"/>
          </w:tcPr>
          <w:p>
            <w:pPr>
              <w:jc w:val="center"/>
              <w:ind w:right="3112"/>
              <w:spacing w:after="0"/>
              <w:rPr>
                <w:sz w:val="20"/>
                <w:szCs w:val="20"/>
                <w:color w:val="auto"/>
              </w:rPr>
            </w:pPr>
            <w:r>
              <w:rPr>
                <w:rFonts w:ascii="Times New Roman" w:cs="Times New Roman" w:eastAsia="Times New Roman" w:hAnsi="Times New Roman"/>
                <w:sz w:val="18"/>
                <w:szCs w:val="18"/>
                <w:b w:val="1"/>
                <w:bCs w:val="1"/>
                <w:color w:val="auto"/>
                <w:w w:val="97"/>
              </w:rPr>
              <w:t>As of October 29, 2023</w:t>
            </w:r>
          </w:p>
        </w:tc>
      </w:tr>
      <w:tr>
        <w:trPr>
          <w:trHeight w:val="344"/>
        </w:trPr>
        <w:tc>
          <w:tcPr>
            <w:tcW w:w="43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 of Subsidiary</w:t>
            </w:r>
          </w:p>
        </w:tc>
        <w:tc>
          <w:tcPr>
            <w:tcW w:w="3820" w:type="dxa"/>
            <w:vAlign w:val="bottom"/>
          </w:tcPr>
          <w:p>
            <w:pPr>
              <w:spacing w:after="0"/>
              <w:rPr>
                <w:sz w:val="24"/>
                <w:szCs w:val="24"/>
                <w:color w:val="auto"/>
              </w:rPr>
            </w:pPr>
          </w:p>
        </w:tc>
        <w:tc>
          <w:tcPr>
            <w:tcW w:w="1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6"/>
              </w:rPr>
              <w:t>Country of Incorporation</w:t>
            </w:r>
          </w:p>
        </w:tc>
      </w:tr>
      <w:tr>
        <w:trPr>
          <w:trHeight w:val="20"/>
        </w:trPr>
        <w:tc>
          <w:tcPr>
            <w:tcW w:w="1480" w:type="dxa"/>
            <w:vAlign w:val="bottom"/>
            <w:shd w:val="clear" w:color="auto" w:fill="000000"/>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1920" w:type="dxa"/>
            <w:vAlign w:val="bottom"/>
            <w:shd w:val="clear" w:color="auto" w:fill="000000"/>
          </w:tcPr>
          <w:p>
            <w:pPr>
              <w:spacing w:after="0" w:line="20" w:lineRule="exact"/>
              <w:rPr>
                <w:sz w:val="1"/>
                <w:szCs w:val="1"/>
                <w:color w:val="auto"/>
              </w:rPr>
            </w:pPr>
          </w:p>
        </w:tc>
      </w:tr>
      <w:tr>
        <w:trPr>
          <w:trHeight w:val="239"/>
        </w:trPr>
        <w:tc>
          <w:tcPr>
            <w:tcW w:w="4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Avago Technologies International Sales Pte. Limited</w:t>
            </w:r>
          </w:p>
        </w:tc>
        <w:tc>
          <w:tcPr>
            <w:tcW w:w="3820" w:type="dxa"/>
            <w:vAlign w:val="bottom"/>
          </w:tcPr>
          <w:p>
            <w:pPr>
              <w:spacing w:after="0"/>
              <w:rPr>
                <w:sz w:val="20"/>
                <w:szCs w:val="20"/>
                <w:color w:val="auto"/>
              </w:rPr>
            </w:pPr>
          </w:p>
        </w:tc>
        <w:tc>
          <w:tcPr>
            <w:tcW w:w="1920" w:type="dxa"/>
            <w:vAlign w:val="bottom"/>
          </w:tcPr>
          <w:p>
            <w:pPr>
              <w:spacing w:after="0"/>
              <w:rPr>
                <w:sz w:val="20"/>
                <w:szCs w:val="20"/>
                <w:color w:val="auto"/>
              </w:rPr>
            </w:pPr>
            <w:r>
              <w:rPr>
                <w:rFonts w:ascii="Times New Roman" w:cs="Times New Roman" w:eastAsia="Times New Roman" w:hAnsi="Times New Roman"/>
                <w:sz w:val="18"/>
                <w:szCs w:val="18"/>
                <w:color w:val="auto"/>
              </w:rPr>
              <w:t>Singapore</w:t>
            </w:r>
          </w:p>
        </w:tc>
      </w:tr>
      <w:tr>
        <w:trPr>
          <w:trHeight w:val="224"/>
        </w:trPr>
        <w:tc>
          <w:tcPr>
            <w:tcW w:w="4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Avago Technologies U.S. Inc.</w:t>
            </w:r>
          </w:p>
        </w:tc>
        <w:tc>
          <w:tcPr>
            <w:tcW w:w="3820" w:type="dxa"/>
            <w:vAlign w:val="bottom"/>
          </w:tcPr>
          <w:p>
            <w:pPr>
              <w:spacing w:after="0"/>
              <w:rPr>
                <w:sz w:val="19"/>
                <w:szCs w:val="19"/>
                <w:color w:val="auto"/>
              </w:rPr>
            </w:pPr>
          </w:p>
        </w:tc>
        <w:tc>
          <w:tcPr>
            <w:tcW w:w="1920" w:type="dxa"/>
            <w:vAlign w:val="bottom"/>
          </w:tcPr>
          <w:p>
            <w:pPr>
              <w:spacing w:after="0"/>
              <w:rPr>
                <w:sz w:val="20"/>
                <w:szCs w:val="20"/>
                <w:color w:val="auto"/>
              </w:rPr>
            </w:pPr>
            <w:r>
              <w:rPr>
                <w:rFonts w:ascii="Times New Roman" w:cs="Times New Roman" w:eastAsia="Times New Roman" w:hAnsi="Times New Roman"/>
                <w:sz w:val="18"/>
                <w:szCs w:val="18"/>
                <w:color w:val="auto"/>
              </w:rPr>
              <w:t>Delaware (U.S.A.)</w:t>
            </w:r>
          </w:p>
        </w:tc>
      </w:tr>
      <w:tr>
        <w:trPr>
          <w:trHeight w:val="224"/>
        </w:trPr>
        <w:tc>
          <w:tcPr>
            <w:tcW w:w="430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8"/>
              </w:rPr>
              <w:t>Avago Technologies Wireless (U.S.A.) Manufacturing LLC</w:t>
            </w:r>
          </w:p>
        </w:tc>
        <w:tc>
          <w:tcPr>
            <w:tcW w:w="3820" w:type="dxa"/>
            <w:vAlign w:val="bottom"/>
          </w:tcPr>
          <w:p>
            <w:pPr>
              <w:spacing w:after="0"/>
              <w:rPr>
                <w:sz w:val="19"/>
                <w:szCs w:val="19"/>
                <w:color w:val="auto"/>
              </w:rPr>
            </w:pPr>
          </w:p>
        </w:tc>
        <w:tc>
          <w:tcPr>
            <w:tcW w:w="1920" w:type="dxa"/>
            <w:vAlign w:val="bottom"/>
          </w:tcPr>
          <w:p>
            <w:pPr>
              <w:spacing w:after="0"/>
              <w:rPr>
                <w:sz w:val="20"/>
                <w:szCs w:val="20"/>
                <w:color w:val="auto"/>
              </w:rPr>
            </w:pPr>
            <w:r>
              <w:rPr>
                <w:rFonts w:ascii="Times New Roman" w:cs="Times New Roman" w:eastAsia="Times New Roman" w:hAnsi="Times New Roman"/>
                <w:sz w:val="18"/>
                <w:szCs w:val="18"/>
                <w:color w:val="auto"/>
              </w:rPr>
              <w:t>Delaware (U.S.A.)</w:t>
            </w:r>
          </w:p>
        </w:tc>
      </w:tr>
      <w:tr>
        <w:trPr>
          <w:trHeight w:val="224"/>
        </w:trPr>
        <w:tc>
          <w:tcPr>
            <w:tcW w:w="4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Broadcom Corporation</w:t>
            </w:r>
          </w:p>
        </w:tc>
        <w:tc>
          <w:tcPr>
            <w:tcW w:w="3820" w:type="dxa"/>
            <w:vAlign w:val="bottom"/>
          </w:tcPr>
          <w:p>
            <w:pPr>
              <w:spacing w:after="0"/>
              <w:rPr>
                <w:sz w:val="19"/>
                <w:szCs w:val="19"/>
                <w:color w:val="auto"/>
              </w:rPr>
            </w:pPr>
          </w:p>
        </w:tc>
        <w:tc>
          <w:tcPr>
            <w:tcW w:w="1920" w:type="dxa"/>
            <w:vAlign w:val="bottom"/>
          </w:tcPr>
          <w:p>
            <w:pPr>
              <w:spacing w:after="0"/>
              <w:rPr>
                <w:sz w:val="20"/>
                <w:szCs w:val="20"/>
                <w:color w:val="auto"/>
              </w:rPr>
            </w:pPr>
            <w:r>
              <w:rPr>
                <w:rFonts w:ascii="Times New Roman" w:cs="Times New Roman" w:eastAsia="Times New Roman" w:hAnsi="Times New Roman"/>
                <w:sz w:val="18"/>
                <w:szCs w:val="18"/>
                <w:color w:val="auto"/>
              </w:rPr>
              <w:t>California (U.S.A.)</w:t>
            </w:r>
          </w:p>
        </w:tc>
      </w:tr>
      <w:tr>
        <w:trPr>
          <w:trHeight w:val="224"/>
        </w:trPr>
        <w:tc>
          <w:tcPr>
            <w:tcW w:w="4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Broadcom Singapore Pte. Ltd.</w:t>
            </w:r>
          </w:p>
        </w:tc>
        <w:tc>
          <w:tcPr>
            <w:tcW w:w="3820" w:type="dxa"/>
            <w:vAlign w:val="bottom"/>
          </w:tcPr>
          <w:p>
            <w:pPr>
              <w:spacing w:after="0"/>
              <w:rPr>
                <w:sz w:val="19"/>
                <w:szCs w:val="19"/>
                <w:color w:val="auto"/>
              </w:rPr>
            </w:pPr>
          </w:p>
        </w:tc>
        <w:tc>
          <w:tcPr>
            <w:tcW w:w="1920" w:type="dxa"/>
            <w:vAlign w:val="bottom"/>
          </w:tcPr>
          <w:p>
            <w:pPr>
              <w:spacing w:after="0"/>
              <w:rPr>
                <w:sz w:val="20"/>
                <w:szCs w:val="20"/>
                <w:color w:val="auto"/>
              </w:rPr>
            </w:pPr>
            <w:r>
              <w:rPr>
                <w:rFonts w:ascii="Times New Roman" w:cs="Times New Roman" w:eastAsia="Times New Roman" w:hAnsi="Times New Roman"/>
                <w:sz w:val="18"/>
                <w:szCs w:val="18"/>
                <w:color w:val="auto"/>
              </w:rPr>
              <w:t>Singapore</w:t>
            </w:r>
          </w:p>
        </w:tc>
      </w:tr>
      <w:tr>
        <w:trPr>
          <w:trHeight w:val="224"/>
        </w:trPr>
        <w:tc>
          <w:tcPr>
            <w:tcW w:w="4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Broadcom Technologies, Inc.</w:t>
            </w:r>
          </w:p>
        </w:tc>
        <w:tc>
          <w:tcPr>
            <w:tcW w:w="3820" w:type="dxa"/>
            <w:vAlign w:val="bottom"/>
          </w:tcPr>
          <w:p>
            <w:pPr>
              <w:spacing w:after="0"/>
              <w:rPr>
                <w:sz w:val="19"/>
                <w:szCs w:val="19"/>
                <w:color w:val="auto"/>
              </w:rPr>
            </w:pPr>
          </w:p>
        </w:tc>
        <w:tc>
          <w:tcPr>
            <w:tcW w:w="1920" w:type="dxa"/>
            <w:vAlign w:val="bottom"/>
          </w:tcPr>
          <w:p>
            <w:pPr>
              <w:spacing w:after="0"/>
              <w:rPr>
                <w:sz w:val="20"/>
                <w:szCs w:val="20"/>
                <w:color w:val="auto"/>
              </w:rPr>
            </w:pPr>
            <w:r>
              <w:rPr>
                <w:rFonts w:ascii="Times New Roman" w:cs="Times New Roman" w:eastAsia="Times New Roman" w:hAnsi="Times New Roman"/>
                <w:sz w:val="18"/>
                <w:szCs w:val="18"/>
                <w:color w:val="auto"/>
              </w:rPr>
              <w:t>Delaware (U.S.A.)</w:t>
            </w:r>
          </w:p>
        </w:tc>
      </w:tr>
      <w:tr>
        <w:trPr>
          <w:trHeight w:val="224"/>
        </w:trPr>
        <w:tc>
          <w:tcPr>
            <w:tcW w:w="4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 Inc.</w:t>
            </w:r>
          </w:p>
        </w:tc>
        <w:tc>
          <w:tcPr>
            <w:tcW w:w="3820" w:type="dxa"/>
            <w:vAlign w:val="bottom"/>
          </w:tcPr>
          <w:p>
            <w:pPr>
              <w:spacing w:after="0"/>
              <w:rPr>
                <w:sz w:val="19"/>
                <w:szCs w:val="19"/>
                <w:color w:val="auto"/>
              </w:rPr>
            </w:pPr>
          </w:p>
        </w:tc>
        <w:tc>
          <w:tcPr>
            <w:tcW w:w="1920" w:type="dxa"/>
            <w:vAlign w:val="bottom"/>
          </w:tcPr>
          <w:p>
            <w:pPr>
              <w:spacing w:after="0"/>
              <w:rPr>
                <w:sz w:val="20"/>
                <w:szCs w:val="20"/>
                <w:color w:val="auto"/>
              </w:rPr>
            </w:pPr>
            <w:r>
              <w:rPr>
                <w:rFonts w:ascii="Times New Roman" w:cs="Times New Roman" w:eastAsia="Times New Roman" w:hAnsi="Times New Roman"/>
                <w:sz w:val="18"/>
                <w:szCs w:val="18"/>
                <w:color w:val="auto"/>
              </w:rPr>
              <w:t>Delaware (U.S.A.)</w:t>
            </w:r>
          </w:p>
        </w:tc>
      </w:tr>
      <w:tr>
        <w:trPr>
          <w:trHeight w:val="229"/>
        </w:trPr>
        <w:tc>
          <w:tcPr>
            <w:tcW w:w="4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LSI Corporation</w:t>
            </w:r>
          </w:p>
        </w:tc>
        <w:tc>
          <w:tcPr>
            <w:tcW w:w="3820" w:type="dxa"/>
            <w:vAlign w:val="bottom"/>
          </w:tcPr>
          <w:p>
            <w:pPr>
              <w:spacing w:after="0"/>
              <w:rPr>
                <w:sz w:val="19"/>
                <w:szCs w:val="19"/>
                <w:color w:val="auto"/>
              </w:rPr>
            </w:pPr>
          </w:p>
        </w:tc>
        <w:tc>
          <w:tcPr>
            <w:tcW w:w="1920" w:type="dxa"/>
            <w:vAlign w:val="bottom"/>
          </w:tcPr>
          <w:p>
            <w:pPr>
              <w:spacing w:after="0"/>
              <w:rPr>
                <w:sz w:val="20"/>
                <w:szCs w:val="20"/>
                <w:color w:val="auto"/>
              </w:rPr>
            </w:pPr>
            <w:r>
              <w:rPr>
                <w:rFonts w:ascii="Times New Roman" w:cs="Times New Roman" w:eastAsia="Times New Roman" w:hAnsi="Times New Roman"/>
                <w:sz w:val="18"/>
                <w:szCs w:val="18"/>
                <w:color w:val="auto"/>
              </w:rPr>
              <w:t>Delaware (U.S.A.)</w:t>
            </w:r>
          </w:p>
        </w:tc>
      </w:tr>
    </w:tbl>
    <w:p>
      <w:pPr>
        <w:sectPr>
          <w:pgSz w:w="11900" w:h="16838" w:orient="portrait"/>
          <w:cols w:equalWidth="0" w:num="1">
            <w:col w:w="11180"/>
          </w:cols>
          <w:pgMar w:left="380" w:top="1440" w:right="339" w:bottom="1440" w:gutter="0" w:footer="0" w:header="0"/>
        </w:sectPr>
      </w:pPr>
    </w:p>
    <w:bookmarkStart w:id="103" w:name="page104"/>
    <w:bookmarkEnd w:id="103"/>
    <w:p>
      <w:pPr>
        <w:jc w:val="right"/>
        <w:spacing w:after="0"/>
        <w:rPr>
          <w:sz w:val="20"/>
          <w:szCs w:val="20"/>
          <w:color w:val="auto"/>
        </w:rPr>
      </w:pPr>
      <w:r>
        <w:rPr>
          <w:rFonts w:ascii="Georgia" w:cs="Georgia" w:eastAsia="Georgia" w:hAnsi="Georgia"/>
          <w:sz w:val="18"/>
          <w:szCs w:val="18"/>
          <w:color w:val="auto"/>
        </w:rPr>
        <w:t>Exhibit 23.1</w:t>
      </w:r>
    </w:p>
    <w:p>
      <w:pPr>
        <w:spacing w:after="0" w:line="231" w:lineRule="exact"/>
        <w:rPr>
          <w:sz w:val="20"/>
          <w:szCs w:val="20"/>
          <w:color w:val="auto"/>
        </w:rPr>
      </w:pPr>
    </w:p>
    <w:p>
      <w:pPr>
        <w:jc w:val="center"/>
        <w:spacing w:after="0"/>
        <w:rPr>
          <w:sz w:val="20"/>
          <w:szCs w:val="20"/>
          <w:color w:val="auto"/>
        </w:rPr>
      </w:pPr>
      <w:r>
        <w:rPr>
          <w:rFonts w:ascii="Georgia" w:cs="Georgia" w:eastAsia="Georgia" w:hAnsi="Georgia"/>
          <w:sz w:val="18"/>
          <w:szCs w:val="18"/>
          <w:color w:val="auto"/>
        </w:rPr>
        <w:t>CONSENT OF INDEPENDENT REGISTERED PUBLIC ACCOUNTING FIRM</w:t>
      </w:r>
    </w:p>
    <w:p>
      <w:pPr>
        <w:spacing w:after="0" w:line="236" w:lineRule="exact"/>
        <w:rPr>
          <w:sz w:val="20"/>
          <w:szCs w:val="20"/>
          <w:color w:val="auto"/>
        </w:rPr>
      </w:pPr>
    </w:p>
    <w:p>
      <w:pPr>
        <w:ind w:right="180"/>
        <w:spacing w:after="0" w:line="232" w:lineRule="auto"/>
        <w:rPr>
          <w:sz w:val="20"/>
          <w:szCs w:val="20"/>
          <w:color w:val="auto"/>
        </w:rPr>
      </w:pPr>
      <w:r>
        <w:rPr>
          <w:rFonts w:ascii="Georgia" w:cs="Georgia" w:eastAsia="Georgia" w:hAnsi="Georgia"/>
          <w:sz w:val="18"/>
          <w:szCs w:val="18"/>
          <w:color w:val="auto"/>
        </w:rPr>
        <w:t>We hereby consent to the incorporation by reference in the Registration Statements on Form S-8 (Nos. 333-275702, 333-235753, 333-235663, 333-228175, 333-209331-01, 333-215291-01, and 333-221654-01) and Form S-3 (Nos. 333-257056) of Broadcom Inc. of our report dated December 14, 2023 relating to the financial statements and financial statement schedule and the effectiveness of internal control over financial reporting, which appears in this Form 10-K.</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Georgia" w:cs="Georgia" w:eastAsia="Georgia" w:hAnsi="Georgia"/>
          <w:sz w:val="18"/>
          <w:szCs w:val="18"/>
          <w:color w:val="auto"/>
        </w:rPr>
        <w:t>/s/ PricewaterhouseCoopers LLP</w:t>
      </w:r>
    </w:p>
    <w:p>
      <w:pPr>
        <w:spacing w:after="0" w:line="5" w:lineRule="exact"/>
        <w:rPr>
          <w:sz w:val="20"/>
          <w:szCs w:val="20"/>
          <w:color w:val="auto"/>
        </w:rPr>
      </w:pPr>
    </w:p>
    <w:p>
      <w:pPr>
        <w:spacing w:after="0"/>
        <w:rPr>
          <w:sz w:val="20"/>
          <w:szCs w:val="20"/>
          <w:color w:val="auto"/>
        </w:rPr>
      </w:pPr>
      <w:r>
        <w:rPr>
          <w:rFonts w:ascii="Georgia" w:cs="Georgia" w:eastAsia="Georgia" w:hAnsi="Georgia"/>
          <w:sz w:val="18"/>
          <w:szCs w:val="18"/>
          <w:color w:val="auto"/>
        </w:rPr>
        <w:t>San Jose, California</w:t>
      </w:r>
    </w:p>
    <w:p>
      <w:pPr>
        <w:spacing w:after="0" w:line="233" w:lineRule="auto"/>
        <w:rPr>
          <w:sz w:val="20"/>
          <w:szCs w:val="20"/>
          <w:color w:val="auto"/>
        </w:rPr>
      </w:pPr>
      <w:r>
        <w:rPr>
          <w:rFonts w:ascii="Georgia" w:cs="Georgia" w:eastAsia="Georgia" w:hAnsi="Georgia"/>
          <w:sz w:val="18"/>
          <w:szCs w:val="18"/>
          <w:color w:val="auto"/>
        </w:rPr>
        <w:t>December 14, 2023</w:t>
      </w:r>
    </w:p>
    <w:p>
      <w:pPr>
        <w:sectPr>
          <w:pgSz w:w="11900" w:h="16838" w:orient="portrait"/>
          <w:cols w:equalWidth="0" w:num="1">
            <w:col w:w="11240"/>
          </w:cols>
          <w:pgMar w:left="320" w:top="1386" w:right="339" w:bottom="1440" w:gutter="0" w:footer="0" w:header="0"/>
        </w:sectPr>
      </w:pPr>
    </w:p>
    <w:bookmarkStart w:id="104" w:name="page105"/>
    <w:bookmarkEnd w:id="104"/>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SARBANES-OXLEY ACT OF 2002</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Hock E. Tan, certify that:</w:t>
      </w:r>
    </w:p>
    <w:p>
      <w:pPr>
        <w:spacing w:after="0" w:line="110" w:lineRule="exact"/>
        <w:rPr>
          <w:sz w:val="20"/>
          <w:szCs w:val="20"/>
          <w:color w:val="auto"/>
        </w:rPr>
      </w:pPr>
    </w:p>
    <w:p>
      <w:pPr>
        <w:ind w:left="640" w:hanging="634"/>
        <w:spacing w:after="0"/>
        <w:tabs>
          <w:tab w:leader="none" w:pos="6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Broadcom Inc.;</w:t>
      </w:r>
    </w:p>
    <w:p>
      <w:pPr>
        <w:spacing w:after="0" w:line="109" w:lineRule="exact"/>
        <w:rPr>
          <w:rFonts w:ascii="Times New Roman" w:cs="Times New Roman" w:eastAsia="Times New Roman" w:hAnsi="Times New Roman"/>
          <w:sz w:val="18"/>
          <w:szCs w:val="18"/>
          <w:color w:val="auto"/>
        </w:rPr>
      </w:pPr>
    </w:p>
    <w:p>
      <w:pPr>
        <w:jc w:val="both"/>
        <w:ind w:left="640" w:hanging="634"/>
        <w:spacing w:after="0" w:line="257" w:lineRule="auto"/>
        <w:tabs>
          <w:tab w:leader="none" w:pos="6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4" w:lineRule="exact"/>
        <w:rPr>
          <w:rFonts w:ascii="Times New Roman" w:cs="Times New Roman" w:eastAsia="Times New Roman" w:hAnsi="Times New Roman"/>
          <w:sz w:val="18"/>
          <w:szCs w:val="18"/>
          <w:color w:val="auto"/>
        </w:rPr>
      </w:pPr>
    </w:p>
    <w:p>
      <w:pPr>
        <w:ind w:left="640" w:hanging="634"/>
        <w:spacing w:after="0" w:line="270" w:lineRule="auto"/>
        <w:tabs>
          <w:tab w:leader="none" w:pos="6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Times New Roman" w:cs="Times New Roman" w:eastAsia="Times New Roman" w:hAnsi="Times New Roman"/>
          <w:sz w:val="18"/>
          <w:szCs w:val="18"/>
          <w:color w:val="auto"/>
        </w:rPr>
      </w:pPr>
    </w:p>
    <w:p>
      <w:pPr>
        <w:jc w:val="both"/>
        <w:ind w:left="640" w:hanging="634"/>
        <w:spacing w:after="0" w:line="257" w:lineRule="auto"/>
        <w:tabs>
          <w:tab w:leader="none" w:pos="6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4" w:lineRule="exact"/>
        <w:rPr>
          <w:rFonts w:ascii="Times New Roman" w:cs="Times New Roman" w:eastAsia="Times New Roman" w:hAnsi="Times New Roman"/>
          <w:sz w:val="18"/>
          <w:szCs w:val="18"/>
          <w:color w:val="auto"/>
        </w:rPr>
      </w:pPr>
    </w:p>
    <w:p>
      <w:pPr>
        <w:jc w:val="both"/>
        <w:ind w:left="1280" w:hanging="641"/>
        <w:spacing w:after="0" w:line="257" w:lineRule="auto"/>
        <w:tabs>
          <w:tab w:leader="none" w:pos="127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4" w:lineRule="exact"/>
        <w:rPr>
          <w:rFonts w:ascii="Times New Roman" w:cs="Times New Roman" w:eastAsia="Times New Roman" w:hAnsi="Times New Roman"/>
          <w:sz w:val="18"/>
          <w:szCs w:val="18"/>
          <w:color w:val="auto"/>
        </w:rPr>
      </w:pPr>
    </w:p>
    <w:p>
      <w:pPr>
        <w:jc w:val="both"/>
        <w:ind w:left="1280" w:hanging="641"/>
        <w:spacing w:after="0" w:line="257" w:lineRule="auto"/>
        <w:tabs>
          <w:tab w:leader="none" w:pos="128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4" w:lineRule="exact"/>
        <w:rPr>
          <w:rFonts w:ascii="Times New Roman" w:cs="Times New Roman" w:eastAsia="Times New Roman" w:hAnsi="Times New Roman"/>
          <w:sz w:val="18"/>
          <w:szCs w:val="18"/>
          <w:color w:val="auto"/>
        </w:rPr>
      </w:pPr>
    </w:p>
    <w:p>
      <w:pPr>
        <w:ind w:left="1280" w:hanging="641"/>
        <w:spacing w:after="0" w:line="270" w:lineRule="auto"/>
        <w:tabs>
          <w:tab w:leader="none" w:pos="127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Times New Roman" w:cs="Times New Roman" w:eastAsia="Times New Roman" w:hAnsi="Times New Roman"/>
          <w:sz w:val="18"/>
          <w:szCs w:val="18"/>
          <w:color w:val="auto"/>
        </w:rPr>
      </w:pPr>
    </w:p>
    <w:p>
      <w:pPr>
        <w:jc w:val="both"/>
        <w:ind w:left="1280" w:hanging="641"/>
        <w:spacing w:after="0" w:line="257" w:lineRule="auto"/>
        <w:tabs>
          <w:tab w:leader="none" w:pos="128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4" w:lineRule="exact"/>
        <w:rPr>
          <w:rFonts w:ascii="Times New Roman" w:cs="Times New Roman" w:eastAsia="Times New Roman" w:hAnsi="Times New Roman"/>
          <w:sz w:val="18"/>
          <w:szCs w:val="18"/>
          <w:color w:val="auto"/>
        </w:rPr>
      </w:pPr>
    </w:p>
    <w:p>
      <w:pPr>
        <w:ind w:left="640" w:hanging="634"/>
        <w:spacing w:after="0" w:line="270" w:lineRule="auto"/>
        <w:tabs>
          <w:tab w:leader="none" w:pos="6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2" w:lineRule="exact"/>
        <w:rPr>
          <w:rFonts w:ascii="Times New Roman" w:cs="Times New Roman" w:eastAsia="Times New Roman" w:hAnsi="Times New Roman"/>
          <w:sz w:val="18"/>
          <w:szCs w:val="18"/>
          <w:color w:val="auto"/>
        </w:rPr>
      </w:pPr>
    </w:p>
    <w:p>
      <w:pPr>
        <w:ind w:left="1280" w:hanging="641"/>
        <w:spacing w:after="0" w:line="270" w:lineRule="auto"/>
        <w:tabs>
          <w:tab w:leader="none" w:pos="127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Times New Roman" w:cs="Times New Roman" w:eastAsia="Times New Roman" w:hAnsi="Times New Roman"/>
          <w:sz w:val="18"/>
          <w:szCs w:val="18"/>
          <w:color w:val="auto"/>
        </w:rPr>
      </w:pPr>
    </w:p>
    <w:p>
      <w:pPr>
        <w:ind w:left="1280" w:hanging="641"/>
        <w:spacing w:after="0" w:line="270" w:lineRule="auto"/>
        <w:tabs>
          <w:tab w:leader="none" w:pos="128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December 14, 2023</w:t>
      </w:r>
    </w:p>
    <w:p>
      <w:pPr>
        <w:spacing w:after="0" w:line="4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Hock E. Tan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14605</wp:posOffset>
            </wp:positionV>
            <wp:extent cx="355536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89">
                      <a:extLst>
                        <a:ext uri="{28A0092B-C50C-407E-A947-70E740481C1C}"/>
                      </a:extLst>
                    </a:blip>
                    <a:srcRect/>
                    <a:stretch>
                      <a:fillRect/>
                    </a:stretch>
                  </pic:blipFill>
                  <pic:spPr bwMode="auto">
                    <a:xfrm>
                      <a:off x="0" y="0"/>
                      <a:ext cx="3555365" cy="8255"/>
                    </a:xfrm>
                    <a:prstGeom prst="rect">
                      <a:avLst/>
                    </a:prstGeom>
                    <a:noFill/>
                  </pic:spPr>
                </pic:pic>
              </a:graphicData>
            </a:graphic>
          </wp:anchor>
        </w:drawing>
      </w:r>
    </w:p>
    <w:p>
      <w:pPr>
        <w:spacing w:after="0" w:line="1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Hock E. Tan</w:t>
      </w:r>
    </w:p>
    <w:p>
      <w:pPr>
        <w:spacing w:after="0" w:line="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Chief Executive Officer</w:t>
      </w:r>
    </w:p>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240"/>
          </w:cols>
          <w:pgMar w:left="320" w:top="872" w:right="339" w:bottom="1440" w:gutter="0" w:footer="0" w:header="0"/>
        </w:sectPr>
      </w:pPr>
    </w:p>
    <w:bookmarkStart w:id="105" w:name="page106"/>
    <w:bookmarkEnd w:id="105"/>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SARBANES-OXLEY ACT OF 2002</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Kirsten M. Spears, certify that:</w:t>
      </w:r>
    </w:p>
    <w:p>
      <w:pPr>
        <w:spacing w:after="0" w:line="110" w:lineRule="exact"/>
        <w:rPr>
          <w:sz w:val="20"/>
          <w:szCs w:val="20"/>
          <w:color w:val="auto"/>
        </w:rPr>
      </w:pPr>
    </w:p>
    <w:p>
      <w:pPr>
        <w:ind w:left="640" w:hanging="634"/>
        <w:spacing w:after="0"/>
        <w:tabs>
          <w:tab w:leader="none" w:pos="6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Broadcom Inc.;</w:t>
      </w:r>
    </w:p>
    <w:p>
      <w:pPr>
        <w:spacing w:after="0" w:line="109" w:lineRule="exact"/>
        <w:rPr>
          <w:rFonts w:ascii="Times New Roman" w:cs="Times New Roman" w:eastAsia="Times New Roman" w:hAnsi="Times New Roman"/>
          <w:sz w:val="18"/>
          <w:szCs w:val="18"/>
          <w:color w:val="auto"/>
        </w:rPr>
      </w:pPr>
    </w:p>
    <w:p>
      <w:pPr>
        <w:jc w:val="both"/>
        <w:ind w:left="640" w:hanging="634"/>
        <w:spacing w:after="0" w:line="257" w:lineRule="auto"/>
        <w:tabs>
          <w:tab w:leader="none" w:pos="6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4" w:lineRule="exact"/>
        <w:rPr>
          <w:rFonts w:ascii="Times New Roman" w:cs="Times New Roman" w:eastAsia="Times New Roman" w:hAnsi="Times New Roman"/>
          <w:sz w:val="18"/>
          <w:szCs w:val="18"/>
          <w:color w:val="auto"/>
        </w:rPr>
      </w:pPr>
    </w:p>
    <w:p>
      <w:pPr>
        <w:ind w:left="640" w:hanging="634"/>
        <w:spacing w:after="0" w:line="270" w:lineRule="auto"/>
        <w:tabs>
          <w:tab w:leader="none" w:pos="6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Times New Roman" w:cs="Times New Roman" w:eastAsia="Times New Roman" w:hAnsi="Times New Roman"/>
          <w:sz w:val="18"/>
          <w:szCs w:val="18"/>
          <w:color w:val="auto"/>
        </w:rPr>
      </w:pPr>
    </w:p>
    <w:p>
      <w:pPr>
        <w:jc w:val="both"/>
        <w:ind w:left="640" w:hanging="634"/>
        <w:spacing w:after="0" w:line="257" w:lineRule="auto"/>
        <w:tabs>
          <w:tab w:leader="none" w:pos="6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4" w:lineRule="exact"/>
        <w:rPr>
          <w:rFonts w:ascii="Times New Roman" w:cs="Times New Roman" w:eastAsia="Times New Roman" w:hAnsi="Times New Roman"/>
          <w:sz w:val="18"/>
          <w:szCs w:val="18"/>
          <w:color w:val="auto"/>
        </w:rPr>
      </w:pPr>
    </w:p>
    <w:p>
      <w:pPr>
        <w:jc w:val="both"/>
        <w:ind w:left="1280" w:hanging="641"/>
        <w:spacing w:after="0" w:line="257" w:lineRule="auto"/>
        <w:tabs>
          <w:tab w:leader="none" w:pos="127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4" w:lineRule="exact"/>
        <w:rPr>
          <w:rFonts w:ascii="Times New Roman" w:cs="Times New Roman" w:eastAsia="Times New Roman" w:hAnsi="Times New Roman"/>
          <w:sz w:val="18"/>
          <w:szCs w:val="18"/>
          <w:color w:val="auto"/>
        </w:rPr>
      </w:pPr>
    </w:p>
    <w:p>
      <w:pPr>
        <w:jc w:val="both"/>
        <w:ind w:left="1280" w:hanging="641"/>
        <w:spacing w:after="0" w:line="257" w:lineRule="auto"/>
        <w:tabs>
          <w:tab w:leader="none" w:pos="128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4" w:lineRule="exact"/>
        <w:rPr>
          <w:rFonts w:ascii="Times New Roman" w:cs="Times New Roman" w:eastAsia="Times New Roman" w:hAnsi="Times New Roman"/>
          <w:sz w:val="18"/>
          <w:szCs w:val="18"/>
          <w:color w:val="auto"/>
        </w:rPr>
      </w:pPr>
    </w:p>
    <w:p>
      <w:pPr>
        <w:ind w:left="1280" w:hanging="641"/>
        <w:spacing w:after="0" w:line="270" w:lineRule="auto"/>
        <w:tabs>
          <w:tab w:leader="none" w:pos="127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Times New Roman" w:cs="Times New Roman" w:eastAsia="Times New Roman" w:hAnsi="Times New Roman"/>
          <w:sz w:val="18"/>
          <w:szCs w:val="18"/>
          <w:color w:val="auto"/>
        </w:rPr>
      </w:pPr>
    </w:p>
    <w:p>
      <w:pPr>
        <w:jc w:val="both"/>
        <w:ind w:left="1280" w:hanging="641"/>
        <w:spacing w:after="0" w:line="257" w:lineRule="auto"/>
        <w:tabs>
          <w:tab w:leader="none" w:pos="128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4" w:lineRule="exact"/>
        <w:rPr>
          <w:rFonts w:ascii="Times New Roman" w:cs="Times New Roman" w:eastAsia="Times New Roman" w:hAnsi="Times New Roman"/>
          <w:sz w:val="18"/>
          <w:szCs w:val="18"/>
          <w:color w:val="auto"/>
        </w:rPr>
      </w:pPr>
    </w:p>
    <w:p>
      <w:pPr>
        <w:ind w:left="640" w:hanging="634"/>
        <w:spacing w:after="0" w:line="270" w:lineRule="auto"/>
        <w:tabs>
          <w:tab w:leader="none" w:pos="6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2" w:lineRule="exact"/>
        <w:rPr>
          <w:rFonts w:ascii="Times New Roman" w:cs="Times New Roman" w:eastAsia="Times New Roman" w:hAnsi="Times New Roman"/>
          <w:sz w:val="18"/>
          <w:szCs w:val="18"/>
          <w:color w:val="auto"/>
        </w:rPr>
      </w:pPr>
    </w:p>
    <w:p>
      <w:pPr>
        <w:ind w:left="1280" w:hanging="641"/>
        <w:spacing w:after="0" w:line="270" w:lineRule="auto"/>
        <w:tabs>
          <w:tab w:leader="none" w:pos="127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Times New Roman" w:cs="Times New Roman" w:eastAsia="Times New Roman" w:hAnsi="Times New Roman"/>
          <w:sz w:val="18"/>
          <w:szCs w:val="18"/>
          <w:color w:val="auto"/>
        </w:rPr>
      </w:pPr>
    </w:p>
    <w:p>
      <w:pPr>
        <w:ind w:left="1280" w:hanging="641"/>
        <w:spacing w:after="0" w:line="270" w:lineRule="auto"/>
        <w:tabs>
          <w:tab w:leader="none" w:pos="128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December 14, 2023</w:t>
      </w:r>
    </w:p>
    <w:p>
      <w:pPr>
        <w:spacing w:after="0" w:line="4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Kirsten M. Spears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14605</wp:posOffset>
            </wp:positionV>
            <wp:extent cx="355536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90">
                      <a:extLst>
                        <a:ext uri="{28A0092B-C50C-407E-A947-70E740481C1C}"/>
                      </a:extLst>
                    </a:blip>
                    <a:srcRect/>
                    <a:stretch>
                      <a:fillRect/>
                    </a:stretch>
                  </pic:blipFill>
                  <pic:spPr bwMode="auto">
                    <a:xfrm>
                      <a:off x="0" y="0"/>
                      <a:ext cx="3555365" cy="8255"/>
                    </a:xfrm>
                    <a:prstGeom prst="rect">
                      <a:avLst/>
                    </a:prstGeom>
                    <a:noFill/>
                  </pic:spPr>
                </pic:pic>
              </a:graphicData>
            </a:graphic>
          </wp:anchor>
        </w:drawing>
      </w:r>
    </w:p>
    <w:p>
      <w:pPr>
        <w:spacing w:after="0" w:line="1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Kirsten M. Spears</w:t>
      </w:r>
    </w:p>
    <w:p>
      <w:pPr>
        <w:spacing w:after="0" w:line="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Chief Financial Officer</w:t>
      </w:r>
    </w:p>
    <w:p>
      <w:pPr>
        <w:ind w:left="20"/>
        <w:spacing w:after="0"/>
        <w:rPr>
          <w:sz w:val="20"/>
          <w:szCs w:val="20"/>
          <w:color w:val="auto"/>
        </w:rPr>
      </w:pPr>
      <w:r>
        <w:rPr>
          <w:rFonts w:ascii="Times New Roman" w:cs="Times New Roman" w:eastAsia="Times New Roman" w:hAnsi="Times New Roman"/>
          <w:sz w:val="18"/>
          <w:szCs w:val="18"/>
          <w:color w:val="auto"/>
        </w:rPr>
        <w:t>(Principal Financial Officer)</w:t>
      </w:r>
    </w:p>
    <w:p>
      <w:pPr>
        <w:sectPr>
          <w:pgSz w:w="11900" w:h="16838" w:orient="portrait"/>
          <w:cols w:equalWidth="0" w:num="1">
            <w:col w:w="11240"/>
          </w:cols>
          <w:pgMar w:left="320" w:top="872" w:right="339" w:bottom="1440" w:gutter="0" w:footer="0" w:header="0"/>
        </w:sectPr>
      </w:pPr>
    </w:p>
    <w:bookmarkStart w:id="106" w:name="page107"/>
    <w:bookmarkEnd w:id="106"/>
    <w:p>
      <w:pPr>
        <w:ind w:left="10140"/>
        <w:spacing w:after="0"/>
        <w:rPr>
          <w:sz w:val="20"/>
          <w:szCs w:val="20"/>
          <w:color w:val="auto"/>
        </w:rPr>
      </w:pPr>
      <w:r>
        <w:rPr>
          <w:rFonts w:ascii="Times New Roman" w:cs="Times New Roman" w:eastAsia="Times New Roman" w:hAnsi="Times New Roman"/>
          <w:sz w:val="17"/>
          <w:szCs w:val="17"/>
          <w:b w:val="1"/>
          <w:bCs w:val="1"/>
          <w:color w:val="auto"/>
        </w:rPr>
        <w:t>EXHIBIT 32.1</w:t>
      </w:r>
    </w:p>
    <w:p>
      <w:pPr>
        <w:spacing w:after="0" w:line="227" w:lineRule="exact"/>
        <w:rPr>
          <w:sz w:val="20"/>
          <w:szCs w:val="20"/>
          <w:color w:val="auto"/>
        </w:rPr>
      </w:pPr>
    </w:p>
    <w:p>
      <w:pPr>
        <w:jc w:val="center"/>
        <w:ind w:left="340" w:right="1040"/>
        <w:spacing w:after="0" w:line="272" w:lineRule="auto"/>
        <w:rPr>
          <w:sz w:val="20"/>
          <w:szCs w:val="20"/>
          <w:color w:val="auto"/>
        </w:rPr>
      </w:pPr>
      <w:r>
        <w:rPr>
          <w:rFonts w:ascii="Times New Roman" w:cs="Times New Roman" w:eastAsia="Times New Roman" w:hAnsi="Times New Roman"/>
          <w:sz w:val="18"/>
          <w:szCs w:val="18"/>
          <w:b w:val="1"/>
          <w:bCs w:val="1"/>
          <w:color w:val="auto"/>
        </w:rPr>
        <w:t>CERTIFICATION OF THE CHIEF EXECUTIVE OFFICER PURSUANT TO 18 U.S.C. SECTION 1350, AS ADOPTED PURSUANT TO SECTION 906 OF THE SARBANES-OXLEY ACT OF 2002</w:t>
      </w:r>
    </w:p>
    <w:p>
      <w:pPr>
        <w:spacing w:after="0" w:line="6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In connection with the Annual Report on Form 10-K of Broadcom Inc. (the “Company”) for the fiscal year ended October 29, 2023 as filed with the Securities and Exchange Commission on the date hereof (the “Report”), the undersigned, Hock E. Tan, Chief Executive Officer of the Company, hereby certifies, pursuant to 18 U.S.C. Section 1350, that:</w:t>
      </w:r>
    </w:p>
    <w:p>
      <w:pPr>
        <w:spacing w:after="0" w:line="74" w:lineRule="exact"/>
        <w:rPr>
          <w:sz w:val="20"/>
          <w:szCs w:val="20"/>
          <w:color w:val="auto"/>
        </w:rPr>
      </w:pPr>
    </w:p>
    <w:p>
      <w:pPr>
        <w:ind w:left="640" w:hanging="317"/>
        <w:spacing w:after="0"/>
        <w:tabs>
          <w:tab w:leader="none" w:pos="6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09" w:lineRule="exact"/>
        <w:rPr>
          <w:rFonts w:ascii="Times New Roman" w:cs="Times New Roman" w:eastAsia="Times New Roman" w:hAnsi="Times New Roman"/>
          <w:sz w:val="18"/>
          <w:szCs w:val="18"/>
          <w:color w:val="auto"/>
        </w:rPr>
      </w:pPr>
    </w:p>
    <w:p>
      <w:pPr>
        <w:ind w:left="640" w:hanging="317"/>
        <w:spacing w:after="0"/>
        <w:tabs>
          <w:tab w:leader="none" w:pos="6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44" w:lineRule="exact"/>
        <w:rPr>
          <w:sz w:val="20"/>
          <w:szCs w:val="20"/>
          <w:color w:val="auto"/>
        </w:rPr>
      </w:pPr>
    </w:p>
    <w:tbl>
      <w:tblPr>
        <w:tblLayout w:type="fixed"/>
        <w:tblInd w:w="220" w:type="dxa"/>
        <w:tblCellMar>
          <w:top w:w="0" w:type="dxa"/>
          <w:left w:w="0" w:type="dxa"/>
          <w:bottom w:w="0" w:type="dxa"/>
          <w:right w:w="0" w:type="dxa"/>
        </w:tblCellMar>
      </w:tblPr>
      <w:tr>
        <w:trPr>
          <w:trHeight w:val="229"/>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Date: December 14, 2023</w:t>
            </w:r>
          </w:p>
        </w:tc>
        <w:tc>
          <w:tcPr>
            <w:tcW w:w="4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Hock E. Tan</w:t>
            </w:r>
          </w:p>
        </w:tc>
      </w:tr>
      <w:tr>
        <w:trPr>
          <w:trHeight w:val="213"/>
        </w:trPr>
        <w:tc>
          <w:tcPr>
            <w:tcW w:w="5320" w:type="dxa"/>
            <w:vAlign w:val="bottom"/>
          </w:tcPr>
          <w:p>
            <w:pPr>
              <w:spacing w:after="0"/>
              <w:rPr>
                <w:sz w:val="18"/>
                <w:szCs w:val="18"/>
                <w:color w:val="auto"/>
              </w:rPr>
            </w:pPr>
          </w:p>
        </w:tc>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Hock E. Tan</w:t>
            </w:r>
          </w:p>
        </w:tc>
      </w:tr>
      <w:tr>
        <w:trPr>
          <w:trHeight w:val="177"/>
        </w:trPr>
        <w:tc>
          <w:tcPr>
            <w:tcW w:w="5320" w:type="dxa"/>
            <w:vAlign w:val="bottom"/>
          </w:tcPr>
          <w:p>
            <w:pPr>
              <w:spacing w:after="0"/>
              <w:rPr>
                <w:sz w:val="15"/>
                <w:szCs w:val="15"/>
                <w:color w:val="auto"/>
              </w:rPr>
            </w:pPr>
          </w:p>
        </w:tc>
        <w:tc>
          <w:tcPr>
            <w:tcW w:w="4920" w:type="dxa"/>
            <w:vAlign w:val="bottom"/>
          </w:tcPr>
          <w:p>
            <w:pPr>
              <w:ind w:left="20"/>
              <w:spacing w:after="0" w:line="177" w:lineRule="exact"/>
              <w:rPr>
                <w:sz w:val="20"/>
                <w:szCs w:val="20"/>
                <w:color w:val="auto"/>
              </w:rPr>
            </w:pPr>
            <w:r>
              <w:rPr>
                <w:rFonts w:ascii="Times New Roman" w:cs="Times New Roman" w:eastAsia="Times New Roman" w:hAnsi="Times New Roman"/>
                <w:sz w:val="18"/>
                <w:szCs w:val="18"/>
                <w:color w:val="auto"/>
              </w:rPr>
              <w:t>Chief Executive Officer</w:t>
            </w:r>
          </w:p>
        </w:tc>
      </w:tr>
      <w:tr>
        <w:trPr>
          <w:trHeight w:val="229"/>
        </w:trPr>
        <w:tc>
          <w:tcPr>
            <w:tcW w:w="5320" w:type="dxa"/>
            <w:vAlign w:val="bottom"/>
          </w:tcPr>
          <w:p>
            <w:pPr>
              <w:spacing w:after="0"/>
              <w:rPr>
                <w:sz w:val="19"/>
                <w:szCs w:val="19"/>
                <w:color w:val="auto"/>
              </w:rPr>
            </w:pPr>
          </w:p>
        </w:tc>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r>
    </w:tbl>
    <w:p>
      <w:pPr>
        <w:spacing w:after="0" w:line="200" w:lineRule="exact"/>
        <w:rPr>
          <w:sz w:val="20"/>
          <w:szCs w:val="20"/>
          <w:color w:val="auto"/>
        </w:rPr>
      </w:pPr>
    </w:p>
    <w:p>
      <w:pPr>
        <w:spacing w:after="0" w:line="371"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8"/>
          <w:szCs w:val="18"/>
          <w:color w:val="auto"/>
        </w:rPr>
        <w:t>The foregoing certification is being furnished solely pursuant to 18 U.S.C. § 1350 and is not being filed as part of the Report or as a separate disclosure document.</w:t>
      </w:r>
    </w:p>
    <w:p>
      <w:pPr>
        <w:sectPr>
          <w:pgSz w:w="11900" w:h="16838" w:orient="portrait"/>
          <w:cols w:equalWidth="0" w:num="1">
            <w:col w:w="11240"/>
          </w:cols>
          <w:pgMar w:left="320" w:top="872" w:right="339" w:bottom="1440" w:gutter="0" w:footer="0" w:header="0"/>
        </w:sectPr>
      </w:pPr>
    </w:p>
    <w:bookmarkStart w:id="107" w:name="page108"/>
    <w:bookmarkEnd w:id="107"/>
    <w:p>
      <w:pPr>
        <w:ind w:left="10140"/>
        <w:spacing w:after="0"/>
        <w:rPr>
          <w:sz w:val="20"/>
          <w:szCs w:val="20"/>
          <w:color w:val="auto"/>
        </w:rPr>
      </w:pPr>
      <w:r>
        <w:rPr>
          <w:rFonts w:ascii="Times New Roman" w:cs="Times New Roman" w:eastAsia="Times New Roman" w:hAnsi="Times New Roman"/>
          <w:sz w:val="17"/>
          <w:szCs w:val="17"/>
          <w:b w:val="1"/>
          <w:bCs w:val="1"/>
          <w:color w:val="auto"/>
        </w:rPr>
        <w:t>EXHIBIT 32.2</w:t>
      </w:r>
    </w:p>
    <w:p>
      <w:pPr>
        <w:spacing w:after="0" w:line="227" w:lineRule="exact"/>
        <w:rPr>
          <w:sz w:val="20"/>
          <w:szCs w:val="20"/>
          <w:color w:val="auto"/>
        </w:rPr>
      </w:pPr>
    </w:p>
    <w:p>
      <w:pPr>
        <w:jc w:val="center"/>
        <w:ind w:left="340" w:right="1060"/>
        <w:spacing w:after="0" w:line="272" w:lineRule="auto"/>
        <w:rPr>
          <w:sz w:val="20"/>
          <w:szCs w:val="20"/>
          <w:color w:val="auto"/>
        </w:rPr>
      </w:pPr>
      <w:r>
        <w:rPr>
          <w:rFonts w:ascii="Times New Roman" w:cs="Times New Roman" w:eastAsia="Times New Roman" w:hAnsi="Times New Roman"/>
          <w:sz w:val="18"/>
          <w:szCs w:val="18"/>
          <w:b w:val="1"/>
          <w:bCs w:val="1"/>
          <w:color w:val="auto"/>
        </w:rPr>
        <w:t>CERTIFICATION OF THE CHIEF FINANCIAL OFFICER PURSUANT TO 18 U.S.C. SECTION 1350, AS ADOPTED PURSUANT TO SECTION 906 OF THE SARBANES-OXLEY ACT OF 2002</w:t>
      </w:r>
    </w:p>
    <w:p>
      <w:pPr>
        <w:spacing w:after="0" w:line="6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In connection with the Annual Report on Form 10-K of Broadcom Inc. (the “Company”) for the fiscal year ended October 29, 2023 as filed with the Securities and Exchange Commission on the date hereof (the “Report”), the undersigned, Kirsten M. Spears, Chief Financial Officer of the Company, hereby certifies, pursuant to 18 U.S.C. Section 1350, that:</w:t>
      </w:r>
    </w:p>
    <w:p>
      <w:pPr>
        <w:spacing w:after="0" w:line="74" w:lineRule="exact"/>
        <w:rPr>
          <w:sz w:val="20"/>
          <w:szCs w:val="20"/>
          <w:color w:val="auto"/>
        </w:rPr>
      </w:pPr>
    </w:p>
    <w:p>
      <w:pPr>
        <w:ind w:left="640" w:hanging="317"/>
        <w:spacing w:after="0"/>
        <w:tabs>
          <w:tab w:leader="none" w:pos="6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09" w:lineRule="exact"/>
        <w:rPr>
          <w:rFonts w:ascii="Times New Roman" w:cs="Times New Roman" w:eastAsia="Times New Roman" w:hAnsi="Times New Roman"/>
          <w:sz w:val="18"/>
          <w:szCs w:val="18"/>
          <w:color w:val="auto"/>
        </w:rPr>
      </w:pPr>
    </w:p>
    <w:p>
      <w:pPr>
        <w:ind w:left="640" w:hanging="317"/>
        <w:spacing w:after="0"/>
        <w:tabs>
          <w:tab w:leader="none" w:pos="6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44" w:lineRule="exact"/>
        <w:rPr>
          <w:sz w:val="20"/>
          <w:szCs w:val="20"/>
          <w:color w:val="auto"/>
        </w:rPr>
      </w:pPr>
    </w:p>
    <w:tbl>
      <w:tblPr>
        <w:tblLayout w:type="fixed"/>
        <w:tblInd w:w="220" w:type="dxa"/>
        <w:tblCellMar>
          <w:top w:w="0" w:type="dxa"/>
          <w:left w:w="0" w:type="dxa"/>
          <w:bottom w:w="0" w:type="dxa"/>
          <w:right w:w="0" w:type="dxa"/>
        </w:tblCellMar>
      </w:tblPr>
      <w:tr>
        <w:trPr>
          <w:trHeight w:val="229"/>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Date: December 14, 2023</w:t>
            </w:r>
          </w:p>
        </w:tc>
        <w:tc>
          <w:tcPr>
            <w:tcW w:w="4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Kirsten M. Spears</w:t>
            </w:r>
          </w:p>
        </w:tc>
      </w:tr>
      <w:tr>
        <w:trPr>
          <w:trHeight w:val="213"/>
        </w:trPr>
        <w:tc>
          <w:tcPr>
            <w:tcW w:w="5320" w:type="dxa"/>
            <w:vAlign w:val="bottom"/>
          </w:tcPr>
          <w:p>
            <w:pPr>
              <w:spacing w:after="0"/>
              <w:rPr>
                <w:sz w:val="18"/>
                <w:szCs w:val="18"/>
                <w:color w:val="auto"/>
              </w:rPr>
            </w:pPr>
          </w:p>
        </w:tc>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Kirsten M. Spears</w:t>
            </w:r>
          </w:p>
        </w:tc>
      </w:tr>
      <w:tr>
        <w:trPr>
          <w:trHeight w:val="177"/>
        </w:trPr>
        <w:tc>
          <w:tcPr>
            <w:tcW w:w="5320" w:type="dxa"/>
            <w:vAlign w:val="bottom"/>
          </w:tcPr>
          <w:p>
            <w:pPr>
              <w:spacing w:after="0"/>
              <w:rPr>
                <w:sz w:val="15"/>
                <w:szCs w:val="15"/>
                <w:color w:val="auto"/>
              </w:rPr>
            </w:pPr>
          </w:p>
        </w:tc>
        <w:tc>
          <w:tcPr>
            <w:tcW w:w="4920" w:type="dxa"/>
            <w:vAlign w:val="bottom"/>
          </w:tcPr>
          <w:p>
            <w:pPr>
              <w:ind w:left="20"/>
              <w:spacing w:after="0" w:line="177" w:lineRule="exact"/>
              <w:rPr>
                <w:sz w:val="20"/>
                <w:szCs w:val="20"/>
                <w:color w:val="auto"/>
              </w:rPr>
            </w:pPr>
            <w:r>
              <w:rPr>
                <w:rFonts w:ascii="Times New Roman" w:cs="Times New Roman" w:eastAsia="Times New Roman" w:hAnsi="Times New Roman"/>
                <w:sz w:val="18"/>
                <w:szCs w:val="18"/>
                <w:color w:val="auto"/>
              </w:rPr>
              <w:t>Chief Financial Officer</w:t>
            </w:r>
          </w:p>
        </w:tc>
      </w:tr>
      <w:tr>
        <w:trPr>
          <w:trHeight w:val="229"/>
        </w:trPr>
        <w:tc>
          <w:tcPr>
            <w:tcW w:w="5320" w:type="dxa"/>
            <w:vAlign w:val="bottom"/>
          </w:tcPr>
          <w:p>
            <w:pPr>
              <w:spacing w:after="0"/>
              <w:rPr>
                <w:sz w:val="19"/>
                <w:szCs w:val="19"/>
                <w:color w:val="auto"/>
              </w:rPr>
            </w:pPr>
          </w:p>
        </w:tc>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Financial Officer)</w:t>
            </w:r>
          </w:p>
        </w:tc>
      </w:tr>
    </w:tbl>
    <w:p>
      <w:pPr>
        <w:spacing w:after="0" w:line="200" w:lineRule="exact"/>
        <w:rPr>
          <w:sz w:val="20"/>
          <w:szCs w:val="20"/>
          <w:color w:val="auto"/>
        </w:rPr>
      </w:pPr>
    </w:p>
    <w:p>
      <w:pPr>
        <w:spacing w:after="0" w:line="371"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8"/>
          <w:szCs w:val="18"/>
          <w:color w:val="auto"/>
        </w:rPr>
        <w:t>The foregoing certification is being furnished solely pursuant to 18 U.S.C. § 1350 and is not being filed as part of the Report or as a separate disclosure document.</w:t>
      </w:r>
    </w:p>
    <w:p>
      <w:pPr>
        <w:sectPr>
          <w:pgSz w:w="11900" w:h="16838" w:orient="portrait"/>
          <w:cols w:equalWidth="0" w:num="1">
            <w:col w:w="11240"/>
          </w:cols>
          <w:pgMar w:left="320" w:top="872" w:right="339" w:bottom="1440" w:gutter="0" w:footer="0" w:header="0"/>
        </w:sectPr>
      </w:pPr>
    </w:p>
    <w:bookmarkStart w:id="108" w:name="page109"/>
    <w:bookmarkEnd w:id="108"/>
    <w:p>
      <w:pPr>
        <w:jc w:val="right"/>
        <w:spacing w:after="0"/>
        <w:rPr>
          <w:sz w:val="20"/>
          <w:szCs w:val="20"/>
          <w:color w:val="auto"/>
        </w:rPr>
      </w:pPr>
      <w:r>
        <w:rPr>
          <w:rFonts w:ascii="Times New Roman" w:cs="Times New Roman" w:eastAsia="Times New Roman" w:hAnsi="Times New Roman"/>
          <w:sz w:val="20"/>
          <w:szCs w:val="20"/>
          <w:color w:val="auto"/>
        </w:rPr>
        <w:t>Exhibit 97.1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133350</wp:posOffset>
            </wp:positionV>
            <wp:extent cx="1635125" cy="21780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91">
                      <a:extLst>
                        <a:ext uri="{28A0092B-C50C-407E-A947-70E740481C1C}"/>
                      </a:extLst>
                    </a:blip>
                    <a:srcRect/>
                    <a:stretch>
                      <a:fillRect/>
                    </a:stretch>
                  </pic:blipFill>
                  <pic:spPr bwMode="auto">
                    <a:xfrm>
                      <a:off x="0" y="0"/>
                      <a:ext cx="1635125" cy="217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Broadcom Inc.</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CLAWBACK POLICY</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December 1, 2023</w:t>
      </w:r>
    </w:p>
    <w:p>
      <w:pPr>
        <w:spacing w:after="0" w:line="200" w:lineRule="exact"/>
        <w:rPr>
          <w:sz w:val="20"/>
          <w:szCs w:val="20"/>
          <w:color w:val="auto"/>
        </w:rPr>
      </w:pPr>
    </w:p>
    <w:p>
      <w:pPr>
        <w:spacing w:after="0" w:line="240" w:lineRule="exact"/>
        <w:rPr>
          <w:sz w:val="20"/>
          <w:szCs w:val="20"/>
          <w:color w:val="auto"/>
        </w:rPr>
      </w:pPr>
    </w:p>
    <w:p>
      <w:pPr>
        <w:ind w:right="20" w:firstLine="317"/>
        <w:spacing w:after="0" w:line="288" w:lineRule="auto"/>
        <w:rPr>
          <w:sz w:val="20"/>
          <w:szCs w:val="20"/>
          <w:color w:val="auto"/>
        </w:rPr>
      </w:pPr>
      <w:r>
        <w:rPr>
          <w:rFonts w:ascii="Times New Roman" w:cs="Times New Roman" w:eastAsia="Times New Roman" w:hAnsi="Times New Roman"/>
          <w:sz w:val="20"/>
          <w:szCs w:val="20"/>
          <w:color w:val="auto"/>
        </w:rPr>
        <w:t>The Board of Directors (the “</w:t>
      </w:r>
      <w:r>
        <w:rPr>
          <w:rFonts w:ascii="Times New Roman" w:cs="Times New Roman" w:eastAsia="Times New Roman" w:hAnsi="Times New Roman"/>
          <w:sz w:val="20"/>
          <w:szCs w:val="20"/>
          <w:b w:val="1"/>
          <w:bCs w:val="1"/>
          <w:i w:val="1"/>
          <w:iCs w:val="1"/>
          <w:color w:val="auto"/>
        </w:rPr>
        <w:t>Board</w:t>
      </w:r>
      <w:r>
        <w:rPr>
          <w:rFonts w:ascii="Times New Roman" w:cs="Times New Roman" w:eastAsia="Times New Roman" w:hAnsi="Times New Roman"/>
          <w:sz w:val="20"/>
          <w:szCs w:val="20"/>
          <w:color w:val="auto"/>
        </w:rPr>
        <w:t>”) of Broadcom Inc. (“</w:t>
      </w:r>
      <w:r>
        <w:rPr>
          <w:rFonts w:ascii="Times New Roman" w:cs="Times New Roman" w:eastAsia="Times New Roman" w:hAnsi="Times New Roman"/>
          <w:sz w:val="20"/>
          <w:szCs w:val="20"/>
          <w:b w:val="1"/>
          <w:bCs w:val="1"/>
          <w:i w:val="1"/>
          <w:iCs w:val="1"/>
          <w:color w:val="auto"/>
        </w:rPr>
        <w:t>Broadcom</w:t>
      </w:r>
      <w:r>
        <w:rPr>
          <w:rFonts w:ascii="Times New Roman" w:cs="Times New Roman" w:eastAsia="Times New Roman" w:hAnsi="Times New Roman"/>
          <w:sz w:val="20"/>
          <w:szCs w:val="20"/>
          <w:color w:val="auto"/>
        </w:rPr>
        <w:t>”) adopted this Clawback Policy, as it may be further amended or restated from time to time (this “</w:t>
      </w:r>
      <w:r>
        <w:rPr>
          <w:rFonts w:ascii="Times New Roman" w:cs="Times New Roman" w:eastAsia="Times New Roman" w:hAnsi="Times New Roman"/>
          <w:sz w:val="20"/>
          <w:szCs w:val="20"/>
          <w:b w:val="1"/>
          <w:bCs w:val="1"/>
          <w:i w:val="1"/>
          <w:iCs w:val="1"/>
          <w:color w:val="auto"/>
        </w:rPr>
        <w:t>Policy</w:t>
      </w:r>
      <w:r>
        <w:rPr>
          <w:rFonts w:ascii="Times New Roman" w:cs="Times New Roman" w:eastAsia="Times New Roman" w:hAnsi="Times New Roman"/>
          <w:sz w:val="20"/>
          <w:szCs w:val="20"/>
          <w:color w:val="auto"/>
        </w:rPr>
        <w:t>”), to be effective as of the date first written above.</w:t>
      </w:r>
    </w:p>
    <w:p>
      <w:pPr>
        <w:spacing w:after="0" w:line="15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0"/>
          <w:szCs w:val="20"/>
          <w:color w:val="auto"/>
        </w:rPr>
        <w:t>Capitalized terms have the meanings set forth in Section 7 of this Policy, unless otherwise defined herein.</w:t>
      </w:r>
    </w:p>
    <w:p>
      <w:pPr>
        <w:spacing w:after="0" w:line="228" w:lineRule="exact"/>
        <w:rPr>
          <w:sz w:val="20"/>
          <w:szCs w:val="20"/>
          <w:color w:val="auto"/>
        </w:rPr>
      </w:pPr>
    </w:p>
    <w:p>
      <w:pPr>
        <w:ind w:left="640" w:hanging="317"/>
        <w:spacing w:after="0"/>
        <w:tabs>
          <w:tab w:leader="none" w:pos="640" w:val="left"/>
        </w:tabs>
        <w:numPr>
          <w:ilvl w:val="0"/>
          <w:numId w:val="39"/>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0"/>
          <w:szCs w:val="20"/>
          <w:b w:val="1"/>
          <w:bCs w:val="1"/>
          <w:u w:val="single" w:color="auto"/>
          <w:color w:val="auto"/>
        </w:rPr>
        <w:t>Recoupment and Forfeiture of Covered Compensation</w:t>
      </w:r>
    </w:p>
    <w:p>
      <w:pPr>
        <w:spacing w:after="0" w:line="211" w:lineRule="exact"/>
        <w:rPr>
          <w:sz w:val="20"/>
          <w:szCs w:val="20"/>
          <w:color w:val="auto"/>
        </w:rPr>
      </w:pPr>
    </w:p>
    <w:p>
      <w:pPr>
        <w:ind w:right="200" w:firstLine="317"/>
        <w:spacing w:after="0" w:line="268" w:lineRule="auto"/>
        <w:rPr>
          <w:sz w:val="20"/>
          <w:szCs w:val="20"/>
          <w:color w:val="auto"/>
        </w:rPr>
      </w:pPr>
      <w:r>
        <w:rPr>
          <w:rFonts w:ascii="Times New Roman" w:cs="Times New Roman" w:eastAsia="Times New Roman" w:hAnsi="Times New Roman"/>
          <w:sz w:val="20"/>
          <w:szCs w:val="20"/>
          <w:color w:val="auto"/>
        </w:rPr>
        <w:t>If there is a Restatement, any Covered Compensation (on a pre-tax basis) Received by any person who was an Executive Officer during the applicable Lookback Period that (i) has been settled or paid to such person will be subject to reasonably prompt repayment to Broadcom in accordance with Section 2 of this Policy and (ii) has been granted or earned (including vested) but has not yet been paid or settled will be automatically forfeited.</w:t>
      </w:r>
    </w:p>
    <w:p>
      <w:pPr>
        <w:spacing w:after="0" w:line="155" w:lineRule="exact"/>
        <w:rPr>
          <w:sz w:val="20"/>
          <w:szCs w:val="20"/>
          <w:color w:val="auto"/>
        </w:rPr>
      </w:pPr>
    </w:p>
    <w:p>
      <w:pPr>
        <w:ind w:right="120" w:firstLine="317"/>
        <w:spacing w:after="0" w:line="288" w:lineRule="auto"/>
        <w:rPr>
          <w:sz w:val="20"/>
          <w:szCs w:val="20"/>
          <w:color w:val="auto"/>
        </w:rPr>
      </w:pPr>
      <w:r>
        <w:rPr>
          <w:rFonts w:ascii="Times New Roman" w:cs="Times New Roman" w:eastAsia="Times New Roman" w:hAnsi="Times New Roman"/>
          <w:sz w:val="20"/>
          <w:szCs w:val="20"/>
          <w:color w:val="auto"/>
        </w:rPr>
        <w:t>The Compensation Committee of the Board (the “</w:t>
      </w:r>
      <w:r>
        <w:rPr>
          <w:rFonts w:ascii="Times New Roman" w:cs="Times New Roman" w:eastAsia="Times New Roman" w:hAnsi="Times New Roman"/>
          <w:sz w:val="20"/>
          <w:szCs w:val="20"/>
          <w:b w:val="1"/>
          <w:bCs w:val="1"/>
          <w:i w:val="1"/>
          <w:iCs w:val="1"/>
          <w:color w:val="auto"/>
        </w:rPr>
        <w:t>Committee</w:t>
      </w:r>
      <w:r>
        <w:rPr>
          <w:rFonts w:ascii="Times New Roman" w:cs="Times New Roman" w:eastAsia="Times New Roman" w:hAnsi="Times New Roman"/>
          <w:sz w:val="20"/>
          <w:szCs w:val="20"/>
          <w:color w:val="auto"/>
        </w:rPr>
        <w:t>”) will pursue (and does not have the discretion to waive) the repayment and/or forfeiture of such Covered Compensation in accordance with Section 2 of this Policy, except as provided below.</w:t>
      </w:r>
    </w:p>
    <w:p>
      <w:pPr>
        <w:spacing w:after="0" w:line="154" w:lineRule="exact"/>
        <w:rPr>
          <w:sz w:val="20"/>
          <w:szCs w:val="20"/>
          <w:color w:val="auto"/>
        </w:rPr>
      </w:pPr>
    </w:p>
    <w:p>
      <w:pPr>
        <w:ind w:right="260" w:firstLine="317"/>
        <w:spacing w:after="0" w:line="263" w:lineRule="auto"/>
        <w:rPr>
          <w:sz w:val="20"/>
          <w:szCs w:val="20"/>
          <w:color w:val="auto"/>
        </w:rPr>
      </w:pPr>
      <w:r>
        <w:rPr>
          <w:rFonts w:ascii="Times New Roman" w:cs="Times New Roman" w:eastAsia="Times New Roman" w:hAnsi="Times New Roman"/>
          <w:sz w:val="20"/>
          <w:szCs w:val="20"/>
          <w:color w:val="auto"/>
        </w:rPr>
        <w:t>The Committee (or, if at any time the Committee is not a Board committee responsible for Broadcom’s executive compensation decisions and composed entirely of independent directors, a majority of the independent directors serving on the Board) may determine not to pursue repayment and/or forfeiture of the Covered Compensation if the Committee determines that such repayment and/or forfeiture would be impracticable due to any of the following circumstances:</w:t>
      </w:r>
    </w:p>
    <w:p>
      <w:pPr>
        <w:spacing w:after="0" w:line="167" w:lineRule="exact"/>
        <w:rPr>
          <w:sz w:val="20"/>
          <w:szCs w:val="20"/>
          <w:color w:val="auto"/>
        </w:rPr>
      </w:pPr>
    </w:p>
    <w:p>
      <w:pPr>
        <w:ind w:left="800" w:right="140" w:hanging="477"/>
        <w:spacing w:after="0" w:line="263" w:lineRule="auto"/>
        <w:tabs>
          <w:tab w:leader="none" w:pos="793"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direct expense paid to a third party (for example, reasonable legal expenses and consulting fees) to assist in enforcing this Policy would exceed the amount to be recovered (following (x) reasonable attempts by the Committee to recover such Covered Compensation, (y) the documentation of such attempts, and (z) if required, the provision of such documentation to the Nasdaq Stock Market (“</w:t>
      </w:r>
      <w:r>
        <w:rPr>
          <w:rFonts w:ascii="Times New Roman" w:cs="Times New Roman" w:eastAsia="Times New Roman" w:hAnsi="Times New Roman"/>
          <w:sz w:val="20"/>
          <w:szCs w:val="20"/>
          <w:b w:val="1"/>
          <w:bCs w:val="1"/>
          <w:i w:val="1"/>
          <w:iCs w:val="1"/>
          <w:color w:val="auto"/>
        </w:rPr>
        <w:t>Nasdaq</w:t>
      </w:r>
      <w:r>
        <w:rPr>
          <w:rFonts w:ascii="Times New Roman" w:cs="Times New Roman" w:eastAsia="Times New Roman" w:hAnsi="Times New Roman"/>
          <w:sz w:val="20"/>
          <w:szCs w:val="20"/>
          <w:color w:val="auto"/>
        </w:rPr>
        <w:t>”));</w:t>
      </w:r>
    </w:p>
    <w:p>
      <w:pPr>
        <w:spacing w:after="0" w:line="180" w:lineRule="exact"/>
        <w:rPr>
          <w:rFonts w:ascii="Times New Roman" w:cs="Times New Roman" w:eastAsia="Times New Roman" w:hAnsi="Times New Roman"/>
          <w:sz w:val="20"/>
          <w:szCs w:val="20"/>
          <w:color w:val="auto"/>
        </w:rPr>
      </w:pPr>
    </w:p>
    <w:p>
      <w:pPr>
        <w:ind w:left="800" w:right="80" w:hanging="477"/>
        <w:spacing w:after="0" w:line="271" w:lineRule="auto"/>
        <w:tabs>
          <w:tab w:leader="none" w:pos="796"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Pursuing such recovery would violate Broadcom’s Home Country laws adopted before November 28, 2022 (provided that Broadcom obtains an opinion of Home Country counsel acceptable to Nasdaq that recovery would result in such a violation and provides such required opinion to Nasdaq); or</w:t>
      </w:r>
    </w:p>
    <w:p>
      <w:pPr>
        <w:spacing w:after="0" w:line="158" w:lineRule="exact"/>
        <w:rPr>
          <w:rFonts w:ascii="Times New Roman" w:cs="Times New Roman" w:eastAsia="Times New Roman" w:hAnsi="Times New Roman"/>
          <w:sz w:val="20"/>
          <w:szCs w:val="20"/>
          <w:color w:val="auto"/>
        </w:rPr>
      </w:pPr>
    </w:p>
    <w:p>
      <w:pPr>
        <w:ind w:left="800" w:right="280" w:hanging="477"/>
        <w:spacing w:after="0" w:line="271" w:lineRule="auto"/>
        <w:tabs>
          <w:tab w:leader="none" w:pos="800"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Recovery would likely cause any otherwise tax-qualified retirement plan, under which benefits are broadly available to employees of Broadcom and its subsidiaries, to fail to meet the requirements of 26 U.S.C. 401(a)(13) or 26 U.S.C. 411(a) and regulations thereunder.</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w:t>
      </w:r>
    </w:p>
    <w:p>
      <w:pPr>
        <w:sectPr>
          <w:pgSz w:w="11900" w:h="16838" w:orient="portrait"/>
          <w:cols w:equalWidth="0" w:num="1">
            <w:col w:w="11240"/>
          </w:cols>
          <w:pgMar w:left="320" w:top="1126" w:right="339" w:bottom="1440" w:gutter="0" w:footer="0" w:header="0"/>
        </w:sectPr>
      </w:pPr>
    </w:p>
    <w:bookmarkStart w:id="109" w:name="page110"/>
    <w:bookmarkEnd w:id="109"/>
    <w:p>
      <w:pPr>
        <w:ind w:right="340" w:firstLine="317"/>
        <w:spacing w:after="0" w:line="271" w:lineRule="auto"/>
        <w:rPr>
          <w:sz w:val="20"/>
          <w:szCs w:val="20"/>
          <w:color w:val="auto"/>
        </w:rPr>
      </w:pPr>
      <w:r>
        <w:rPr>
          <w:rFonts w:ascii="Times New Roman" w:cs="Times New Roman" w:eastAsia="Times New Roman" w:hAnsi="Times New Roman"/>
          <w:sz w:val="20"/>
          <w:szCs w:val="20"/>
          <w:color w:val="auto"/>
        </w:rPr>
        <w:t>Recovery of any Covered Compensation under this Policy is not dependent on (i) fraud or misconduct by any Executive Officer or whether the Executive Officer was responsible for preparing the Broadcom financial statements or (ii) if or when the Restatement is actually filed with the U.S. Securities and Exchange Commission (the “</w:t>
      </w:r>
      <w:r>
        <w:rPr>
          <w:rFonts w:ascii="Times New Roman" w:cs="Times New Roman" w:eastAsia="Times New Roman" w:hAnsi="Times New Roman"/>
          <w:sz w:val="20"/>
          <w:szCs w:val="20"/>
          <w:b w:val="1"/>
          <w:bCs w:val="1"/>
          <w:i w:val="1"/>
          <w:iCs w:val="1"/>
          <w:color w:val="auto"/>
        </w:rPr>
        <w:t>SEC</w:t>
      </w:r>
      <w:r>
        <w:rPr>
          <w:rFonts w:ascii="Times New Roman" w:cs="Times New Roman" w:eastAsia="Times New Roman" w:hAnsi="Times New Roman"/>
          <w:sz w:val="20"/>
          <w:szCs w:val="20"/>
          <w:color w:val="auto"/>
        </w:rPr>
        <w:t>”).</w:t>
      </w:r>
    </w:p>
    <w:p>
      <w:pPr>
        <w:spacing w:after="0" w:line="168" w:lineRule="exact"/>
        <w:rPr>
          <w:sz w:val="20"/>
          <w:szCs w:val="20"/>
          <w:color w:val="auto"/>
        </w:rPr>
      </w:pPr>
    </w:p>
    <w:p>
      <w:pPr>
        <w:ind w:left="640" w:hanging="317"/>
        <w:spacing w:after="0"/>
        <w:tabs>
          <w:tab w:leader="none" w:pos="640" w:val="left"/>
        </w:tabs>
        <w:numPr>
          <w:ilvl w:val="0"/>
          <w:numId w:val="41"/>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0"/>
          <w:szCs w:val="20"/>
          <w:b w:val="1"/>
          <w:bCs w:val="1"/>
          <w:u w:val="single" w:color="auto"/>
          <w:color w:val="auto"/>
        </w:rPr>
        <w:t>Means of Repayment</w:t>
      </w:r>
    </w:p>
    <w:p>
      <w:pPr>
        <w:spacing w:after="0" w:line="225" w:lineRule="exact"/>
        <w:rPr>
          <w:sz w:val="20"/>
          <w:szCs w:val="20"/>
          <w:color w:val="auto"/>
        </w:rPr>
      </w:pPr>
    </w:p>
    <w:p>
      <w:pPr>
        <w:ind w:firstLine="317"/>
        <w:spacing w:after="0" w:line="258" w:lineRule="auto"/>
        <w:rPr>
          <w:sz w:val="20"/>
          <w:szCs w:val="20"/>
          <w:color w:val="auto"/>
        </w:rPr>
      </w:pPr>
      <w:r>
        <w:rPr>
          <w:rFonts w:ascii="Times New Roman" w:cs="Times New Roman" w:eastAsia="Times New Roman" w:hAnsi="Times New Roman"/>
          <w:sz w:val="20"/>
          <w:szCs w:val="20"/>
          <w:color w:val="auto"/>
        </w:rPr>
        <w:t>If the Committee determines that a current or former Executive Officer must repay any Covered Compensation, the Committee will provide written notice to such person by email or certified mail to such person’s address on file with Broadcom and such person will satisfy such repayment on such terms as required by the Committee. Broadcom will be entitled to set off the repayment amount against any amount owed to the current or former Executive Officer by Broadcom, require the forfeiture of any award granted by Broadcom to such person and/or take any and all necessary actions to reasonably promptly recoup such repayment from such person to the fullest extent permitted under applicable law, including without limitation, Section 409A of the U.S. Internal Revenue Code of 1986, as amended, and the regulations and guidance thereunder.</w:t>
      </w:r>
    </w:p>
    <w:p>
      <w:pPr>
        <w:spacing w:after="0" w:line="171" w:lineRule="exact"/>
        <w:rPr>
          <w:sz w:val="20"/>
          <w:szCs w:val="20"/>
          <w:color w:val="auto"/>
        </w:rPr>
      </w:pPr>
    </w:p>
    <w:p>
      <w:pPr>
        <w:ind w:right="260" w:firstLine="317"/>
        <w:spacing w:after="0" w:line="271" w:lineRule="auto"/>
        <w:rPr>
          <w:sz w:val="20"/>
          <w:szCs w:val="20"/>
          <w:color w:val="auto"/>
        </w:rPr>
      </w:pPr>
      <w:r>
        <w:rPr>
          <w:rFonts w:ascii="Times New Roman" w:cs="Times New Roman" w:eastAsia="Times New Roman" w:hAnsi="Times New Roman"/>
          <w:sz w:val="20"/>
          <w:szCs w:val="20"/>
          <w:color w:val="auto"/>
        </w:rPr>
        <w:t>If the Committee does not specify the timing of repayment in the written notice described above, the current or former Executive Officer will be required to repay the Covered Compensation to Broadcom by wire, cash or cashier’s check no later than thirty (30) days after receipt of such notice.</w:t>
      </w:r>
    </w:p>
    <w:p>
      <w:pPr>
        <w:spacing w:after="0" w:line="158"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20"/>
          <w:szCs w:val="20"/>
          <w:color w:val="auto"/>
        </w:rPr>
        <w:t>For Covered Compensation based on stock price or total stockholder return, where the amount of Covered Compensation is not</w:t>
      </w:r>
    </w:p>
    <w:p>
      <w:pPr>
        <w:spacing w:after="0" w:line="32" w:lineRule="exact"/>
        <w:rPr>
          <w:sz w:val="20"/>
          <w:szCs w:val="20"/>
          <w:color w:val="auto"/>
        </w:rPr>
      </w:pPr>
    </w:p>
    <w:p>
      <w:pPr>
        <w:ind w:right="220"/>
        <w:spacing w:after="0" w:line="256" w:lineRule="auto"/>
        <w:rPr>
          <w:sz w:val="20"/>
          <w:szCs w:val="20"/>
          <w:color w:val="auto"/>
        </w:rPr>
      </w:pPr>
      <w:r>
        <w:rPr>
          <w:rFonts w:ascii="Times New Roman" w:cs="Times New Roman" w:eastAsia="Times New Roman" w:hAnsi="Times New Roman"/>
          <w:sz w:val="20"/>
          <w:szCs w:val="20"/>
          <w:color w:val="auto"/>
        </w:rPr>
        <w:t>subject to mathematical recalculation directly from the information in a Restatement, the Committee will determine the amount of such Covered Compensation, if any, based on a reasonable estimate of the effect of the Restatement on the stock price or total stockholder return upon which the Covered Compensation was granted, vested or paid. The Committee may engage valuation experts or other third-party advisors to determine the reasonable estimate. Broadcom will also maintain documentation of such determination and provide documentation to Nasdaq if required.</w:t>
      </w:r>
    </w:p>
    <w:p>
      <w:pPr>
        <w:spacing w:after="0" w:line="18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0"/>
          <w:szCs w:val="20"/>
          <w:color w:val="auto"/>
        </w:rPr>
        <w:t>Unless otherwise determined by the Committee, for Covered Compensation that consists of an equity award:</w:t>
      </w:r>
    </w:p>
    <w:p>
      <w:pPr>
        <w:spacing w:after="0" w:line="166" w:lineRule="exact"/>
        <w:rPr>
          <w:sz w:val="20"/>
          <w:szCs w:val="20"/>
          <w:color w:val="auto"/>
        </w:rPr>
      </w:pPr>
    </w:p>
    <w:p>
      <w:pPr>
        <w:ind w:left="800" w:right="300" w:hanging="477"/>
        <w:spacing w:after="0" w:line="295" w:lineRule="auto"/>
        <w:tabs>
          <w:tab w:leader="none" w:pos="793"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equity award has been granted or earned but the underlying shares have not settled or the award has not been exercised, the outstanding portion of such award that is Covered Compensation will be forfeited;</w:t>
      </w:r>
    </w:p>
    <w:p>
      <w:pPr>
        <w:spacing w:after="0" w:line="81" w:lineRule="exact"/>
        <w:rPr>
          <w:rFonts w:ascii="Times New Roman" w:cs="Times New Roman" w:eastAsia="Times New Roman" w:hAnsi="Times New Roman"/>
          <w:sz w:val="20"/>
          <w:szCs w:val="20"/>
          <w:color w:val="auto"/>
        </w:rPr>
      </w:pPr>
    </w:p>
    <w:p>
      <w:pPr>
        <w:ind w:left="800" w:right="60" w:hanging="477"/>
        <w:spacing w:after="0" w:line="271" w:lineRule="auto"/>
        <w:tabs>
          <w:tab w:leader="none" w:pos="796"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equity award has been exercised or settled into shares that have not been sold, the Committee will recover the number of shares received in excess of the shares that would have been received under the Restatement (less any exercise price paid for the shares); and</w:t>
      </w:r>
    </w:p>
    <w:p>
      <w:pPr>
        <w:spacing w:after="0" w:line="105" w:lineRule="exact"/>
        <w:rPr>
          <w:rFonts w:ascii="Times New Roman" w:cs="Times New Roman" w:eastAsia="Times New Roman" w:hAnsi="Times New Roman"/>
          <w:sz w:val="20"/>
          <w:szCs w:val="20"/>
          <w:color w:val="auto"/>
        </w:rPr>
      </w:pPr>
    </w:p>
    <w:p>
      <w:pPr>
        <w:jc w:val="both"/>
        <w:ind w:left="800" w:right="120" w:hanging="477"/>
        <w:spacing w:after="0" w:line="271" w:lineRule="auto"/>
        <w:tabs>
          <w:tab w:leader="none" w:pos="800"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shares underlying the equity award have been sold, the Committee will recover the proceeds received from the sale of the number of shares received in excess of the shares that would have been received under the Restatement (less any exercise price paid for the shares).</w:t>
      </w:r>
    </w:p>
    <w:p>
      <w:pPr>
        <w:spacing w:after="0" w:line="168" w:lineRule="exact"/>
        <w:rPr>
          <w:sz w:val="20"/>
          <w:szCs w:val="20"/>
          <w:color w:val="auto"/>
        </w:rPr>
      </w:pPr>
    </w:p>
    <w:p>
      <w:pPr>
        <w:ind w:left="640" w:hanging="317"/>
        <w:spacing w:after="0"/>
        <w:tabs>
          <w:tab w:leader="none" w:pos="640" w:val="left"/>
        </w:tabs>
        <w:numPr>
          <w:ilvl w:val="0"/>
          <w:numId w:val="4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0"/>
          <w:szCs w:val="20"/>
          <w:b w:val="1"/>
          <w:bCs w:val="1"/>
          <w:u w:val="single" w:color="auto"/>
          <w:color w:val="auto"/>
        </w:rPr>
        <w:t>No Indemnification</w:t>
      </w:r>
    </w:p>
    <w:p>
      <w:pPr>
        <w:spacing w:after="0" w:line="225" w:lineRule="exact"/>
        <w:rPr>
          <w:sz w:val="20"/>
          <w:szCs w:val="20"/>
          <w:color w:val="auto"/>
        </w:rPr>
      </w:pPr>
    </w:p>
    <w:p>
      <w:pPr>
        <w:ind w:right="180" w:firstLine="317"/>
        <w:spacing w:after="0" w:line="264" w:lineRule="auto"/>
        <w:rPr>
          <w:sz w:val="20"/>
          <w:szCs w:val="20"/>
          <w:color w:val="auto"/>
        </w:rPr>
      </w:pPr>
      <w:r>
        <w:rPr>
          <w:rFonts w:ascii="Times New Roman" w:cs="Times New Roman" w:eastAsia="Times New Roman" w:hAnsi="Times New Roman"/>
          <w:sz w:val="20"/>
          <w:szCs w:val="20"/>
          <w:color w:val="auto"/>
        </w:rPr>
        <w:t>No current or former Executive Officer may be indemnified, insured or reimbursed by Broadcom or any of its subsidiaries in respect of any loss of compensation in accordance with this Policy, receive any advancement of expenses for disputes related to any loss of compensation by such person in accordance with this Policy, or be paid or reimbursed by Broadcom or any of its subsidiaries for</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w:t>
      </w:r>
    </w:p>
    <w:p>
      <w:pPr>
        <w:sectPr>
          <w:pgSz w:w="11900" w:h="16838" w:orient="portrait"/>
          <w:cols w:equalWidth="0" w:num="1">
            <w:col w:w="11240"/>
          </w:cols>
          <w:pgMar w:left="320" w:top="1139" w:right="339" w:bottom="1440" w:gutter="0" w:footer="0" w:header="0"/>
        </w:sectPr>
      </w:pPr>
    </w:p>
    <w:bookmarkStart w:id="110" w:name="page111"/>
    <w:bookmarkEnd w:id="110"/>
    <w:p>
      <w:pPr>
        <w:spacing w:after="0" w:line="266" w:lineRule="auto"/>
        <w:rPr>
          <w:sz w:val="20"/>
          <w:szCs w:val="20"/>
          <w:color w:val="auto"/>
        </w:rPr>
      </w:pPr>
      <w:r>
        <w:rPr>
          <w:rFonts w:ascii="Times New Roman" w:cs="Times New Roman" w:eastAsia="Times New Roman" w:hAnsi="Times New Roman"/>
          <w:sz w:val="20"/>
          <w:szCs w:val="20"/>
          <w:color w:val="auto"/>
        </w:rPr>
        <w:t xml:space="preserve">any premiums paid by such person for any third-party insurance policy covering potential recovery obligations under this Policy. For this purpose, “indemnification” includes any modification to current compensation arrangements or other means that would amount to </w:t>
      </w:r>
      <w:r>
        <w:rPr>
          <w:rFonts w:ascii="Times New Roman" w:cs="Times New Roman" w:eastAsia="Times New Roman" w:hAnsi="Times New Roman"/>
          <w:sz w:val="20"/>
          <w:szCs w:val="20"/>
          <w:i w:val="1"/>
          <w:iCs w:val="1"/>
          <w:u w:val="single" w:color="auto"/>
          <w:color w:val="auto"/>
        </w:rPr>
        <w:t>de facto</w:t>
      </w:r>
      <w:r>
        <w:rPr>
          <w:rFonts w:ascii="Times New Roman" w:cs="Times New Roman" w:eastAsia="Times New Roman" w:hAnsi="Times New Roman"/>
          <w:sz w:val="20"/>
          <w:szCs w:val="20"/>
          <w:color w:val="auto"/>
        </w:rPr>
        <w:t xml:space="preserve"> indemnification (for example, providing a new cash award which would be cancelled to effect the recovery of any Covered Compensation).</w:t>
      </w:r>
    </w:p>
    <w:p>
      <w:pPr>
        <w:spacing w:after="0" w:line="371" w:lineRule="exact"/>
        <w:rPr>
          <w:sz w:val="20"/>
          <w:szCs w:val="20"/>
          <w:color w:val="auto"/>
        </w:rPr>
      </w:pPr>
    </w:p>
    <w:p>
      <w:pPr>
        <w:ind w:right="620" w:firstLine="317"/>
        <w:spacing w:after="0" w:line="281" w:lineRule="auto"/>
        <w:rPr>
          <w:sz w:val="20"/>
          <w:szCs w:val="20"/>
          <w:color w:val="auto"/>
        </w:rPr>
      </w:pPr>
      <w:r>
        <w:rPr>
          <w:rFonts w:ascii="Times New Roman" w:cs="Times New Roman" w:eastAsia="Times New Roman" w:hAnsi="Times New Roman"/>
          <w:sz w:val="20"/>
          <w:szCs w:val="20"/>
          <w:color w:val="auto"/>
        </w:rPr>
        <w:t>In no event will Broadcom or any of its subsidiaries be required to award any current or former Executive Officer an additional payment if any Restatement would result in a higher incentive compensation payment.</w:t>
      </w:r>
    </w:p>
    <w:p>
      <w:pPr>
        <w:spacing w:after="0" w:line="157" w:lineRule="exact"/>
        <w:rPr>
          <w:sz w:val="20"/>
          <w:szCs w:val="20"/>
          <w:color w:val="auto"/>
        </w:rPr>
      </w:pPr>
    </w:p>
    <w:p>
      <w:pPr>
        <w:ind w:left="640" w:hanging="317"/>
        <w:spacing w:after="0"/>
        <w:tabs>
          <w:tab w:leader="none" w:pos="640" w:val="left"/>
        </w:tabs>
        <w:numPr>
          <w:ilvl w:val="0"/>
          <w:numId w:val="44"/>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0"/>
          <w:szCs w:val="20"/>
          <w:b w:val="1"/>
          <w:bCs w:val="1"/>
          <w:u w:val="single" w:color="auto"/>
          <w:color w:val="auto"/>
        </w:rPr>
        <w:t>Miscellaneous</w:t>
      </w:r>
    </w:p>
    <w:p>
      <w:pPr>
        <w:spacing w:after="0" w:line="225" w:lineRule="exact"/>
        <w:rPr>
          <w:sz w:val="20"/>
          <w:szCs w:val="20"/>
          <w:color w:val="auto"/>
        </w:rPr>
      </w:pPr>
    </w:p>
    <w:p>
      <w:pPr>
        <w:ind w:right="340" w:firstLine="317"/>
        <w:spacing w:after="0" w:line="264" w:lineRule="auto"/>
        <w:rPr>
          <w:sz w:val="20"/>
          <w:szCs w:val="20"/>
          <w:color w:val="auto"/>
        </w:rPr>
      </w:pPr>
      <w:r>
        <w:rPr>
          <w:rFonts w:ascii="Times New Roman" w:cs="Times New Roman" w:eastAsia="Times New Roman" w:hAnsi="Times New Roman"/>
          <w:sz w:val="20"/>
          <w:szCs w:val="20"/>
          <w:color w:val="auto"/>
        </w:rPr>
        <w:t>The Committee will administer and interpret this Policy. Any Committee determination concerning this Policy will be final, conclusive and binding. Discretionary determinations by the Committee under this Policy, if any, need not be uniformly applied to any persons or compensation covered hereunder.</w:t>
      </w:r>
    </w:p>
    <w:p>
      <w:pPr>
        <w:spacing w:after="0" w:line="179" w:lineRule="exact"/>
        <w:rPr>
          <w:sz w:val="20"/>
          <w:szCs w:val="20"/>
          <w:color w:val="auto"/>
        </w:rPr>
      </w:pPr>
    </w:p>
    <w:p>
      <w:pPr>
        <w:jc w:val="both"/>
        <w:ind w:right="340" w:firstLine="317"/>
        <w:spacing w:after="0" w:line="263" w:lineRule="auto"/>
        <w:rPr>
          <w:sz w:val="20"/>
          <w:szCs w:val="20"/>
          <w:color w:val="auto"/>
        </w:rPr>
      </w:pPr>
      <w:r>
        <w:rPr>
          <w:rFonts w:ascii="Times New Roman" w:cs="Times New Roman" w:eastAsia="Times New Roman" w:hAnsi="Times New Roman"/>
          <w:sz w:val="20"/>
          <w:szCs w:val="20"/>
          <w:color w:val="auto"/>
        </w:rPr>
        <w:t>This Policy is intended to satisfy the requirements of Section 954 of the Dodd-Frank Wall Street Reform and Consumer Protection Act, as it may be amended from time to time, and any related rules or regulations put into effect by the SEC or Nasdaq, including any additional requirements that become effective after this Policy’s effective date. This Policy will be deemed automatically amended as necessary to comply with such additional requirements.</w:t>
      </w:r>
    </w:p>
    <w:p>
      <w:pPr>
        <w:spacing w:after="0" w:line="167" w:lineRule="exact"/>
        <w:rPr>
          <w:sz w:val="20"/>
          <w:szCs w:val="20"/>
          <w:color w:val="auto"/>
        </w:rPr>
      </w:pPr>
    </w:p>
    <w:p>
      <w:pPr>
        <w:jc w:val="both"/>
        <w:ind w:right="340" w:firstLine="317"/>
        <w:spacing w:after="0" w:line="295" w:lineRule="auto"/>
        <w:rPr>
          <w:sz w:val="20"/>
          <w:szCs w:val="20"/>
          <w:color w:val="auto"/>
        </w:rPr>
      </w:pPr>
      <w:r>
        <w:rPr>
          <w:rFonts w:ascii="Times New Roman" w:cs="Times New Roman" w:eastAsia="Times New Roman" w:hAnsi="Times New Roman"/>
          <w:sz w:val="20"/>
          <w:szCs w:val="20"/>
          <w:color w:val="auto"/>
        </w:rPr>
        <w:t>Broadcom’s rights to seek repayment or forfeiture under this Policy are in addition to, and not instead of, any recoupment rights or other remedies that may be available to Broadcom and its subsidiaries.</w:t>
      </w:r>
    </w:p>
    <w:p>
      <w:pPr>
        <w:spacing w:after="0" w:line="144" w:lineRule="exact"/>
        <w:rPr>
          <w:sz w:val="20"/>
          <w:szCs w:val="20"/>
          <w:color w:val="auto"/>
        </w:rPr>
      </w:pPr>
    </w:p>
    <w:p>
      <w:pPr>
        <w:ind w:left="640" w:hanging="317"/>
        <w:spacing w:after="0"/>
        <w:tabs>
          <w:tab w:leader="none" w:pos="640" w:val="left"/>
        </w:tabs>
        <w:numPr>
          <w:ilvl w:val="0"/>
          <w:numId w:val="45"/>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0"/>
          <w:szCs w:val="20"/>
          <w:b w:val="1"/>
          <w:bCs w:val="1"/>
          <w:u w:val="single" w:color="auto"/>
          <w:color w:val="auto"/>
        </w:rPr>
        <w:t>Amendment and Termination</w:t>
      </w:r>
    </w:p>
    <w:p>
      <w:pPr>
        <w:spacing w:after="0" w:line="225" w:lineRule="exact"/>
        <w:rPr>
          <w:sz w:val="20"/>
          <w:szCs w:val="20"/>
          <w:color w:val="auto"/>
        </w:rPr>
      </w:pPr>
    </w:p>
    <w:p>
      <w:pPr>
        <w:ind w:right="480" w:firstLine="317"/>
        <w:spacing w:after="0" w:line="281" w:lineRule="auto"/>
        <w:rPr>
          <w:sz w:val="20"/>
          <w:szCs w:val="20"/>
          <w:color w:val="auto"/>
        </w:rPr>
      </w:pPr>
      <w:r>
        <w:rPr>
          <w:rFonts w:ascii="Times New Roman" w:cs="Times New Roman" w:eastAsia="Times New Roman" w:hAnsi="Times New Roman"/>
          <w:sz w:val="20"/>
          <w:szCs w:val="20"/>
          <w:color w:val="auto"/>
        </w:rPr>
        <w:t>To the extent permitted by, and in a manner consistent with applicable law, including SEC and Nasdaq rules, the Committee may terminate, suspend or amend this Policy at any time in its discretion.</w:t>
      </w:r>
    </w:p>
    <w:p>
      <w:pPr>
        <w:spacing w:after="0" w:line="157" w:lineRule="exact"/>
        <w:rPr>
          <w:sz w:val="20"/>
          <w:szCs w:val="20"/>
          <w:color w:val="auto"/>
        </w:rPr>
      </w:pPr>
    </w:p>
    <w:p>
      <w:pPr>
        <w:ind w:left="640" w:hanging="317"/>
        <w:spacing w:after="0"/>
        <w:tabs>
          <w:tab w:leader="none" w:pos="640" w:val="left"/>
        </w:tabs>
        <w:numPr>
          <w:ilvl w:val="0"/>
          <w:numId w:val="46"/>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0"/>
          <w:szCs w:val="20"/>
          <w:b w:val="1"/>
          <w:bCs w:val="1"/>
          <w:u w:val="single" w:color="auto"/>
          <w:color w:val="auto"/>
        </w:rPr>
        <w:t>Successors</w:t>
      </w:r>
    </w:p>
    <w:p>
      <w:pPr>
        <w:spacing w:after="0" w:line="225" w:lineRule="exact"/>
        <w:rPr>
          <w:sz w:val="20"/>
          <w:szCs w:val="20"/>
          <w:color w:val="auto"/>
        </w:rPr>
      </w:pPr>
    </w:p>
    <w:p>
      <w:pPr>
        <w:ind w:right="640" w:firstLine="317"/>
        <w:spacing w:after="0" w:line="271" w:lineRule="auto"/>
        <w:rPr>
          <w:sz w:val="20"/>
          <w:szCs w:val="20"/>
          <w:color w:val="auto"/>
        </w:rPr>
      </w:pPr>
      <w:r>
        <w:rPr>
          <w:rFonts w:ascii="Times New Roman" w:cs="Times New Roman" w:eastAsia="Times New Roman" w:hAnsi="Times New Roman"/>
          <w:sz w:val="20"/>
          <w:szCs w:val="20"/>
          <w:color w:val="auto"/>
        </w:rPr>
        <w:t>This Policy is binding and enforceable against all current or former Executive Officers and their respective beneficiaries, heirs, executors, administrators or other legal representatives with respect to any Covered Compensation granted, vested or paid to or administered by such persons or entities.</w:t>
      </w:r>
    </w:p>
    <w:p>
      <w:pPr>
        <w:spacing w:after="0" w:line="168" w:lineRule="exact"/>
        <w:rPr>
          <w:sz w:val="20"/>
          <w:szCs w:val="20"/>
          <w:color w:val="auto"/>
        </w:rPr>
      </w:pPr>
    </w:p>
    <w:p>
      <w:pPr>
        <w:ind w:left="640" w:hanging="317"/>
        <w:spacing w:after="0"/>
        <w:tabs>
          <w:tab w:leader="none" w:pos="640" w:val="left"/>
        </w:tabs>
        <w:numPr>
          <w:ilvl w:val="0"/>
          <w:numId w:val="47"/>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0"/>
          <w:szCs w:val="20"/>
          <w:b w:val="1"/>
          <w:bCs w:val="1"/>
          <w:u w:val="single" w:color="auto"/>
          <w:color w:val="auto"/>
        </w:rPr>
        <w:t>Definitions</w:t>
      </w:r>
    </w:p>
    <w:p>
      <w:pPr>
        <w:spacing w:after="0" w:line="21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0"/>
          <w:szCs w:val="20"/>
          <w:color w:val="auto"/>
        </w:rPr>
        <w:t>The following definitions apply to this Policy:</w:t>
      </w:r>
    </w:p>
    <w:p>
      <w:pPr>
        <w:spacing w:after="0" w:line="226" w:lineRule="exact"/>
        <w:rPr>
          <w:sz w:val="20"/>
          <w:szCs w:val="20"/>
          <w:color w:val="auto"/>
        </w:rPr>
      </w:pPr>
    </w:p>
    <w:p>
      <w:pPr>
        <w:jc w:val="both"/>
        <w:ind w:left="960" w:right="20" w:hanging="321"/>
        <w:spacing w:after="0" w:line="261" w:lineRule="auto"/>
        <w:tabs>
          <w:tab w:leader="none" w:pos="959"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Covered Compensation</w:t>
      </w:r>
      <w:r>
        <w:rPr>
          <w:rFonts w:ascii="Times New Roman" w:cs="Times New Roman" w:eastAsia="Times New Roman" w:hAnsi="Times New Roman"/>
          <w:sz w:val="20"/>
          <w:szCs w:val="20"/>
          <w:color w:val="auto"/>
        </w:rPr>
        <w:t xml:space="preserve">” means the following, computed on a pre-tax basis: (i) the amount of Incentive-Based Compensation granted, vested or paid to a person who served as an Executive Officer at any time during the Incentive-Based Compensation’s performance period and that was Received (x) after such person became an Executive Officer, (y) during the Lookback Period and (z) at a time Broadcom had a class of securities listed on a national securities exchange or a national securities association </w:t>
      </w:r>
      <w:r>
        <w:rPr>
          <w:rFonts w:ascii="Times New Roman" w:cs="Times New Roman" w:eastAsia="Times New Roman" w:hAnsi="Times New Roman"/>
          <w:sz w:val="20"/>
          <w:szCs w:val="20"/>
          <w:i w:val="1"/>
          <w:iCs w:val="1"/>
          <w:u w:val="single" w:color="auto"/>
          <w:color w:val="auto"/>
        </w:rPr>
        <w:t>that exceeds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(ii) the amount of such Incentive-Based Compensation that otherwise would have</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3</w:t>
      </w:r>
    </w:p>
    <w:p>
      <w:pPr>
        <w:sectPr>
          <w:pgSz w:w="11900" w:h="16838" w:orient="portrait"/>
          <w:cols w:equalWidth="0" w:num="1">
            <w:col w:w="11240"/>
          </w:cols>
          <w:pgMar w:left="320" w:top="1139" w:right="339" w:bottom="1440" w:gutter="0" w:footer="0" w:header="0"/>
        </w:sectPr>
      </w:pPr>
    </w:p>
    <w:bookmarkStart w:id="111" w:name="page112"/>
    <w:bookmarkEnd w:id="111"/>
    <w:p>
      <w:pPr>
        <w:ind w:left="321"/>
        <w:spacing w:after="0"/>
        <w:rPr>
          <w:sz w:val="20"/>
          <w:szCs w:val="20"/>
          <w:color w:val="auto"/>
        </w:rPr>
      </w:pPr>
      <w:r>
        <w:rPr>
          <w:rFonts w:ascii="Times New Roman" w:cs="Times New Roman" w:eastAsia="Times New Roman" w:hAnsi="Times New Roman"/>
          <w:sz w:val="20"/>
          <w:szCs w:val="20"/>
          <w:color w:val="auto"/>
        </w:rPr>
        <w:t>been granted or paid to such person or vested had such amount been determined based on the applicable Restatement.</w:t>
      </w:r>
    </w:p>
    <w:p>
      <w:pPr>
        <w:spacing w:after="0" w:line="215" w:lineRule="exact"/>
        <w:rPr>
          <w:sz w:val="20"/>
          <w:szCs w:val="20"/>
          <w:color w:val="auto"/>
        </w:rPr>
      </w:pPr>
    </w:p>
    <w:p>
      <w:pPr>
        <w:ind w:left="321" w:right="740"/>
        <w:spacing w:after="0" w:line="299" w:lineRule="auto"/>
        <w:rPr>
          <w:sz w:val="20"/>
          <w:szCs w:val="20"/>
          <w:color w:val="auto"/>
        </w:rPr>
      </w:pPr>
      <w:r>
        <w:rPr>
          <w:rFonts w:ascii="Times New Roman" w:cs="Times New Roman" w:eastAsia="Times New Roman" w:hAnsi="Times New Roman"/>
          <w:sz w:val="20"/>
          <w:szCs w:val="20"/>
          <w:color w:val="auto"/>
        </w:rPr>
        <w:t xml:space="preserve">Incentive-Based Compensation Received while a person was serving as a </w:t>
      </w:r>
      <w:r>
        <w:rPr>
          <w:rFonts w:ascii="Times New Roman" w:cs="Times New Roman" w:eastAsia="Times New Roman" w:hAnsi="Times New Roman"/>
          <w:sz w:val="20"/>
          <w:szCs w:val="20"/>
          <w:i w:val="1"/>
          <w:iCs w:val="1"/>
          <w:u w:val="single" w:color="auto"/>
          <w:color w:val="auto"/>
        </w:rPr>
        <w:t>non</w:t>
      </w:r>
      <w:r>
        <w:rPr>
          <w:rFonts w:ascii="Times New Roman" w:cs="Times New Roman" w:eastAsia="Times New Roman" w:hAnsi="Times New Roman"/>
          <w:sz w:val="20"/>
          <w:szCs w:val="20"/>
          <w:color w:val="auto"/>
        </w:rPr>
        <w:t>-Executive Officer prior to becoming an Executive Officer is not “Covered Compensation.”</w:t>
      </w:r>
    </w:p>
    <w:p>
      <w:pPr>
        <w:spacing w:after="0" w:line="125" w:lineRule="exact"/>
        <w:rPr>
          <w:sz w:val="20"/>
          <w:szCs w:val="20"/>
          <w:color w:val="auto"/>
        </w:rPr>
      </w:pPr>
    </w:p>
    <w:p>
      <w:pPr>
        <w:ind w:left="321" w:hanging="321"/>
        <w:spacing w:after="0" w:line="274" w:lineRule="auto"/>
        <w:tabs>
          <w:tab w:leader="none" w:pos="317"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Executive Officer</w:t>
      </w:r>
      <w:r>
        <w:rPr>
          <w:rFonts w:ascii="Times New Roman" w:cs="Times New Roman" w:eastAsia="Times New Roman" w:hAnsi="Times New Roman"/>
          <w:sz w:val="20"/>
          <w:szCs w:val="20"/>
          <w:color w:val="auto"/>
        </w:rPr>
        <w:t>” means an “officer” of Broadcom as defined under Rule 16a-1(f) under Section 16 of the Securities Exchange Act of 1934, as amended (the “</w:t>
      </w:r>
      <w:r>
        <w:rPr>
          <w:rFonts w:ascii="Times New Roman" w:cs="Times New Roman" w:eastAsia="Times New Roman" w:hAnsi="Times New Roman"/>
          <w:sz w:val="20"/>
          <w:szCs w:val="20"/>
          <w:b w:val="1"/>
          <w:bCs w:val="1"/>
          <w:i w:val="1"/>
          <w:iCs w:val="1"/>
          <w:color w:val="auto"/>
        </w:rPr>
        <w:t>Exchange Act</w:t>
      </w:r>
      <w:r>
        <w:rPr>
          <w:rFonts w:ascii="Times New Roman" w:cs="Times New Roman" w:eastAsia="Times New Roman" w:hAnsi="Times New Roman"/>
          <w:sz w:val="20"/>
          <w:szCs w:val="20"/>
          <w:color w:val="auto"/>
        </w:rPr>
        <w:t>”), which is deemed to include any individuals identified by Broadcom as executive officers pursuant to Item 401(b) of Regulation S-K under the Exchange Act.</w:t>
      </w:r>
    </w:p>
    <w:p>
      <w:pPr>
        <w:spacing w:after="0" w:line="149" w:lineRule="exact"/>
        <w:rPr>
          <w:rFonts w:ascii="Times New Roman" w:cs="Times New Roman" w:eastAsia="Times New Roman" w:hAnsi="Times New Roman"/>
          <w:sz w:val="20"/>
          <w:szCs w:val="20"/>
          <w:color w:val="auto"/>
        </w:rPr>
      </w:pPr>
    </w:p>
    <w:p>
      <w:pPr>
        <w:ind w:left="321" w:right="180" w:hanging="321"/>
        <w:spacing w:after="0" w:line="265" w:lineRule="auto"/>
        <w:tabs>
          <w:tab w:leader="none" w:pos="319"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Financial Reporting Measure</w:t>
      </w:r>
      <w:r>
        <w:rPr>
          <w:rFonts w:ascii="Times New Roman" w:cs="Times New Roman" w:eastAsia="Times New Roman" w:hAnsi="Times New Roman"/>
          <w:sz w:val="20"/>
          <w:szCs w:val="20"/>
          <w:color w:val="auto"/>
        </w:rPr>
        <w:t>” means any measure that is based on (i) accounting principles used in preparing Broadcom financial statements and any measures derived wholly or in part from such measures (such as GAAP or non-GAAP financial measures (as defined under Regulation G of the Exchange Act and Item 10 of Regulation S-K under the Exchange Act)), (ii) stock price, or (iii) total stockholder return.</w:t>
      </w:r>
    </w:p>
    <w:p>
      <w:pPr>
        <w:spacing w:after="0" w:line="178" w:lineRule="exact"/>
        <w:rPr>
          <w:rFonts w:ascii="Times New Roman" w:cs="Times New Roman" w:eastAsia="Times New Roman" w:hAnsi="Times New Roman"/>
          <w:sz w:val="20"/>
          <w:szCs w:val="20"/>
          <w:color w:val="auto"/>
        </w:rPr>
      </w:pPr>
    </w:p>
    <w:p>
      <w:pPr>
        <w:jc w:val="both"/>
        <w:ind w:left="321" w:right="500"/>
        <w:spacing w:after="0" w:line="271"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Financial Reporting Measure may or may not be filed with the SEC and may be presented outside Broadcom financial statements, such as in Management’s Discussion and Analysis of Financial Conditions and Result of Operations or in the performance graph required under Item 201(e) of Regulation S-K under the Exchange Act.</w:t>
      </w:r>
    </w:p>
    <w:p>
      <w:pPr>
        <w:spacing w:after="0" w:line="152" w:lineRule="exact"/>
        <w:rPr>
          <w:rFonts w:ascii="Times New Roman" w:cs="Times New Roman" w:eastAsia="Times New Roman" w:hAnsi="Times New Roman"/>
          <w:sz w:val="20"/>
          <w:szCs w:val="20"/>
          <w:color w:val="auto"/>
        </w:rPr>
      </w:pPr>
    </w:p>
    <w:p>
      <w:pPr>
        <w:ind w:left="321" w:hanging="321"/>
        <w:spacing w:after="0"/>
        <w:tabs>
          <w:tab w:leader="none" w:pos="321"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Home Country</w:t>
      </w:r>
      <w:r>
        <w:rPr>
          <w:rFonts w:ascii="Times New Roman" w:cs="Times New Roman" w:eastAsia="Times New Roman" w:hAnsi="Times New Roman"/>
          <w:sz w:val="20"/>
          <w:szCs w:val="20"/>
          <w:color w:val="auto"/>
        </w:rPr>
        <w:t>” means Broadcom’s jurisdiction of incorporation.</w:t>
      </w:r>
    </w:p>
    <w:p>
      <w:pPr>
        <w:spacing w:after="0" w:line="218" w:lineRule="exact"/>
        <w:rPr>
          <w:rFonts w:ascii="Times New Roman" w:cs="Times New Roman" w:eastAsia="Times New Roman" w:hAnsi="Times New Roman"/>
          <w:sz w:val="20"/>
          <w:szCs w:val="20"/>
          <w:color w:val="auto"/>
        </w:rPr>
      </w:pPr>
    </w:p>
    <w:p>
      <w:pPr>
        <w:ind w:left="321" w:right="100" w:hanging="321"/>
        <w:spacing w:after="0" w:line="385" w:lineRule="auto"/>
        <w:tabs>
          <w:tab w:leader="none" w:pos="319"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Incentive-Based Compensation</w:t>
      </w:r>
      <w:r>
        <w:rPr>
          <w:rFonts w:ascii="Times New Roman" w:cs="Times New Roman" w:eastAsia="Times New Roman" w:hAnsi="Times New Roman"/>
          <w:sz w:val="20"/>
          <w:szCs w:val="20"/>
          <w:color w:val="auto"/>
        </w:rPr>
        <w:t>” means any compensation (including cash and equity) Received on or after October 2, 2023 and that is granted, earned or vested based wholly or in part upon the attainment of a Financial Reporting Measure. Examples of “Incentive-Based Compensation” include, but are not limited to:</w:t>
      </w:r>
    </w:p>
    <w:p>
      <w:pPr>
        <w:spacing w:after="0" w:line="61" w:lineRule="exact"/>
        <w:rPr>
          <w:rFonts w:ascii="Times New Roman" w:cs="Times New Roman" w:eastAsia="Times New Roman" w:hAnsi="Times New Roman"/>
          <w:sz w:val="20"/>
          <w:szCs w:val="20"/>
          <w:color w:val="auto"/>
        </w:rPr>
      </w:pPr>
    </w:p>
    <w:p>
      <w:pPr>
        <w:ind w:left="1101" w:right="480" w:hanging="467"/>
        <w:spacing w:after="0" w:line="281" w:lineRule="auto"/>
        <w:tabs>
          <w:tab w:leader="none" w:pos="1093" w:val="left"/>
        </w:tabs>
        <w:numPr>
          <w:ilvl w:val="1"/>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Non-equity incentive plan awards that are earned wholly or in part on satisfying a Financial Reporting Measure performance goal;</w:t>
      </w:r>
    </w:p>
    <w:p>
      <w:pPr>
        <w:spacing w:after="0" w:line="95" w:lineRule="exact"/>
        <w:rPr>
          <w:rFonts w:ascii="Times New Roman" w:cs="Times New Roman" w:eastAsia="Times New Roman" w:hAnsi="Times New Roman"/>
          <w:sz w:val="20"/>
          <w:szCs w:val="20"/>
          <w:color w:val="auto"/>
        </w:rPr>
      </w:pPr>
    </w:p>
    <w:p>
      <w:pPr>
        <w:ind w:left="1101" w:right="120" w:hanging="467"/>
        <w:spacing w:after="0" w:line="295" w:lineRule="auto"/>
        <w:tabs>
          <w:tab w:leader="none" w:pos="1097" w:val="left"/>
        </w:tabs>
        <w:numPr>
          <w:ilvl w:val="1"/>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Bonuses paid from a “bonus pool,” the size of which is determined based wholly or in part on satisfying a Financial Reporting Measure performance goal;</w:t>
      </w:r>
    </w:p>
    <w:p>
      <w:pPr>
        <w:spacing w:after="0" w:line="81" w:lineRule="exact"/>
        <w:rPr>
          <w:rFonts w:ascii="Times New Roman" w:cs="Times New Roman" w:eastAsia="Times New Roman" w:hAnsi="Times New Roman"/>
          <w:sz w:val="20"/>
          <w:szCs w:val="20"/>
          <w:color w:val="auto"/>
        </w:rPr>
      </w:pPr>
    </w:p>
    <w:p>
      <w:pPr>
        <w:jc w:val="both"/>
        <w:ind w:left="1101" w:right="280" w:hanging="467"/>
        <w:spacing w:after="0" w:line="271" w:lineRule="auto"/>
        <w:tabs>
          <w:tab w:leader="none" w:pos="1100" w:val="left"/>
        </w:tabs>
        <w:numPr>
          <w:ilvl w:val="1"/>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Restricted stock, restricted stock units, performance stock units, stock options or stock appreciation rights that are granted or become vested based wholly or in part on satisfying a Financial Reporting Measure performance goal; and</w:t>
      </w:r>
    </w:p>
    <w:p>
      <w:pPr>
        <w:spacing w:after="0" w:line="105" w:lineRule="exact"/>
        <w:rPr>
          <w:rFonts w:ascii="Times New Roman" w:cs="Times New Roman" w:eastAsia="Times New Roman" w:hAnsi="Times New Roman"/>
          <w:sz w:val="20"/>
          <w:szCs w:val="20"/>
          <w:color w:val="auto"/>
        </w:rPr>
      </w:pPr>
    </w:p>
    <w:p>
      <w:pPr>
        <w:ind w:left="1101" w:right="520" w:hanging="467"/>
        <w:spacing w:after="0" w:line="295" w:lineRule="auto"/>
        <w:tabs>
          <w:tab w:leader="none" w:pos="1089" w:val="left"/>
        </w:tabs>
        <w:numPr>
          <w:ilvl w:val="1"/>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Proceeds received upon the sale of shares acquired through an incentive plan that were granted or vested based wholly or in part on satisfying a Financial Reporting Measure performance goal.</w:t>
      </w:r>
    </w:p>
    <w:p>
      <w:pPr>
        <w:spacing w:after="0" w:line="128" w:lineRule="exact"/>
        <w:rPr>
          <w:rFonts w:ascii="Times New Roman" w:cs="Times New Roman" w:eastAsia="Times New Roman" w:hAnsi="Times New Roman"/>
          <w:sz w:val="20"/>
          <w:szCs w:val="20"/>
          <w:color w:val="auto"/>
        </w:rPr>
      </w:pPr>
    </w:p>
    <w:p>
      <w:pPr>
        <w:ind w:left="321" w:right="200" w:hanging="321"/>
        <w:spacing w:after="0" w:line="264" w:lineRule="auto"/>
        <w:tabs>
          <w:tab w:leader="none" w:pos="310"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Lookback Period</w:t>
      </w:r>
      <w:r>
        <w:rPr>
          <w:rFonts w:ascii="Times New Roman" w:cs="Times New Roman" w:eastAsia="Times New Roman" w:hAnsi="Times New Roman"/>
          <w:sz w:val="20"/>
          <w:szCs w:val="20"/>
          <w:color w:val="auto"/>
        </w:rPr>
        <w:t>” means the three completed fiscal years (plus any transition period of less than nine months that is within or immediately following the three completed fiscal years and that results from a change in Broadcom’s fiscal year) immediately preceding the date on which Broadcom is required to prepare a Restatement for a given reporting period, with such date being the earlier of: (i) the date the Board, a Board committee, or the officer or officers of Broadcom authorized to take such action if Board action is not</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4941"/>
        <w:spacing w:after="0"/>
        <w:rPr>
          <w:sz w:val="20"/>
          <w:szCs w:val="20"/>
          <w:color w:val="auto"/>
        </w:rPr>
      </w:pPr>
      <w:r>
        <w:rPr>
          <w:rFonts w:ascii="Times New Roman" w:cs="Times New Roman" w:eastAsia="Times New Roman" w:hAnsi="Times New Roman"/>
          <w:sz w:val="20"/>
          <w:szCs w:val="20"/>
          <w:color w:val="auto"/>
        </w:rPr>
        <w:t>4</w:t>
      </w:r>
    </w:p>
    <w:p>
      <w:pPr>
        <w:sectPr>
          <w:pgSz w:w="11900" w:h="16838" w:orient="portrait"/>
          <w:cols w:equalWidth="0" w:num="1">
            <w:col w:w="10601"/>
          </w:cols>
          <w:pgMar w:left="959" w:top="1139" w:right="339" w:bottom="1440" w:gutter="0" w:footer="0" w:header="0"/>
        </w:sectPr>
      </w:pPr>
    </w:p>
    <w:bookmarkStart w:id="112" w:name="page113"/>
    <w:bookmarkEnd w:id="112"/>
    <w:p>
      <w:pPr>
        <w:ind w:left="321" w:right="20"/>
        <w:spacing w:after="0" w:line="281" w:lineRule="auto"/>
        <w:rPr>
          <w:sz w:val="20"/>
          <w:szCs w:val="20"/>
          <w:color w:val="auto"/>
        </w:rPr>
      </w:pPr>
      <w:r>
        <w:rPr>
          <w:rFonts w:ascii="Times New Roman" w:cs="Times New Roman" w:eastAsia="Times New Roman" w:hAnsi="Times New Roman"/>
          <w:sz w:val="20"/>
          <w:szCs w:val="20"/>
          <w:color w:val="auto"/>
        </w:rPr>
        <w:t>required, concludes or reasonably should have concluded that Broadcom is required to prepare a Restatement, or (ii) the date a court, regulator or other legally authorized body directs Broadcom to prepare a Restatement.</w:t>
      </w:r>
    </w:p>
    <w:p>
      <w:pPr>
        <w:spacing w:after="0" w:line="155" w:lineRule="exact"/>
        <w:rPr>
          <w:sz w:val="20"/>
          <w:szCs w:val="20"/>
          <w:color w:val="auto"/>
        </w:rPr>
      </w:pPr>
    </w:p>
    <w:p>
      <w:pPr>
        <w:ind w:left="321" w:hanging="321"/>
        <w:spacing w:after="0" w:line="274" w:lineRule="auto"/>
        <w:tabs>
          <w:tab w:leader="none" w:pos="317"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Received</w:t>
      </w:r>
      <w:r>
        <w:rPr>
          <w:rFonts w:ascii="Times New Roman" w:cs="Times New Roman" w:eastAsia="Times New Roman" w:hAnsi="Times New Roman"/>
          <w:sz w:val="20"/>
          <w:szCs w:val="20"/>
          <w:color w:val="auto"/>
        </w:rPr>
        <w:t>.” Incentive-Based Compensation is deemed “Received in Broadcom’s fiscal period during which the Financial Reporting Measure specified in or otherwise relating to the Incentive-Based Compensation award is attained, even if the grant, vesting or payment of the Incentive-Based Compensation occurs after the end of that period.</w:t>
      </w:r>
    </w:p>
    <w:p>
      <w:pPr>
        <w:spacing w:after="0" w:line="149" w:lineRule="exact"/>
        <w:rPr>
          <w:rFonts w:ascii="Times New Roman" w:cs="Times New Roman" w:eastAsia="Times New Roman" w:hAnsi="Times New Roman"/>
          <w:sz w:val="20"/>
          <w:szCs w:val="20"/>
          <w:color w:val="auto"/>
        </w:rPr>
      </w:pPr>
    </w:p>
    <w:p>
      <w:pPr>
        <w:ind w:left="321" w:hanging="321"/>
        <w:spacing w:after="0"/>
        <w:tabs>
          <w:tab w:leader="none" w:pos="321"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Restatement</w:t>
      </w:r>
      <w:r>
        <w:rPr>
          <w:rFonts w:ascii="Times New Roman" w:cs="Times New Roman" w:eastAsia="Times New Roman" w:hAnsi="Times New Roman"/>
          <w:sz w:val="20"/>
          <w:szCs w:val="20"/>
          <w:color w:val="auto"/>
        </w:rPr>
        <w:t>” means a required accounting restatement that:</w:t>
      </w:r>
    </w:p>
    <w:p>
      <w:pPr>
        <w:spacing w:after="0" w:line="220" w:lineRule="exact"/>
        <w:rPr>
          <w:rFonts w:ascii="Times New Roman" w:cs="Times New Roman" w:eastAsia="Times New Roman" w:hAnsi="Times New Roman"/>
          <w:sz w:val="20"/>
          <w:szCs w:val="20"/>
          <w:color w:val="auto"/>
        </w:rPr>
      </w:pPr>
    </w:p>
    <w:p>
      <w:pPr>
        <w:ind w:left="1101" w:right="680" w:hanging="467"/>
        <w:spacing w:after="0" w:line="299" w:lineRule="auto"/>
        <w:tabs>
          <w:tab w:leader="none" w:pos="1093" w:val="left"/>
        </w:tabs>
        <w:numPr>
          <w:ilvl w:val="1"/>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corrects an error in previously issued Broadcom financial statements that is </w:t>
      </w:r>
      <w:r>
        <w:rPr>
          <w:rFonts w:ascii="Times New Roman" w:cs="Times New Roman" w:eastAsia="Times New Roman" w:hAnsi="Times New Roman"/>
          <w:sz w:val="20"/>
          <w:szCs w:val="20"/>
          <w:i w:val="1"/>
          <w:iCs w:val="1"/>
          <w:u w:val="single" w:color="auto"/>
          <w:color w:val="auto"/>
        </w:rPr>
        <w:t>material</w:t>
      </w:r>
      <w:r>
        <w:rPr>
          <w:rFonts w:ascii="Times New Roman" w:cs="Times New Roman" w:eastAsia="Times New Roman" w:hAnsi="Times New Roman"/>
          <w:sz w:val="20"/>
          <w:szCs w:val="20"/>
          <w:color w:val="auto"/>
        </w:rPr>
        <w:t xml:space="preserve"> to the previously issued Broadcom financial statements (commonly referred to as a “Big R” restatement) or</w:t>
      </w:r>
    </w:p>
    <w:p>
      <w:pPr>
        <w:spacing w:after="0" w:line="130" w:lineRule="exact"/>
        <w:rPr>
          <w:rFonts w:ascii="Times New Roman" w:cs="Times New Roman" w:eastAsia="Times New Roman" w:hAnsi="Times New Roman"/>
          <w:sz w:val="20"/>
          <w:szCs w:val="20"/>
          <w:color w:val="auto"/>
        </w:rPr>
      </w:pPr>
    </w:p>
    <w:p>
      <w:pPr>
        <w:jc w:val="both"/>
        <w:ind w:left="1101" w:right="400" w:hanging="467"/>
        <w:spacing w:after="0" w:line="271" w:lineRule="auto"/>
        <w:tabs>
          <w:tab w:leader="none" w:pos="1097" w:val="left"/>
        </w:tabs>
        <w:numPr>
          <w:ilvl w:val="1"/>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corrects an error in previously issued Broadcom financial statements that is not material to the previously issued Broadcom financial statements but that would result in a </w:t>
      </w:r>
      <w:r>
        <w:rPr>
          <w:rFonts w:ascii="Times New Roman" w:cs="Times New Roman" w:eastAsia="Times New Roman" w:hAnsi="Times New Roman"/>
          <w:sz w:val="20"/>
          <w:szCs w:val="20"/>
          <w:i w:val="1"/>
          <w:iCs w:val="1"/>
          <w:u w:val="single" w:color="auto"/>
          <w:color w:val="auto"/>
        </w:rPr>
        <w:t>material</w:t>
      </w:r>
      <w:r>
        <w:rPr>
          <w:rFonts w:ascii="Times New Roman" w:cs="Times New Roman" w:eastAsia="Times New Roman" w:hAnsi="Times New Roman"/>
          <w:sz w:val="20"/>
          <w:szCs w:val="20"/>
          <w:color w:val="auto"/>
        </w:rPr>
        <w:t xml:space="preserve"> misstatement if the error was corrected in the current period or left uncorrected in the current period (commonly referred to as a “little r” restatement).</w:t>
      </w:r>
    </w:p>
    <w:p>
      <w:pPr>
        <w:spacing w:after="0" w:line="158" w:lineRule="exact"/>
        <w:rPr>
          <w:sz w:val="20"/>
          <w:szCs w:val="20"/>
          <w:color w:val="auto"/>
        </w:rPr>
      </w:pPr>
    </w:p>
    <w:p>
      <w:pPr>
        <w:ind w:left="321" w:right="40"/>
        <w:spacing w:after="0" w:line="282" w:lineRule="auto"/>
        <w:rPr>
          <w:sz w:val="20"/>
          <w:szCs w:val="20"/>
          <w:color w:val="auto"/>
        </w:rPr>
      </w:pPr>
      <w:r>
        <w:rPr>
          <w:rFonts w:ascii="Times New Roman" w:cs="Times New Roman" w:eastAsia="Times New Roman" w:hAnsi="Times New Roman"/>
          <w:sz w:val="20"/>
          <w:szCs w:val="20"/>
          <w:color w:val="auto"/>
        </w:rPr>
        <w:t>Financial statement includes any statement of financial position (balance sheet), statement of comprehensive income, statement of cash flows, statement of stockholders’ equity, related schedules and accompanying footnotes, as required by SEC rules.</w:t>
      </w:r>
    </w:p>
    <w:p>
      <w:pPr>
        <w:spacing w:after="0" w:line="397" w:lineRule="exact"/>
        <w:rPr>
          <w:sz w:val="20"/>
          <w:szCs w:val="20"/>
          <w:color w:val="auto"/>
        </w:rPr>
      </w:pPr>
    </w:p>
    <w:p>
      <w:pPr>
        <w:ind w:left="321" w:right="200"/>
        <w:spacing w:after="0" w:line="295" w:lineRule="auto"/>
        <w:rPr>
          <w:sz w:val="20"/>
          <w:szCs w:val="20"/>
          <w:color w:val="auto"/>
        </w:rPr>
      </w:pPr>
      <w:r>
        <w:rPr>
          <w:rFonts w:ascii="Times New Roman" w:cs="Times New Roman" w:eastAsia="Times New Roman" w:hAnsi="Times New Roman"/>
          <w:sz w:val="20"/>
          <w:szCs w:val="20"/>
          <w:color w:val="auto"/>
        </w:rPr>
        <w:t>Changes to Broadcom financial statements that do not represent error corrections under the then-current relevant accounting standards will not constitute Restatements.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4941"/>
        <w:spacing w:after="0"/>
        <w:rPr>
          <w:sz w:val="20"/>
          <w:szCs w:val="20"/>
          <w:color w:val="auto"/>
        </w:rPr>
      </w:pPr>
      <w:r>
        <w:rPr>
          <w:rFonts w:ascii="Times New Roman" w:cs="Times New Roman" w:eastAsia="Times New Roman" w:hAnsi="Times New Roman"/>
          <w:sz w:val="20"/>
          <w:szCs w:val="20"/>
          <w:color w:val="auto"/>
        </w:rPr>
        <w:t>5</w:t>
      </w:r>
    </w:p>
    <w:sectPr>
      <w:pgSz w:w="11900" w:h="16838" w:orient="portrait"/>
      <w:cols w:equalWidth="0" w:num="1">
        <w:col w:w="10581"/>
      </w:cols>
      <w:pgMar w:left="959" w:top="1139"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 w:name="Georgia">
    <w:panose1 w:val="02040502050405020303"/>
    <w:charset w:val="00"/>
    <w:family w:val="roman"/>
    <w:pitch w:val="variable"/>
    <w:sig w:usb0="00000287" w:usb1="00000000" w:usb2="00000000" w:usb3="00000000" w:csb0="2000009F" w:csb1="00000000"/>
  </w:font>
</w:fonts>
</file>

<file path=word/numbering.xml><?xml version="1.0" encoding="utf-8"?>
<w:numbering xmlns:w="http://schemas.openxmlformats.org/wordprocessingml/2006/main">
  <w:abstractNum w:abstractNumId="0">
    <w:nsid w:val="4353D0CD"/>
    <w:multiLevelType w:val="hybridMultilevel"/>
    <w:lvl w:ilvl="0">
      <w:lvlJc w:val="left"/>
      <w:lvlText w:val="☑"/>
      <w:numFmt w:val="bullet"/>
      <w:start w:val="1"/>
    </w:lvl>
  </w:abstractNum>
  <w:abstractNum w:abstractNumId="1">
    <w:nsid w:val="B03E0C6"/>
    <w:multiLevelType w:val="hybridMultilevel"/>
    <w:lvl w:ilvl="0">
      <w:lvlJc w:val="left"/>
      <w:lvlText w:val="☐"/>
      <w:numFmt w:val="bullet"/>
      <w:start w:val="1"/>
    </w:lvl>
  </w:abstractNum>
  <w:abstractNum w:abstractNumId="2">
    <w:nsid w:val="189A769B"/>
    <w:multiLevelType w:val="hybridMultilevel"/>
    <w:lvl w:ilvl="0">
      <w:lvlJc w:val="left"/>
      <w:lvlText w:val="•"/>
      <w:numFmt w:val="bullet"/>
      <w:start w:val="1"/>
    </w:lvl>
  </w:abstractNum>
  <w:abstractNum w:abstractNumId="3">
    <w:nsid w:val="54E49EB4"/>
    <w:multiLevelType w:val="hybridMultilevel"/>
    <w:lvl w:ilvl="0">
      <w:lvlJc w:val="left"/>
      <w:lvlText w:val="•"/>
      <w:numFmt w:val="bullet"/>
      <w:start w:val="1"/>
    </w:lvl>
  </w:abstractNum>
  <w:abstractNum w:abstractNumId="4">
    <w:nsid w:val="71F32454"/>
    <w:multiLevelType w:val="hybridMultilevel"/>
    <w:lvl w:ilvl="0">
      <w:lvlJc w:val="left"/>
      <w:lvlText w:val="•"/>
      <w:numFmt w:val="bullet"/>
      <w:start w:val="1"/>
    </w:lvl>
  </w:abstractNum>
  <w:abstractNum w:abstractNumId="5">
    <w:nsid w:val="2CA88611"/>
    <w:multiLevelType w:val="hybridMultilevel"/>
    <w:lvl w:ilvl="0">
      <w:lvlJc w:val="left"/>
      <w:lvlText w:val="•"/>
      <w:numFmt w:val="bullet"/>
      <w:start w:val="1"/>
    </w:lvl>
  </w:abstractNum>
  <w:abstractNum w:abstractNumId="6">
    <w:nsid w:val="836C40E"/>
    <w:multiLevelType w:val="hybridMultilevel"/>
    <w:lvl w:ilvl="0">
      <w:lvlJc w:val="left"/>
      <w:lvlText w:val="•"/>
      <w:numFmt w:val="bullet"/>
      <w:start w:val="1"/>
    </w:lvl>
  </w:abstractNum>
  <w:abstractNum w:abstractNumId="7">
    <w:nsid w:val="2901D82"/>
    <w:multiLevelType w:val="hybridMultilevel"/>
    <w:lvl w:ilvl="0">
      <w:lvlJc w:val="left"/>
      <w:lvlText w:val="•"/>
      <w:numFmt w:val="bullet"/>
      <w:start w:val="1"/>
    </w:lvl>
  </w:abstractNum>
  <w:abstractNum w:abstractNumId="8">
    <w:nsid w:val="3A95F874"/>
    <w:multiLevelType w:val="hybridMultilevel"/>
    <w:lvl w:ilvl="0">
      <w:lvlJc w:val="left"/>
      <w:lvlText w:val="•"/>
      <w:numFmt w:val="bullet"/>
      <w:start w:val="1"/>
    </w:lvl>
  </w:abstractNum>
  <w:abstractNum w:abstractNumId="9">
    <w:nsid w:val="8138641"/>
    <w:multiLevelType w:val="hybridMultilevel"/>
    <w:lvl w:ilvl="0">
      <w:lvlJc w:val="left"/>
      <w:lvlText w:val="•"/>
      <w:numFmt w:val="bullet"/>
      <w:start w:val="1"/>
    </w:lvl>
  </w:abstractNum>
  <w:abstractNum w:abstractNumId="10">
    <w:nsid w:val="1E7FF521"/>
    <w:multiLevelType w:val="hybridMultilevel"/>
    <w:lvl w:ilvl="0">
      <w:lvlJc w:val="left"/>
      <w:lvlText w:val="•"/>
      <w:numFmt w:val="bullet"/>
      <w:start w:val="1"/>
    </w:lvl>
  </w:abstractNum>
  <w:abstractNum w:abstractNumId="11">
    <w:nsid w:val="7C3DBD3D"/>
    <w:multiLevelType w:val="hybridMultilevel"/>
    <w:lvl w:ilvl="0">
      <w:lvlJc w:val="left"/>
      <w:lvlText w:val="•"/>
      <w:numFmt w:val="bullet"/>
      <w:start w:val="1"/>
    </w:lvl>
  </w:abstractNum>
  <w:abstractNum w:abstractNumId="12">
    <w:nsid w:val="737B8DDC"/>
    <w:multiLevelType w:val="hybridMultilevel"/>
    <w:lvl w:ilvl="0">
      <w:lvlJc w:val="left"/>
      <w:lvlText w:val="•"/>
      <w:numFmt w:val="bullet"/>
      <w:start w:val="1"/>
    </w:lvl>
  </w:abstractNum>
  <w:abstractNum w:abstractNumId="13">
    <w:nsid w:val="6CEAF087"/>
    <w:multiLevelType w:val="hybridMultilevel"/>
    <w:lvl w:ilvl="0">
      <w:lvlJc w:val="left"/>
      <w:lvlText w:val="•"/>
      <w:numFmt w:val="bullet"/>
      <w:start w:val="1"/>
    </w:lvl>
  </w:abstractNum>
  <w:abstractNum w:abstractNumId="14">
    <w:nsid w:val="22221A70"/>
    <w:multiLevelType w:val="hybridMultilevel"/>
    <w:lvl w:ilvl="0">
      <w:lvlJc w:val="left"/>
      <w:lvlText w:val="•"/>
      <w:numFmt w:val="bullet"/>
      <w:start w:val="1"/>
    </w:lvl>
  </w:abstractNum>
  <w:abstractNum w:abstractNumId="15">
    <w:nsid w:val="4516DDE9"/>
    <w:multiLevelType w:val="hybridMultilevel"/>
    <w:lvl w:ilvl="0">
      <w:lvlJc w:val="left"/>
      <w:lvlText w:val="•"/>
      <w:numFmt w:val="bullet"/>
      <w:start w:val="1"/>
    </w:lvl>
  </w:abstractNum>
  <w:abstractNum w:abstractNumId="16">
    <w:nsid w:val="3006C83E"/>
    <w:multiLevelType w:val="hybridMultilevel"/>
    <w:lvl w:ilvl="0">
      <w:lvlJc w:val="left"/>
      <w:lvlText w:val="•"/>
      <w:numFmt w:val="bullet"/>
      <w:start w:val="1"/>
    </w:lvl>
  </w:abstractNum>
  <w:abstractNum w:abstractNumId="17">
    <w:nsid w:val="614FD4A1"/>
    <w:multiLevelType w:val="hybridMultilevel"/>
    <w:lvl w:ilvl="0">
      <w:lvlJc w:val="left"/>
      <w:lvlText w:val="•"/>
      <w:numFmt w:val="bullet"/>
      <w:start w:val="1"/>
    </w:lvl>
  </w:abstractNum>
  <w:abstractNum w:abstractNumId="18">
    <w:nsid w:val="419AC241"/>
    <w:multiLevelType w:val="hybridMultilevel"/>
    <w:lvl w:ilvl="0">
      <w:lvlJc w:val="left"/>
      <w:lvlText w:val="•"/>
      <w:numFmt w:val="bullet"/>
      <w:start w:val="1"/>
    </w:lvl>
  </w:abstractNum>
  <w:abstractNum w:abstractNumId="19">
    <w:nsid w:val="5577F8E1"/>
    <w:multiLevelType w:val="hybridMultilevel"/>
    <w:lvl w:ilvl="0">
      <w:lvlJc w:val="left"/>
      <w:lvlText w:val="•"/>
      <w:numFmt w:val="bullet"/>
      <w:start w:val="1"/>
    </w:lvl>
  </w:abstractNum>
  <w:abstractNum w:abstractNumId="20">
    <w:nsid w:val="440BADFC"/>
    <w:multiLevelType w:val="hybridMultilevel"/>
    <w:lvl w:ilvl="0">
      <w:lvlJc w:val="left"/>
      <w:lvlText w:val="(%1)"/>
      <w:numFmt w:val="lowerLetter"/>
      <w:start w:val="1"/>
    </w:lvl>
  </w:abstractNum>
  <w:abstractNum w:abstractNumId="21">
    <w:nsid w:val="5072367"/>
    <w:multiLevelType w:val="hybridMultilevel"/>
    <w:lvl w:ilvl="0">
      <w:lvlJc w:val="left"/>
      <w:lvlText w:val="(%1)"/>
      <w:numFmt w:val="lowerLetter"/>
      <w:start w:val="1"/>
    </w:lvl>
  </w:abstractNum>
  <w:abstractNum w:abstractNumId="22">
    <w:nsid w:val="3804823E"/>
    <w:multiLevelType w:val="hybridMultilevel"/>
    <w:lvl w:ilvl="0">
      <w:lvlJc w:val="left"/>
      <w:lvlText w:val="•"/>
      <w:numFmt w:val="bullet"/>
      <w:start w:val="1"/>
    </w:lvl>
  </w:abstractNum>
  <w:abstractNum w:abstractNumId="23">
    <w:nsid w:val="77465F01"/>
    <w:multiLevelType w:val="hybridMultilevel"/>
    <w:lvl w:ilvl="0">
      <w:lvlJc w:val="left"/>
      <w:lvlText w:val="•"/>
      <w:numFmt w:val="bullet"/>
      <w:start w:val="1"/>
    </w:lvl>
  </w:abstractNum>
  <w:abstractNum w:abstractNumId="24">
    <w:nsid w:val="7724C67E"/>
    <w:multiLevelType w:val="hybridMultilevel"/>
    <w:lvl w:ilvl="0">
      <w:lvlJc w:val="left"/>
      <w:lvlText w:val="•"/>
      <w:numFmt w:val="bullet"/>
      <w:start w:val="1"/>
    </w:lvl>
  </w:abstractNum>
  <w:abstractNum w:abstractNumId="25">
    <w:nsid w:val="5C482A97"/>
    <w:multiLevelType w:val="hybridMultilevel"/>
    <w:lvl w:ilvl="0">
      <w:lvlJc w:val="left"/>
      <w:lvlText w:val="•"/>
      <w:numFmt w:val="bullet"/>
      <w:start w:val="1"/>
    </w:lvl>
  </w:abstractNum>
  <w:abstractNum w:abstractNumId="26">
    <w:nsid w:val="2463B9EA"/>
    <w:multiLevelType w:val="hybridMultilevel"/>
    <w:lvl w:ilvl="0">
      <w:lvlJc w:val="left"/>
      <w:lvlText w:val="(%1)"/>
      <w:numFmt w:val="lowerRoman"/>
      <w:start w:val="3"/>
    </w:lvl>
  </w:abstractNum>
  <w:abstractNum w:abstractNumId="27">
    <w:nsid w:val="5E884ADC"/>
    <w:multiLevelType w:val="hybridMultilevel"/>
    <w:lvl w:ilvl="0">
      <w:lvlJc w:val="left"/>
      <w:lvlText w:val="(%1)"/>
      <w:numFmt w:val="lowerLetter"/>
      <w:start w:val="1"/>
    </w:lvl>
  </w:abstractNum>
  <w:abstractNum w:abstractNumId="28">
    <w:nsid w:val="51EAD36B"/>
    <w:multiLevelType w:val="hybridMultilevel"/>
    <w:lvl w:ilvl="0">
      <w:lvlJc w:val="left"/>
      <w:lvlText w:val="(%1)"/>
      <w:numFmt w:val="lowerLetter"/>
      <w:start w:val="1"/>
    </w:lvl>
  </w:abstractNum>
  <w:abstractNum w:abstractNumId="29">
    <w:nsid w:val="2D517796"/>
    <w:multiLevelType w:val="hybridMultilevel"/>
    <w:lvl w:ilvl="0">
      <w:lvlJc w:val="left"/>
      <w:lvlText w:val="(%1)"/>
      <w:numFmt w:val="lowerLetter"/>
      <w:start w:val="1"/>
    </w:lvl>
  </w:abstractNum>
  <w:abstractNum w:abstractNumId="30">
    <w:nsid w:val="580BD78F"/>
    <w:multiLevelType w:val="hybridMultilevel"/>
    <w:lvl w:ilvl="0">
      <w:lvlJc w:val="left"/>
      <w:lvlText w:val="•"/>
      <w:numFmt w:val="bullet"/>
      <w:start w:val="1"/>
    </w:lvl>
  </w:abstractNum>
  <w:abstractNum w:abstractNumId="31">
    <w:nsid w:val="153EA438"/>
    <w:multiLevelType w:val="hybridMultilevel"/>
    <w:lvl w:ilvl="0">
      <w:lvlJc w:val="left"/>
      <w:lvlText w:val="+"/>
      <w:numFmt w:val="bullet"/>
      <w:start w:val="1"/>
    </w:lvl>
  </w:abstractNum>
  <w:abstractNum w:abstractNumId="32">
    <w:nsid w:val="3855585C"/>
    <w:multiLevelType w:val="hybridMultilevel"/>
    <w:lvl w:ilvl="0">
      <w:lvlJc w:val="left"/>
      <w:lvlText w:val="#"/>
      <w:numFmt w:val="bullet"/>
      <w:start w:val="1"/>
    </w:lvl>
  </w:abstractNum>
  <w:abstractNum w:abstractNumId="33">
    <w:nsid w:val="70A64E2A"/>
    <w:multiLevelType w:val="hybridMultilevel"/>
    <w:lvl w:ilvl="0">
      <w:lvlJc w:val="left"/>
      <w:lvlText w:val="*"/>
      <w:numFmt w:val="bullet"/>
      <w:start w:val="1"/>
    </w:lvl>
  </w:abstractNum>
  <w:abstractNum w:abstractNumId="34">
    <w:nsid w:val="6A2342EC"/>
    <w:multiLevelType w:val="hybridMultilevel"/>
    <w:lvl w:ilvl="0">
      <w:lvlJc w:val="left"/>
      <w:lvlText w:val="%1."/>
      <w:numFmt w:val="decimal"/>
      <w:start w:val="1"/>
    </w:lvl>
    <w:lvl w:ilvl="1">
      <w:lvlJc w:val="left"/>
      <w:lvlText w:val="%2."/>
      <w:numFmt w:val="lowerLetter"/>
      <w:start w:val="1"/>
    </w:lvl>
  </w:abstractNum>
  <w:abstractNum w:abstractNumId="35">
    <w:nsid w:val="2A487CB0"/>
    <w:multiLevelType w:val="hybridMultilevel"/>
    <w:lvl w:ilvl="0">
      <w:lvlJc w:val="left"/>
      <w:lvlText w:val="%1."/>
      <w:numFmt w:val="decimal"/>
      <w:start w:val="1"/>
    </w:lvl>
    <w:lvl w:ilvl="1">
      <w:lvlJc w:val="left"/>
      <w:lvlText w:val="%2."/>
      <w:numFmt w:val="lowerLetter"/>
      <w:start w:val="1"/>
    </w:lvl>
  </w:abstractNum>
  <w:abstractNum w:abstractNumId="36">
    <w:nsid w:val="1D4ED43B"/>
    <w:multiLevelType w:val="hybridMultilevel"/>
    <w:lvl w:ilvl="0">
      <w:lvlJc w:val="left"/>
      <w:lvlText w:val="(%1)"/>
      <w:numFmt w:val="decimal"/>
      <w:start w:val="1"/>
    </w:lvl>
  </w:abstractNum>
  <w:abstractNum w:abstractNumId="37">
    <w:nsid w:val="725A06FB"/>
    <w:multiLevelType w:val="hybridMultilevel"/>
    <w:lvl w:ilvl="0">
      <w:lvlJc w:val="left"/>
      <w:lvlText w:val="(%1)"/>
      <w:numFmt w:val="decimal"/>
      <w:start w:val="1"/>
    </w:lvl>
  </w:abstractNum>
  <w:abstractNum w:abstractNumId="38">
    <w:nsid w:val="2CD89A32"/>
    <w:multiLevelType w:val="hybridMultilevel"/>
    <w:lvl w:ilvl="0">
      <w:lvlJc w:val="left"/>
      <w:lvlText w:val="%1."/>
      <w:numFmt w:val="decimal"/>
      <w:start w:val="1"/>
    </w:lvl>
  </w:abstractNum>
  <w:abstractNum w:abstractNumId="39">
    <w:nsid w:val="57E4CCAF"/>
    <w:multiLevelType w:val="hybridMultilevel"/>
    <w:lvl w:ilvl="0">
      <w:lvlJc w:val="left"/>
      <w:lvlText w:val="(%1)"/>
      <w:numFmt w:val="lowerRoman"/>
      <w:start w:val="1"/>
    </w:lvl>
  </w:abstractNum>
  <w:abstractNum w:abstractNumId="40">
    <w:nsid w:val="7A6D8D3C"/>
    <w:multiLevelType w:val="hybridMultilevel"/>
    <w:lvl w:ilvl="0">
      <w:lvlJc w:val="left"/>
      <w:lvlText w:val="%1."/>
      <w:numFmt w:val="decimal"/>
      <w:start w:val="2"/>
    </w:lvl>
  </w:abstractNum>
  <w:abstractNum w:abstractNumId="41">
    <w:nsid w:val="4B588F54"/>
    <w:multiLevelType w:val="hybridMultilevel"/>
    <w:lvl w:ilvl="0">
      <w:lvlJc w:val="left"/>
      <w:lvlText w:val="(%1)"/>
      <w:numFmt w:val="lowerRoman"/>
      <w:start w:val="1"/>
    </w:lvl>
  </w:abstractNum>
  <w:abstractNum w:abstractNumId="42">
    <w:nsid w:val="542289EC"/>
    <w:multiLevelType w:val="hybridMultilevel"/>
    <w:lvl w:ilvl="0">
      <w:lvlJc w:val="left"/>
      <w:lvlText w:val="%1."/>
      <w:numFmt w:val="decimal"/>
      <w:start w:val="3"/>
    </w:lvl>
  </w:abstractNum>
  <w:abstractNum w:abstractNumId="43">
    <w:nsid w:val="6DE91B18"/>
    <w:multiLevelType w:val="hybridMultilevel"/>
    <w:lvl w:ilvl="0">
      <w:lvlJc w:val="left"/>
      <w:lvlText w:val="%1."/>
      <w:numFmt w:val="decimal"/>
      <w:start w:val="4"/>
    </w:lvl>
  </w:abstractNum>
  <w:abstractNum w:abstractNumId="44">
    <w:nsid w:val="38437FDB"/>
    <w:multiLevelType w:val="hybridMultilevel"/>
    <w:lvl w:ilvl="0">
      <w:lvlJc w:val="left"/>
      <w:lvlText w:val="%1."/>
      <w:numFmt w:val="decimal"/>
      <w:start w:val="5"/>
    </w:lvl>
  </w:abstractNum>
  <w:abstractNum w:abstractNumId="45">
    <w:nsid w:val="7644A45C"/>
    <w:multiLevelType w:val="hybridMultilevel"/>
    <w:lvl w:ilvl="0">
      <w:lvlJc w:val="left"/>
      <w:lvlText w:val="%1."/>
      <w:numFmt w:val="decimal"/>
      <w:start w:val="6"/>
    </w:lvl>
  </w:abstractNum>
  <w:abstractNum w:abstractNumId="46">
    <w:nsid w:val="32FFF902"/>
    <w:multiLevelType w:val="hybridMultilevel"/>
    <w:lvl w:ilvl="0">
      <w:lvlJc w:val="left"/>
      <w:lvlText w:val="%1."/>
      <w:numFmt w:val="decimal"/>
      <w:start w:val="7"/>
    </w:lvl>
  </w:abstractNum>
  <w:abstractNum w:abstractNumId="47">
    <w:nsid w:val="684A481A"/>
    <w:multiLevelType w:val="hybridMultilevel"/>
    <w:lvl w:ilvl="0">
      <w:lvlJc w:val="left"/>
      <w:lvlText w:val="%1)"/>
      <w:numFmt w:val="lowerLetter"/>
      <w:start w:val="1"/>
    </w:lvl>
  </w:abstractNum>
  <w:abstractNum w:abstractNumId="48">
    <w:nsid w:val="579478FE"/>
    <w:multiLevelType w:val="hybridMultilevel"/>
    <w:lvl w:ilvl="0">
      <w:lvlJc w:val="left"/>
      <w:lvlText w:val="%1)"/>
      <w:numFmt w:val="lowerLetter"/>
      <w:start w:val="2"/>
    </w:lvl>
    <w:lvl w:ilvl="1">
      <w:lvlJc w:val="left"/>
      <w:lvlText w:val="(%2)"/>
      <w:numFmt w:val="lowerRoman"/>
      <w:start w:val="1"/>
    </w:lvl>
  </w:abstractNum>
  <w:abstractNum w:abstractNumId="49">
    <w:nsid w:val="749ABB43"/>
    <w:multiLevelType w:val="hybridMultilevel"/>
    <w:lvl w:ilvl="0">
      <w:lvlJc w:val="left"/>
      <w:lvlText w:val="%1)"/>
      <w:numFmt w:val="lowerLetter"/>
      <w:start w:val="7"/>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6" Type="http://schemas.openxmlformats.org/officeDocument/2006/relationships/image" Target="media/image103.png"/><Relationship Id="rId117" Type="http://schemas.openxmlformats.org/officeDocument/2006/relationships/image" Target="media/image104.png"/><Relationship Id="rId126" Type="http://schemas.openxmlformats.org/officeDocument/2006/relationships/image" Target="media/image105.png"/><Relationship Id="rId127" Type="http://schemas.openxmlformats.org/officeDocument/2006/relationships/image" Target="media/image106.png"/><Relationship Id="rId131" Type="http://schemas.openxmlformats.org/officeDocument/2006/relationships/image" Target="media/image107.png"/><Relationship Id="rId132" Type="http://schemas.openxmlformats.org/officeDocument/2006/relationships/image" Target="media/image108.png"/><Relationship Id="rId139" Type="http://schemas.openxmlformats.org/officeDocument/2006/relationships/image" Target="media/image109.png"/><Relationship Id="rId140" Type="http://schemas.openxmlformats.org/officeDocument/2006/relationships/image" Target="media/image110.png"/><Relationship Id="rId152" Type="http://schemas.openxmlformats.org/officeDocument/2006/relationships/image" Target="media/image111.png"/><Relationship Id="rId153" Type="http://schemas.openxmlformats.org/officeDocument/2006/relationships/image" Target="media/image112.png"/><Relationship Id="rId167" Type="http://schemas.openxmlformats.org/officeDocument/2006/relationships/image" Target="media/image113.png"/><Relationship Id="rId168" Type="http://schemas.openxmlformats.org/officeDocument/2006/relationships/image" Target="media/image114.png"/><Relationship Id="rId183" Type="http://schemas.openxmlformats.org/officeDocument/2006/relationships/image" Target="media/image115.png"/><Relationship Id="rId184" Type="http://schemas.openxmlformats.org/officeDocument/2006/relationships/image" Target="media/image116.png"/><Relationship Id="rId185" Type="http://schemas.openxmlformats.org/officeDocument/2006/relationships/image" Target="media/image117.png"/><Relationship Id="rId186" Type="http://schemas.openxmlformats.org/officeDocument/2006/relationships/image" Target="media/image118.png"/><Relationship Id="rId187" Type="http://schemas.openxmlformats.org/officeDocument/2006/relationships/image" Target="media/image119.png"/><Relationship Id="rId188" Type="http://schemas.openxmlformats.org/officeDocument/2006/relationships/image" Target="media/image120.png"/><Relationship Id="rId189" Type="http://schemas.openxmlformats.org/officeDocument/2006/relationships/image" Target="media/image121.png"/><Relationship Id="rId190" Type="http://schemas.openxmlformats.org/officeDocument/2006/relationships/image" Target="media/image122.png"/><Relationship Id="rId191" Type="http://schemas.openxmlformats.org/officeDocument/2006/relationships/image" Target="media/image123.jpeg"/><Relationship Id="rId110" Type="http://schemas.openxmlformats.org/officeDocument/2006/relationships/hyperlink" Target="http://www.sec.gov/Archives/edgar/data/1730168/000119312522161016/d525235dex21.htm" TargetMode="External"/><Relationship Id="rId111" Type="http://schemas.openxmlformats.org/officeDocument/2006/relationships/hyperlink" Target="http://www.sec.gov/Archives/edgar/data/1730168/000119312518107559/d562806dex31.htm" TargetMode="External"/><Relationship Id="rId112" Type="http://schemas.openxmlformats.org/officeDocument/2006/relationships/hyperlink" Target="http://www.sec.gov/Archives/edgar/data/1730168/000119312519258822/d779141dex31.htm" TargetMode="External"/><Relationship Id="rId113" Type="http://schemas.openxmlformats.org/officeDocument/2006/relationships/hyperlink" Target="http://www.sec.gov/Archives/edgar/data/1730168/000119312518107559/d562806dex32.htm" TargetMode="External"/><Relationship Id="rId114" Type="http://schemas.openxmlformats.org/officeDocument/2006/relationships/hyperlink" Target="http://www.sec.gov/Archives/edgar/data/1730168/000173016818000019/ex41formofstockcertificate.htm" TargetMode="External"/><Relationship Id="rId115" Type="http://schemas.openxmlformats.org/officeDocument/2006/relationships/hyperlink" Target="http://www.sec.gov/Archives/edgar/data/1730168/000173016819000144/ex43descriptionofcommo.htm" TargetMode="External"/><Relationship Id="rId118" Type="http://schemas.openxmlformats.org/officeDocument/2006/relationships/hyperlink" Target="http://www.sec.gov/Archives/edgar/data/1649338/000119312517013399/d332675dex41.htm" TargetMode="External"/><Relationship Id="rId119" Type="http://schemas.openxmlformats.org/officeDocument/2006/relationships/hyperlink" Target="http://www.sec.gov/Archives/edgar/data/1730168/000119312518111706/d562929dex41.htm" TargetMode="External"/><Relationship Id="rId120" Type="http://schemas.openxmlformats.org/officeDocument/2006/relationships/hyperlink" Target="http://www.sec.gov/Archives/edgar/data/1730168/000119312519017097/d684347dex41.htm" TargetMode="External"/><Relationship Id="rId121" Type="http://schemas.openxmlformats.org/officeDocument/2006/relationships/hyperlink" Target="http://www.sec.gov/Archives/edgar/data/1649338/000119312517311851/d472495dex41.htm" TargetMode="External"/><Relationship Id="rId122" Type="http://schemas.openxmlformats.org/officeDocument/2006/relationships/hyperlink" Target="http://www.sec.gov/Archives/edgar/data/1730168/000119312518111706/d562929dex42.htm" TargetMode="External"/><Relationship Id="rId123" Type="http://schemas.openxmlformats.org/officeDocument/2006/relationships/hyperlink" Target="http://www.sec.gov/Archives/edgar/data/1730168/000119312519017097/d684347dex42.htm" TargetMode="External"/><Relationship Id="rId124" Type="http://schemas.openxmlformats.org/officeDocument/2006/relationships/hyperlink" Target="http://www.sec.gov/Archives/edgar/data/1730168/000119312519099260/d719856dex41.htm" TargetMode="External"/><Relationship Id="rId125" Type="http://schemas.openxmlformats.org/officeDocument/2006/relationships/hyperlink" Target="https://www.sec.gov/Archives/edgar/data/1730168/000119312520102580/d823740dex41.htm" TargetMode="External"/><Relationship Id="rId128" Type="http://schemas.openxmlformats.org/officeDocument/2006/relationships/hyperlink" Target="https://www.sec.gov/Archives/edgar/data/1730168/000119312520137528/d921783dex41.htm" TargetMode="External"/><Relationship Id="rId129" Type="http://schemas.openxmlformats.org/officeDocument/2006/relationships/hyperlink" Target="http://www.sec.gov/Archives/edgar/data/1730168/000119312520148648/d933113dex41.htm" TargetMode="External"/><Relationship Id="rId130" Type="http://schemas.openxmlformats.org/officeDocument/2006/relationships/hyperlink" Target="http://www.sec.gov/Archives/edgar/data/1730168/000119312521011422/d161188dex41.htm" TargetMode="External"/><Relationship Id="rId133" Type="http://schemas.openxmlformats.org/officeDocument/2006/relationships/hyperlink" Target="http://www.sec.gov/Archives/edgar/data/1730168/000119312521011422/d161188dex47.htm" TargetMode="External"/><Relationship Id="rId134" Type="http://schemas.openxmlformats.org/officeDocument/2006/relationships/hyperlink" Target="http://www.sec.gov/Archives/edgar/data/1730168/000119312521102518/d146519dex41.htm" TargetMode="External"/><Relationship Id="rId135" Type="http://schemas.openxmlformats.org/officeDocument/2006/relationships/hyperlink" Target="http://www.sec.gov/Archives/edgar/data/1730168/000119312521102518/d146519dex44.htm" TargetMode="External"/><Relationship Id="rId136" Type="http://schemas.openxmlformats.org/officeDocument/2006/relationships/hyperlink" Target="http://www.sec.gov/Archives/edgar/data/1730168/000119312521287948/d238245dex41.htm" TargetMode="External"/><Relationship Id="rId137" Type="http://schemas.openxmlformats.org/officeDocument/2006/relationships/hyperlink" Target="http://www.sec.gov/Archives/edgar/data/1730168/000119312521287948/d238245dex44.htm" TargetMode="External"/><Relationship Id="rId138" Type="http://schemas.openxmlformats.org/officeDocument/2006/relationships/hyperlink" Target="http://www.sec.gov/Archives/edgar/data/1730168/000119312522105918/d341029dex41.htm" TargetMode="External"/><Relationship Id="rId141" Type="http://schemas.openxmlformats.org/officeDocument/2006/relationships/hyperlink" Target="http://www.sec.gov/Archives/edgar/data/1730168/000119312522105918/d341029dex44.htm" TargetMode="External"/><Relationship Id="rId142" Type="http://schemas.openxmlformats.org/officeDocument/2006/relationships/hyperlink" Target="http://www.sec.gov/Archives/edgar/data/1730168/000119312522108067/d299108dex41.htm" TargetMode="External"/><Relationship Id="rId143" Type="http://schemas.openxmlformats.org/officeDocument/2006/relationships/hyperlink" Target="http://www.sec.gov/Archives/edgar/data/1730168/000119312522108067/d299108dex43.htm" TargetMode="External"/><Relationship Id="rId144" Type="http://schemas.openxmlformats.org/officeDocument/2006/relationships/hyperlink" Target="http://www.sec.gov/Archives/edgar/data/1730168/000119312518107559/d562806dex101.htm" TargetMode="External"/><Relationship Id="rId145" Type="http://schemas.openxmlformats.org/officeDocument/2006/relationships/hyperlink" Target="http://www.sec.gov/Archives/edgar/data/1730168/000119312519139727/d745761dex101.htm" TargetMode="External"/><Relationship Id="rId146" Type="http://schemas.openxmlformats.org/officeDocument/2006/relationships/hyperlink" Target="http://www.sec.gov/Archives/edgar/data/1730168/000119312519282605/d808250dex101.htm" TargetMode="External"/><Relationship Id="rId147" Type="http://schemas.openxmlformats.org/officeDocument/2006/relationships/hyperlink" Target="http://www.sec.gov/Archives/edgar/data/1730168/000119312521011422/d161188dex101.htm" TargetMode="External"/><Relationship Id="rId148" Type="http://schemas.openxmlformats.org/officeDocument/2006/relationships/hyperlink" Target="http://www.sec.gov/Archives/edgar/data/1730168/000173016823000064/exhibit101amendmentno1amen.htm" TargetMode="External"/><Relationship Id="rId149" Type="http://schemas.openxmlformats.org/officeDocument/2006/relationships/hyperlink" Target="http://www.sec.gov/Archives/edgar/data/1730168/000114036123040084/brhc20057578_ex10-1.htm" TargetMode="External"/><Relationship Id="rId150" Type="http://schemas.openxmlformats.org/officeDocument/2006/relationships/hyperlink" Target="http://www.sec.gov/Archives/edgar/data/1649338/000164933817000158/ex1029leaseagreementdateda.htm" TargetMode="External"/><Relationship Id="rId151" Type="http://schemas.openxmlformats.org/officeDocument/2006/relationships/hyperlink" Target="http://www.sec.gov/Archives/edgar/data/1730168/000173016820000226/ex1012loosublease.htm" TargetMode="External"/><Relationship Id="rId154" Type="http://schemas.openxmlformats.org/officeDocument/2006/relationships/hyperlink" Target="http://www.sec.gov/Archives/edgar/data/1054374/000095012309024821/a53225exv10w1.htm" TargetMode="External"/><Relationship Id="rId155" Type="http://schemas.openxmlformats.org/officeDocument/2006/relationships/hyperlink" Target="http://www.sec.gov/Archives/edgar/data/1441634/000119312509155434/dex1018.htm" TargetMode="External"/><Relationship Id="rId156" Type="http://schemas.openxmlformats.org/officeDocument/2006/relationships/hyperlink" Target="http://www.sec.gov/Archives/edgar/data/1730168/000119312519043540/d676557ddef14a.htm#toc676557_83" TargetMode="External"/><Relationship Id="rId157" Type="http://schemas.openxmlformats.org/officeDocument/2006/relationships/hyperlink" Target="http://www.sec.gov/Archives/edgar/data/1441634/000119312514185066/d722921dex41.htm" TargetMode="External"/><Relationship Id="rId158" Type="http://schemas.openxmlformats.org/officeDocument/2006/relationships/hyperlink" Target="http://www.sec.gov/Archives/edgar/data/1649338/000164933816000151/ex1045amendenttolsiplan.htm" TargetMode="External"/><Relationship Id="rId159" Type="http://schemas.openxmlformats.org/officeDocument/2006/relationships/hyperlink" Target="http://www.sec.gov/Archives/edgar/data/1730168/000119312518107559/d562806dex1010.htm" TargetMode="External"/><Relationship Id="rId160" Type="http://schemas.openxmlformats.org/officeDocument/2006/relationships/hyperlink" Target="http://www.sec.gov/Archives/edgar/data/1730168/000173016821000116/ex101broadcominc2012stocki.htm" TargetMode="External"/><Relationship Id="rId161" Type="http://schemas.openxmlformats.org/officeDocument/2006/relationships/hyperlink" Target="http://www.sec.gov/Archives/edgar/data/1649338/000164933816000151/ex1053formofapbplandocumen.htm" TargetMode="External"/><Relationship Id="rId162" Type="http://schemas.openxmlformats.org/officeDocument/2006/relationships/hyperlink" Target="http://www.sec.gov/Archives/edgar/data/1441634/000119312509155434/dex1061.htm" TargetMode="External"/><Relationship Id="rId163" Type="http://schemas.openxmlformats.org/officeDocument/2006/relationships/hyperlink" Target="http://www.sec.gov/Archives/edgar/data/1649338/000164933817000158/ex1049avago2009planrsuagre.htm" TargetMode="External"/><Relationship Id="rId164" Type="http://schemas.openxmlformats.org/officeDocument/2006/relationships/hyperlink" Target="http://www.sec.gov/Archives/edgar/data/1730168/000119312518343743/d665420dex101.htm" TargetMode="External"/><Relationship Id="rId165" Type="http://schemas.openxmlformats.org/officeDocument/2006/relationships/hyperlink" Target="http://www.sec.gov/Archives/edgar/data/1649338/000164933818000027/ex102formofperformanceshar.htm" TargetMode="External"/><Relationship Id="rId166" Type="http://schemas.openxmlformats.org/officeDocument/2006/relationships/hyperlink" Target="http://www.sec.gov/Archives/edgar/data/1730168/000119312518343743/d665420dex102.htm" TargetMode="External"/><Relationship Id="rId169" Type="http://schemas.openxmlformats.org/officeDocument/2006/relationships/hyperlink" Target="http://www.sec.gov/Archives/edgar/data/1730168/000173016820000226/ex1051lsiplanrsu.htm" TargetMode="External"/><Relationship Id="rId170" Type="http://schemas.openxmlformats.org/officeDocument/2006/relationships/hyperlink" Target="http://www.sec.gov/Archives/edgar/data/1730168/000173016820000226/ex1052lsiplanpsu.htm" TargetMode="External"/><Relationship Id="rId171" Type="http://schemas.openxmlformats.org/officeDocument/2006/relationships/hyperlink" Target="http://www.sec.gov/Archives/edgar/data/1649338/000164933817000158/ex1061broadcom2012planrsua.htm" TargetMode="External"/><Relationship Id="rId172" Type="http://schemas.openxmlformats.org/officeDocument/2006/relationships/hyperlink" Target="http://www.sec.gov/Archives/edgar/data/1730168/000173016821000116/ex103formofrestrictedstock.htm" TargetMode="External"/><Relationship Id="rId173" Type="http://schemas.openxmlformats.org/officeDocument/2006/relationships/hyperlink" Target="http://www.sec.gov/Archives/edgar/data/1649338/000164933818000027/ex105formofperformanceshar.htm" TargetMode="External"/><Relationship Id="rId174" Type="http://schemas.openxmlformats.org/officeDocument/2006/relationships/hyperlink" Target="http://www.sec.gov/Archives/edgar/data/1730168/000173016821000116/ex104formofperformancestoc.htm" TargetMode="External"/><Relationship Id="rId175" Type="http://schemas.openxmlformats.org/officeDocument/2006/relationships/hyperlink" Target="http://www.sec.gov/Archives/edgar/data/1730168/000173016822000101/formofperformancestockunit.htm" TargetMode="External"/><Relationship Id="rId176" Type="http://schemas.openxmlformats.org/officeDocument/2006/relationships/hyperlink" Target="http://www.sec.gov/Archives/edgar/data/1730168/000173016821000116/ex102performancestockunita.htm" TargetMode="External"/><Relationship Id="rId177" Type="http://schemas.openxmlformats.org/officeDocument/2006/relationships/hyperlink" Target="http://www.sec.gov/Archives/edgar/data/1730168/000173016821000110/ex101accelerationofexecuti.htm" TargetMode="External"/><Relationship Id="rId178" Type="http://schemas.openxmlformats.org/officeDocument/2006/relationships/hyperlink" Target="http://www.sec.gov/Archives/edgar/data/1730168/000173016823000077/ex102policyaccelerationofe.htm" TargetMode="External"/><Relationship Id="rId179" Type="http://schemas.openxmlformats.org/officeDocument/2006/relationships/hyperlink" Target="http://www.sec.gov/Archives/edgar/data/1730168/000119312520315010/d71178dex101.htm" TargetMode="External"/><Relationship Id="rId180" Type="http://schemas.openxmlformats.org/officeDocument/2006/relationships/hyperlink" Target="http://www.sec.gov/Archives/edgar/data/1730168/000119312520315010/d71178dex102.htm" TargetMode="External"/><Relationship Id="rId181" Type="http://schemas.openxmlformats.org/officeDocument/2006/relationships/hyperlink" Target="http://www.sec.gov/Archives/edgar/data/1730168/000173016818000019/ex1018severancebenefitagre.htm" TargetMode="External"/><Relationship Id="rId182" Type="http://schemas.openxmlformats.org/officeDocument/2006/relationships/hyperlink" Target="http://www.sec.gov/Archives/edgar/data/1730168/000119312520315010/d71178dex105.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2023-12-14T16:01:57Z</dcterms:created>
  <dcterms:modified xsi:type="dcterms:W3CDTF">2023-12-14T16:01:57Z</dcterms:modified>
</cp:coreProperties>
</file>