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SECURITIES AND EXCHANGE COMMISSION</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128905</wp:posOffset>
            </wp:positionV>
            <wp:extent cx="19088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8810" cy="7620"/>
                    </a:xfrm>
                    <a:prstGeom prst="rect">
                      <a:avLst/>
                    </a:prstGeom>
                    <a:noFill/>
                  </pic:spPr>
                </pic:pic>
              </a:graphicData>
            </a:graphic>
          </wp:anchor>
        </w:drawing>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FORM 10-Q</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(Mark One)</w:t>
      </w:r>
    </w:p>
    <w:p>
      <w:pPr>
        <w:spacing w:after="0" w:line="200" w:lineRule="exact"/>
        <w:rPr>
          <w:sz w:val="20"/>
          <w:szCs w:val="20"/>
          <w:color w:val="auto"/>
        </w:rPr>
      </w:pPr>
    </w:p>
    <w:p>
      <w:pPr>
        <w:spacing w:after="0" w:line="206" w:lineRule="exact"/>
        <w:rPr>
          <w:sz w:val="20"/>
          <w:szCs w:val="20"/>
          <w:color w:val="auto"/>
        </w:rPr>
      </w:pPr>
    </w:p>
    <w:p>
      <w:pPr>
        <w:ind w:left="4360" w:right="2560" w:hanging="4164"/>
        <w:spacing w:after="0" w:line="518" w:lineRule="auto"/>
        <w:tabs>
          <w:tab w:leader="none" w:pos="1143"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July 27, 2002</w:t>
      </w:r>
    </w:p>
    <w:p>
      <w:pPr>
        <w:spacing w:after="0" w:line="1" w:lineRule="exact"/>
        <w:rPr>
          <w:rFonts w:ascii="Arial" w:cs="Arial" w:eastAsia="Arial" w:hAnsi="Arial"/>
          <w:sz w:val="15"/>
          <w:szCs w:val="15"/>
          <w:color w:val="auto"/>
        </w:rPr>
      </w:pPr>
    </w:p>
    <w:p>
      <w:pPr>
        <w:ind w:left="5600"/>
        <w:spacing w:after="0"/>
        <w:rPr>
          <w:rFonts w:ascii="Arial" w:cs="Arial" w:eastAsia="Arial" w:hAnsi="Arial"/>
          <w:sz w:val="15"/>
          <w:szCs w:val="15"/>
          <w:color w:val="auto"/>
        </w:rPr>
      </w:pPr>
      <w:r>
        <w:rPr>
          <w:rFonts w:ascii="Arial" w:cs="Arial" w:eastAsia="Arial" w:hAnsi="Arial"/>
          <w:sz w:val="15"/>
          <w:szCs w:val="15"/>
          <w:b w:val="1"/>
          <w:bCs w:val="1"/>
          <w:color w:val="auto"/>
        </w:rPr>
        <w:t>OR</w:t>
      </w:r>
    </w:p>
    <w:p>
      <w:pPr>
        <w:sectPr>
          <w:pgSz w:w="11900" w:h="16838" w:orient="portrait"/>
          <w:cols w:equalWidth="0" w:num="1">
            <w:col w:w="11440"/>
          </w:cols>
          <w:pgMar w:left="240" w:top="123" w:right="2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04" w:lineRule="exact"/>
        <w:rPr>
          <w:sz w:val="20"/>
          <w:szCs w:val="20"/>
          <w:color w:val="auto"/>
        </w:rPr>
      </w:pPr>
    </w:p>
    <w:p>
      <w:pPr>
        <w:sectPr>
          <w:pgSz w:w="11900" w:h="16838" w:orient="portrait"/>
          <w:cols w:equalWidth="0" w:num="2">
            <w:col w:w="420" w:space="720"/>
            <w:col w:w="10300"/>
          </w:cols>
          <w:pgMar w:left="240" w:top="123" w:right="219" w:bottom="1440" w:gutter="0" w:footer="0" w:header="0"/>
          <w:type w:val="continuous"/>
        </w:sectPr>
      </w:pPr>
    </w:p>
    <w:p>
      <w:pPr>
        <w:ind w:left="3940"/>
        <w:spacing w:after="0"/>
        <w:rPr>
          <w:sz w:val="20"/>
          <w:szCs w:val="20"/>
          <w:color w:val="auto"/>
        </w:rPr>
      </w:pPr>
      <w:r>
        <w:rPr>
          <w:rFonts w:ascii="Arial" w:cs="Arial" w:eastAsia="Arial" w:hAnsi="Arial"/>
          <w:sz w:val="13"/>
          <w:szCs w:val="13"/>
          <w:color w:val="auto"/>
        </w:rPr>
        <w:t>For the transition period from __________ to __________</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Commission file number: 000-25601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132080</wp:posOffset>
            </wp:positionV>
            <wp:extent cx="19088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8810"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type w:val="continuous"/>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BROCADE COMMUNICATIONS SYSTEMS,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40"/>
          </w:cols>
          <w:pgMar w:left="240" w:top="123" w:right="219" w:bottom="1440" w:gutter="0" w:footer="0" w:header="0"/>
          <w:type w:val="continuous"/>
        </w:sectPr>
      </w:pPr>
    </w:p>
    <w:p>
      <w:pPr>
        <w:spacing w:after="0" w:line="220" w:lineRule="exact"/>
        <w:rPr>
          <w:sz w:val="20"/>
          <w:szCs w:val="20"/>
          <w:color w:val="auto"/>
        </w:rPr>
      </w:pPr>
    </w:p>
    <w:p>
      <w:pPr>
        <w:jc w:val="center"/>
        <w:ind w:right="1360"/>
        <w:spacing w:after="0"/>
        <w:rPr>
          <w:sz w:val="20"/>
          <w:szCs w:val="20"/>
          <w:color w:val="auto"/>
        </w:rPr>
      </w:pPr>
      <w:r>
        <w:rPr>
          <w:rFonts w:ascii="Arial" w:cs="Arial" w:eastAsia="Arial" w:hAnsi="Arial"/>
          <w:sz w:val="15"/>
          <w:szCs w:val="15"/>
          <w:b w:val="1"/>
          <w:bCs w:val="1"/>
          <w:color w:val="auto"/>
        </w:rPr>
        <w:t>Delaware</w:t>
      </w:r>
    </w:p>
    <w:p>
      <w:pPr>
        <w:spacing w:after="0" w:line="2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135890</wp:posOffset>
            </wp:positionV>
            <wp:extent cx="19088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8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500"/>
        <w:spacing w:after="0"/>
        <w:rPr>
          <w:sz w:val="20"/>
          <w:szCs w:val="20"/>
          <w:color w:val="auto"/>
        </w:rPr>
      </w:pPr>
      <w:r>
        <w:rPr>
          <w:rFonts w:ascii="Arial" w:cs="Arial" w:eastAsia="Arial" w:hAnsi="Arial"/>
          <w:sz w:val="15"/>
          <w:szCs w:val="15"/>
          <w:b w:val="1"/>
          <w:bCs w:val="1"/>
          <w:color w:val="auto"/>
        </w:rPr>
        <w:t>77-0409517</w:t>
      </w:r>
    </w:p>
    <w:p>
      <w:pPr>
        <w:spacing w:after="0" w:line="22" w:lineRule="exact"/>
        <w:rPr>
          <w:sz w:val="20"/>
          <w:szCs w:val="20"/>
          <w:color w:val="auto"/>
        </w:rPr>
      </w:pPr>
    </w:p>
    <w:p>
      <w:pPr>
        <w:jc w:val="center"/>
        <w:ind w:right="1500"/>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0"/>
          <w:szCs w:val="20"/>
          <w:color w:val="auto"/>
        </w:rPr>
      </w:pPr>
    </w:p>
    <w:p>
      <w:pPr>
        <w:sectPr>
          <w:pgSz w:w="11900" w:h="16838" w:orient="portrait"/>
          <w:cols w:equalWidth="0" w:num="2">
            <w:col w:w="7080" w:space="720"/>
            <w:col w:w="3640"/>
          </w:cols>
          <w:pgMar w:left="240" w:top="123" w:right="219" w:bottom="1440" w:gutter="0" w:footer="0" w:header="0"/>
          <w:type w:val="continuous"/>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1745 Technology Drive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San Jose, CA 95110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(408) 487-8000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(Address, including zip code, of Registrant’s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principal executive offices and telephone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128905</wp:posOffset>
            </wp:positionV>
            <wp:extent cx="19088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8810" cy="7620"/>
                    </a:xfrm>
                    <a:prstGeom prst="rect">
                      <a:avLst/>
                    </a:prstGeom>
                    <a:noFill/>
                  </pic:spPr>
                </pic:pic>
              </a:graphicData>
            </a:graphic>
          </wp:anchor>
        </w:drawing>
      </w:r>
    </w:p>
    <w:p>
      <w:pPr>
        <w:spacing w:after="0" w:line="374" w:lineRule="exact"/>
        <w:rPr>
          <w:sz w:val="20"/>
          <w:szCs w:val="20"/>
          <w:color w:val="auto"/>
        </w:rPr>
      </w:pPr>
    </w:p>
    <w:p>
      <w:pPr>
        <w:spacing w:after="0" w:line="32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The number of shares outstanding of the Registrant’s Common Stock on July 27, 2002 was 234,214,463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365760</wp:posOffset>
            </wp:positionV>
            <wp:extent cx="727075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type w:val="continuous"/>
        </w:sectPr>
      </w:pPr>
    </w:p>
    <w:bookmarkStart w:id="2" w:name="page3"/>
    <w:bookmarkEnd w:id="2"/>
    <w:p>
      <w:pPr>
        <w:ind w:left="4140"/>
        <w:spacing w:after="0"/>
        <w:rPr>
          <w:sz w:val="20"/>
          <w:szCs w:val="20"/>
          <w:color w:val="auto"/>
        </w:rPr>
      </w:pPr>
      <w:r>
        <w:rPr>
          <w:rFonts w:ascii="Arial" w:cs="Arial" w:eastAsia="Arial" w:hAnsi="Arial"/>
          <w:sz w:val="19"/>
          <w:szCs w:val="19"/>
          <w:b w:val="1"/>
          <w:bCs w:val="1"/>
          <w:u w:val="single" w:color="auto"/>
          <w:color w:val="auto"/>
        </w:rPr>
        <w:t>TABLE OF CONTENTS</w:t>
      </w:r>
    </w:p>
    <w:p>
      <w:pPr>
        <w:spacing w:after="0" w:line="183" w:lineRule="exact"/>
        <w:rPr>
          <w:sz w:val="20"/>
          <w:szCs w:val="20"/>
          <w:color w:val="auto"/>
        </w:rPr>
      </w:pPr>
    </w:p>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PART I — FINANCIAL INFORMATION</w:t>
        </w:r>
      </w:hyperlink>
    </w:p>
    <w:p>
      <w:pPr>
        <w:ind w:left="300"/>
        <w:spacing w:after="0" w:line="238"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Item 1. Financial Statements</w:t>
        </w:r>
      </w:hyperlink>
    </w:p>
    <w:p>
      <w:pPr>
        <w:ind w:left="620" w:right="3219"/>
        <w:spacing w:after="0" w:line="230"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CONDENSED CONSOLIDATED STATEMENTS OF OPERATIONS</w:t>
        </w:r>
      </w:hyperlink>
      <w:r>
        <w:rPr>
          <w:rFonts w:ascii="Arial" w:cs="Arial" w:eastAsia="Arial" w:hAnsi="Arial"/>
          <w:sz w:val="19"/>
          <w:szCs w:val="19"/>
          <w:u w:val="single" w:color="auto"/>
          <w:color w:val="0000EE"/>
        </w:rPr>
        <w:t xml:space="preserve"> </w:t>
      </w:r>
      <w:hyperlink w:anchor="page6">
        <w:r>
          <w:rPr>
            <w:rFonts w:ascii="Arial" w:cs="Arial" w:eastAsia="Arial" w:hAnsi="Arial"/>
            <w:sz w:val="19"/>
            <w:szCs w:val="19"/>
            <w:u w:val="single" w:color="auto"/>
            <w:color w:val="0000EE"/>
          </w:rPr>
          <w:t>CONDENSED CONSOLIDATED BALANCE SHEETS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CONDENSED CONSOLIDATED STATEMENTS OF CASH FLOWS</w:t>
        </w:r>
      </w:hyperlink>
      <w:r>
        <w:rPr>
          <w:rFonts w:ascii="Arial" w:cs="Arial" w:eastAsia="Arial" w:hAnsi="Arial"/>
          <w:sz w:val="19"/>
          <w:szCs w:val="19"/>
          <w:u w:val="single" w:color="auto"/>
          <w:color w:val="0000EE"/>
        </w:rPr>
        <w:t xml:space="preserve"> </w:t>
      </w:r>
      <w:hyperlink w:anchor="page8">
        <w:r>
          <w:rPr>
            <w:rFonts w:ascii="Arial" w:cs="Arial" w:eastAsia="Arial" w:hAnsi="Arial"/>
            <w:sz w:val="19"/>
            <w:szCs w:val="19"/>
            <w:u w:val="single" w:color="auto"/>
            <w:color w:val="0000EE"/>
          </w:rPr>
          <w:t>NOTES TO CONDENSED CONSOLIDATED FINANCIAL STATEMENTS</w:t>
        </w:r>
      </w:hyperlink>
    </w:p>
    <w:p>
      <w:pPr>
        <w:spacing w:after="0" w:line="1" w:lineRule="exact"/>
        <w:rPr>
          <w:rFonts w:ascii="Arial" w:cs="Arial" w:eastAsia="Arial" w:hAnsi="Arial"/>
          <w:sz w:val="19"/>
          <w:szCs w:val="19"/>
          <w:u w:val="single" w:color="auto"/>
          <w:color w:val="0000EE"/>
        </w:rPr>
      </w:pPr>
    </w:p>
    <w:p>
      <w:pPr>
        <w:ind w:left="300" w:right="2079"/>
        <w:spacing w:after="0" w:line="230" w:lineRule="auto"/>
        <w:rPr>
          <w:rFonts w:ascii="Arial" w:cs="Arial" w:eastAsia="Arial" w:hAnsi="Arial"/>
          <w:sz w:val="19"/>
          <w:szCs w:val="19"/>
          <w:u w:val="single" w:color="auto"/>
          <w:color w:val="0000EE"/>
        </w:rPr>
      </w:pPr>
      <w:hyperlink w:anchor="page15">
        <w:r>
          <w:rPr>
            <w:rFonts w:ascii="Arial" w:cs="Arial" w:eastAsia="Arial" w:hAnsi="Arial"/>
            <w:sz w:val="19"/>
            <w:szCs w:val="19"/>
            <w:u w:val="single" w:color="auto"/>
            <w:color w:val="0000EE"/>
          </w:rPr>
          <w:t>Item 2. Management’s Discussion and Analysis of Financial Condition and Results of Operations</w:t>
        </w:r>
      </w:hyperlink>
      <w:r>
        <w:rPr>
          <w:rFonts w:ascii="Arial" w:cs="Arial" w:eastAsia="Arial" w:hAnsi="Arial"/>
          <w:sz w:val="19"/>
          <w:szCs w:val="19"/>
          <w:u w:val="single" w:color="auto"/>
          <w:color w:val="0000EE"/>
        </w:rPr>
        <w:t xml:space="preserve"> </w:t>
      </w:r>
      <w:hyperlink w:anchor="page28">
        <w:r>
          <w:rPr>
            <w:rFonts w:ascii="Arial" w:cs="Arial" w:eastAsia="Arial" w:hAnsi="Arial"/>
            <w:sz w:val="19"/>
            <w:szCs w:val="19"/>
            <w:u w:val="single" w:color="auto"/>
            <w:color w:val="0000EE"/>
          </w:rPr>
          <w:t>Item 3. Quantitative and Qualitative Disclosures About Market Risk</w:t>
        </w:r>
      </w:hyperlink>
    </w:p>
    <w:p>
      <w:pPr>
        <w:spacing w:after="0" w:line="231" w:lineRule="auto"/>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PART II — OTHER INFORMATION</w:t>
        </w:r>
      </w:hyperlink>
    </w:p>
    <w:p>
      <w:pPr>
        <w:ind w:left="300"/>
        <w:spacing w:after="0" w:line="230" w:lineRule="auto"/>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Item 1. Legal Proceedings</w:t>
        </w:r>
      </w:hyperlink>
    </w:p>
    <w:p>
      <w:pPr>
        <w:ind w:left="300"/>
        <w:spacing w:after="0" w:line="230" w:lineRule="auto"/>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Item 2. Changes in Securities and Use of Proceeds</w:t>
        </w:r>
      </w:hyperlink>
    </w:p>
    <w:p>
      <w:pPr>
        <w:ind w:left="300"/>
        <w:spacing w:after="0" w:line="231" w:lineRule="auto"/>
        <w:rPr>
          <w:rFonts w:ascii="Arial" w:cs="Arial" w:eastAsia="Arial" w:hAnsi="Arial"/>
          <w:sz w:val="19"/>
          <w:szCs w:val="19"/>
          <w:u w:val="single" w:color="auto"/>
          <w:color w:val="0000EE"/>
        </w:rPr>
      </w:pPr>
      <w:hyperlink w:anchor="page30">
        <w:r>
          <w:rPr>
            <w:rFonts w:ascii="Arial" w:cs="Arial" w:eastAsia="Arial" w:hAnsi="Arial"/>
            <w:sz w:val="19"/>
            <w:szCs w:val="19"/>
            <w:u w:val="single" w:color="auto"/>
            <w:color w:val="0000EE"/>
          </w:rPr>
          <w:t>Item 6. Exhibits and Reports on Form 8-K</w:t>
        </w:r>
      </w:hyperlink>
    </w:p>
    <w:p>
      <w:pPr>
        <w:spacing w:after="0" w:line="230" w:lineRule="auto"/>
        <w:rPr>
          <w:rFonts w:ascii="Arial" w:cs="Arial" w:eastAsia="Arial" w:hAnsi="Arial"/>
          <w:sz w:val="19"/>
          <w:szCs w:val="19"/>
          <w:u w:val="single" w:color="auto"/>
          <w:color w:val="0000EE"/>
        </w:rPr>
      </w:pPr>
      <w:hyperlink w:anchor="page33">
        <w:r>
          <w:rPr>
            <w:rFonts w:ascii="Arial" w:cs="Arial" w:eastAsia="Arial" w:hAnsi="Arial"/>
            <w:sz w:val="19"/>
            <w:szCs w:val="19"/>
            <w:u w:val="single" w:color="auto"/>
            <w:color w:val="0000EE"/>
          </w:rPr>
          <w:t>SIGNATURES</w:t>
        </w:r>
      </w:hyperlink>
    </w:p>
    <w:p>
      <w:pPr>
        <w:spacing w:after="0" w:line="230" w:lineRule="auto"/>
        <w:rPr>
          <w:sz w:val="20"/>
          <w:szCs w:val="20"/>
          <w:color w:val="auto"/>
        </w:rPr>
      </w:pPr>
      <w:r>
        <w:rPr>
          <w:rFonts w:ascii="Arial" w:cs="Arial" w:eastAsia="Arial" w:hAnsi="Arial"/>
          <w:sz w:val="19"/>
          <w:szCs w:val="19"/>
          <w:u w:val="single" w:color="auto"/>
          <w:color w:val="0000EE"/>
        </w:rPr>
        <w:t>EXHIBIT 10.37</w:t>
      </w:r>
    </w:p>
    <w:p>
      <w:pPr>
        <w:spacing w:after="0" w:line="231" w:lineRule="auto"/>
        <w:rPr>
          <w:sz w:val="20"/>
          <w:szCs w:val="20"/>
          <w:color w:val="auto"/>
        </w:rPr>
      </w:pPr>
      <w:r>
        <w:rPr>
          <w:rFonts w:ascii="Arial" w:cs="Arial" w:eastAsia="Arial" w:hAnsi="Arial"/>
          <w:sz w:val="19"/>
          <w:szCs w:val="19"/>
          <w:u w:val="single" w:color="auto"/>
          <w:color w:val="0000EE"/>
        </w:rPr>
        <w:t>EXHIBIT 10.38</w:t>
      </w:r>
    </w:p>
    <w:p>
      <w:pPr>
        <w:spacing w:after="0" w:line="230" w:lineRule="auto"/>
        <w:rPr>
          <w:sz w:val="20"/>
          <w:szCs w:val="20"/>
          <w:color w:val="auto"/>
        </w:rPr>
      </w:pPr>
      <w:r>
        <w:rPr>
          <w:rFonts w:ascii="Arial" w:cs="Arial" w:eastAsia="Arial" w:hAnsi="Arial"/>
          <w:sz w:val="19"/>
          <w:szCs w:val="19"/>
          <w:u w:val="single" w:color="auto"/>
          <w:color w:val="0000EE"/>
        </w:rPr>
        <w:t>EXHIBIT 10.39</w:t>
      </w:r>
    </w:p>
    <w:p>
      <w:pPr>
        <w:spacing w:after="0" w:line="231" w:lineRule="auto"/>
        <w:rPr>
          <w:sz w:val="20"/>
          <w:szCs w:val="20"/>
          <w:color w:val="auto"/>
        </w:rPr>
      </w:pPr>
      <w:r>
        <w:rPr>
          <w:rFonts w:ascii="Arial" w:cs="Arial" w:eastAsia="Arial" w:hAnsi="Arial"/>
          <w:sz w:val="19"/>
          <w:szCs w:val="19"/>
          <w:u w:val="single" w:color="auto"/>
          <w:color w:val="0000EE"/>
        </w:rPr>
        <w:t>EXHIBIT 10.40</w:t>
      </w:r>
    </w:p>
    <w:p>
      <w:pPr>
        <w:spacing w:after="0" w:line="230" w:lineRule="auto"/>
        <w:rPr>
          <w:sz w:val="20"/>
          <w:szCs w:val="20"/>
          <w:color w:val="auto"/>
        </w:rPr>
      </w:pPr>
      <w:r>
        <w:rPr>
          <w:rFonts w:ascii="Arial" w:cs="Arial" w:eastAsia="Arial" w:hAnsi="Arial"/>
          <w:sz w:val="19"/>
          <w:szCs w:val="19"/>
          <w:u w:val="single" w:color="auto"/>
          <w:color w:val="0000EE"/>
        </w:rPr>
        <w:t>EXHIBIT 10.41</w:t>
      </w:r>
    </w:p>
    <w:p>
      <w:pPr>
        <w:spacing w:after="0" w:line="230" w:lineRule="auto"/>
        <w:rPr>
          <w:sz w:val="20"/>
          <w:szCs w:val="20"/>
          <w:color w:val="auto"/>
        </w:rPr>
      </w:pPr>
      <w:r>
        <w:rPr>
          <w:rFonts w:ascii="Arial" w:cs="Arial" w:eastAsia="Arial" w:hAnsi="Arial"/>
          <w:sz w:val="19"/>
          <w:szCs w:val="19"/>
          <w:u w:val="single" w:color="auto"/>
          <w:color w:val="0000EE"/>
        </w:rPr>
        <w:t>EXHIBIT 10.42</w:t>
      </w:r>
    </w:p>
    <w:p>
      <w:pPr>
        <w:spacing w:after="0" w:line="231" w:lineRule="auto"/>
        <w:rPr>
          <w:sz w:val="20"/>
          <w:szCs w:val="20"/>
          <w:color w:val="auto"/>
        </w:rPr>
      </w:pPr>
      <w:r>
        <w:rPr>
          <w:rFonts w:ascii="Arial" w:cs="Arial" w:eastAsia="Arial" w:hAnsi="Arial"/>
          <w:sz w:val="19"/>
          <w:szCs w:val="19"/>
          <w:u w:val="single" w:color="auto"/>
          <w:color w:val="0000EE"/>
        </w:rPr>
        <w:t>EXHIBIT 10.43</w:t>
      </w:r>
    </w:p>
    <w:p>
      <w:pPr>
        <w:spacing w:after="0" w:line="230" w:lineRule="auto"/>
        <w:rPr>
          <w:sz w:val="20"/>
          <w:szCs w:val="20"/>
          <w:color w:val="auto"/>
        </w:rPr>
      </w:pPr>
      <w:r>
        <w:rPr>
          <w:rFonts w:ascii="Arial" w:cs="Arial" w:eastAsia="Arial" w:hAnsi="Arial"/>
          <w:sz w:val="19"/>
          <w:szCs w:val="19"/>
          <w:u w:val="single" w:color="auto"/>
          <w:color w:val="0000EE"/>
        </w:rPr>
        <w:t>EXHIBIT 10.44</w:t>
      </w:r>
    </w:p>
    <w:p>
      <w:pPr>
        <w:spacing w:after="0" w:line="230" w:lineRule="auto"/>
        <w:rPr>
          <w:sz w:val="20"/>
          <w:szCs w:val="20"/>
          <w:color w:val="auto"/>
        </w:rPr>
      </w:pPr>
      <w:r>
        <w:rPr>
          <w:rFonts w:ascii="Arial" w:cs="Arial" w:eastAsia="Arial" w:hAnsi="Arial"/>
          <w:sz w:val="19"/>
          <w:szCs w:val="19"/>
          <w:u w:val="single" w:color="auto"/>
          <w:color w:val="0000EE"/>
        </w:rPr>
        <w:t>EXHIBIT 10.45</w:t>
      </w:r>
    </w:p>
    <w:p>
      <w:pPr>
        <w:spacing w:after="0" w:line="231" w:lineRule="auto"/>
        <w:rPr>
          <w:sz w:val="20"/>
          <w:szCs w:val="20"/>
          <w:color w:val="auto"/>
        </w:rPr>
      </w:pPr>
      <w:r>
        <w:rPr>
          <w:rFonts w:ascii="Arial" w:cs="Arial" w:eastAsia="Arial" w:hAnsi="Arial"/>
          <w:sz w:val="19"/>
          <w:szCs w:val="19"/>
          <w:u w:val="single" w:color="auto"/>
          <w:color w:val="0000EE"/>
        </w:rPr>
        <w:t>EXHIBIT 12.1</w:t>
      </w:r>
    </w:p>
    <w:p>
      <w:pPr>
        <w:spacing w:after="0"/>
        <w:rPr>
          <w:sz w:val="20"/>
          <w:szCs w:val="20"/>
          <w:color w:val="auto"/>
        </w:rPr>
      </w:pPr>
      <w:r>
        <w:rPr>
          <w:rFonts w:ascii="Arial" w:cs="Arial" w:eastAsia="Arial" w:hAnsi="Arial"/>
          <w:sz w:val="19"/>
          <w:szCs w:val="19"/>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111760</wp:posOffset>
            </wp:positionV>
            <wp:extent cx="727075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639"/>
          </w:cols>
          <w:pgMar w:left="820" w:top="116"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BROCADE COMMUNICATIONS SYSTEMS,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10-Q</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QUARTER ENDED JULY 27, 2002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w w:val="97"/>
              </w:rPr>
              <w:t>Page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60" w:type="dxa"/>
            <w:vAlign w:val="bottom"/>
            <w:gridSpan w:val="2"/>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040" w:type="dxa"/>
            <w:vAlign w:val="bottom"/>
          </w:tcPr>
          <w:p>
            <w:pPr>
              <w:spacing w:after="0"/>
              <w:rPr>
                <w:sz w:val="7"/>
                <w:szCs w:val="7"/>
                <w:color w:val="auto"/>
              </w:rPr>
            </w:pPr>
          </w:p>
        </w:tc>
        <w:tc>
          <w:tcPr>
            <w:tcW w:w="10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106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PART I — FINANCIAL INFORMATION</w:t>
            </w:r>
          </w:p>
        </w:tc>
        <w:tc>
          <w:tcPr>
            <w:tcW w:w="3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Item 1.</w:t>
            </w:r>
          </w:p>
        </w:tc>
        <w:tc>
          <w:tcPr>
            <w:tcW w:w="10020" w:type="dxa"/>
            <w:vAlign w:val="bottom"/>
          </w:tcPr>
          <w:p>
            <w:pPr>
              <w:ind w:left="80"/>
              <w:spacing w:after="0"/>
              <w:rPr>
                <w:sz w:val="20"/>
                <w:szCs w:val="20"/>
                <w:color w:val="auto"/>
              </w:rPr>
            </w:pPr>
            <w:r>
              <w:rPr>
                <w:rFonts w:ascii="Arial" w:cs="Arial" w:eastAsia="Arial" w:hAnsi="Arial"/>
                <w:sz w:val="15"/>
                <w:szCs w:val="15"/>
                <w:color w:val="auto"/>
              </w:rPr>
              <w:t>Financial Statements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0020" w:type="dxa"/>
            <w:vAlign w:val="bottom"/>
            <w:shd w:val="clear" w:color="auto" w:fill="EEEEEE"/>
          </w:tcPr>
          <w:p>
            <w:pPr>
              <w:ind w:left="80"/>
              <w:spacing w:after="0"/>
              <w:rPr>
                <w:sz w:val="20"/>
                <w:szCs w:val="20"/>
                <w:color w:val="auto"/>
              </w:rPr>
            </w:pPr>
            <w:r>
              <w:rPr>
                <w:rFonts w:ascii="Arial" w:cs="Arial" w:eastAsia="Arial" w:hAnsi="Arial"/>
                <w:sz w:val="15"/>
                <w:szCs w:val="15"/>
                <w:color w:val="auto"/>
              </w:rPr>
              <w:t>Condensed Consolidated Statements of Operations for the Three and Nine Months Ended July 27, 2002 and July 28, 2001</w:t>
            </w:r>
          </w:p>
        </w:tc>
        <w:tc>
          <w:tcPr>
            <w:tcW w:w="360" w:type="dxa"/>
            <w:vAlign w:val="bottom"/>
            <w:shd w:val="clear" w:color="auto" w:fill="EEEEEE"/>
          </w:tcPr>
          <w:p>
            <w:pPr>
              <w:jc w:val="right"/>
              <w:ind w:right="26"/>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20" w:type="dxa"/>
            <w:vAlign w:val="bottom"/>
          </w:tcPr>
          <w:p>
            <w:pPr>
              <w:ind w:left="80"/>
              <w:spacing w:after="0"/>
              <w:rPr>
                <w:sz w:val="20"/>
                <w:szCs w:val="20"/>
                <w:color w:val="auto"/>
              </w:rPr>
            </w:pPr>
            <w:r>
              <w:rPr>
                <w:rFonts w:ascii="Arial" w:cs="Arial" w:eastAsia="Arial" w:hAnsi="Arial"/>
                <w:sz w:val="15"/>
                <w:szCs w:val="15"/>
                <w:color w:val="auto"/>
              </w:rPr>
              <w:t>Condensed Consolidated Balance Sheets as of July 27, 2002 and October 27, 2001</w:t>
            </w:r>
          </w:p>
        </w:tc>
        <w:tc>
          <w:tcPr>
            <w:tcW w:w="360" w:type="dxa"/>
            <w:vAlign w:val="bottom"/>
          </w:tcPr>
          <w:p>
            <w:pPr>
              <w:jc w:val="right"/>
              <w:ind w:right="26"/>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0020" w:type="dxa"/>
            <w:vAlign w:val="bottom"/>
            <w:shd w:val="clear" w:color="auto" w:fill="EEEEEE"/>
          </w:tcPr>
          <w:p>
            <w:pPr>
              <w:ind w:left="80"/>
              <w:spacing w:after="0"/>
              <w:rPr>
                <w:sz w:val="20"/>
                <w:szCs w:val="20"/>
                <w:color w:val="auto"/>
              </w:rPr>
            </w:pPr>
            <w:r>
              <w:rPr>
                <w:rFonts w:ascii="Arial" w:cs="Arial" w:eastAsia="Arial" w:hAnsi="Arial"/>
                <w:sz w:val="15"/>
                <w:szCs w:val="15"/>
                <w:color w:val="auto"/>
              </w:rPr>
              <w:t>Condensed Consolidated Statements of Cash Flows for the Nine Months Ended July 27, 2002 and July 28, 2001</w:t>
            </w:r>
          </w:p>
        </w:tc>
        <w:tc>
          <w:tcPr>
            <w:tcW w:w="360" w:type="dxa"/>
            <w:vAlign w:val="bottom"/>
            <w:shd w:val="clear" w:color="auto" w:fill="EEEEEE"/>
          </w:tcPr>
          <w:p>
            <w:pPr>
              <w:jc w:val="right"/>
              <w:ind w:right="26"/>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20" w:type="dxa"/>
            <w:vAlign w:val="bottom"/>
          </w:tcPr>
          <w:p>
            <w:pPr>
              <w:ind w:left="80"/>
              <w:spacing w:after="0"/>
              <w:rPr>
                <w:sz w:val="20"/>
                <w:szCs w:val="20"/>
                <w:color w:val="auto"/>
              </w:rPr>
            </w:pPr>
            <w:r>
              <w:rPr>
                <w:rFonts w:ascii="Arial" w:cs="Arial" w:eastAsia="Arial" w:hAnsi="Arial"/>
                <w:sz w:val="15"/>
                <w:szCs w:val="15"/>
                <w:color w:val="auto"/>
              </w:rPr>
              <w:t>Notes to Condensed Consolidated Financial Statements</w:t>
            </w:r>
          </w:p>
        </w:tc>
        <w:tc>
          <w:tcPr>
            <w:tcW w:w="360" w:type="dxa"/>
            <w:vAlign w:val="bottom"/>
          </w:tcPr>
          <w:p>
            <w:pPr>
              <w:jc w:val="right"/>
              <w:ind w:right="26"/>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shd w:val="clear" w:color="auto" w:fill="EEEEEE"/>
          </w:tcPr>
          <w:p>
            <w:pPr>
              <w:spacing w:after="0"/>
              <w:rPr>
                <w:sz w:val="20"/>
                <w:szCs w:val="20"/>
                <w:color w:val="auto"/>
              </w:rPr>
            </w:pPr>
            <w:r>
              <w:rPr>
                <w:rFonts w:ascii="Arial" w:cs="Arial" w:eastAsia="Arial" w:hAnsi="Arial"/>
                <w:sz w:val="15"/>
                <w:szCs w:val="15"/>
                <w:color w:val="auto"/>
              </w:rPr>
              <w:t>Item 2.</w:t>
            </w:r>
          </w:p>
        </w:tc>
        <w:tc>
          <w:tcPr>
            <w:tcW w:w="10020" w:type="dxa"/>
            <w:vAlign w:val="bottom"/>
            <w:shd w:val="clear" w:color="auto" w:fill="EEEEEE"/>
          </w:tcPr>
          <w:p>
            <w:pPr>
              <w:ind w:left="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360" w:type="dxa"/>
            <w:vAlign w:val="bottom"/>
            <w:shd w:val="clear" w:color="auto" w:fill="EEEEEE"/>
          </w:tcPr>
          <w:p>
            <w:pPr>
              <w:jc w:val="right"/>
              <w:ind w:right="26"/>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Item 3.</w:t>
            </w:r>
          </w:p>
        </w:tc>
        <w:tc>
          <w:tcPr>
            <w:tcW w:w="10020" w:type="dxa"/>
            <w:vAlign w:val="bottom"/>
          </w:tcPr>
          <w:p>
            <w:pPr>
              <w:ind w:left="80"/>
              <w:spacing w:after="0"/>
              <w:rPr>
                <w:sz w:val="20"/>
                <w:szCs w:val="20"/>
                <w:color w:val="auto"/>
              </w:rPr>
            </w:pPr>
            <w:r>
              <w:rPr>
                <w:rFonts w:ascii="Arial" w:cs="Arial" w:eastAsia="Arial" w:hAnsi="Arial"/>
                <w:sz w:val="15"/>
                <w:szCs w:val="15"/>
                <w:color w:val="auto"/>
              </w:rPr>
              <w:t>Quantitative and Qualitative Disclosures About Market Risk</w:t>
            </w:r>
          </w:p>
        </w:tc>
        <w:tc>
          <w:tcPr>
            <w:tcW w:w="360" w:type="dxa"/>
            <w:vAlign w:val="bottom"/>
          </w:tcPr>
          <w:p>
            <w:pPr>
              <w:jc w:val="right"/>
              <w:ind w:right="26"/>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6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PART II — OTHER INFORMATION</w:t>
            </w:r>
          </w:p>
        </w:tc>
        <w:tc>
          <w:tcPr>
            <w:tcW w:w="3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Item 1.</w:t>
            </w:r>
          </w:p>
        </w:tc>
        <w:tc>
          <w:tcPr>
            <w:tcW w:w="10020" w:type="dxa"/>
            <w:vAlign w:val="bottom"/>
          </w:tcPr>
          <w:p>
            <w:pPr>
              <w:ind w:left="80"/>
              <w:spacing w:after="0"/>
              <w:rPr>
                <w:sz w:val="20"/>
                <w:szCs w:val="20"/>
                <w:color w:val="auto"/>
              </w:rPr>
            </w:pPr>
            <w:r>
              <w:rPr>
                <w:rFonts w:ascii="Arial" w:cs="Arial" w:eastAsia="Arial" w:hAnsi="Arial"/>
                <w:sz w:val="15"/>
                <w:szCs w:val="15"/>
                <w:color w:val="auto"/>
              </w:rPr>
              <w:t>Legal Proceedings</w:t>
            </w:r>
          </w:p>
        </w:tc>
        <w:tc>
          <w:tcPr>
            <w:tcW w:w="360" w:type="dxa"/>
            <w:vAlign w:val="bottom"/>
          </w:tcPr>
          <w:p>
            <w:pPr>
              <w:jc w:val="right"/>
              <w:ind w:right="26"/>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shd w:val="clear" w:color="auto" w:fill="EEEEEE"/>
          </w:tcPr>
          <w:p>
            <w:pPr>
              <w:spacing w:after="0"/>
              <w:rPr>
                <w:sz w:val="20"/>
                <w:szCs w:val="20"/>
                <w:color w:val="auto"/>
              </w:rPr>
            </w:pPr>
            <w:r>
              <w:rPr>
                <w:rFonts w:ascii="Arial" w:cs="Arial" w:eastAsia="Arial" w:hAnsi="Arial"/>
                <w:sz w:val="15"/>
                <w:szCs w:val="15"/>
                <w:color w:val="auto"/>
              </w:rPr>
              <w:t>Item 2.</w:t>
            </w:r>
          </w:p>
        </w:tc>
        <w:tc>
          <w:tcPr>
            <w:tcW w:w="10020" w:type="dxa"/>
            <w:vAlign w:val="bottom"/>
            <w:shd w:val="clear" w:color="auto" w:fill="EEEEEE"/>
          </w:tcPr>
          <w:p>
            <w:pPr>
              <w:ind w:left="80"/>
              <w:spacing w:after="0"/>
              <w:rPr>
                <w:sz w:val="20"/>
                <w:szCs w:val="20"/>
                <w:color w:val="auto"/>
              </w:rPr>
            </w:pPr>
            <w:r>
              <w:rPr>
                <w:rFonts w:ascii="Arial" w:cs="Arial" w:eastAsia="Arial" w:hAnsi="Arial"/>
                <w:sz w:val="15"/>
                <w:szCs w:val="15"/>
                <w:color w:val="auto"/>
              </w:rPr>
              <w:t>Changes in Securities and Use of Proceeds</w:t>
            </w:r>
          </w:p>
        </w:tc>
        <w:tc>
          <w:tcPr>
            <w:tcW w:w="360" w:type="dxa"/>
            <w:vAlign w:val="bottom"/>
            <w:shd w:val="clear" w:color="auto" w:fill="EEEEEE"/>
          </w:tcPr>
          <w:p>
            <w:pPr>
              <w:jc w:val="right"/>
              <w:ind w:right="26"/>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5"/>
                <w:szCs w:val="15"/>
                <w:color w:val="auto"/>
              </w:rPr>
              <w:t>Item 6.</w:t>
            </w:r>
          </w:p>
        </w:tc>
        <w:tc>
          <w:tcPr>
            <w:tcW w:w="10020" w:type="dxa"/>
            <w:vAlign w:val="bottom"/>
          </w:tcPr>
          <w:p>
            <w:pPr>
              <w:ind w:left="80"/>
              <w:spacing w:after="0"/>
              <w:rPr>
                <w:sz w:val="20"/>
                <w:szCs w:val="20"/>
                <w:color w:val="auto"/>
              </w:rPr>
            </w:pPr>
            <w:r>
              <w:rPr>
                <w:rFonts w:ascii="Arial" w:cs="Arial" w:eastAsia="Arial" w:hAnsi="Arial"/>
                <w:sz w:val="15"/>
                <w:szCs w:val="15"/>
                <w:color w:val="auto"/>
              </w:rPr>
              <w:t>Exhibits and Reports on Form 8-K</w:t>
            </w:r>
          </w:p>
        </w:tc>
        <w:tc>
          <w:tcPr>
            <w:tcW w:w="360" w:type="dxa"/>
            <w:vAlign w:val="bottom"/>
          </w:tcPr>
          <w:p>
            <w:pPr>
              <w:jc w:val="right"/>
              <w:ind w:right="26"/>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SIGNATURES</w:t>
            </w:r>
          </w:p>
        </w:tc>
        <w:tc>
          <w:tcPr>
            <w:tcW w:w="10020" w:type="dxa"/>
            <w:vAlign w:val="bottom"/>
            <w:shd w:val="clear" w:color="auto" w:fill="EEEEEE"/>
          </w:tcPr>
          <w:p>
            <w:pPr>
              <w:spacing w:after="0"/>
              <w:rPr>
                <w:sz w:val="16"/>
                <w:szCs w:val="16"/>
                <w:color w:val="auto"/>
              </w:rPr>
            </w:pPr>
          </w:p>
        </w:tc>
        <w:tc>
          <w:tcPr>
            <w:tcW w:w="360" w:type="dxa"/>
            <w:vAlign w:val="bottom"/>
            <w:shd w:val="clear" w:color="auto" w:fill="EEEEEE"/>
          </w:tcPr>
          <w:p>
            <w:pPr>
              <w:jc w:val="right"/>
              <w:ind w:right="26"/>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20" w:type="dxa"/>
            <w:vAlign w:val="bottom"/>
          </w:tcPr>
          <w:p>
            <w:pPr>
              <w:ind w:left="4560"/>
              <w:spacing w:after="0"/>
              <w:rPr>
                <w:sz w:val="20"/>
                <w:szCs w:val="20"/>
                <w:color w:val="auto"/>
              </w:rPr>
            </w:pPr>
            <w:r>
              <w:rPr>
                <w:rFonts w:ascii="Arial" w:cs="Arial" w:eastAsia="Arial" w:hAnsi="Arial"/>
                <w:sz w:val="15"/>
                <w:szCs w:val="15"/>
                <w:color w:val="auto"/>
              </w:rPr>
              <w:t>-2-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100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BROCADE COMMUNICATIONS SYSTEMS,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342"/>
              <w:spacing w:after="0"/>
              <w:rPr>
                <w:sz w:val="20"/>
                <w:szCs w:val="20"/>
                <w:color w:val="auto"/>
              </w:rPr>
            </w:pPr>
            <w:r>
              <w:rPr>
                <w:rFonts w:ascii="Arial" w:cs="Arial" w:eastAsia="Arial" w:hAnsi="Arial"/>
                <w:sz w:val="12"/>
                <w:szCs w:val="12"/>
                <w:b w:val="1"/>
                <w:bCs w:val="1"/>
                <w:color w:val="auto"/>
              </w:rPr>
              <w:t>July 27,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July 28,</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3"/>
          </w:tcPr>
          <w:p>
            <w:pPr>
              <w:jc w:val="right"/>
              <w:ind w:right="342"/>
              <w:spacing w:after="0"/>
              <w:rPr>
                <w:sz w:val="20"/>
                <w:szCs w:val="20"/>
                <w:color w:val="auto"/>
              </w:rPr>
            </w:pPr>
            <w:r>
              <w:rPr>
                <w:rFonts w:ascii="Arial" w:cs="Arial" w:eastAsia="Arial" w:hAnsi="Arial"/>
                <w:sz w:val="12"/>
                <w:szCs w:val="12"/>
                <w:b w:val="1"/>
                <w:bCs w:val="1"/>
                <w:color w:val="auto"/>
              </w:rPr>
              <w:t>July 27,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July 28,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2"/>
                <w:szCs w:val="12"/>
                <w:b w:val="1"/>
                <w:bCs w:val="1"/>
                <w:color w:val="auto"/>
              </w:rPr>
              <w:t>2002</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jc w:val="right"/>
              <w:ind w:right="26"/>
              <w:spacing w:after="0"/>
              <w:rPr>
                <w:sz w:val="20"/>
                <w:szCs w:val="20"/>
                <w:color w:val="auto"/>
              </w:rPr>
            </w:pPr>
            <w:r>
              <w:rPr>
                <w:rFonts w:ascii="Arial" w:cs="Arial" w:eastAsia="Arial" w:hAnsi="Arial"/>
                <w:sz w:val="12"/>
                <w:szCs w:val="12"/>
                <w:b w:val="1"/>
                <w:bCs w:val="1"/>
                <w:color w:val="auto"/>
              </w:rPr>
              <w:t>2001</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2"/>
                <w:szCs w:val="12"/>
                <w:b w:val="1"/>
                <w:bCs w:val="1"/>
                <w:color w:val="auto"/>
              </w:rPr>
              <w:t>2002</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2"/>
                <w:szCs w:val="12"/>
                <w:b w:val="1"/>
                <w:bCs w:val="1"/>
                <w:color w:val="auto"/>
              </w:rPr>
              <w:t>2001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5"/>
                <w:szCs w:val="15"/>
                <w:color w:val="auto"/>
              </w:rPr>
              <w:t>Net revenues</w:t>
            </w:r>
          </w:p>
        </w:tc>
        <w:tc>
          <w:tcPr>
            <w:tcW w:w="3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151,234</w:t>
            </w:r>
          </w:p>
        </w:tc>
        <w:tc>
          <w:tcPr>
            <w:tcW w:w="40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116,279</w:t>
            </w:r>
          </w:p>
        </w:tc>
        <w:tc>
          <w:tcPr>
            <w:tcW w:w="400" w:type="dxa"/>
            <w:vAlign w:val="bottom"/>
            <w:shd w:val="clear" w:color="auto" w:fill="EEEEEE"/>
          </w:tcPr>
          <w:p>
            <w:pPr>
              <w:spacing w:after="0"/>
              <w:rPr>
                <w:sz w:val="16"/>
                <w:szCs w:val="16"/>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409,262</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396,509</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rPr>
                <w:sz w:val="20"/>
                <w:szCs w:val="20"/>
                <w:color w:val="auto"/>
              </w:rPr>
            </w:pPr>
            <w:r>
              <w:rPr>
                <w:rFonts w:ascii="Arial" w:cs="Arial" w:eastAsia="Arial" w:hAnsi="Arial"/>
                <w:sz w:val="15"/>
                <w:szCs w:val="15"/>
                <w:color w:val="auto"/>
              </w:rPr>
              <w:t>Cost of revenues</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60,299</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46,484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162,950</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158,611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40" w:type="dxa"/>
            <w:vAlign w:val="bottom"/>
            <w:shd w:val="clear" w:color="auto" w:fill="EEEEEE"/>
          </w:tcPr>
          <w:p>
            <w:pPr>
              <w:ind w:left="540"/>
              <w:spacing w:after="0"/>
              <w:rPr>
                <w:sz w:val="20"/>
                <w:szCs w:val="20"/>
                <w:color w:val="auto"/>
              </w:rPr>
            </w:pPr>
            <w:r>
              <w:rPr>
                <w:rFonts w:ascii="Arial" w:cs="Arial" w:eastAsia="Arial" w:hAnsi="Arial"/>
                <w:sz w:val="15"/>
                <w:szCs w:val="15"/>
                <w:color w:val="auto"/>
              </w:rPr>
              <w:t>Gross margin</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90,935</w:t>
            </w:r>
          </w:p>
        </w:tc>
        <w:tc>
          <w:tcPr>
            <w:tcW w:w="4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69,795</w:t>
            </w: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246,312</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237,898</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5760" w:type="dxa"/>
            <w:vAlign w:val="bottom"/>
            <w:gridSpan w:val="2"/>
            <w:vMerge w:val="restart"/>
          </w:tcPr>
          <w:p>
            <w:pPr>
              <w:spacing w:after="0"/>
              <w:rPr>
                <w:sz w:val="20"/>
                <w:szCs w:val="20"/>
                <w:color w:val="auto"/>
              </w:rPr>
            </w:pPr>
            <w:r>
              <w:rPr>
                <w:rFonts w:ascii="Arial" w:cs="Arial" w:eastAsia="Arial" w:hAnsi="Arial"/>
                <w:sz w:val="15"/>
                <w:szCs w:val="15"/>
                <w:color w:val="auto"/>
              </w:rPr>
              <w:t>Operating expenses:</w:t>
            </w: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760" w:type="dxa"/>
            <w:vAlign w:val="bottom"/>
            <w:gridSpan w:val="2"/>
            <w:vMerge w:val="continue"/>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Research and development</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33,209</w:t>
            </w:r>
          </w:p>
        </w:tc>
        <w:tc>
          <w:tcPr>
            <w:tcW w:w="4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27,419</w:t>
            </w: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95,523</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81,952</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40" w:type="dxa"/>
            <w:vAlign w:val="bottom"/>
          </w:tcPr>
          <w:p>
            <w:pPr>
              <w:ind w:left="260"/>
              <w:spacing w:after="0"/>
              <w:rPr>
                <w:sz w:val="20"/>
                <w:szCs w:val="20"/>
                <w:color w:val="auto"/>
              </w:rPr>
            </w:pPr>
            <w:r>
              <w:rPr>
                <w:rFonts w:ascii="Arial" w:cs="Arial" w:eastAsia="Arial" w:hAnsi="Arial"/>
                <w:sz w:val="15"/>
                <w:szCs w:val="15"/>
                <w:color w:val="auto"/>
              </w:rPr>
              <w:t>Sales and marketing</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30,338</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22,599</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82,722</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69,632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General and administrative</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4,756</w:t>
            </w:r>
          </w:p>
        </w:tc>
        <w:tc>
          <w:tcPr>
            <w:tcW w:w="4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4,387</w:t>
            </w: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14,139</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13,373</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Pr>
          <w:p>
            <w:pPr>
              <w:ind w:left="260"/>
              <w:spacing w:after="0"/>
              <w:rPr>
                <w:sz w:val="20"/>
                <w:szCs w:val="20"/>
                <w:color w:val="auto"/>
              </w:rPr>
            </w:pPr>
            <w:r>
              <w:rPr>
                <w:rFonts w:ascii="Arial" w:cs="Arial" w:eastAsia="Arial" w:hAnsi="Arial"/>
                <w:sz w:val="15"/>
                <w:szCs w:val="15"/>
                <w:color w:val="auto"/>
              </w:rPr>
              <w:t>Amortization of deferred stock compensation</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243</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280</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727</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840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40" w:type="dxa"/>
            <w:vAlign w:val="bottom"/>
            <w:shd w:val="clear" w:color="auto" w:fill="EEEEEE"/>
          </w:tcPr>
          <w:p>
            <w:pPr>
              <w:ind w:left="540"/>
              <w:spacing w:after="0"/>
              <w:rPr>
                <w:sz w:val="20"/>
                <w:szCs w:val="20"/>
                <w:color w:val="auto"/>
              </w:rPr>
            </w:pPr>
            <w:r>
              <w:rPr>
                <w:rFonts w:ascii="Arial" w:cs="Arial" w:eastAsia="Arial" w:hAnsi="Arial"/>
                <w:sz w:val="15"/>
                <w:szCs w:val="15"/>
                <w:color w:val="auto"/>
              </w:rPr>
              <w:t>Total operating expenses</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68,546</w:t>
            </w:r>
          </w:p>
        </w:tc>
        <w:tc>
          <w:tcPr>
            <w:tcW w:w="4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54,685</w:t>
            </w: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8"/>
              </w:rPr>
              <w:t>193,111</w:t>
            </w:r>
          </w:p>
        </w:tc>
        <w:tc>
          <w:tcPr>
            <w:tcW w:w="3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165,797</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57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5760" w:type="dxa"/>
            <w:vAlign w:val="bottom"/>
            <w:gridSpan w:val="2"/>
          </w:tcPr>
          <w:p>
            <w:pPr>
              <w:spacing w:after="0"/>
              <w:rPr>
                <w:sz w:val="20"/>
                <w:szCs w:val="20"/>
                <w:color w:val="auto"/>
              </w:rPr>
            </w:pPr>
            <w:r>
              <w:rPr>
                <w:rFonts w:ascii="Arial" w:cs="Arial" w:eastAsia="Arial" w:hAnsi="Arial"/>
                <w:sz w:val="15"/>
                <w:szCs w:val="15"/>
                <w:color w:val="auto"/>
              </w:rPr>
              <w:t>Income from operations</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22,389</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15,110</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53,201</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72,101</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5"/>
                <w:szCs w:val="15"/>
                <w:color w:val="auto"/>
              </w:rPr>
              <w:t>Interest and other income, net</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6,827</w:t>
            </w:r>
          </w:p>
        </w:tc>
        <w:tc>
          <w:tcPr>
            <w:tcW w:w="4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2,098</w:t>
            </w: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16,823</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8,654</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rPr>
                <w:sz w:val="20"/>
                <w:szCs w:val="20"/>
                <w:color w:val="auto"/>
              </w:rPr>
            </w:pPr>
            <w:r>
              <w:rPr>
                <w:rFonts w:ascii="Arial" w:cs="Arial" w:eastAsia="Arial" w:hAnsi="Arial"/>
                <w:sz w:val="15"/>
                <w:szCs w:val="15"/>
                <w:color w:val="auto"/>
              </w:rPr>
              <w:t>Interest expense</w:t>
            </w:r>
          </w:p>
        </w:tc>
        <w:tc>
          <w:tcPr>
            <w:tcW w:w="300" w:type="dxa"/>
            <w:vAlign w:val="bottom"/>
          </w:tcPr>
          <w:p>
            <w:pPr>
              <w:spacing w:after="0"/>
              <w:rPr>
                <w:sz w:val="16"/>
                <w:szCs w:val="16"/>
                <w:color w:val="auto"/>
              </w:rPr>
            </w:pPr>
          </w:p>
        </w:tc>
        <w:tc>
          <w:tcPr>
            <w:tcW w:w="900" w:type="dxa"/>
            <w:vAlign w:val="bottom"/>
            <w:gridSpan w:val="2"/>
          </w:tcPr>
          <w:p>
            <w:pPr>
              <w:jc w:val="right"/>
              <w:ind w:right="282"/>
              <w:spacing w:after="0"/>
              <w:rPr>
                <w:sz w:val="20"/>
                <w:szCs w:val="20"/>
                <w:color w:val="auto"/>
              </w:rPr>
            </w:pPr>
            <w:r>
              <w:rPr>
                <w:rFonts w:ascii="Arial" w:cs="Arial" w:eastAsia="Arial" w:hAnsi="Arial"/>
                <w:sz w:val="15"/>
                <w:szCs w:val="15"/>
                <w:color w:val="auto"/>
              </w:rPr>
              <w:t>(3,387)</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3"/>
          </w:tcPr>
          <w:p>
            <w:pPr>
              <w:jc w:val="right"/>
              <w:ind w:right="282"/>
              <w:spacing w:after="0"/>
              <w:rPr>
                <w:sz w:val="20"/>
                <w:szCs w:val="20"/>
                <w:color w:val="auto"/>
              </w:rPr>
            </w:pPr>
            <w:r>
              <w:rPr>
                <w:rFonts w:ascii="Arial" w:cs="Arial" w:eastAsia="Arial" w:hAnsi="Arial"/>
                <w:sz w:val="15"/>
                <w:szCs w:val="15"/>
                <w:color w:val="auto"/>
              </w:rPr>
              <w:t>(8,057)</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5"/>
                <w:szCs w:val="15"/>
                <w:color w:val="auto"/>
              </w:rPr>
              <w:t>Income before provision for income taxes</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25,829</w:t>
            </w:r>
          </w:p>
        </w:tc>
        <w:tc>
          <w:tcPr>
            <w:tcW w:w="4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17,208</w:t>
            </w: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61,967</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80,755</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7,481</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5,163</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17,970</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24,227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18,348</w:t>
            </w:r>
          </w:p>
        </w:tc>
        <w:tc>
          <w:tcPr>
            <w:tcW w:w="40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12,045</w:t>
            </w:r>
          </w:p>
        </w:tc>
        <w:tc>
          <w:tcPr>
            <w:tcW w:w="400" w:type="dxa"/>
            <w:vAlign w:val="bottom"/>
            <w:shd w:val="clear" w:color="auto" w:fill="EEEEEE"/>
          </w:tcPr>
          <w:p>
            <w:pPr>
              <w:spacing w:after="0"/>
              <w:rPr>
                <w:sz w:val="16"/>
                <w:szCs w:val="16"/>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43,997</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56,528</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76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5760" w:type="dxa"/>
            <w:vAlign w:val="bottom"/>
            <w:gridSpan w:val="2"/>
          </w:tcPr>
          <w:p>
            <w:pPr>
              <w:spacing w:after="0"/>
              <w:rPr>
                <w:sz w:val="20"/>
                <w:szCs w:val="20"/>
                <w:color w:val="auto"/>
              </w:rPr>
            </w:pPr>
            <w:r>
              <w:rPr>
                <w:rFonts w:ascii="Arial" w:cs="Arial" w:eastAsia="Arial" w:hAnsi="Arial"/>
                <w:sz w:val="15"/>
                <w:szCs w:val="15"/>
                <w:color w:val="auto"/>
              </w:rPr>
              <w:t>Net income per share — Basic</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0.08</w:t>
            </w:r>
          </w:p>
        </w:tc>
        <w:tc>
          <w:tcPr>
            <w:tcW w:w="40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0.05</w:t>
            </w:r>
          </w:p>
        </w:tc>
        <w:tc>
          <w:tcPr>
            <w:tcW w:w="4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0.19</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0.26</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5"/>
                <w:szCs w:val="15"/>
                <w:color w:val="auto"/>
              </w:rPr>
              <w:t>Net income per share — Diluted</w:t>
            </w:r>
          </w:p>
        </w:tc>
        <w:tc>
          <w:tcPr>
            <w:tcW w:w="3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0.08</w:t>
            </w:r>
          </w:p>
        </w:tc>
        <w:tc>
          <w:tcPr>
            <w:tcW w:w="40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0.05</w:t>
            </w:r>
          </w:p>
        </w:tc>
        <w:tc>
          <w:tcPr>
            <w:tcW w:w="400" w:type="dxa"/>
            <w:vAlign w:val="bottom"/>
            <w:shd w:val="clear" w:color="auto" w:fill="EEEEEE"/>
          </w:tcPr>
          <w:p>
            <w:pPr>
              <w:spacing w:after="0"/>
              <w:rPr>
                <w:sz w:val="16"/>
                <w:szCs w:val="16"/>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0.18</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0.23</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76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5760" w:type="dxa"/>
            <w:vAlign w:val="bottom"/>
            <w:gridSpan w:val="2"/>
          </w:tcPr>
          <w:p>
            <w:pPr>
              <w:spacing w:after="0"/>
              <w:rPr>
                <w:sz w:val="20"/>
                <w:szCs w:val="20"/>
                <w:color w:val="auto"/>
              </w:rPr>
            </w:pPr>
            <w:r>
              <w:rPr>
                <w:rFonts w:ascii="Arial" w:cs="Arial" w:eastAsia="Arial" w:hAnsi="Arial"/>
                <w:sz w:val="15"/>
                <w:szCs w:val="15"/>
                <w:color w:val="auto"/>
              </w:rPr>
              <w:t>Shares used in per share calculation — Basic</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233,017</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222,863</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230,819</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219,619</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5"/>
                <w:szCs w:val="15"/>
                <w:color w:val="auto"/>
              </w:rPr>
              <w:t>Shares used in per share calculation — Diluted</w:t>
            </w: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240,106</w:t>
            </w:r>
          </w:p>
        </w:tc>
        <w:tc>
          <w:tcPr>
            <w:tcW w:w="4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246,219</w:t>
            </w: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244,672</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244,272</w:t>
            </w:r>
          </w:p>
        </w:tc>
        <w:tc>
          <w:tcPr>
            <w:tcW w:w="4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-1099820</wp:posOffset>
            </wp:positionV>
            <wp:extent cx="12700"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-1099820</wp:posOffset>
            </wp:positionV>
            <wp:extent cx="1270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-1099820</wp:posOffset>
            </wp:positionV>
            <wp:extent cx="1270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-1099820</wp:posOffset>
            </wp:positionV>
            <wp:extent cx="1270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-1099820</wp:posOffset>
            </wp:positionV>
            <wp:extent cx="1270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-1099820</wp:posOffset>
            </wp:positionV>
            <wp:extent cx="1270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6999605</wp:posOffset>
            </wp:positionH>
            <wp:positionV relativeFrom="paragraph">
              <wp:posOffset>-1099820</wp:posOffset>
            </wp:positionV>
            <wp:extent cx="1270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-1099820</wp:posOffset>
            </wp:positionV>
            <wp:extent cx="1270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-833120</wp:posOffset>
            </wp:positionV>
            <wp:extent cx="1270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-833120</wp:posOffset>
            </wp:positionV>
            <wp:extent cx="1270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-833120</wp:posOffset>
            </wp:positionV>
            <wp:extent cx="1270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-833120</wp:posOffset>
            </wp:positionV>
            <wp:extent cx="1270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-833120</wp:posOffset>
            </wp:positionV>
            <wp:extent cx="1270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-833120</wp:posOffset>
            </wp:positionV>
            <wp:extent cx="1270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6999605</wp:posOffset>
            </wp:positionH>
            <wp:positionV relativeFrom="paragraph">
              <wp:posOffset>-833120</wp:posOffset>
            </wp:positionV>
            <wp:extent cx="1270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-833120</wp:posOffset>
            </wp:positionV>
            <wp:extent cx="1270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-567055</wp:posOffset>
            </wp:positionV>
            <wp:extent cx="1270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-567055</wp:posOffset>
            </wp:positionV>
            <wp:extent cx="1270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-567055</wp:posOffset>
            </wp:positionV>
            <wp:extent cx="1270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-567055</wp:posOffset>
            </wp:positionV>
            <wp:extent cx="1270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-567055</wp:posOffset>
            </wp:positionV>
            <wp:extent cx="1270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-567055</wp:posOffset>
            </wp:positionV>
            <wp:extent cx="1270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6999605</wp:posOffset>
            </wp:positionH>
            <wp:positionV relativeFrom="paragraph">
              <wp:posOffset>-567055</wp:posOffset>
            </wp:positionV>
            <wp:extent cx="1270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-567055</wp:posOffset>
            </wp:positionV>
            <wp:extent cx="1270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-300355</wp:posOffset>
            </wp:positionV>
            <wp:extent cx="1270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-300355</wp:posOffset>
            </wp:positionV>
            <wp:extent cx="1270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-300355</wp:posOffset>
            </wp:positionV>
            <wp:extent cx="1270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-300355</wp:posOffset>
            </wp:positionV>
            <wp:extent cx="1270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-300355</wp:posOffset>
            </wp:positionV>
            <wp:extent cx="1270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-300355</wp:posOffset>
            </wp:positionV>
            <wp:extent cx="1270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6999605</wp:posOffset>
            </wp:positionH>
            <wp:positionV relativeFrom="paragraph">
              <wp:posOffset>-300355</wp:posOffset>
            </wp:positionV>
            <wp:extent cx="12700"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-300355</wp:posOffset>
            </wp:positionV>
            <wp:extent cx="1270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-34290</wp:posOffset>
            </wp:positionV>
            <wp:extent cx="1270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-34290</wp:posOffset>
            </wp:positionV>
            <wp:extent cx="1270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-34290</wp:posOffset>
            </wp:positionV>
            <wp:extent cx="1270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-34290</wp:posOffset>
            </wp:positionV>
            <wp:extent cx="1270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-34290</wp:posOffset>
            </wp:positionV>
            <wp:extent cx="12700"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-34290</wp:posOffset>
            </wp:positionV>
            <wp:extent cx="1270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6999605</wp:posOffset>
            </wp:positionH>
            <wp:positionV relativeFrom="paragraph">
              <wp:posOffset>-34290</wp:posOffset>
            </wp:positionV>
            <wp:extent cx="12700"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6688455</wp:posOffset>
            </wp:positionH>
            <wp:positionV relativeFrom="paragraph">
              <wp:posOffset>-34290</wp:posOffset>
            </wp:positionV>
            <wp:extent cx="1270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BROCADE COMMUNICATIONS SYSTEMS,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par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3"/>
          </w:tcPr>
          <w:p>
            <w:pPr>
              <w:jc w:val="center"/>
              <w:ind w:right="540"/>
              <w:spacing w:after="0"/>
              <w:rPr>
                <w:sz w:val="20"/>
                <w:szCs w:val="20"/>
                <w:color w:val="auto"/>
              </w:rPr>
            </w:pPr>
            <w:r>
              <w:rPr>
                <w:rFonts w:ascii="Arial" w:cs="Arial" w:eastAsia="Arial" w:hAnsi="Arial"/>
                <w:sz w:val="12"/>
                <w:szCs w:val="12"/>
                <w:b w:val="1"/>
                <w:bCs w:val="1"/>
                <w:color w:val="auto"/>
                <w:w w:val="90"/>
              </w:rPr>
              <w:t>July 27,</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7"/>
              </w:rPr>
              <w:t>October 27,</w:t>
            </w:r>
          </w:p>
        </w:tc>
        <w:tc>
          <w:tcPr>
            <w:tcW w:w="0" w:type="dxa"/>
            <w:vAlign w:val="bottom"/>
          </w:tcPr>
          <w:p>
            <w:pPr>
              <w:spacing w:after="0"/>
              <w:rPr>
                <w:sz w:val="1"/>
                <w:szCs w:val="1"/>
                <w:color w:val="auto"/>
              </w:rPr>
            </w:pPr>
          </w:p>
        </w:tc>
      </w:tr>
      <w:tr>
        <w:trPr>
          <w:trHeight w:val="150"/>
        </w:trPr>
        <w:tc>
          <w:tcPr>
            <w:tcW w:w="8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jc w:val="right"/>
              <w:ind w:right="5"/>
              <w:spacing w:after="0"/>
              <w:rPr>
                <w:sz w:val="20"/>
                <w:szCs w:val="20"/>
                <w:color w:val="auto"/>
              </w:rPr>
            </w:pPr>
            <w:r>
              <w:rPr>
                <w:rFonts w:ascii="Arial" w:cs="Arial" w:eastAsia="Arial" w:hAnsi="Arial"/>
                <w:sz w:val="12"/>
                <w:szCs w:val="12"/>
                <w:b w:val="1"/>
                <w:bCs w:val="1"/>
                <w:color w:val="auto"/>
              </w:rPr>
              <w:t>2001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818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3"/>
          </w:tcPr>
          <w:p>
            <w:pPr>
              <w:jc w:val="center"/>
              <w:ind w:right="520"/>
              <w:spacing w:after="0"/>
              <w:rPr>
                <w:sz w:val="20"/>
                <w:szCs w:val="20"/>
                <w:color w:val="auto"/>
              </w:rPr>
            </w:pPr>
            <w:r>
              <w:rPr>
                <w:rFonts w:ascii="Arial" w:cs="Arial" w:eastAsia="Arial" w:hAnsi="Arial"/>
                <w:sz w:val="12"/>
                <w:szCs w:val="12"/>
                <w:color w:val="auto"/>
                <w:w w:val="88"/>
              </w:rPr>
              <w:t>(unaudited)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Assets</w:t>
            </w:r>
          </w:p>
        </w:tc>
        <w:tc>
          <w:tcPr>
            <w:tcW w:w="540" w:type="dxa"/>
            <w:vAlign w:val="bottom"/>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20"/>
                <w:szCs w:val="20"/>
                <w:color w:val="auto"/>
              </w:rPr>
            </w:pPr>
            <w:r>
              <w:rPr>
                <w:rFonts w:ascii="Arial" w:cs="Arial" w:eastAsia="Arial" w:hAnsi="Arial"/>
                <w:sz w:val="15"/>
                <w:szCs w:val="15"/>
                <w:color w:val="auto"/>
              </w:rPr>
              <w:t>Current assets:</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Cash and cash equivalents</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195,784</w:t>
            </w:r>
          </w:p>
        </w:tc>
        <w:tc>
          <w:tcPr>
            <w:tcW w:w="520" w:type="dxa"/>
            <w:vAlign w:val="bottom"/>
            <w:shd w:val="clear" w:color="auto" w:fill="EEEEEE"/>
          </w:tcPr>
          <w:p>
            <w:pPr>
              <w:spacing w:after="0"/>
              <w:rPr>
                <w:sz w:val="16"/>
                <w:szCs w:val="16"/>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150,118</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Pr>
          <w:p>
            <w:pPr>
              <w:ind w:left="300"/>
              <w:spacing w:after="0"/>
              <w:rPr>
                <w:sz w:val="20"/>
                <w:szCs w:val="20"/>
                <w:color w:val="auto"/>
              </w:rPr>
            </w:pPr>
            <w:r>
              <w:rPr>
                <w:rFonts w:ascii="Arial" w:cs="Arial" w:eastAsia="Arial" w:hAnsi="Arial"/>
                <w:sz w:val="15"/>
                <w:szCs w:val="15"/>
                <w:color w:val="auto"/>
              </w:rPr>
              <w:t>Short-term investments</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76,723</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105,030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920"/>
              <w:spacing w:after="0"/>
              <w:rPr>
                <w:sz w:val="20"/>
                <w:szCs w:val="20"/>
                <w:color w:val="auto"/>
              </w:rPr>
            </w:pPr>
            <w:r>
              <w:rPr>
                <w:rFonts w:ascii="Arial" w:cs="Arial" w:eastAsia="Arial" w:hAnsi="Arial"/>
                <w:sz w:val="15"/>
                <w:szCs w:val="15"/>
                <w:color w:val="auto"/>
              </w:rPr>
              <w:t>Total cash, cash equivalents and short-term investments</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272,507</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255,148</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300"/>
              <w:spacing w:after="0"/>
              <w:rPr>
                <w:sz w:val="20"/>
                <w:szCs w:val="20"/>
                <w:color w:val="auto"/>
              </w:rPr>
            </w:pPr>
            <w:r>
              <w:rPr>
                <w:rFonts w:ascii="Arial" w:cs="Arial" w:eastAsia="Arial" w:hAnsi="Arial"/>
                <w:sz w:val="15"/>
                <w:szCs w:val="15"/>
                <w:color w:val="auto"/>
              </w:rPr>
              <w:t>Marketable equity securities</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193</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332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Accounts receivable, net of allowances of $3,563 and $3,025, respectively</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87,857</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68,900</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300"/>
              <w:spacing w:after="0"/>
              <w:rPr>
                <w:sz w:val="20"/>
                <w:szCs w:val="20"/>
                <w:color w:val="auto"/>
              </w:rPr>
            </w:pPr>
            <w:r>
              <w:rPr>
                <w:rFonts w:ascii="Arial" w:cs="Arial" w:eastAsia="Arial" w:hAnsi="Arial"/>
                <w:sz w:val="15"/>
                <w:szCs w:val="15"/>
                <w:color w:val="auto"/>
              </w:rPr>
              <w:t>Inventories, net</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7,064</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10,307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Deferred tax assets, net</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29,386</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28,025</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Pr>
          <w:p>
            <w:pPr>
              <w:ind w:left="300"/>
              <w:spacing w:after="0"/>
              <w:rPr>
                <w:sz w:val="20"/>
                <w:szCs w:val="20"/>
                <w:color w:val="auto"/>
              </w:rPr>
            </w:pPr>
            <w:r>
              <w:rPr>
                <w:rFonts w:ascii="Arial" w:cs="Arial" w:eastAsia="Arial" w:hAnsi="Arial"/>
                <w:sz w:val="15"/>
                <w:szCs w:val="15"/>
                <w:color w:val="auto"/>
              </w:rPr>
              <w:t>Prepaid expenses and other current assets</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15,910</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10,022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920"/>
              <w:spacing w:after="0"/>
              <w:rPr>
                <w:sz w:val="20"/>
                <w:szCs w:val="20"/>
                <w:color w:val="auto"/>
              </w:rPr>
            </w:pPr>
            <w:r>
              <w:rPr>
                <w:rFonts w:ascii="Arial" w:cs="Arial" w:eastAsia="Arial" w:hAnsi="Arial"/>
                <w:sz w:val="15"/>
                <w:szCs w:val="15"/>
                <w:color w:val="auto"/>
              </w:rPr>
              <w:t>Total current assets</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412,917</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372,734</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20"/>
                <w:szCs w:val="20"/>
                <w:color w:val="auto"/>
              </w:rPr>
            </w:pPr>
            <w:r>
              <w:rPr>
                <w:rFonts w:ascii="Arial" w:cs="Arial" w:eastAsia="Arial" w:hAnsi="Arial"/>
                <w:sz w:val="15"/>
                <w:szCs w:val="15"/>
                <w:color w:val="auto"/>
              </w:rPr>
              <w:t>Long-term investments</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609,802</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spacing w:after="0"/>
              <w:rPr>
                <w:sz w:val="20"/>
                <w:szCs w:val="20"/>
                <w:color w:val="auto"/>
              </w:rPr>
            </w:pPr>
            <w:r>
              <w:rPr>
                <w:rFonts w:ascii="Arial" w:cs="Arial" w:eastAsia="Arial" w:hAnsi="Arial"/>
                <w:sz w:val="15"/>
                <w:szCs w:val="15"/>
                <w:color w:val="auto"/>
              </w:rPr>
              <w:t>Property and equipment, net</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138,193</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97,457</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20"/>
                <w:szCs w:val="20"/>
                <w:color w:val="auto"/>
              </w:rPr>
            </w:pPr>
            <w:r>
              <w:rPr>
                <w:rFonts w:ascii="Arial" w:cs="Arial" w:eastAsia="Arial" w:hAnsi="Arial"/>
                <w:sz w:val="15"/>
                <w:szCs w:val="15"/>
                <w:color w:val="auto"/>
              </w:rPr>
              <w:t>Deferred tax assets, net</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219,385</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207,209</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spacing w:after="0"/>
              <w:rPr>
                <w:sz w:val="20"/>
                <w:szCs w:val="20"/>
                <w:color w:val="auto"/>
              </w:rPr>
            </w:pPr>
            <w:r>
              <w:rPr>
                <w:rFonts w:ascii="Arial" w:cs="Arial" w:eastAsia="Arial" w:hAnsi="Arial"/>
                <w:sz w:val="15"/>
                <w:szCs w:val="15"/>
                <w:color w:val="auto"/>
              </w:rPr>
              <w:t>Convertible subordinated debt issuance costs</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10,891</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94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20"/>
                <w:szCs w:val="20"/>
                <w:color w:val="auto"/>
              </w:rPr>
            </w:pPr>
            <w:r>
              <w:rPr>
                <w:rFonts w:ascii="Arial" w:cs="Arial" w:eastAsia="Arial" w:hAnsi="Arial"/>
                <w:sz w:val="15"/>
                <w:szCs w:val="15"/>
                <w:color w:val="auto"/>
              </w:rPr>
              <w:t>Other assets</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9,401</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6,322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920"/>
              <w:spacing w:after="0"/>
              <w:rPr>
                <w:sz w:val="20"/>
                <w:szCs w:val="20"/>
                <w:color w:val="auto"/>
              </w:rPr>
            </w:pPr>
            <w:r>
              <w:rPr>
                <w:rFonts w:ascii="Arial" w:cs="Arial" w:eastAsia="Arial" w:hAnsi="Arial"/>
                <w:sz w:val="15"/>
                <w:szCs w:val="15"/>
                <w:color w:val="auto"/>
              </w:rPr>
              <w:t>Total assets</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6"/>
              </w:rPr>
              <w:t>1,400,589</w:t>
            </w:r>
          </w:p>
        </w:tc>
        <w:tc>
          <w:tcPr>
            <w:tcW w:w="520" w:type="dxa"/>
            <w:vAlign w:val="bottom"/>
            <w:shd w:val="clear" w:color="auto" w:fill="EEEEEE"/>
          </w:tcPr>
          <w:p>
            <w:pPr>
              <w:spacing w:after="0"/>
              <w:rPr>
                <w:sz w:val="16"/>
                <w:szCs w:val="16"/>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683,722</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818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5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8180" w:type="dxa"/>
            <w:vAlign w:val="bottom"/>
            <w:vMerge w:val="continue"/>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EEEEEE"/>
          </w:tcPr>
          <w:p>
            <w:pPr>
              <w:spacing w:after="0"/>
              <w:rPr>
                <w:sz w:val="20"/>
                <w:szCs w:val="20"/>
                <w:color w:val="auto"/>
              </w:rPr>
            </w:pPr>
            <w:r>
              <w:rPr>
                <w:rFonts w:ascii="Arial" w:cs="Arial" w:eastAsia="Arial" w:hAnsi="Arial"/>
                <w:sz w:val="15"/>
                <w:szCs w:val="15"/>
                <w:color w:val="auto"/>
              </w:rPr>
              <w:t>Current liabilities:</w:t>
            </w:r>
          </w:p>
        </w:tc>
        <w:tc>
          <w:tcPr>
            <w:tcW w:w="540" w:type="dxa"/>
            <w:vAlign w:val="bottom"/>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58,292</w:t>
            </w:r>
          </w:p>
        </w:tc>
        <w:tc>
          <w:tcPr>
            <w:tcW w:w="52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25,082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Accrued employee compensation</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19,412</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21,994</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300"/>
              <w:spacing w:after="0"/>
              <w:rPr>
                <w:sz w:val="20"/>
                <w:szCs w:val="20"/>
                <w:color w:val="auto"/>
              </w:rPr>
            </w:pPr>
            <w:r>
              <w:rPr>
                <w:rFonts w:ascii="Arial" w:cs="Arial" w:eastAsia="Arial" w:hAnsi="Arial"/>
                <w:sz w:val="15"/>
                <w:szCs w:val="15"/>
                <w:color w:val="auto"/>
              </w:rPr>
              <w:t>Deferred revenue</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18,332</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12,630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Current liabilities associated with lease losses</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9,291</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11,339</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Pr>
          <w:p>
            <w:pPr>
              <w:ind w:left="300"/>
              <w:spacing w:after="0"/>
              <w:rPr>
                <w:sz w:val="20"/>
                <w:szCs w:val="20"/>
                <w:color w:val="auto"/>
              </w:rPr>
            </w:pPr>
            <w:r>
              <w:rPr>
                <w:rFonts w:ascii="Arial" w:cs="Arial" w:eastAsia="Arial" w:hAnsi="Arial"/>
                <w:sz w:val="15"/>
                <w:szCs w:val="15"/>
                <w:color w:val="auto"/>
              </w:rPr>
              <w:t>Other accrued liabilities</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52,881</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43,895</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920"/>
              <w:spacing w:after="0"/>
              <w:rPr>
                <w:sz w:val="20"/>
                <w:szCs w:val="20"/>
                <w:color w:val="auto"/>
              </w:rPr>
            </w:pPr>
            <w:r>
              <w:rPr>
                <w:rFonts w:ascii="Arial" w:cs="Arial" w:eastAsia="Arial" w:hAnsi="Arial"/>
                <w:sz w:val="15"/>
                <w:szCs w:val="15"/>
                <w:color w:val="auto"/>
              </w:rPr>
              <w:t>Total current liabilities</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158,208</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114,940</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20"/>
                <w:szCs w:val="20"/>
                <w:color w:val="auto"/>
              </w:rPr>
            </w:pPr>
            <w:r>
              <w:rPr>
                <w:rFonts w:ascii="Arial" w:cs="Arial" w:eastAsia="Arial" w:hAnsi="Arial"/>
                <w:sz w:val="15"/>
                <w:szCs w:val="15"/>
                <w:color w:val="auto"/>
              </w:rPr>
              <w:t>Non-current liabilities associated with lease losses</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23,963</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30,896</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spacing w:after="0"/>
              <w:rPr>
                <w:sz w:val="20"/>
                <w:szCs w:val="20"/>
                <w:color w:val="auto"/>
              </w:rPr>
            </w:pPr>
            <w:r>
              <w:rPr>
                <w:rFonts w:ascii="Arial" w:cs="Arial" w:eastAsia="Arial" w:hAnsi="Arial"/>
                <w:sz w:val="15"/>
                <w:szCs w:val="15"/>
                <w:color w:val="auto"/>
              </w:rPr>
              <w:t>Convertible subordinated debt</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550,000</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94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20"/>
                <w:szCs w:val="20"/>
                <w:color w:val="auto"/>
              </w:rPr>
            </w:pPr>
            <w:r>
              <w:rPr>
                <w:rFonts w:ascii="Arial" w:cs="Arial" w:eastAsia="Arial" w:hAnsi="Arial"/>
                <w:sz w:val="15"/>
                <w:szCs w:val="15"/>
                <w:color w:val="auto"/>
              </w:rPr>
              <w:t>Commitments and contingencies (Note 7)</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spacing w:after="0"/>
              <w:rPr>
                <w:sz w:val="20"/>
                <w:szCs w:val="20"/>
                <w:color w:val="auto"/>
              </w:rPr>
            </w:pPr>
            <w:r>
              <w:rPr>
                <w:rFonts w:ascii="Arial" w:cs="Arial" w:eastAsia="Arial" w:hAnsi="Arial"/>
                <w:sz w:val="15"/>
                <w:szCs w:val="15"/>
                <w:color w:val="auto"/>
              </w:rPr>
              <w:t>Stockholders’ equity:</w:t>
            </w:r>
          </w:p>
        </w:tc>
        <w:tc>
          <w:tcPr>
            <w:tcW w:w="540" w:type="dxa"/>
            <w:vAlign w:val="bottom"/>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180" w:type="dxa"/>
            <w:vAlign w:val="bottom"/>
          </w:tcPr>
          <w:p>
            <w:pPr>
              <w:ind w:left="300"/>
              <w:spacing w:after="0"/>
              <w:rPr>
                <w:sz w:val="20"/>
                <w:szCs w:val="20"/>
                <w:color w:val="auto"/>
              </w:rPr>
            </w:pPr>
            <w:r>
              <w:rPr>
                <w:rFonts w:ascii="Arial" w:cs="Arial" w:eastAsia="Arial" w:hAnsi="Arial"/>
                <w:sz w:val="15"/>
                <w:szCs w:val="15"/>
                <w:color w:val="auto"/>
              </w:rPr>
              <w:t>Preferred stock, $0.001 par value</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180" w:type="dxa"/>
            <w:vAlign w:val="bottom"/>
          </w:tcPr>
          <w:p>
            <w:pPr>
              <w:ind w:left="420"/>
              <w:spacing w:after="0"/>
              <w:rPr>
                <w:sz w:val="20"/>
                <w:szCs w:val="20"/>
                <w:color w:val="auto"/>
              </w:rPr>
            </w:pPr>
            <w:r>
              <w:rPr>
                <w:rFonts w:ascii="Arial" w:cs="Arial" w:eastAsia="Arial" w:hAnsi="Arial"/>
                <w:sz w:val="15"/>
                <w:szCs w:val="15"/>
                <w:color w:val="auto"/>
              </w:rPr>
              <w:t>5,000 shares authorized, no shares outstanding</w:t>
            </w:r>
          </w:p>
        </w:tc>
        <w:tc>
          <w:tcPr>
            <w:tcW w:w="540" w:type="dxa"/>
            <w:vAlign w:val="bottom"/>
          </w:tcPr>
          <w:p>
            <w:pPr>
              <w:spacing w:after="0"/>
              <w:rPr>
                <w:sz w:val="16"/>
                <w:szCs w:val="16"/>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81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Common stock, $0.001 par value, 800,000 shares authorized:</w:t>
            </w:r>
          </w:p>
        </w:tc>
        <w:tc>
          <w:tcPr>
            <w:tcW w:w="540" w:type="dxa"/>
            <w:vAlign w:val="bottom"/>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620"/>
              <w:spacing w:after="0"/>
              <w:rPr>
                <w:sz w:val="20"/>
                <w:szCs w:val="20"/>
                <w:color w:val="auto"/>
              </w:rPr>
            </w:pPr>
            <w:r>
              <w:rPr>
                <w:rFonts w:ascii="Arial" w:cs="Arial" w:eastAsia="Arial" w:hAnsi="Arial"/>
                <w:sz w:val="15"/>
                <w:szCs w:val="15"/>
                <w:color w:val="auto"/>
              </w:rPr>
              <w:t>Issued and outstanding: 234,214 and 229,762 shares at July 27, 2002 and October 27, 2001, respectively</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234</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230</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300"/>
              <w:spacing w:after="0"/>
              <w:rPr>
                <w:sz w:val="20"/>
                <w:szCs w:val="20"/>
                <w:color w:val="auto"/>
              </w:rPr>
            </w:pPr>
            <w:r>
              <w:rPr>
                <w:rFonts w:ascii="Arial" w:cs="Arial" w:eastAsia="Arial" w:hAnsi="Arial"/>
                <w:sz w:val="15"/>
                <w:szCs w:val="15"/>
                <w:color w:val="auto"/>
              </w:rPr>
              <w:t>Additional paid-in capital</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569,929</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493,738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Deferred stock compensation</w:t>
            </w:r>
          </w:p>
        </w:tc>
        <w:tc>
          <w:tcPr>
            <w:tcW w:w="540" w:type="dxa"/>
            <w:vAlign w:val="bottom"/>
            <w:shd w:val="clear" w:color="auto" w:fill="EEEEEE"/>
          </w:tcPr>
          <w:p>
            <w:pPr>
              <w:spacing w:after="0"/>
              <w:rPr>
                <w:sz w:val="16"/>
                <w:szCs w:val="16"/>
                <w:color w:val="auto"/>
              </w:rPr>
            </w:pPr>
          </w:p>
        </w:tc>
        <w:tc>
          <w:tcPr>
            <w:tcW w:w="114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(311)</w:t>
            </w: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5"/>
                <w:szCs w:val="15"/>
                <w:color w:val="auto"/>
              </w:rPr>
              <w:t>(1,038)</w:t>
            </w:r>
          </w:p>
        </w:tc>
        <w:tc>
          <w:tcPr>
            <w:tcW w:w="0" w:type="dxa"/>
            <w:vAlign w:val="bottom"/>
          </w:tcPr>
          <w:p>
            <w:pPr>
              <w:spacing w:after="0"/>
              <w:rPr>
                <w:sz w:val="1"/>
                <w:szCs w:val="1"/>
                <w:color w:val="auto"/>
              </w:rPr>
            </w:pPr>
          </w:p>
        </w:tc>
      </w:tr>
      <w:tr>
        <w:trPr>
          <w:trHeight w:val="186"/>
        </w:trPr>
        <w:tc>
          <w:tcPr>
            <w:tcW w:w="8180" w:type="dxa"/>
            <w:vAlign w:val="bottom"/>
          </w:tcPr>
          <w:p>
            <w:pPr>
              <w:ind w:left="300"/>
              <w:spacing w:after="0"/>
              <w:rPr>
                <w:sz w:val="20"/>
                <w:szCs w:val="20"/>
                <w:color w:val="auto"/>
              </w:rPr>
            </w:pPr>
            <w:r>
              <w:rPr>
                <w:rFonts w:ascii="Arial" w:cs="Arial" w:eastAsia="Arial" w:hAnsi="Arial"/>
                <w:sz w:val="15"/>
                <w:szCs w:val="15"/>
                <w:color w:val="auto"/>
              </w:rPr>
              <w:t>Accumulated other comprehensive income</w:t>
            </w:r>
          </w:p>
        </w:tc>
        <w:tc>
          <w:tcPr>
            <w:tcW w:w="5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10,135</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522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300"/>
              <w:spacing w:after="0"/>
              <w:rPr>
                <w:sz w:val="20"/>
                <w:szCs w:val="20"/>
                <w:color w:val="auto"/>
              </w:rPr>
            </w:pPr>
            <w:r>
              <w:rPr>
                <w:rFonts w:ascii="Arial" w:cs="Arial" w:eastAsia="Arial" w:hAnsi="Arial"/>
                <w:sz w:val="15"/>
                <w:szCs w:val="15"/>
                <w:color w:val="auto"/>
              </w:rPr>
              <w:t>Retained earnings</w:t>
            </w:r>
          </w:p>
        </w:tc>
        <w:tc>
          <w:tcPr>
            <w:tcW w:w="54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88,431</w:t>
            </w:r>
          </w:p>
        </w:tc>
        <w:tc>
          <w:tcPr>
            <w:tcW w:w="5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44,434</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8180" w:type="dxa"/>
            <w:vAlign w:val="bottom"/>
          </w:tcPr>
          <w:p>
            <w:pPr>
              <w:ind w:left="920"/>
              <w:spacing w:after="0"/>
              <w:rPr>
                <w:sz w:val="20"/>
                <w:szCs w:val="20"/>
                <w:color w:val="auto"/>
              </w:rPr>
            </w:pPr>
            <w:r>
              <w:rPr>
                <w:rFonts w:ascii="Arial" w:cs="Arial" w:eastAsia="Arial" w:hAnsi="Arial"/>
                <w:sz w:val="15"/>
                <w:szCs w:val="15"/>
                <w:color w:val="auto"/>
              </w:rPr>
              <w:t>Total stockholders’ equity</w:t>
            </w:r>
          </w:p>
        </w:tc>
        <w:tc>
          <w:tcPr>
            <w:tcW w:w="54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668,418</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537,886</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8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8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EEEEEE"/>
          </w:tcPr>
          <w:p>
            <w:pPr>
              <w:ind w:left="920"/>
              <w:spacing w:after="0"/>
              <w:rPr>
                <w:sz w:val="20"/>
                <w:szCs w:val="20"/>
                <w:color w:val="auto"/>
              </w:rPr>
            </w:pPr>
            <w:r>
              <w:rPr>
                <w:rFonts w:ascii="Arial" w:cs="Arial" w:eastAsia="Arial" w:hAnsi="Arial"/>
                <w:sz w:val="15"/>
                <w:szCs w:val="15"/>
                <w:color w:val="auto"/>
              </w:rPr>
              <w:t>Total liabilities and stockholders’ equity</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6"/>
              </w:rPr>
              <w:t>1,400,589</w:t>
            </w:r>
          </w:p>
        </w:tc>
        <w:tc>
          <w:tcPr>
            <w:tcW w:w="520" w:type="dxa"/>
            <w:vAlign w:val="bottom"/>
            <w:shd w:val="clear" w:color="auto" w:fill="EEEEEE"/>
          </w:tcPr>
          <w:p>
            <w:pPr>
              <w:spacing w:after="0"/>
              <w:rPr>
                <w:sz w:val="16"/>
                <w:szCs w:val="16"/>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683,722</w:t>
            </w:r>
          </w:p>
        </w:tc>
        <w:tc>
          <w:tcPr>
            <w:tcW w:w="4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8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-3163570</wp:posOffset>
            </wp:positionV>
            <wp:extent cx="1270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-3163570</wp:posOffset>
            </wp:positionV>
            <wp:extent cx="12700"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6977380</wp:posOffset>
            </wp:positionH>
            <wp:positionV relativeFrom="paragraph">
              <wp:posOffset>-3163570</wp:posOffset>
            </wp:positionV>
            <wp:extent cx="12700"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-3163570</wp:posOffset>
            </wp:positionV>
            <wp:extent cx="12700"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-34290</wp:posOffset>
            </wp:positionV>
            <wp:extent cx="12700"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-34290</wp:posOffset>
            </wp:positionV>
            <wp:extent cx="12700"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6977380</wp:posOffset>
            </wp:positionH>
            <wp:positionV relativeFrom="paragraph">
              <wp:posOffset>-34290</wp:posOffset>
            </wp:positionV>
            <wp:extent cx="12700"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-34290</wp:posOffset>
            </wp:positionV>
            <wp:extent cx="12700"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BROCADE COMMUNICATIONS SYSTEMS,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r>
        <w:rPr>
          <w:rFonts w:ascii="Arial" w:cs="Arial" w:eastAsia="Arial" w:hAnsi="Arial"/>
          <w:sz w:val="15"/>
          <w:szCs w:val="15"/>
          <w:b w:val="1"/>
          <w:bCs w:val="1"/>
          <w:i w:val="1"/>
          <w:iCs w:val="1"/>
          <w:color w:val="auto"/>
        </w:rPr>
        <w: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94"/>
              </w:rPr>
              <w:t>Nine Months Ended</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9"/>
              </w:rPr>
              <w:t>July 27,</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w w:val="99"/>
              </w:rPr>
              <w:t>July 28,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jc w:val="right"/>
              <w:ind w:right="85"/>
              <w:spacing w:after="0"/>
              <w:rPr>
                <w:sz w:val="20"/>
                <w:szCs w:val="20"/>
                <w:color w:val="auto"/>
              </w:rPr>
            </w:pPr>
            <w:r>
              <w:rPr>
                <w:rFonts w:ascii="Arial" w:cs="Arial" w:eastAsia="Arial" w:hAnsi="Arial"/>
                <w:sz w:val="12"/>
                <w:szCs w:val="12"/>
                <w:b w:val="1"/>
                <w:bCs w:val="1"/>
                <w:color w:val="auto"/>
              </w:rPr>
              <w:t>2002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ind w:right="85"/>
              <w:spacing w:after="0"/>
              <w:rPr>
                <w:sz w:val="20"/>
                <w:szCs w:val="20"/>
                <w:color w:val="auto"/>
              </w:rPr>
            </w:pPr>
            <w:r>
              <w:rPr>
                <w:rFonts w:ascii="Arial" w:cs="Arial" w:eastAsia="Arial" w:hAnsi="Arial"/>
                <w:sz w:val="12"/>
                <w:szCs w:val="12"/>
                <w:b w:val="1"/>
                <w:bCs w:val="1"/>
                <w:color w:val="auto"/>
              </w:rPr>
              <w:t>2001</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43,997</w:t>
            </w:r>
          </w:p>
        </w:tc>
        <w:tc>
          <w:tcPr>
            <w:tcW w:w="12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56,528</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2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580"/>
              <w:spacing w:after="0"/>
              <w:rPr>
                <w:sz w:val="20"/>
                <w:szCs w:val="20"/>
                <w:color w:val="auto"/>
              </w:rPr>
            </w:pPr>
            <w:r>
              <w:rPr>
                <w:rFonts w:ascii="Arial" w:cs="Arial" w:eastAsia="Arial" w:hAnsi="Arial"/>
                <w:sz w:val="15"/>
                <w:szCs w:val="15"/>
                <w:color w:val="auto"/>
              </w:rPr>
              <w:t>Tax benefits from employee stock option transactions</w:t>
            </w: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26,200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123,523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580"/>
              <w:spacing w:after="0"/>
              <w:rPr>
                <w:sz w:val="20"/>
                <w:szCs w:val="20"/>
                <w:color w:val="auto"/>
              </w:rPr>
            </w:pPr>
            <w:r>
              <w:rPr>
                <w:rFonts w:ascii="Arial" w:cs="Arial" w:eastAsia="Arial" w:hAnsi="Arial"/>
                <w:sz w:val="15"/>
                <w:szCs w:val="15"/>
                <w:color w:val="auto"/>
              </w:rPr>
              <w:t>Deferred taxes</w:t>
            </w:r>
          </w:p>
        </w:tc>
        <w:tc>
          <w:tcPr>
            <w:tcW w:w="540" w:type="dxa"/>
            <w:vAlign w:val="bottom"/>
            <w:shd w:val="clear" w:color="auto" w:fill="EEEEEE"/>
          </w:tcPr>
          <w:p>
            <w:pPr>
              <w:spacing w:after="0"/>
              <w:rPr>
                <w:sz w:val="16"/>
                <w:szCs w:val="16"/>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rPr>
              <w:t>(20,293)</w:t>
            </w: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w w:val="87"/>
              </w:rPr>
              <w:t>(105,830)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580"/>
              <w:spacing w:after="0"/>
              <w:rPr>
                <w:sz w:val="20"/>
                <w:szCs w:val="20"/>
                <w:color w:val="auto"/>
              </w:rPr>
            </w:pPr>
            <w:r>
              <w:rPr>
                <w:rFonts w:ascii="Arial" w:cs="Arial" w:eastAsia="Arial" w:hAnsi="Arial"/>
                <w:sz w:val="15"/>
                <w:szCs w:val="15"/>
                <w:color w:val="auto"/>
              </w:rPr>
              <w:t>Depreciation, amortization, and loss on disposal of property and equipment</w:t>
            </w: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22,734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11,407</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580"/>
              <w:spacing w:after="0"/>
              <w:rPr>
                <w:sz w:val="20"/>
                <w:szCs w:val="20"/>
                <w:color w:val="auto"/>
              </w:rPr>
            </w:pPr>
            <w:r>
              <w:rPr>
                <w:rFonts w:ascii="Arial" w:cs="Arial" w:eastAsia="Arial" w:hAnsi="Arial"/>
                <w:sz w:val="15"/>
                <w:szCs w:val="15"/>
                <w:color w:val="auto"/>
              </w:rPr>
              <w:t>Amortization of debt issuance costs</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1,484</w:t>
            </w: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5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580"/>
              <w:spacing w:after="0"/>
              <w:rPr>
                <w:sz w:val="20"/>
                <w:szCs w:val="20"/>
                <w:color w:val="auto"/>
              </w:rPr>
            </w:pPr>
            <w:r>
              <w:rPr>
                <w:rFonts w:ascii="Arial" w:cs="Arial" w:eastAsia="Arial" w:hAnsi="Arial"/>
                <w:sz w:val="15"/>
                <w:szCs w:val="15"/>
                <w:color w:val="auto"/>
              </w:rPr>
              <w:t>Gain on sale of marketable equity securities</w:t>
            </w:r>
          </w:p>
        </w:tc>
        <w:tc>
          <w:tcPr>
            <w:tcW w:w="5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color w:val="auto"/>
              </w:rPr>
              <w:t>(6,632)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580"/>
              <w:spacing w:after="0"/>
              <w:rPr>
                <w:sz w:val="20"/>
                <w:szCs w:val="20"/>
                <w:color w:val="auto"/>
              </w:rPr>
            </w:pPr>
            <w:r>
              <w:rPr>
                <w:rFonts w:ascii="Arial" w:cs="Arial" w:eastAsia="Arial" w:hAnsi="Arial"/>
                <w:sz w:val="15"/>
                <w:szCs w:val="15"/>
                <w:color w:val="auto"/>
              </w:rPr>
              <w:t>Impairment losses on investments</w:t>
            </w:r>
          </w:p>
        </w:tc>
        <w:tc>
          <w:tcPr>
            <w:tcW w:w="540" w:type="dxa"/>
            <w:vAlign w:val="bottom"/>
            <w:shd w:val="clear" w:color="auto" w:fill="EEEEEE"/>
          </w:tcPr>
          <w:p>
            <w:pPr>
              <w:spacing w:after="0"/>
              <w:rPr>
                <w:sz w:val="16"/>
                <w:szCs w:val="16"/>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4,700</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580"/>
              <w:spacing w:after="0"/>
              <w:rPr>
                <w:sz w:val="20"/>
                <w:szCs w:val="20"/>
                <w:color w:val="auto"/>
              </w:rPr>
            </w:pPr>
            <w:r>
              <w:rPr>
                <w:rFonts w:ascii="Arial" w:cs="Arial" w:eastAsia="Arial" w:hAnsi="Arial"/>
                <w:sz w:val="15"/>
                <w:szCs w:val="15"/>
                <w:color w:val="auto"/>
              </w:rPr>
              <w:t>Provision for doubtful accounts receivable and sales returns</w:t>
            </w: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1,700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1,145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580"/>
              <w:spacing w:after="0"/>
              <w:rPr>
                <w:sz w:val="20"/>
                <w:szCs w:val="20"/>
                <w:color w:val="auto"/>
              </w:rPr>
            </w:pPr>
            <w:r>
              <w:rPr>
                <w:rFonts w:ascii="Arial" w:cs="Arial" w:eastAsia="Arial" w:hAnsi="Arial"/>
                <w:sz w:val="15"/>
                <w:szCs w:val="15"/>
                <w:color w:val="auto"/>
              </w:rPr>
              <w:t>Non-cash compensation expense</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727</w:t>
            </w: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857</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580"/>
              <w:spacing w:after="0"/>
              <w:rPr>
                <w:sz w:val="20"/>
                <w:szCs w:val="20"/>
                <w:color w:val="auto"/>
              </w:rPr>
            </w:pPr>
            <w:r>
              <w:rPr>
                <w:rFonts w:ascii="Arial" w:cs="Arial" w:eastAsia="Arial" w:hAnsi="Arial"/>
                <w:sz w:val="15"/>
                <w:szCs w:val="15"/>
                <w:color w:val="auto"/>
              </w:rPr>
              <w:t>Changes in operating assets and liabilities:</w:t>
            </w: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900"/>
              <w:spacing w:after="0"/>
              <w:rPr>
                <w:sz w:val="20"/>
                <w:szCs w:val="20"/>
                <w:color w:val="auto"/>
              </w:rPr>
            </w:pPr>
            <w:r>
              <w:rPr>
                <w:rFonts w:ascii="Arial" w:cs="Arial" w:eastAsia="Arial" w:hAnsi="Arial"/>
                <w:sz w:val="15"/>
                <w:szCs w:val="15"/>
                <w:color w:val="auto"/>
              </w:rPr>
              <w:t>Accounts receivable</w:t>
            </w:r>
          </w:p>
        </w:tc>
        <w:tc>
          <w:tcPr>
            <w:tcW w:w="540" w:type="dxa"/>
            <w:vAlign w:val="bottom"/>
            <w:shd w:val="clear" w:color="auto" w:fill="EEEEEE"/>
          </w:tcPr>
          <w:p>
            <w:pPr>
              <w:spacing w:after="0"/>
              <w:rPr>
                <w:sz w:val="16"/>
                <w:szCs w:val="16"/>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rPr>
              <w:t>(20,657)</w:t>
            </w: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(1,282)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900"/>
              <w:spacing w:after="0"/>
              <w:rPr>
                <w:sz w:val="20"/>
                <w:szCs w:val="20"/>
                <w:color w:val="auto"/>
              </w:rPr>
            </w:pPr>
            <w:r>
              <w:rPr>
                <w:rFonts w:ascii="Arial" w:cs="Arial" w:eastAsia="Arial" w:hAnsi="Arial"/>
                <w:sz w:val="15"/>
                <w:szCs w:val="15"/>
                <w:color w:val="auto"/>
              </w:rPr>
              <w:t>Inventories</w:t>
            </w: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3,243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color w:val="auto"/>
              </w:rPr>
              <w:t>(7,183)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900"/>
              <w:spacing w:after="0"/>
              <w:rPr>
                <w:sz w:val="20"/>
                <w:szCs w:val="20"/>
                <w:color w:val="auto"/>
              </w:rPr>
            </w:pPr>
            <w:r>
              <w:rPr>
                <w:rFonts w:ascii="Arial" w:cs="Arial" w:eastAsia="Arial" w:hAnsi="Arial"/>
                <w:sz w:val="15"/>
                <w:szCs w:val="15"/>
                <w:color w:val="auto"/>
              </w:rPr>
              <w:t>Prepaid expenses and other assets</w:t>
            </w:r>
          </w:p>
        </w:tc>
        <w:tc>
          <w:tcPr>
            <w:tcW w:w="540" w:type="dxa"/>
            <w:vAlign w:val="bottom"/>
            <w:shd w:val="clear" w:color="auto" w:fill="EEEEEE"/>
          </w:tcPr>
          <w:p>
            <w:pPr>
              <w:spacing w:after="0"/>
              <w:rPr>
                <w:sz w:val="16"/>
                <w:szCs w:val="16"/>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rPr>
              <w:t>(8,967)</w:t>
            </w: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(9,378)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900"/>
              <w:spacing w:after="0"/>
              <w:rPr>
                <w:sz w:val="20"/>
                <w:szCs w:val="20"/>
                <w:color w:val="auto"/>
              </w:rPr>
            </w:pPr>
            <w:r>
              <w:rPr>
                <w:rFonts w:ascii="Arial" w:cs="Arial" w:eastAsia="Arial" w:hAnsi="Arial"/>
                <w:sz w:val="15"/>
                <w:szCs w:val="15"/>
                <w:color w:val="auto"/>
              </w:rPr>
              <w:t>Accounts payable</w:t>
            </w: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33,210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1,460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900"/>
              <w:spacing w:after="0"/>
              <w:rPr>
                <w:sz w:val="20"/>
                <w:szCs w:val="20"/>
                <w:color w:val="auto"/>
              </w:rPr>
            </w:pPr>
            <w:r>
              <w:rPr>
                <w:rFonts w:ascii="Arial" w:cs="Arial" w:eastAsia="Arial" w:hAnsi="Arial"/>
                <w:sz w:val="15"/>
                <w:szCs w:val="15"/>
                <w:color w:val="auto"/>
              </w:rPr>
              <w:t>Accrued employee compensation</w:t>
            </w:r>
          </w:p>
        </w:tc>
        <w:tc>
          <w:tcPr>
            <w:tcW w:w="540" w:type="dxa"/>
            <w:vAlign w:val="bottom"/>
            <w:shd w:val="clear" w:color="auto" w:fill="EEEEEE"/>
          </w:tcPr>
          <w:p>
            <w:pPr>
              <w:spacing w:after="0"/>
              <w:rPr>
                <w:sz w:val="16"/>
                <w:szCs w:val="16"/>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rPr>
              <w:t>(2,582)</w:t>
            </w: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(13,212)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900"/>
              <w:spacing w:after="0"/>
              <w:rPr>
                <w:sz w:val="20"/>
                <w:szCs w:val="20"/>
                <w:color w:val="auto"/>
              </w:rPr>
            </w:pPr>
            <w:r>
              <w:rPr>
                <w:rFonts w:ascii="Arial" w:cs="Arial" w:eastAsia="Arial" w:hAnsi="Arial"/>
                <w:sz w:val="15"/>
                <w:szCs w:val="15"/>
                <w:color w:val="auto"/>
              </w:rPr>
              <w:t>Deferred revenue</w:t>
            </w: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5,702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11,340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900"/>
              <w:spacing w:after="0"/>
              <w:rPr>
                <w:sz w:val="20"/>
                <w:szCs w:val="20"/>
                <w:color w:val="auto"/>
              </w:rPr>
            </w:pPr>
            <w:r>
              <w:rPr>
                <w:rFonts w:ascii="Arial" w:cs="Arial" w:eastAsia="Arial" w:hAnsi="Arial"/>
                <w:sz w:val="15"/>
                <w:szCs w:val="15"/>
                <w:color w:val="auto"/>
              </w:rPr>
              <w:t>Other accrued liabilities</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8,986</w:t>
            </w: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13,397</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60" w:type="dxa"/>
            <w:vAlign w:val="bottom"/>
          </w:tcPr>
          <w:p>
            <w:pPr>
              <w:ind w:left="900"/>
              <w:spacing w:after="0"/>
              <w:rPr>
                <w:sz w:val="20"/>
                <w:szCs w:val="20"/>
                <w:color w:val="auto"/>
              </w:rPr>
            </w:pPr>
            <w:r>
              <w:rPr>
                <w:rFonts w:ascii="Arial" w:cs="Arial" w:eastAsia="Arial" w:hAnsi="Arial"/>
                <w:sz w:val="15"/>
                <w:szCs w:val="15"/>
                <w:color w:val="auto"/>
              </w:rPr>
              <w:t>Liabilities associated with lease losses</w:t>
            </w:r>
          </w:p>
        </w:tc>
        <w:tc>
          <w:tcPr>
            <w:tcW w:w="5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(5,580)</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1200"/>
              <w:spacing w:after="0"/>
              <w:rPr>
                <w:sz w:val="20"/>
                <w:szCs w:val="20"/>
                <w:color w:val="auto"/>
              </w:rPr>
            </w:pPr>
            <w:r>
              <w:rPr>
                <w:rFonts w:ascii="Arial" w:cs="Arial" w:eastAsia="Arial" w:hAnsi="Arial"/>
                <w:sz w:val="15"/>
                <w:szCs w:val="15"/>
                <w:color w:val="auto"/>
              </w:rPr>
              <w:t>Net cash provided by operating activities</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89,904</w:t>
            </w: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80,840</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78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880" w:type="dxa"/>
            <w:vAlign w:val="bottom"/>
            <w:gridSpan w:val="2"/>
            <w:vMerge w:val="continue"/>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60" w:type="dxa"/>
            <w:vAlign w:val="bottom"/>
            <w:shd w:val="clear" w:color="auto" w:fill="EEEEEE"/>
          </w:tcPr>
          <w:p>
            <w:pPr>
              <w:ind w:left="280"/>
              <w:spacing w:after="0"/>
              <w:rPr>
                <w:sz w:val="20"/>
                <w:szCs w:val="20"/>
                <w:color w:val="auto"/>
              </w:rPr>
            </w:pPr>
            <w:r>
              <w:rPr>
                <w:rFonts w:ascii="Arial" w:cs="Arial" w:eastAsia="Arial" w:hAnsi="Arial"/>
                <w:sz w:val="15"/>
                <w:szCs w:val="15"/>
                <w:color w:val="auto"/>
              </w:rPr>
              <w:t>Purchases of property and equipment</w:t>
            </w:r>
          </w:p>
        </w:tc>
        <w:tc>
          <w:tcPr>
            <w:tcW w:w="540" w:type="dxa"/>
            <w:vAlign w:val="bottom"/>
            <w:shd w:val="clear" w:color="auto" w:fill="EEEEEE"/>
          </w:tcPr>
          <w:p>
            <w:pPr>
              <w:spacing w:after="0"/>
              <w:rPr>
                <w:sz w:val="16"/>
                <w:szCs w:val="16"/>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rPr>
              <w:t>(65,179)</w:t>
            </w: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(63,599)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Purchases of investments</w:t>
            </w:r>
          </w:p>
        </w:tc>
        <w:tc>
          <w:tcPr>
            <w:tcW w:w="5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(640,777)</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color w:val="auto"/>
              </w:rPr>
              <w:t>(23,195)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280"/>
              <w:spacing w:after="0"/>
              <w:rPr>
                <w:sz w:val="20"/>
                <w:szCs w:val="20"/>
                <w:color w:val="auto"/>
              </w:rPr>
            </w:pPr>
            <w:r>
              <w:rPr>
                <w:rFonts w:ascii="Arial" w:cs="Arial" w:eastAsia="Arial" w:hAnsi="Arial"/>
                <w:sz w:val="15"/>
                <w:szCs w:val="15"/>
                <w:color w:val="auto"/>
              </w:rPr>
              <w:t>Proceeds from maturities of short-term investments</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74,098</w:t>
            </w: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57,690</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Proceeds from sale of marketable equity securities</w:t>
            </w:r>
          </w:p>
        </w:tc>
        <w:tc>
          <w:tcPr>
            <w:tcW w:w="54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11,632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280"/>
              <w:spacing w:after="0"/>
              <w:rPr>
                <w:sz w:val="20"/>
                <w:szCs w:val="20"/>
                <w:color w:val="auto"/>
              </w:rPr>
            </w:pPr>
            <w:r>
              <w:rPr>
                <w:rFonts w:ascii="Arial" w:cs="Arial" w:eastAsia="Arial" w:hAnsi="Arial"/>
                <w:sz w:val="15"/>
                <w:szCs w:val="15"/>
                <w:color w:val="auto"/>
              </w:rPr>
              <w:t>Other investing activities</w:t>
            </w:r>
          </w:p>
        </w:tc>
        <w:tc>
          <w:tcPr>
            <w:tcW w:w="540" w:type="dxa"/>
            <w:vAlign w:val="bottom"/>
            <w:shd w:val="clear" w:color="auto" w:fill="EEEEEE"/>
          </w:tcPr>
          <w:p>
            <w:pPr>
              <w:spacing w:after="0"/>
              <w:rPr>
                <w:sz w:val="16"/>
                <w:szCs w:val="16"/>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(17,062)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60" w:type="dxa"/>
            <w:vAlign w:val="bottom"/>
          </w:tcPr>
          <w:p>
            <w:pPr>
              <w:ind w:left="1200"/>
              <w:spacing w:after="0"/>
              <w:rPr>
                <w:sz w:val="20"/>
                <w:szCs w:val="20"/>
                <w:color w:val="auto"/>
              </w:rPr>
            </w:pPr>
            <w:r>
              <w:rPr>
                <w:rFonts w:ascii="Arial" w:cs="Arial" w:eastAsia="Arial" w:hAnsi="Arial"/>
                <w:sz w:val="15"/>
                <w:szCs w:val="15"/>
                <w:color w:val="auto"/>
              </w:rPr>
              <w:t>Net cash used in investing activities</w:t>
            </w:r>
          </w:p>
        </w:tc>
        <w:tc>
          <w:tcPr>
            <w:tcW w:w="54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(631,858)</w:t>
            </w: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color w:val="auto"/>
              </w:rPr>
              <w:t>(34,534)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ind w:left="280"/>
              <w:spacing w:after="0"/>
              <w:rPr>
                <w:sz w:val="20"/>
                <w:szCs w:val="20"/>
                <w:color w:val="auto"/>
              </w:rPr>
            </w:pPr>
            <w:r>
              <w:rPr>
                <w:rFonts w:ascii="Arial" w:cs="Arial" w:eastAsia="Arial" w:hAnsi="Arial"/>
                <w:sz w:val="15"/>
                <w:szCs w:val="15"/>
                <w:color w:val="auto"/>
              </w:rPr>
              <w:t>Proceeds from issuance of common stock, net</w:t>
            </w: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49,995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73,806</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EEEEEE"/>
          </w:tcPr>
          <w:p>
            <w:pPr>
              <w:ind w:left="280"/>
              <w:spacing w:after="0"/>
              <w:rPr>
                <w:sz w:val="20"/>
                <w:szCs w:val="20"/>
                <w:color w:val="auto"/>
              </w:rPr>
            </w:pPr>
            <w:r>
              <w:rPr>
                <w:rFonts w:ascii="Arial" w:cs="Arial" w:eastAsia="Arial" w:hAnsi="Arial"/>
                <w:sz w:val="15"/>
                <w:szCs w:val="15"/>
                <w:color w:val="auto"/>
              </w:rPr>
              <w:t>Proceeds from issuance of convertible subordinated debt</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537,625</w:t>
            </w: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5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60" w:type="dxa"/>
            <w:vAlign w:val="bottom"/>
          </w:tcPr>
          <w:p>
            <w:pPr>
              <w:ind w:left="1200"/>
              <w:spacing w:after="0"/>
              <w:rPr>
                <w:sz w:val="20"/>
                <w:szCs w:val="20"/>
                <w:color w:val="auto"/>
              </w:rPr>
            </w:pPr>
            <w:r>
              <w:rPr>
                <w:rFonts w:ascii="Arial" w:cs="Arial" w:eastAsia="Arial" w:hAnsi="Arial"/>
                <w:sz w:val="15"/>
                <w:szCs w:val="15"/>
                <w:color w:val="auto"/>
              </w:rPr>
              <w:t>Net cash provided by financing activities</w:t>
            </w:r>
          </w:p>
        </w:tc>
        <w:tc>
          <w:tcPr>
            <w:tcW w:w="5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587,620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73,806</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5"/>
                <w:szCs w:val="15"/>
                <w:color w:val="auto"/>
              </w:rPr>
              <w:t>Net increase in cash and cash equivalents</w:t>
            </w:r>
          </w:p>
        </w:tc>
        <w:tc>
          <w:tcPr>
            <w:tcW w:w="54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45,666</w:t>
            </w: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120,112</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Cash and cash equivalents, beginning of period</w:t>
            </w:r>
          </w:p>
        </w:tc>
        <w:tc>
          <w:tcPr>
            <w:tcW w:w="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150,118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27,265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7860" w:type="dxa"/>
            <w:vAlign w:val="bottom"/>
            <w:shd w:val="clear" w:color="auto" w:fill="EEEEEE"/>
          </w:tcPr>
          <w:p>
            <w:pPr>
              <w:spacing w:after="0"/>
              <w:rPr>
                <w:sz w:val="20"/>
                <w:szCs w:val="20"/>
                <w:color w:val="auto"/>
              </w:rPr>
            </w:pPr>
            <w:r>
              <w:rPr>
                <w:rFonts w:ascii="Arial" w:cs="Arial" w:eastAsia="Arial" w:hAnsi="Arial"/>
                <w:sz w:val="15"/>
                <w:szCs w:val="15"/>
                <w:color w:val="auto"/>
              </w:rPr>
              <w:t>Cash and cash equivalents, end of period</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195,784</w:t>
            </w:r>
          </w:p>
        </w:tc>
        <w:tc>
          <w:tcPr>
            <w:tcW w:w="120" w:type="dxa"/>
            <w:vAlign w:val="bottom"/>
            <w:shd w:val="clear" w:color="auto" w:fill="EEEEEE"/>
          </w:tcPr>
          <w:p>
            <w:pPr>
              <w:spacing w:after="0"/>
              <w:rPr>
                <w:sz w:val="16"/>
                <w:szCs w:val="16"/>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5"/>
              </w:rPr>
              <w:t>147,377</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-34290</wp:posOffset>
            </wp:positionV>
            <wp:extent cx="12700"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5342255</wp:posOffset>
            </wp:positionH>
            <wp:positionV relativeFrom="paragraph">
              <wp:posOffset>-34290</wp:posOffset>
            </wp:positionV>
            <wp:extent cx="12700"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6910705</wp:posOffset>
            </wp:positionH>
            <wp:positionV relativeFrom="paragraph">
              <wp:posOffset>-34290</wp:posOffset>
            </wp:positionV>
            <wp:extent cx="12700"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-34290</wp:posOffset>
            </wp:positionV>
            <wp:extent cx="12700"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BROCADE COMMUNICATIONS SYSTEMS,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Operations of Brocade</w:t>
      </w:r>
    </w:p>
    <w:p>
      <w:pPr>
        <w:spacing w:after="0" w:line="204" w:lineRule="exact"/>
        <w:rPr>
          <w:sz w:val="20"/>
          <w:szCs w:val="20"/>
          <w:color w:val="auto"/>
        </w:rPr>
      </w:pPr>
    </w:p>
    <w:p>
      <w:pPr>
        <w:ind w:right="80" w:firstLine="189"/>
        <w:spacing w:after="0" w:line="289" w:lineRule="auto"/>
        <w:rPr>
          <w:sz w:val="20"/>
          <w:szCs w:val="20"/>
          <w:color w:val="auto"/>
        </w:rPr>
      </w:pPr>
      <w:r>
        <w:rPr>
          <w:rFonts w:ascii="Arial" w:cs="Arial" w:eastAsia="Arial" w:hAnsi="Arial"/>
          <w:sz w:val="14"/>
          <w:szCs w:val="14"/>
          <w:color w:val="auto"/>
        </w:rPr>
        <w:t>Brocade Communications Systems, Inc. (Brocade or the Company) is the world’s leading provider of infrastructure for Storage Area Networks (SANs), offering a product family of Fibre Channel fabric switches which provide an intelligent networking foundation for SANs. Brocade delivers products and provides education and services that allow companies to implement highly available, scalable, manageable, and secure environments for business-critical applications. The Brocade SilkWorm family of Fibre Channel fabric switches enables customers to create a high-performance SAN fabric that is highly reliable and scalable to support the interconnection of server and storage devices, providing investment protection for the customer. Brocade products are sold through original equipment manufacturer (OEM) partners, master resellers and fabric partners.</w:t>
      </w:r>
    </w:p>
    <w:p>
      <w:pPr>
        <w:spacing w:after="0" w:line="149" w:lineRule="exact"/>
        <w:rPr>
          <w:sz w:val="20"/>
          <w:szCs w:val="20"/>
          <w:color w:val="auto"/>
        </w:rPr>
      </w:pPr>
    </w:p>
    <w:p>
      <w:pPr>
        <w:ind w:right="80" w:firstLine="189"/>
        <w:spacing w:after="0" w:line="285" w:lineRule="auto"/>
        <w:rPr>
          <w:sz w:val="20"/>
          <w:szCs w:val="20"/>
          <w:color w:val="auto"/>
        </w:rPr>
      </w:pPr>
      <w:r>
        <w:rPr>
          <w:rFonts w:ascii="Arial" w:cs="Arial" w:eastAsia="Arial" w:hAnsi="Arial"/>
          <w:sz w:val="15"/>
          <w:szCs w:val="15"/>
          <w:color w:val="auto"/>
        </w:rPr>
        <w:t>Brocade was incorporated on May 14, 1999 as a Delaware corporation and is the successor to operations originally begun on August 24, 1995. The Company’s headquarters are located in San Jose, California.</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200" w:lineRule="exact"/>
        <w:rPr>
          <w:sz w:val="20"/>
          <w:szCs w:val="20"/>
          <w:color w:val="auto"/>
        </w:rPr>
      </w:pPr>
    </w:p>
    <w:p>
      <w:pPr>
        <w:ind w:right="180" w:firstLine="187"/>
        <w:spacing w:after="0" w:line="263" w:lineRule="auto"/>
        <w:rPr>
          <w:sz w:val="20"/>
          <w:szCs w:val="20"/>
          <w:color w:val="auto"/>
        </w:rPr>
      </w:pPr>
      <w:r>
        <w:rPr>
          <w:rFonts w:ascii="Arial" w:cs="Arial" w:eastAsia="Arial" w:hAnsi="Arial"/>
          <w:sz w:val="15"/>
          <w:szCs w:val="15"/>
          <w:color w:val="auto"/>
        </w:rPr>
        <w:t>The accompanying financial data as of July 27, 2002, and for the three and nine-month periods ended July 27, 2002 and July 28, 2001,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The October 27, 2001 Condensed Consolidated Balance Sheet was derived from audited consolidated financial statements, but does not include all disclosures required by generally accepted accounting principles. However, the Company believes that the disclosures are adequate to make the information presented not misleading. These Condensed Consolidated Financial Statements should be read in conjunction with the Consolidated Financial Statements and notes thereto included in the Company’s Annual Report on Form 10-K for the fiscal year ended October 27, 2001.</w:t>
      </w:r>
    </w:p>
    <w:p>
      <w:pPr>
        <w:spacing w:after="0" w:line="168" w:lineRule="exact"/>
        <w:rPr>
          <w:sz w:val="20"/>
          <w:szCs w:val="20"/>
          <w:color w:val="auto"/>
        </w:rPr>
      </w:pPr>
    </w:p>
    <w:p>
      <w:pPr>
        <w:ind w:firstLine="189"/>
        <w:spacing w:after="0" w:line="332" w:lineRule="auto"/>
        <w:rPr>
          <w:sz w:val="20"/>
          <w:szCs w:val="20"/>
          <w:color w:val="auto"/>
        </w:rPr>
      </w:pPr>
      <w:r>
        <w:rPr>
          <w:rFonts w:ascii="Arial" w:cs="Arial" w:eastAsia="Arial" w:hAnsi="Arial"/>
          <w:sz w:val="13"/>
          <w:szCs w:val="13"/>
          <w:color w:val="auto"/>
        </w:rPr>
        <w:t>In the opinion of management, all adjustments (which include only normal recurring adjustments) necessary to present a fair statement of financial position as of July 27, 2002, results of operations for the three and nine-month periods ended July 27, 2002 and July 28, 2001, and cash flows for the nine-month periods ended July 27, 2002 and July 28, 2001, have been made. The results of operations for the three and nine-month periods ended July 27, 2002 are not necessarily indicative of the operating results for the full fiscal year or any future periods.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Cash Equivalents, Short-term Investments and Long-term Investments</w:t>
      </w:r>
    </w:p>
    <w:p>
      <w:pPr>
        <w:spacing w:after="0" w:line="200" w:lineRule="exact"/>
        <w:rPr>
          <w:sz w:val="20"/>
          <w:szCs w:val="20"/>
          <w:color w:val="auto"/>
        </w:rPr>
      </w:pPr>
    </w:p>
    <w:p>
      <w:pPr>
        <w:ind w:right="120" w:firstLine="187"/>
        <w:spacing w:after="0" w:line="292" w:lineRule="auto"/>
        <w:rPr>
          <w:sz w:val="20"/>
          <w:szCs w:val="20"/>
          <w:color w:val="auto"/>
        </w:rPr>
      </w:pPr>
      <w:r>
        <w:rPr>
          <w:rFonts w:ascii="Arial" w:cs="Arial" w:eastAsia="Arial" w:hAnsi="Arial"/>
          <w:sz w:val="14"/>
          <w:szCs w:val="14"/>
          <w:color w:val="auto"/>
        </w:rPr>
        <w:t>The Company considers all highly liquid investment securities with original maturities of three months or less to be cash equivalents. Investment securities with original maturities of more than three months but less than one year are considered short-term investments. Investment securities with original maturities of one year or more are considered long-term investments. The Company’s investments consist of debt securities issued by United States government agencies. All investments are classified as available-for-sale. Unrealized gains and losses are included in accumulated other comprehensive income in the accompanying Condensed Consolidated Balance Sheets, net of any related tax effect.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Marketable Equity Securities and Other Investments</w:t>
      </w:r>
    </w:p>
    <w:p>
      <w:pPr>
        <w:spacing w:after="0" w:line="200" w:lineRule="exact"/>
        <w:rPr>
          <w:sz w:val="20"/>
          <w:szCs w:val="20"/>
          <w:color w:val="auto"/>
        </w:rPr>
      </w:pPr>
    </w:p>
    <w:p>
      <w:pPr>
        <w:ind w:right="100" w:firstLine="189"/>
        <w:spacing w:after="0" w:line="292" w:lineRule="auto"/>
        <w:rPr>
          <w:sz w:val="20"/>
          <w:szCs w:val="20"/>
          <w:color w:val="auto"/>
        </w:rPr>
      </w:pPr>
      <w:r>
        <w:rPr>
          <w:rFonts w:ascii="Arial" w:cs="Arial" w:eastAsia="Arial" w:hAnsi="Arial"/>
          <w:sz w:val="14"/>
          <w:szCs w:val="14"/>
          <w:color w:val="auto"/>
        </w:rPr>
        <w:t>Marketable equity securities consist of equity holdings in public companies and are classified as available-for-sale when there are no restrictions on the Company’s ability to immediately liquidate such securities. The fair value of marketable equity securities is determined using quoted market prices for those securities. Unrealized gains and losses are included in accumulated other comprehensive income in the accompanying Condensed Consolidated Balance Sheets, net of any related tax effect. Realized gains and losses are calculated based on the specific identification method and are included in interest and other income, net in the Condensed Consolidated Statements of Operations.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Company also has certain other minority equity investments in non-publicly traded companies. These investments are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included in other assets in the accompanying Condensed Consolidated Balance Sheets, are carried at cost, and are accounted for under the cost method. The Company holds less than</w:t>
      </w:r>
    </w:p>
    <w:p>
      <w:pPr>
        <w:spacing w:after="0" w:line="41"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20 percent of the voting equity of such companies, and neither has nor seeks control or significant influence over the respective company’s operating and financial policies. The Company monitors its investments for impairment on a quarterly basis and makes appropriate reductions in carrying values when such impairments are determined to be other-than-temporary. Factors used in determining an impairment include, but are not limited to, the current business environment including competition and uncertainty of financial condition; going concern considerations such as the inability to obtain additional private financing to fulfill the investee company’s stated business plan and cash burn rate; the need for changes to the respective investee company’s existing business model due to changing business environments and its ability to successfully implement necessary changes; and comparable valuations. If an investment is determined to be impaired, a determination is made as to whether such impairment is other-than-temporary.</w:t>
      </w:r>
    </w:p>
    <w:p>
      <w:pPr>
        <w:spacing w:after="0" w:line="153" w:lineRule="exact"/>
        <w:rPr>
          <w:sz w:val="20"/>
          <w:szCs w:val="20"/>
          <w:color w:val="auto"/>
        </w:rPr>
      </w:pPr>
    </w:p>
    <w:p>
      <w:pPr>
        <w:ind w:firstLine="189"/>
        <w:spacing w:after="0" w:line="265" w:lineRule="auto"/>
        <w:rPr>
          <w:sz w:val="20"/>
          <w:szCs w:val="20"/>
          <w:color w:val="auto"/>
        </w:rPr>
      </w:pPr>
      <w:r>
        <w:rPr>
          <w:rFonts w:ascii="Arial" w:cs="Arial" w:eastAsia="Arial" w:hAnsi="Arial"/>
          <w:sz w:val="15"/>
          <w:szCs w:val="15"/>
          <w:color w:val="auto"/>
        </w:rPr>
        <w:t>For the three and nine-month periods ended July 28, 2001, the Company recorded impairment charges of $1.2 million and $4.7 million, respectively, related to other-than-temporary declines in the fair value of certain minority equity investments in non-publicly traded companies. The impairment charges reduced the carrying value of the Company’s investments to the estimated fair value. The impairment charges are included in interest and other income, net in the accompanying Condensed Consolidated Statements of Operations. No impairment charges were recorded for the three and nine-month periods ended July 27, 2002. As of July 27, 2002, and October 27, 2001, the carrying value of the Company’s minority equity investments in non-publicly traded companies was $2.2 million.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Notes Receivable from Non-Executive Employees</w:t>
      </w:r>
    </w:p>
    <w:p>
      <w:pPr>
        <w:spacing w:after="0" w:line="200" w:lineRule="exact"/>
        <w:rPr>
          <w:sz w:val="20"/>
          <w:szCs w:val="20"/>
          <w:color w:val="auto"/>
        </w:rPr>
      </w:pPr>
    </w:p>
    <w:p>
      <w:pPr>
        <w:ind w:right="120" w:firstLine="187"/>
        <w:spacing w:after="0" w:line="267" w:lineRule="auto"/>
        <w:rPr>
          <w:sz w:val="20"/>
          <w:szCs w:val="20"/>
          <w:color w:val="auto"/>
        </w:rPr>
      </w:pPr>
      <w:r>
        <w:rPr>
          <w:rFonts w:ascii="Arial" w:cs="Arial" w:eastAsia="Arial" w:hAnsi="Arial"/>
          <w:sz w:val="15"/>
          <w:szCs w:val="15"/>
          <w:color w:val="auto"/>
        </w:rPr>
        <w:t>The Company occasionally provides loans to various employees generally related to the respective employees’ relocation to the San Francisco Bay area in connection with their employment with the Company. The loans are generally evidenced by secured promissory notes to the Company and bear interest at prevailing rates. Notes receivable from employees are included in prepaid expenses and other current assets, and other assets in the accompanying Condensed Consolidated Balance Sheets. None of these loans have been issued to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200" w:lineRule="exact"/>
        <w:rPr>
          <w:sz w:val="20"/>
          <w:szCs w:val="20"/>
          <w:color w:val="auto"/>
        </w:rPr>
      </w:pPr>
    </w:p>
    <w:p>
      <w:pPr>
        <w:ind w:right="140" w:firstLine="189"/>
        <w:spacing w:after="0" w:line="321" w:lineRule="auto"/>
        <w:rPr>
          <w:sz w:val="20"/>
          <w:szCs w:val="20"/>
          <w:color w:val="auto"/>
        </w:rPr>
      </w:pPr>
      <w:r>
        <w:rPr>
          <w:rFonts w:ascii="Arial" w:cs="Arial" w:eastAsia="Arial" w:hAnsi="Arial"/>
          <w:sz w:val="13"/>
          <w:szCs w:val="13"/>
          <w:i w:val="1"/>
          <w:iCs w:val="1"/>
          <w:color w:val="auto"/>
        </w:rPr>
        <w:t xml:space="preserve">Product revenue. </w:t>
      </w:r>
      <w:r>
        <w:rPr>
          <w:rFonts w:ascii="Arial" w:cs="Arial" w:eastAsia="Arial" w:hAnsi="Arial"/>
          <w:sz w:val="13"/>
          <w:szCs w:val="13"/>
          <w:color w:val="auto"/>
        </w:rPr>
        <w:t>Product revenue is generally recognized when persuasive evidence of an arrangement exists, delivery has occurred, fee is fixed or determinable, and collectibility is</w:t>
      </w:r>
      <w:r>
        <w:rPr>
          <w:rFonts w:ascii="Arial" w:cs="Arial" w:eastAsia="Arial" w:hAnsi="Arial"/>
          <w:sz w:val="13"/>
          <w:szCs w:val="13"/>
          <w:i w:val="1"/>
          <w:iCs w:val="1"/>
          <w:color w:val="auto"/>
        </w:rPr>
        <w:t xml:space="preserve"> </w:t>
      </w:r>
      <w:r>
        <w:rPr>
          <w:rFonts w:ascii="Arial" w:cs="Arial" w:eastAsia="Arial" w:hAnsi="Arial"/>
          <w:sz w:val="13"/>
          <w:szCs w:val="13"/>
          <w:color w:val="auto"/>
        </w:rPr>
        <w:t>probable. However, revenue recognition is deferred for shipments to new customers and for shipments to existing customers when significant support services are required to successfully integrate Brocade products into the customer’s products. These revenues, and related costs, are deferred and recognized when the customer has successfully integrated Brocade products into its product offerings and Brocade has met any support obligations. In addition, revenue from sales to master resellers is recognized upon reported sell-through.</w:t>
      </w:r>
    </w:p>
    <w:p>
      <w:pPr>
        <w:spacing w:after="0" w:line="132" w:lineRule="exact"/>
        <w:rPr>
          <w:sz w:val="20"/>
          <w:szCs w:val="20"/>
          <w:color w:val="auto"/>
        </w:rPr>
      </w:pPr>
    </w:p>
    <w:p>
      <w:pPr>
        <w:ind w:right="220" w:firstLine="189"/>
        <w:spacing w:after="0" w:line="315" w:lineRule="auto"/>
        <w:rPr>
          <w:sz w:val="20"/>
          <w:szCs w:val="20"/>
          <w:color w:val="auto"/>
        </w:rPr>
      </w:pPr>
      <w:r>
        <w:rPr>
          <w:rFonts w:ascii="Arial" w:cs="Arial" w:eastAsia="Arial" w:hAnsi="Arial"/>
          <w:sz w:val="13"/>
          <w:szCs w:val="13"/>
          <w:i w:val="1"/>
          <w:iCs w:val="1"/>
          <w:color w:val="auto"/>
        </w:rPr>
        <w:t>Service Revenue</w:t>
      </w:r>
      <w:r>
        <w:rPr>
          <w:rFonts w:ascii="Arial" w:cs="Arial" w:eastAsia="Arial" w:hAnsi="Arial"/>
          <w:sz w:val="13"/>
          <w:szCs w:val="13"/>
          <w:color w:val="auto"/>
        </w:rPr>
        <w:t>. Service revenue, which to date has not been material, consists of training, warranty, and maintenance arrangements, including post-contract customer support (PCS)</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PCS services are offered under renewable, annual fee-based contracts or as part of multiple element arrangements and typically include upgrades and enhancements to the Company’s software operating system, and telephone support. For multiple element arrangements, the Company allocates revenue to each element based upon vendor-specific objective evidence (VSOE). VSOE for each element is based upon the price charged when the element is sold separately. Service revenue, including revenue allocated to undelivered elements, is deferred and recognized ratably over the contractual period, which is generally one to three years. Training revenue is recognized upon completion of the training.</w:t>
      </w:r>
    </w:p>
    <w:p>
      <w:pPr>
        <w:spacing w:after="0" w:line="137" w:lineRule="exact"/>
        <w:rPr>
          <w:sz w:val="20"/>
          <w:szCs w:val="20"/>
          <w:color w:val="auto"/>
        </w:rPr>
      </w:pPr>
    </w:p>
    <w:p>
      <w:pPr>
        <w:ind w:right="700" w:firstLine="187"/>
        <w:spacing w:after="0" w:line="285" w:lineRule="auto"/>
        <w:rPr>
          <w:sz w:val="20"/>
          <w:szCs w:val="20"/>
          <w:color w:val="auto"/>
        </w:rPr>
      </w:pPr>
      <w:r>
        <w:rPr>
          <w:rFonts w:ascii="Arial" w:cs="Arial" w:eastAsia="Arial" w:hAnsi="Arial"/>
          <w:sz w:val="15"/>
          <w:szCs w:val="15"/>
          <w:color w:val="auto"/>
        </w:rPr>
        <w:t>The Company accrues for warranty costs and reduces revenue for estimated sales returns and other allowances at the time of shipment. Warranty costs, sales returns and other allowances are estimated based upon historical experience.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Computation of Net Income per Share</w:t>
      </w:r>
    </w:p>
    <w:p>
      <w:pPr>
        <w:spacing w:after="0" w:line="200" w:lineRule="exact"/>
        <w:rPr>
          <w:sz w:val="20"/>
          <w:szCs w:val="20"/>
          <w:color w:val="auto"/>
        </w:rPr>
      </w:pPr>
    </w:p>
    <w:p>
      <w:pPr>
        <w:ind w:right="20" w:firstLine="189"/>
        <w:spacing w:after="0" w:line="267" w:lineRule="auto"/>
        <w:rPr>
          <w:sz w:val="20"/>
          <w:szCs w:val="20"/>
          <w:color w:val="auto"/>
        </w:rPr>
      </w:pPr>
      <w:r>
        <w:rPr>
          <w:rFonts w:ascii="Arial" w:cs="Arial" w:eastAsia="Arial" w:hAnsi="Arial"/>
          <w:sz w:val="15"/>
          <w:szCs w:val="15"/>
          <w:color w:val="auto"/>
        </w:rPr>
        <w:t>Basic net income per share is computed using the weighted-average number of common shares outstanding during the period, less shares subject to repurchase. Diluted net income per share is computed using the weighted-average number of common and dilutive potential common shares outstanding during the period. Dilutive potential common shares result from the assumed exercise of outstanding stock options that have a dilutive effect on earnings per share, and from the assumed conversion of outstanding convertible debt if it has a dilutive effect on earnings per share.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Concentrations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20" w:firstLine="189"/>
        <w:spacing w:after="0" w:line="289"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equivalents, short-term and long-term investments, and accounts receivable. Cash, cash equivalents, and short-term and long-term investments are primarily maintained at four major financial institutions in the United States. Deposits held with banks may exceed the amount of insurance provided on such deposits. Generally, these deposits may be redeemed upon demand. The Company generally invests in United States government agency debt securities and limits the amount of credit exposure to any one entity. During the nine months ended July 27, 2002, the Company invested $640.8 million, primarily consisting of the proceeds from its convertible debt offering, in debt securities of three separate United States government agencies.</w:t>
      </w:r>
    </w:p>
    <w:p>
      <w:pPr>
        <w:spacing w:after="0" w:line="149" w:lineRule="exact"/>
        <w:rPr>
          <w:sz w:val="20"/>
          <w:szCs w:val="20"/>
          <w:color w:val="auto"/>
        </w:rPr>
      </w:pPr>
    </w:p>
    <w:p>
      <w:pPr>
        <w:ind w:right="420" w:firstLine="189"/>
        <w:spacing w:after="0" w:line="302" w:lineRule="auto"/>
        <w:rPr>
          <w:sz w:val="20"/>
          <w:szCs w:val="20"/>
          <w:color w:val="auto"/>
        </w:rPr>
      </w:pPr>
      <w:r>
        <w:rPr>
          <w:rFonts w:ascii="Arial" w:cs="Arial" w:eastAsia="Arial" w:hAnsi="Arial"/>
          <w:sz w:val="13"/>
          <w:szCs w:val="13"/>
          <w:color w:val="auto"/>
        </w:rPr>
        <w:t>For the quarters ended July 27, 2002 and July 28, 2001, four and three customers each contributed greater than 10 percent of the Company’s total revenues, for combined totals of 76 percent and 54 percent of total revenues, respectively. For the nine-month periods ended July 27, 2002 and July 28, 2001, four and two customers each contributed greater than</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10 percent of the Company’s total revenues, for combined totals of 73 percent and 48 percent of total revenues, respectively. The level of sales to any single customer may vary and the loss of any one of these customers, or a decrease in the level of sales to any one of these customers, could have a material adverse impact on the Company’s financial condition or results of operations.</w:t>
      </w:r>
    </w:p>
    <w:p>
      <w:pPr>
        <w:spacing w:after="0" w:line="161" w:lineRule="exact"/>
        <w:rPr>
          <w:sz w:val="20"/>
          <w:szCs w:val="20"/>
          <w:color w:val="auto"/>
        </w:rPr>
      </w:pPr>
    </w:p>
    <w:p>
      <w:pPr>
        <w:ind w:right="160" w:firstLine="181"/>
        <w:spacing w:after="0" w:line="267" w:lineRule="auto"/>
        <w:rPr>
          <w:sz w:val="20"/>
          <w:szCs w:val="20"/>
          <w:color w:val="auto"/>
        </w:rPr>
      </w:pPr>
      <w:r>
        <w:rPr>
          <w:rFonts w:ascii="Arial" w:cs="Arial" w:eastAsia="Arial" w:hAnsi="Arial"/>
          <w:sz w:val="15"/>
          <w:szCs w:val="15"/>
          <w:color w:val="auto"/>
        </w:rPr>
        <w:t>A majority of the Company’s trade receivable balance is derived from sales to OEM partners in the computer storage and server industry. As of July 27, 2002, and October 27, 2001, 72 percent and 76 percent of accounts receivable, respectively, were concentrated with five customers. The Company performs on-going credit evaluations of its customers and generally does not require collateral on accounts receivable. The Company has established reserves for credit losses and sales returns and other allowances. The Company has not experienced material credit losses in any of the periods presented.</w:t>
      </w:r>
    </w:p>
    <w:p>
      <w:pPr>
        <w:spacing w:after="0" w:line="165" w:lineRule="exact"/>
        <w:rPr>
          <w:sz w:val="20"/>
          <w:szCs w:val="20"/>
          <w:color w:val="auto"/>
        </w:rPr>
      </w:pPr>
    </w:p>
    <w:p>
      <w:pPr>
        <w:ind w:right="60" w:firstLine="187"/>
        <w:spacing w:after="0" w:line="321" w:lineRule="auto"/>
        <w:rPr>
          <w:sz w:val="20"/>
          <w:szCs w:val="20"/>
          <w:color w:val="auto"/>
        </w:rPr>
      </w:pPr>
      <w:r>
        <w:rPr>
          <w:rFonts w:ascii="Arial" w:cs="Arial" w:eastAsia="Arial" w:hAnsi="Arial"/>
          <w:sz w:val="13"/>
          <w:szCs w:val="13"/>
          <w:color w:val="auto"/>
        </w:rPr>
        <w:t>The Company’s business is concentrated in the storage area networking industry, which has been impacted by unfavorable economic conditions and reduced information technology (IT) spending rates. Accordingly, the Company’s future success depends upon the buying patterns of customers in the storage area networking industry, their response to current and future IT investment trends, and the continued demand by such customers for the Company’s products. The Company’s continued success will depend upon its ability to enhance its existing products and to develop and introduce, on a timely basis, new cost-effective products and features that keep pace with technological developments and emerging industry standards.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Comprehensive Income</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components of comprehensive income, net of tax, are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5"/>
          </w:tcPr>
          <w:p>
            <w:pPr>
              <w:jc w:val="right"/>
              <w:ind w:right="780"/>
              <w:spacing w:after="0"/>
              <w:rPr>
                <w:sz w:val="20"/>
                <w:szCs w:val="20"/>
                <w:color w:val="auto"/>
              </w:rPr>
            </w:pPr>
            <w:r>
              <w:rPr>
                <w:rFonts w:ascii="Arial" w:cs="Arial" w:eastAsia="Arial" w:hAnsi="Arial"/>
                <w:sz w:val="12"/>
                <w:szCs w:val="12"/>
                <w:b w:val="1"/>
                <w:bCs w:val="1"/>
                <w:color w:val="auto"/>
                <w:w w:val="91"/>
              </w:rPr>
              <w:t>Nine Months Ended</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5"/>
              </w:rPr>
              <w:t>July 27,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5"/>
              </w:rPr>
              <w:t>July 28,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July 27,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5"/>
              </w:rPr>
              <w:t>July 28,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2002</w:t>
            </w:r>
          </w:p>
        </w:tc>
        <w:tc>
          <w:tcPr>
            <w:tcW w:w="320" w:type="dxa"/>
            <w:vAlign w:val="bottom"/>
          </w:tcPr>
          <w:p>
            <w:pPr>
              <w:spacing w:after="0"/>
              <w:rPr>
                <w:sz w:val="13"/>
                <w:szCs w:val="13"/>
                <w:color w:val="auto"/>
              </w:rPr>
            </w:pPr>
          </w:p>
        </w:tc>
        <w:tc>
          <w:tcPr>
            <w:tcW w:w="94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2001</w:t>
            </w:r>
          </w:p>
        </w:tc>
        <w:tc>
          <w:tcPr>
            <w:tcW w:w="32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2002</w:t>
            </w:r>
          </w:p>
        </w:tc>
        <w:tc>
          <w:tcPr>
            <w:tcW w:w="60" w:type="dxa"/>
            <w:vAlign w:val="bottom"/>
          </w:tcPr>
          <w:p>
            <w:pPr>
              <w:spacing w:after="0"/>
              <w:rPr>
                <w:sz w:val="13"/>
                <w:szCs w:val="13"/>
                <w:color w:val="auto"/>
              </w:rPr>
            </w:pPr>
          </w:p>
        </w:tc>
        <w:tc>
          <w:tcPr>
            <w:tcW w:w="1400" w:type="dxa"/>
            <w:vAlign w:val="bottom"/>
            <w:gridSpan w:val="4"/>
          </w:tcPr>
          <w:p>
            <w:pPr>
              <w:jc w:val="right"/>
              <w:ind w:right="62"/>
              <w:spacing w:after="0"/>
              <w:rPr>
                <w:sz w:val="20"/>
                <w:szCs w:val="20"/>
                <w:color w:val="auto"/>
              </w:rPr>
            </w:pPr>
            <w:r>
              <w:rPr>
                <w:rFonts w:ascii="Arial" w:cs="Arial" w:eastAsia="Arial" w:hAnsi="Arial"/>
                <w:sz w:val="12"/>
                <w:szCs w:val="12"/>
                <w:b w:val="1"/>
                <w:bCs w:val="1"/>
                <w:color w:val="auto"/>
              </w:rPr>
              <w:t>2001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$18,348</w:t>
            </w:r>
          </w:p>
        </w:tc>
        <w:tc>
          <w:tcPr>
            <w:tcW w:w="32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$12,045</w:t>
            </w:r>
          </w:p>
        </w:tc>
        <w:tc>
          <w:tcPr>
            <w:tcW w:w="32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$43,997</w:t>
            </w:r>
          </w:p>
        </w:tc>
        <w:tc>
          <w:tcPr>
            <w:tcW w:w="60" w:type="dxa"/>
            <w:vAlign w:val="bottom"/>
            <w:shd w:val="clear" w:color="auto" w:fill="EEEEEE"/>
          </w:tcPr>
          <w:p>
            <w:pPr>
              <w:spacing w:after="0"/>
              <w:rPr>
                <w:sz w:val="16"/>
                <w:szCs w:val="16"/>
                <w:color w:val="auto"/>
              </w:rPr>
            </w:pPr>
          </w:p>
        </w:tc>
        <w:tc>
          <w:tcPr>
            <w:tcW w:w="140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$ 56,528</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5"/>
                <w:szCs w:val="15"/>
                <w:color w:val="auto"/>
              </w:rPr>
              <w:t>Change in net unrealized gains (losses) on marketable equity</w:t>
            </w:r>
          </w:p>
        </w:tc>
        <w:tc>
          <w:tcPr>
            <w:tcW w:w="2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shd w:val="clear" w:color="auto" w:fill="EEEEEE"/>
          </w:tcPr>
          <w:p>
            <w:pPr>
              <w:ind w:left="340"/>
              <w:spacing w:after="0"/>
              <w:rPr>
                <w:sz w:val="20"/>
                <w:szCs w:val="20"/>
                <w:color w:val="auto"/>
              </w:rPr>
            </w:pPr>
            <w:r>
              <w:rPr>
                <w:rFonts w:ascii="Arial" w:cs="Arial" w:eastAsia="Arial" w:hAnsi="Arial"/>
                <w:sz w:val="15"/>
                <w:szCs w:val="15"/>
                <w:color w:val="auto"/>
              </w:rPr>
              <w:t>securities and investments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9,241</w:t>
            </w:r>
          </w:p>
        </w:tc>
        <w:tc>
          <w:tcPr>
            <w:tcW w:w="320" w:type="dxa"/>
            <w:vAlign w:val="bottom"/>
            <w:shd w:val="clear" w:color="auto" w:fill="EEEEEE"/>
          </w:tcPr>
          <w:p>
            <w:pPr>
              <w:spacing w:after="0"/>
              <w:rPr>
                <w:sz w:val="16"/>
                <w:szCs w:val="16"/>
                <w:color w:val="auto"/>
              </w:rPr>
            </w:pPr>
          </w:p>
        </w:tc>
        <w:tc>
          <w:tcPr>
            <w:tcW w:w="1260" w:type="dxa"/>
            <w:vAlign w:val="bottom"/>
            <w:gridSpan w:val="4"/>
            <w:shd w:val="clear" w:color="auto" w:fill="EEEEEE"/>
          </w:tcPr>
          <w:p>
            <w:pPr>
              <w:jc w:val="right"/>
              <w:ind w:right="280"/>
              <w:spacing w:after="0"/>
              <w:rPr>
                <w:sz w:val="20"/>
                <w:szCs w:val="20"/>
                <w:color w:val="auto"/>
              </w:rPr>
            </w:pPr>
            <w:r>
              <w:rPr>
                <w:rFonts w:ascii="Arial" w:cs="Arial" w:eastAsia="Arial" w:hAnsi="Arial"/>
                <w:sz w:val="15"/>
                <w:szCs w:val="15"/>
                <w:color w:val="auto"/>
              </w:rPr>
              <w:t>(786)</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9,613</w:t>
            </w:r>
          </w:p>
        </w:tc>
        <w:tc>
          <w:tcPr>
            <w:tcW w:w="60" w:type="dxa"/>
            <w:vAlign w:val="bottom"/>
            <w:shd w:val="clear" w:color="auto" w:fill="EEEEEE"/>
          </w:tcPr>
          <w:p>
            <w:pPr>
              <w:spacing w:after="0"/>
              <w:rPr>
                <w:sz w:val="16"/>
                <w:szCs w:val="16"/>
                <w:color w:val="auto"/>
              </w:rPr>
            </w:pPr>
          </w:p>
        </w:tc>
        <w:tc>
          <w:tcPr>
            <w:tcW w:w="1820" w:type="dxa"/>
            <w:vAlign w:val="bottom"/>
            <w:gridSpan w:val="5"/>
            <w:shd w:val="clear" w:color="auto" w:fill="EEEEEE"/>
          </w:tcPr>
          <w:p>
            <w:pPr>
              <w:jc w:val="right"/>
              <w:ind w:right="360"/>
              <w:spacing w:after="0"/>
              <w:rPr>
                <w:sz w:val="20"/>
                <w:szCs w:val="20"/>
                <w:color w:val="auto"/>
              </w:rPr>
            </w:pPr>
            <w:r>
              <w:rPr>
                <w:rFonts w:ascii="Arial" w:cs="Arial" w:eastAsia="Arial" w:hAnsi="Arial"/>
                <w:sz w:val="15"/>
                <w:szCs w:val="15"/>
                <w:color w:val="auto"/>
              </w:rPr>
              <w:t>(30,666)</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20" w:type="dxa"/>
            <w:vAlign w:val="bottom"/>
          </w:tcPr>
          <w:p>
            <w:pPr>
              <w:ind w:left="220"/>
              <w:spacing w:after="0"/>
              <w:rPr>
                <w:sz w:val="20"/>
                <w:szCs w:val="20"/>
                <w:color w:val="auto"/>
              </w:rPr>
            </w:pPr>
            <w:r>
              <w:rPr>
                <w:rFonts w:ascii="Arial" w:cs="Arial" w:eastAsia="Arial" w:hAnsi="Arial"/>
                <w:sz w:val="15"/>
                <w:szCs w:val="15"/>
                <w:color w:val="auto"/>
              </w:rPr>
              <w:t>Reclassification adjustment for gains previously included in net</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tcPr>
          <w:p>
            <w:pPr>
              <w:ind w:left="340"/>
              <w:spacing w:after="0"/>
              <w:rPr>
                <w:sz w:val="20"/>
                <w:szCs w:val="20"/>
                <w:color w:val="auto"/>
              </w:rPr>
            </w:pPr>
            <w:r>
              <w:rPr>
                <w:rFonts w:ascii="Arial" w:cs="Arial" w:eastAsia="Arial" w:hAnsi="Arial"/>
                <w:sz w:val="15"/>
                <w:szCs w:val="15"/>
                <w:color w:val="auto"/>
              </w:rPr>
              <w:t>income</w:t>
            </w:r>
          </w:p>
        </w:tc>
        <w:tc>
          <w:tcPr>
            <w:tcW w:w="26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632</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400" w:type="dxa"/>
            <w:vAlign w:val="bottom"/>
            <w:gridSpan w:val="4"/>
          </w:tcPr>
          <w:p>
            <w:pPr>
              <w:jc w:val="right"/>
              <w:spacing w:after="0"/>
              <w:rPr>
                <w:sz w:val="20"/>
                <w:szCs w:val="20"/>
                <w:color w:val="auto"/>
              </w:rPr>
            </w:pPr>
            <w:r>
              <w:rPr>
                <w:rFonts w:ascii="Arial" w:cs="Arial" w:eastAsia="Arial" w:hAnsi="Arial"/>
                <w:sz w:val="15"/>
                <w:szCs w:val="15"/>
                <w:color w:val="auto"/>
              </w:rPr>
              <w:t>4,642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5"/>
                <w:szCs w:val="15"/>
                <w:color w:val="auto"/>
              </w:rPr>
              <w:t>Total comprehensive income</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$27,589</w:t>
            </w:r>
          </w:p>
        </w:tc>
        <w:tc>
          <w:tcPr>
            <w:tcW w:w="32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$11,891</w:t>
            </w:r>
          </w:p>
        </w:tc>
        <w:tc>
          <w:tcPr>
            <w:tcW w:w="32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$53,610</w:t>
            </w:r>
          </w:p>
        </w:tc>
        <w:tc>
          <w:tcPr>
            <w:tcW w:w="60" w:type="dxa"/>
            <w:vAlign w:val="bottom"/>
            <w:shd w:val="clear" w:color="auto" w:fill="EEEEEE"/>
          </w:tcPr>
          <w:p>
            <w:pPr>
              <w:spacing w:after="0"/>
              <w:rPr>
                <w:sz w:val="16"/>
                <w:szCs w:val="16"/>
                <w:color w:val="auto"/>
              </w:rPr>
            </w:pPr>
          </w:p>
        </w:tc>
        <w:tc>
          <w:tcPr>
            <w:tcW w:w="140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$ 30,504</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12700"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-34290</wp:posOffset>
            </wp:positionV>
            <wp:extent cx="12700"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4713605</wp:posOffset>
            </wp:positionH>
            <wp:positionV relativeFrom="paragraph">
              <wp:posOffset>-34290</wp:posOffset>
            </wp:positionV>
            <wp:extent cx="12700"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-34290</wp:posOffset>
            </wp:positionV>
            <wp:extent cx="12700"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5512435</wp:posOffset>
            </wp:positionH>
            <wp:positionV relativeFrom="paragraph">
              <wp:posOffset>-34290</wp:posOffset>
            </wp:positionV>
            <wp:extent cx="12700"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-34290</wp:posOffset>
            </wp:positionV>
            <wp:extent cx="12700"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6444615</wp:posOffset>
            </wp:positionH>
            <wp:positionV relativeFrom="paragraph">
              <wp:posOffset>-34290</wp:posOffset>
            </wp:positionV>
            <wp:extent cx="12700"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6148705</wp:posOffset>
            </wp:positionH>
            <wp:positionV relativeFrom="paragraph">
              <wp:posOffset>-34290</wp:posOffset>
            </wp:positionV>
            <wp:extent cx="12700"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Reclassifications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Certain prior year amounts have been reclassified to conform to the current year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Accounting Pronouncements</w:t>
      </w:r>
    </w:p>
    <w:p>
      <w:pPr>
        <w:spacing w:after="0" w:line="200" w:lineRule="exact"/>
        <w:rPr>
          <w:sz w:val="20"/>
          <w:szCs w:val="20"/>
          <w:color w:val="auto"/>
        </w:rPr>
      </w:pPr>
    </w:p>
    <w:p>
      <w:pPr>
        <w:ind w:right="20" w:firstLine="189"/>
        <w:spacing w:after="0" w:line="286" w:lineRule="auto"/>
        <w:rPr>
          <w:sz w:val="20"/>
          <w:szCs w:val="20"/>
          <w:color w:val="auto"/>
        </w:rPr>
      </w:pPr>
      <w:r>
        <w:rPr>
          <w:rFonts w:ascii="Arial" w:cs="Arial" w:eastAsia="Arial" w:hAnsi="Arial"/>
          <w:sz w:val="14"/>
          <w:szCs w:val="14"/>
          <w:color w:val="auto"/>
        </w:rPr>
        <w:t>In October 2001, the Financial Accounting Standards Board (FASB) issued Statement of Financial Accounting Standards No. 144 “Accounting for the Impairment or Disposal of Long-Lived Assets” (SFAS 144). SFAS 144 supersedes SFAS No. 121 “Accounting for the Impairment of Long-Lived Assets and for Long-Lived Assets to Be Disposed Of” (SFAS 121), and certain provisions of APB Opinion No. 30 “Reporting the Results of Operations-Reporting the Effects of Disposal of a Segment of a Business, and Extraordinary, Unusual and Infrequently Occurring Events and Transactions” (APB 30). SFAS 144 establishes standards for long-lived assets to be disposed of, and redefines the valuation and presentation of discontinued operations. SFAS 144 is effective for fiscal years beginning after December 15, 2001, and interim periods within those fiscal years. Management does not expect the adoption of SFAS 144 to have a material effect on the Company’s financial position, results of operations, or cash flows.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Fair Value of Financial Instruments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tables summarize the Company’s available-for-sale securities (in thousands):</w:t>
      </w:r>
    </w:p>
    <w:p>
      <w:pPr>
        <w:spacing w:after="0" w:line="396"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80"/>
              </w:rPr>
              <w:t>Gross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2"/>
              </w:rPr>
              <w:t>Gross</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3"/>
          </w:tcPr>
          <w:p>
            <w:pPr>
              <w:jc w:val="center"/>
              <w:ind w:right="340"/>
              <w:spacing w:after="0" w:line="128" w:lineRule="exact"/>
              <w:rPr>
                <w:sz w:val="20"/>
                <w:szCs w:val="20"/>
                <w:color w:val="auto"/>
              </w:rPr>
            </w:pPr>
            <w:r>
              <w:rPr>
                <w:rFonts w:ascii="Arial" w:cs="Arial" w:eastAsia="Arial" w:hAnsi="Arial"/>
                <w:sz w:val="12"/>
                <w:szCs w:val="12"/>
                <w:b w:val="1"/>
                <w:bCs w:val="1"/>
                <w:color w:val="auto"/>
                <w:w w:val="91"/>
              </w:rPr>
              <w:t>Amortized</w:t>
            </w:r>
          </w:p>
        </w:tc>
        <w:tc>
          <w:tcPr>
            <w:tcW w:w="260" w:type="dxa"/>
            <w:vAlign w:val="bottom"/>
          </w:tcPr>
          <w:p>
            <w:pPr>
              <w:spacing w:after="0"/>
              <w:rPr>
                <w:sz w:val="11"/>
                <w:szCs w:val="11"/>
                <w:color w:val="auto"/>
              </w:rPr>
            </w:pPr>
          </w:p>
        </w:tc>
        <w:tc>
          <w:tcPr>
            <w:tcW w:w="1000" w:type="dxa"/>
            <w:vAlign w:val="bottom"/>
            <w:gridSpan w:val="5"/>
          </w:tcPr>
          <w:p>
            <w:pPr>
              <w:jc w:val="center"/>
              <w:ind w:right="20"/>
              <w:spacing w:after="0" w:line="128" w:lineRule="exact"/>
              <w:rPr>
                <w:sz w:val="20"/>
                <w:szCs w:val="20"/>
                <w:color w:val="auto"/>
              </w:rPr>
            </w:pPr>
            <w:r>
              <w:rPr>
                <w:rFonts w:ascii="Arial" w:cs="Arial" w:eastAsia="Arial" w:hAnsi="Arial"/>
                <w:sz w:val="12"/>
                <w:szCs w:val="12"/>
                <w:b w:val="1"/>
                <w:bCs w:val="1"/>
                <w:color w:val="auto"/>
                <w:w w:val="88"/>
              </w:rPr>
              <w:t>Unrealized</w:t>
            </w:r>
          </w:p>
        </w:tc>
        <w:tc>
          <w:tcPr>
            <w:tcW w:w="260" w:type="dxa"/>
            <w:vAlign w:val="bottom"/>
          </w:tcPr>
          <w:p>
            <w:pPr>
              <w:spacing w:after="0"/>
              <w:rPr>
                <w:sz w:val="11"/>
                <w:szCs w:val="11"/>
                <w:color w:val="auto"/>
              </w:rPr>
            </w:pPr>
          </w:p>
        </w:tc>
        <w:tc>
          <w:tcPr>
            <w:tcW w:w="7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Unrealized</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2"/>
              </w:rPr>
              <w:t>Cost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9"/>
              </w:rPr>
              <w:t>Gains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2"/>
              </w:rPr>
              <w:t>Losses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July 27, 2002</w:t>
            </w: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U.S. government agency debt securities</w:t>
            </w:r>
          </w:p>
        </w:tc>
        <w:tc>
          <w:tcPr>
            <w:tcW w:w="840" w:type="dxa"/>
            <w:vAlign w:val="bottom"/>
            <w:gridSpan w:val="3"/>
          </w:tcPr>
          <w:p>
            <w:pPr>
              <w:jc w:val="right"/>
              <w:ind w:right="20"/>
              <w:spacing w:after="0"/>
              <w:rPr>
                <w:sz w:val="20"/>
                <w:szCs w:val="20"/>
                <w:color w:val="auto"/>
              </w:rPr>
            </w:pPr>
            <w:r>
              <w:rPr>
                <w:rFonts w:ascii="Arial" w:cs="Arial" w:eastAsia="Arial" w:hAnsi="Arial"/>
                <w:sz w:val="15"/>
                <w:szCs w:val="15"/>
                <w:color w:val="auto"/>
              </w:rPr>
              <w:t>$669,479</w:t>
            </w:r>
          </w:p>
        </w:tc>
        <w:tc>
          <w:tcPr>
            <w:tcW w:w="40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17,046</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686,525</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5"/>
                <w:szCs w:val="15"/>
                <w:color w:val="auto"/>
              </w:rPr>
              <w:t>Marketable equity securities</w:t>
            </w:r>
          </w:p>
        </w:tc>
        <w:tc>
          <w:tcPr>
            <w:tcW w:w="84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rPr>
              <w:t>347</w:t>
            </w:r>
          </w:p>
        </w:tc>
        <w:tc>
          <w:tcPr>
            <w:tcW w:w="4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40" w:type="dxa"/>
            <w:vAlign w:val="bottom"/>
            <w:gridSpan w:val="3"/>
            <w:shd w:val="clear" w:color="auto" w:fill="EEEEEE"/>
          </w:tcPr>
          <w:p>
            <w:pPr>
              <w:ind w:lef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ind w:right="240"/>
              <w:spacing w:after="0"/>
              <w:rPr>
                <w:sz w:val="20"/>
                <w:szCs w:val="20"/>
                <w:color w:val="auto"/>
              </w:rPr>
            </w:pPr>
            <w:r>
              <w:rPr>
                <w:rFonts w:ascii="Arial" w:cs="Arial" w:eastAsia="Arial" w:hAnsi="Arial"/>
                <w:sz w:val="15"/>
                <w:szCs w:val="15"/>
                <w:color w:val="auto"/>
                <w:w w:val="85"/>
              </w:rPr>
              <w:t>(154)</w:t>
            </w: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193</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80" w:type="dxa"/>
            <w:vAlign w:val="bottom"/>
          </w:tcPr>
          <w:p>
            <w:pPr>
              <w:ind w:left="460"/>
              <w:spacing w:after="0"/>
              <w:rPr>
                <w:sz w:val="20"/>
                <w:szCs w:val="20"/>
                <w:color w:val="auto"/>
              </w:rPr>
            </w:pPr>
            <w:r>
              <w:rPr>
                <w:rFonts w:ascii="Arial" w:cs="Arial" w:eastAsia="Arial" w:hAnsi="Arial"/>
                <w:sz w:val="15"/>
                <w:szCs w:val="15"/>
                <w:color w:val="auto"/>
              </w:rPr>
              <w:t>Total</w:t>
            </w:r>
          </w:p>
        </w:tc>
        <w:tc>
          <w:tcPr>
            <w:tcW w:w="840" w:type="dxa"/>
            <w:vAlign w:val="bottom"/>
            <w:gridSpan w:val="3"/>
          </w:tcPr>
          <w:p>
            <w:pPr>
              <w:jc w:val="right"/>
              <w:ind w:right="20"/>
              <w:spacing w:after="0"/>
              <w:rPr>
                <w:sz w:val="20"/>
                <w:szCs w:val="20"/>
                <w:color w:val="auto"/>
              </w:rPr>
            </w:pPr>
            <w:r>
              <w:rPr>
                <w:rFonts w:ascii="Arial" w:cs="Arial" w:eastAsia="Arial" w:hAnsi="Arial"/>
                <w:sz w:val="15"/>
                <w:szCs w:val="15"/>
                <w:color w:val="auto"/>
              </w:rPr>
              <w:t>$669,826</w:t>
            </w:r>
          </w:p>
        </w:tc>
        <w:tc>
          <w:tcPr>
            <w:tcW w:w="400" w:type="dxa"/>
            <w:vAlign w:val="bottom"/>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17,046</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5"/>
                <w:szCs w:val="15"/>
                <w:color w:val="auto"/>
                <w:w w:val="85"/>
              </w:rPr>
              <w:t>(154)</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686,718</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5"/>
                <w:szCs w:val="15"/>
                <w:color w:val="auto"/>
              </w:rPr>
              <w:t>Reported as:</w:t>
            </w: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Pr>
          <w:p>
            <w:pPr>
              <w:ind w:left="220"/>
              <w:spacing w:after="0"/>
              <w:rPr>
                <w:sz w:val="20"/>
                <w:szCs w:val="20"/>
                <w:color w:val="auto"/>
              </w:rPr>
            </w:pPr>
            <w:r>
              <w:rPr>
                <w:rFonts w:ascii="Arial" w:cs="Arial" w:eastAsia="Arial" w:hAnsi="Arial"/>
                <w:sz w:val="15"/>
                <w:szCs w:val="15"/>
                <w:color w:val="auto"/>
              </w:rPr>
              <w:t>Short-term investments</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76,723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5"/>
                <w:szCs w:val="15"/>
                <w:color w:val="auto"/>
              </w:rPr>
              <w:t>Marketable equity securities</w:t>
            </w: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193</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ind w:left="220"/>
              <w:spacing w:after="0"/>
              <w:rPr>
                <w:sz w:val="20"/>
                <w:szCs w:val="20"/>
                <w:color w:val="auto"/>
              </w:rPr>
            </w:pPr>
            <w:r>
              <w:rPr>
                <w:rFonts w:ascii="Arial" w:cs="Arial" w:eastAsia="Arial" w:hAnsi="Arial"/>
                <w:sz w:val="15"/>
                <w:szCs w:val="15"/>
                <w:color w:val="auto"/>
              </w:rPr>
              <w:t>Long-term Investments</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609,802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shd w:val="clear" w:color="auto" w:fill="EEEEEE"/>
          </w:tcPr>
          <w:p>
            <w:pPr>
              <w:ind w:left="460"/>
              <w:spacing w:after="0"/>
              <w:rPr>
                <w:sz w:val="20"/>
                <w:szCs w:val="20"/>
                <w:color w:val="auto"/>
              </w:rPr>
            </w:pPr>
            <w:r>
              <w:rPr>
                <w:rFonts w:ascii="Arial" w:cs="Arial" w:eastAsia="Arial" w:hAnsi="Arial"/>
                <w:sz w:val="15"/>
                <w:szCs w:val="15"/>
                <w:color w:val="auto"/>
              </w:rPr>
              <w:t>Total</w:t>
            </w: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686,718</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7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October 27, 2001</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4700" w:type="dxa"/>
            <w:vAlign w:val="bottom"/>
            <w:gridSpan w:val="2"/>
            <w:vMerge w:val="continue"/>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5"/>
                <w:szCs w:val="15"/>
                <w:color w:val="auto"/>
              </w:rPr>
              <w:t>U.S. government agency debt securities</w:t>
            </w:r>
          </w:p>
        </w:tc>
        <w:tc>
          <w:tcPr>
            <w:tcW w:w="84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rPr>
              <w:t>$104,493</w:t>
            </w:r>
          </w:p>
        </w:tc>
        <w:tc>
          <w:tcPr>
            <w:tcW w:w="400" w:type="dxa"/>
            <w:vAlign w:val="bottom"/>
            <w:shd w:val="clear" w:color="auto" w:fill="EEEEEE"/>
          </w:tcPr>
          <w:p>
            <w:pPr>
              <w:spacing w:after="0"/>
              <w:rPr>
                <w:sz w:val="16"/>
                <w:szCs w:val="16"/>
                <w:color w:val="auto"/>
              </w:rPr>
            </w:pPr>
          </w:p>
        </w:tc>
        <w:tc>
          <w:tcPr>
            <w:tcW w:w="52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537</w:t>
            </w: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gridSpan w:val="2"/>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105,030</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Marketable equity securities</w:t>
            </w:r>
          </w:p>
        </w:tc>
        <w:tc>
          <w:tcPr>
            <w:tcW w:w="840" w:type="dxa"/>
            <w:vAlign w:val="bottom"/>
            <w:gridSpan w:val="3"/>
          </w:tcPr>
          <w:p>
            <w:pPr>
              <w:jc w:val="right"/>
              <w:ind w:right="20"/>
              <w:spacing w:after="0"/>
              <w:rPr>
                <w:sz w:val="20"/>
                <w:szCs w:val="20"/>
                <w:color w:val="auto"/>
              </w:rPr>
            </w:pPr>
            <w:r>
              <w:rPr>
                <w:rFonts w:ascii="Arial" w:cs="Arial" w:eastAsia="Arial" w:hAnsi="Arial"/>
                <w:sz w:val="15"/>
                <w:szCs w:val="15"/>
                <w:color w:val="auto"/>
              </w:rPr>
              <w:t>347</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5"/>
                <w:szCs w:val="15"/>
                <w:color w:val="auto"/>
              </w:rPr>
              <w:t>(39)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332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shd w:val="clear" w:color="auto" w:fill="EEEEEE"/>
          </w:tcPr>
          <w:p>
            <w:pPr>
              <w:ind w:left="460"/>
              <w:spacing w:after="0"/>
              <w:rPr>
                <w:sz w:val="20"/>
                <w:szCs w:val="20"/>
                <w:color w:val="auto"/>
              </w:rPr>
            </w:pPr>
            <w:r>
              <w:rPr>
                <w:rFonts w:ascii="Arial" w:cs="Arial" w:eastAsia="Arial" w:hAnsi="Arial"/>
                <w:sz w:val="15"/>
                <w:szCs w:val="15"/>
                <w:color w:val="auto"/>
              </w:rPr>
              <w:t>Total</w:t>
            </w:r>
          </w:p>
        </w:tc>
        <w:tc>
          <w:tcPr>
            <w:tcW w:w="84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rPr>
              <w:t>$104,840</w:t>
            </w:r>
          </w:p>
        </w:tc>
        <w:tc>
          <w:tcPr>
            <w:tcW w:w="400" w:type="dxa"/>
            <w:vAlign w:val="bottom"/>
            <w:shd w:val="clear" w:color="auto" w:fill="EEEEEE"/>
          </w:tcPr>
          <w:p>
            <w:pPr>
              <w:spacing w:after="0"/>
              <w:rPr>
                <w:sz w:val="16"/>
                <w:szCs w:val="16"/>
                <w:color w:val="auto"/>
              </w:rPr>
            </w:pPr>
          </w:p>
        </w:tc>
        <w:tc>
          <w:tcPr>
            <w:tcW w:w="52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561</w:t>
            </w: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gridSpan w:val="2"/>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EEEEEE"/>
          </w:tcPr>
          <w:p>
            <w:pPr>
              <w:jc w:val="right"/>
              <w:ind w:right="240"/>
              <w:spacing w:after="0"/>
              <w:rPr>
                <w:sz w:val="20"/>
                <w:szCs w:val="20"/>
                <w:color w:val="auto"/>
              </w:rPr>
            </w:pPr>
            <w:r>
              <w:rPr>
                <w:rFonts w:ascii="Arial" w:cs="Arial" w:eastAsia="Arial" w:hAnsi="Arial"/>
                <w:sz w:val="15"/>
                <w:szCs w:val="15"/>
                <w:color w:val="auto"/>
              </w:rPr>
              <w:t>(39)</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105,362</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700" w:type="dxa"/>
            <w:vAlign w:val="bottom"/>
            <w:gridSpan w:val="2"/>
            <w:vMerge w:val="restart"/>
          </w:tcPr>
          <w:p>
            <w:pPr>
              <w:spacing w:after="0"/>
              <w:rPr>
                <w:sz w:val="20"/>
                <w:szCs w:val="20"/>
                <w:color w:val="auto"/>
              </w:rPr>
            </w:pPr>
            <w:r>
              <w:rPr>
                <w:rFonts w:ascii="Arial" w:cs="Arial" w:eastAsia="Arial" w:hAnsi="Arial"/>
                <w:sz w:val="15"/>
                <w:szCs w:val="15"/>
                <w:color w:val="auto"/>
              </w:rPr>
              <w:t>Reported as:</w:t>
            </w:r>
          </w:p>
        </w:tc>
        <w:tc>
          <w:tcPr>
            <w:tcW w:w="3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4700" w:type="dxa"/>
            <w:vAlign w:val="bottom"/>
            <w:gridSpan w:val="2"/>
            <w:vMerge w:val="continue"/>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5"/>
                <w:szCs w:val="15"/>
                <w:color w:val="auto"/>
              </w:rPr>
              <w:t>Short-term investments</w:t>
            </w: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105,030</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ind w:left="220"/>
              <w:spacing w:after="0"/>
              <w:rPr>
                <w:sz w:val="20"/>
                <w:szCs w:val="20"/>
                <w:color w:val="auto"/>
              </w:rPr>
            </w:pPr>
            <w:r>
              <w:rPr>
                <w:rFonts w:ascii="Arial" w:cs="Arial" w:eastAsia="Arial" w:hAnsi="Arial"/>
                <w:sz w:val="15"/>
                <w:szCs w:val="15"/>
                <w:color w:val="auto"/>
              </w:rPr>
              <w:t>Marketable equity securities</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332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shd w:val="clear" w:color="auto" w:fill="EEEEEE"/>
          </w:tcPr>
          <w:p>
            <w:pPr>
              <w:ind w:left="460"/>
              <w:spacing w:after="0"/>
              <w:rPr>
                <w:sz w:val="20"/>
                <w:szCs w:val="20"/>
                <w:color w:val="auto"/>
              </w:rPr>
            </w:pPr>
            <w:r>
              <w:rPr>
                <w:rFonts w:ascii="Arial" w:cs="Arial" w:eastAsia="Arial" w:hAnsi="Arial"/>
                <w:sz w:val="15"/>
                <w:szCs w:val="15"/>
                <w:color w:val="auto"/>
              </w:rPr>
              <w:t>Total</w:t>
            </w: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105,362</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4047490</wp:posOffset>
            </wp:positionH>
            <wp:positionV relativeFrom="paragraph">
              <wp:posOffset>-2394585</wp:posOffset>
            </wp:positionV>
            <wp:extent cx="12700"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-2394585</wp:posOffset>
            </wp:positionV>
            <wp:extent cx="12700"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-2394585</wp:posOffset>
            </wp:positionV>
            <wp:extent cx="12700"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-2394585</wp:posOffset>
            </wp:positionV>
            <wp:extent cx="12700"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-2394585</wp:posOffset>
            </wp:positionV>
            <wp:extent cx="12700"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-2394585</wp:posOffset>
            </wp:positionV>
            <wp:extent cx="12700"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6444615</wp:posOffset>
            </wp:positionH>
            <wp:positionV relativeFrom="paragraph">
              <wp:posOffset>-2394585</wp:posOffset>
            </wp:positionV>
            <wp:extent cx="12700"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-2394585</wp:posOffset>
            </wp:positionV>
            <wp:extent cx="12700"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6444615</wp:posOffset>
            </wp:positionH>
            <wp:positionV relativeFrom="paragraph">
              <wp:posOffset>-1529080</wp:posOffset>
            </wp:positionV>
            <wp:extent cx="12700"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-1529080</wp:posOffset>
            </wp:positionV>
            <wp:extent cx="12700"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-781685</wp:posOffset>
            </wp:positionV>
            <wp:extent cx="12700"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-781685</wp:posOffset>
            </wp:positionV>
            <wp:extent cx="12700"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-781685</wp:posOffset>
            </wp:positionV>
            <wp:extent cx="1270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-781685</wp:posOffset>
            </wp:positionV>
            <wp:extent cx="12700"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-781685</wp:posOffset>
            </wp:positionV>
            <wp:extent cx="12700"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-781685</wp:posOffset>
            </wp:positionV>
            <wp:extent cx="12700"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6444615</wp:posOffset>
            </wp:positionH>
            <wp:positionV relativeFrom="paragraph">
              <wp:posOffset>-781685</wp:posOffset>
            </wp:positionV>
            <wp:extent cx="12700"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-781685</wp:posOffset>
            </wp:positionV>
            <wp:extent cx="12700"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6444615</wp:posOffset>
            </wp:positionH>
            <wp:positionV relativeFrom="paragraph">
              <wp:posOffset>-34290</wp:posOffset>
            </wp:positionV>
            <wp:extent cx="1270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-34290</wp:posOffset>
            </wp:positionV>
            <wp:extent cx="12700"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ind w:right="200" w:firstLine="189"/>
        <w:spacing w:after="0" w:line="292" w:lineRule="auto"/>
        <w:rPr>
          <w:sz w:val="20"/>
          <w:szCs w:val="20"/>
          <w:color w:val="auto"/>
        </w:rPr>
      </w:pPr>
      <w:r>
        <w:rPr>
          <w:rFonts w:ascii="Arial" w:cs="Arial" w:eastAsia="Arial" w:hAnsi="Arial"/>
          <w:sz w:val="14"/>
          <w:szCs w:val="14"/>
          <w:color w:val="auto"/>
        </w:rPr>
        <w:t>No gains or losses were realized for the three and nine-month periods ended July 27, 2002. For the three and nine-month periods ended July 28, 2001, gross gains of $0.9 million and $6.6 million, respectively, were realized on the sale of marketable equity securities and are included in interest and other income, net in the accompanying Condensed Consolidated Statements of Operations. As of July 27, 2002, and October 27, 2001, net unrealized holding gains of $16.9 million and $0.5 million, respectively, were included in accumulated other comprehensive income in the accompanying Condensed Consolidated Balance Sheets, net of any related tax effect.</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following table summarizes maturities of the Company’s investments in debt securities issued by United States government agencies as of July 27, 2002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2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8"/>
              </w:rPr>
              <w:t>Amortized</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gridSpan w:val="2"/>
          </w:tcPr>
          <w:p>
            <w:pPr>
              <w:jc w:val="center"/>
              <w:ind w:right="900"/>
              <w:spacing w:after="0"/>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3"/>
          </w:tcPr>
          <w:p>
            <w:pPr>
              <w:jc w:val="center"/>
              <w:ind w:right="880"/>
              <w:spacing w:after="0"/>
              <w:rPr>
                <w:sz w:val="20"/>
                <w:szCs w:val="20"/>
                <w:color w:val="auto"/>
              </w:rPr>
            </w:pPr>
            <w:r>
              <w:rPr>
                <w:rFonts w:ascii="Arial" w:cs="Arial" w:eastAsia="Arial" w:hAnsi="Arial"/>
                <w:sz w:val="12"/>
                <w:szCs w:val="12"/>
                <w:b w:val="1"/>
                <w:bCs w:val="1"/>
                <w:color w:val="auto"/>
                <w:w w:val="89"/>
              </w:rPr>
              <w:t>Cost</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4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5"/>
                <w:szCs w:val="15"/>
                <w:color w:val="auto"/>
              </w:rPr>
              <w:t>Less than one year</w:t>
            </w: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76,275</w:t>
            </w:r>
          </w:p>
        </w:tc>
        <w:tc>
          <w:tcPr>
            <w:tcW w:w="2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76,723</w:t>
            </w:r>
          </w:p>
        </w:tc>
        <w:tc>
          <w:tcPr>
            <w:tcW w:w="9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Due in 1 - 2 years</w:t>
            </w:r>
          </w:p>
        </w:tc>
        <w:tc>
          <w:tcPr>
            <w:tcW w:w="8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46,031</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47,151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5"/>
                <w:szCs w:val="15"/>
                <w:color w:val="auto"/>
              </w:rPr>
              <w:t>Due in 2 - 3 years</w:t>
            </w:r>
          </w:p>
        </w:tc>
        <w:tc>
          <w:tcPr>
            <w:tcW w:w="8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547,173</w:t>
            </w:r>
          </w:p>
        </w:tc>
        <w:tc>
          <w:tcPr>
            <w:tcW w:w="2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562,651</w:t>
            </w:r>
          </w:p>
        </w:tc>
        <w:tc>
          <w:tcPr>
            <w:tcW w:w="9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80" w:type="dxa"/>
            <w:vAlign w:val="bottom"/>
          </w:tcPr>
          <w:p>
            <w:pPr>
              <w:ind w:left="400"/>
              <w:spacing w:after="0"/>
              <w:rPr>
                <w:sz w:val="20"/>
                <w:szCs w:val="20"/>
                <w:color w:val="auto"/>
              </w:rPr>
            </w:pPr>
            <w:r>
              <w:rPr>
                <w:rFonts w:ascii="Arial" w:cs="Arial" w:eastAsia="Arial" w:hAnsi="Arial"/>
                <w:sz w:val="15"/>
                <w:szCs w:val="15"/>
                <w:color w:val="auto"/>
              </w:rPr>
              <w:t>Total</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669,479</w:t>
            </w: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686,525</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-34290</wp:posOffset>
            </wp:positionV>
            <wp:extent cx="12700"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-34290</wp:posOffset>
            </wp:positionV>
            <wp:extent cx="12700"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-34290</wp:posOffset>
            </wp:positionV>
            <wp:extent cx="12700"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5822950</wp:posOffset>
            </wp:positionH>
            <wp:positionV relativeFrom="paragraph">
              <wp:posOffset>-34290</wp:posOffset>
            </wp:positionV>
            <wp:extent cx="12700"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Liabilities Associated with Facilities Lease Losses</w:t>
      </w:r>
    </w:p>
    <w:p>
      <w:pPr>
        <w:spacing w:after="0" w:line="204" w:lineRule="exact"/>
        <w:rPr>
          <w:sz w:val="20"/>
          <w:szCs w:val="20"/>
          <w:color w:val="auto"/>
        </w:rPr>
      </w:pPr>
    </w:p>
    <w:p>
      <w:pPr>
        <w:ind w:firstLine="189"/>
        <w:spacing w:after="0" w:line="267" w:lineRule="auto"/>
        <w:rPr>
          <w:sz w:val="20"/>
          <w:szCs w:val="20"/>
          <w:color w:val="auto"/>
        </w:rPr>
      </w:pPr>
      <w:r>
        <w:rPr>
          <w:rFonts w:ascii="Arial" w:cs="Arial" w:eastAsia="Arial" w:hAnsi="Arial"/>
          <w:sz w:val="15"/>
          <w:szCs w:val="15"/>
          <w:color w:val="auto"/>
        </w:rPr>
        <w:t>During the quarter ended October 27, 2001, the Company recorded a charge of $39.8 million related to estimated facilities lease losses, net of expected sublease income, and a charge of $5.7 million in connection with the impairment of certain related leasehold improvements. These estimated charges represented the low-end of an estimated range that may be adjusted upon the occurrence of future triggering events. Under certain circumstances, the high-end of this range was estimated to be $63.0 million. Triggering events may include, but are not limited to, changes in estimated time to sublease the facilities, sublease terms, and sublease rates.</w:t>
      </w:r>
    </w:p>
    <w:p>
      <w:pPr>
        <w:spacing w:after="0" w:line="165" w:lineRule="exact"/>
        <w:rPr>
          <w:sz w:val="20"/>
          <w:szCs w:val="20"/>
          <w:color w:val="auto"/>
        </w:rPr>
      </w:pPr>
    </w:p>
    <w:p>
      <w:pPr>
        <w:ind w:right="40" w:firstLine="189"/>
        <w:spacing w:after="0" w:line="321" w:lineRule="auto"/>
        <w:rPr>
          <w:sz w:val="20"/>
          <w:szCs w:val="20"/>
          <w:color w:val="auto"/>
        </w:rPr>
      </w:pPr>
      <w:r>
        <w:rPr>
          <w:rFonts w:ascii="Arial" w:cs="Arial" w:eastAsia="Arial" w:hAnsi="Arial"/>
          <w:sz w:val="13"/>
          <w:szCs w:val="13"/>
          <w:color w:val="auto"/>
        </w:rPr>
        <w:t>During the quarter ended July 27, 2002, the Company revised certain estimates and assumptions used to calculate its reserves for facilities lease losses and related asset impairment charges including those related to expected sublease rates, estimated time to sublease, expected future operating costs, and expected future use of the facilities. These revised estimates and assumptions were based on current conditions and events. The net impact of these changes in estimates and assumptions was not material. Should there be further changes in real estate market conditions or should it take longer than expected to find a suitable tenant to sublease the facilities, adjustments to the facilities lease losses reserve may be necessary in future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380"/>
          </w:cols>
          <w:pgMar w:left="240" w:top="380" w:right="27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periods based upon the then current actual events and circumstances.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following table summarizes the activity for the facilities lease losses reserve, net of expected sublease income, for the nine-month period ended July 27, 2002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1420" w:type="dxa"/>
        <w:tblCellMar>
          <w:top w:w="0" w:type="dxa"/>
          <w:left w:w="0" w:type="dxa"/>
          <w:bottom w:w="0" w:type="dxa"/>
          <w:right w:w="0" w:type="dxa"/>
        </w:tblCellMar>
      </w:tblPr>
      <w:tr>
        <w:trPr>
          <w:trHeight w:val="138"/>
        </w:trPr>
        <w:tc>
          <w:tcPr>
            <w:tcW w:w="7140" w:type="dxa"/>
            <w:vAlign w:val="bottom"/>
          </w:tcPr>
          <w:p>
            <w:pPr>
              <w:spacing w:after="0"/>
              <w:rPr>
                <w:sz w:val="12"/>
                <w:szCs w:val="12"/>
                <w:color w:val="auto"/>
              </w:rPr>
            </w:pPr>
          </w:p>
        </w:tc>
        <w:tc>
          <w:tcPr>
            <w:tcW w:w="144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Facilities</w:t>
            </w:r>
          </w:p>
        </w:tc>
      </w:tr>
      <w:tr>
        <w:trPr>
          <w:trHeight w:val="150"/>
        </w:trPr>
        <w:tc>
          <w:tcPr>
            <w:tcW w:w="7140" w:type="dxa"/>
            <w:vAlign w:val="bottom"/>
          </w:tcPr>
          <w:p>
            <w:pPr>
              <w:spacing w:after="0"/>
              <w:rPr>
                <w:sz w:val="13"/>
                <w:szCs w:val="13"/>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Lease Losses</w:t>
            </w:r>
          </w:p>
        </w:tc>
      </w:tr>
      <w:tr>
        <w:trPr>
          <w:trHeight w:val="83"/>
        </w:trPr>
        <w:tc>
          <w:tcPr>
            <w:tcW w:w="714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r>
      <w:tr>
        <w:trPr>
          <w:trHeight w:val="85"/>
        </w:trPr>
        <w:tc>
          <w:tcPr>
            <w:tcW w:w="7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186"/>
        </w:trPr>
        <w:tc>
          <w:tcPr>
            <w:tcW w:w="7140" w:type="dxa"/>
            <w:vAlign w:val="bottom"/>
            <w:shd w:val="clear" w:color="auto" w:fill="EEEEEE"/>
          </w:tcPr>
          <w:p>
            <w:pPr>
              <w:spacing w:after="0"/>
              <w:rPr>
                <w:sz w:val="20"/>
                <w:szCs w:val="20"/>
                <w:color w:val="auto"/>
              </w:rPr>
            </w:pPr>
            <w:r>
              <w:rPr>
                <w:rFonts w:ascii="Arial" w:cs="Arial" w:eastAsia="Arial" w:hAnsi="Arial"/>
                <w:sz w:val="15"/>
                <w:szCs w:val="15"/>
                <w:color w:val="auto"/>
              </w:rPr>
              <w:t>Reserve balances at October 27, 2001</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$38,834</w:t>
            </w:r>
          </w:p>
        </w:tc>
        <w:tc>
          <w:tcPr>
            <w:tcW w:w="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r>
      <w:tr>
        <w:trPr>
          <w:trHeight w:val="186"/>
        </w:trPr>
        <w:tc>
          <w:tcPr>
            <w:tcW w:w="7140" w:type="dxa"/>
            <w:vAlign w:val="bottom"/>
          </w:tcPr>
          <w:p>
            <w:pPr>
              <w:spacing w:after="0"/>
              <w:rPr>
                <w:sz w:val="20"/>
                <w:szCs w:val="20"/>
                <w:color w:val="auto"/>
              </w:rPr>
            </w:pPr>
            <w:r>
              <w:rPr>
                <w:rFonts w:ascii="Arial" w:cs="Arial" w:eastAsia="Arial" w:hAnsi="Arial"/>
                <w:sz w:val="15"/>
                <w:szCs w:val="15"/>
                <w:color w:val="auto"/>
              </w:rPr>
              <w:t>Cash payments</w:t>
            </w:r>
          </w:p>
        </w:tc>
        <w:tc>
          <w:tcPr>
            <w:tcW w:w="1440" w:type="dxa"/>
            <w:vAlign w:val="bottom"/>
            <w:gridSpan w:val="4"/>
          </w:tcPr>
          <w:p>
            <w:pPr>
              <w:jc w:val="right"/>
              <w:ind w:right="460"/>
              <w:spacing w:after="0"/>
              <w:rPr>
                <w:sz w:val="20"/>
                <w:szCs w:val="20"/>
                <w:color w:val="auto"/>
              </w:rPr>
            </w:pPr>
            <w:r>
              <w:rPr>
                <w:rFonts w:ascii="Arial" w:cs="Arial" w:eastAsia="Arial" w:hAnsi="Arial"/>
                <w:sz w:val="15"/>
                <w:szCs w:val="15"/>
                <w:color w:val="auto"/>
              </w:rPr>
              <w:t>(5,209)</w:t>
            </w:r>
          </w:p>
        </w:tc>
      </w:tr>
      <w:tr>
        <w:trPr>
          <w:trHeight w:val="186"/>
        </w:trPr>
        <w:tc>
          <w:tcPr>
            <w:tcW w:w="7140" w:type="dxa"/>
            <w:vAlign w:val="bottom"/>
            <w:shd w:val="clear" w:color="auto" w:fill="EEEEEE"/>
          </w:tcPr>
          <w:p>
            <w:pPr>
              <w:spacing w:after="0"/>
              <w:rPr>
                <w:sz w:val="20"/>
                <w:szCs w:val="20"/>
                <w:color w:val="auto"/>
              </w:rPr>
            </w:pPr>
            <w:r>
              <w:rPr>
                <w:rFonts w:ascii="Arial" w:cs="Arial" w:eastAsia="Arial" w:hAnsi="Arial"/>
                <w:sz w:val="15"/>
                <w:szCs w:val="15"/>
                <w:color w:val="auto"/>
              </w:rPr>
              <w:t>Non-cash charges and adjustments</w:t>
            </w:r>
          </w:p>
        </w:tc>
        <w:tc>
          <w:tcPr>
            <w:tcW w:w="1440" w:type="dxa"/>
            <w:vAlign w:val="bottom"/>
            <w:gridSpan w:val="4"/>
            <w:shd w:val="clear" w:color="auto" w:fill="EEEEEE"/>
          </w:tcPr>
          <w:p>
            <w:pPr>
              <w:jc w:val="right"/>
              <w:ind w:right="460"/>
              <w:spacing w:after="0"/>
              <w:rPr>
                <w:sz w:val="20"/>
                <w:szCs w:val="20"/>
                <w:color w:val="auto"/>
              </w:rPr>
            </w:pPr>
            <w:r>
              <w:rPr>
                <w:rFonts w:ascii="Arial" w:cs="Arial" w:eastAsia="Arial" w:hAnsi="Arial"/>
                <w:sz w:val="15"/>
                <w:szCs w:val="15"/>
                <w:color w:val="auto"/>
              </w:rPr>
              <w:t>(371)</w:t>
            </w:r>
          </w:p>
        </w:tc>
      </w:tr>
      <w:tr>
        <w:trPr>
          <w:trHeight w:val="93"/>
        </w:trPr>
        <w:tc>
          <w:tcPr>
            <w:tcW w:w="7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69"/>
        </w:trPr>
        <w:tc>
          <w:tcPr>
            <w:tcW w:w="7140" w:type="dxa"/>
            <w:vAlign w:val="bottom"/>
          </w:tcPr>
          <w:p>
            <w:pPr>
              <w:ind w:left="400"/>
              <w:spacing w:after="0"/>
              <w:rPr>
                <w:sz w:val="20"/>
                <w:szCs w:val="20"/>
                <w:color w:val="auto"/>
              </w:rPr>
            </w:pPr>
            <w:r>
              <w:rPr>
                <w:rFonts w:ascii="Arial" w:cs="Arial" w:eastAsia="Arial" w:hAnsi="Arial"/>
                <w:sz w:val="15"/>
                <w:szCs w:val="15"/>
                <w:color w:val="auto"/>
              </w:rPr>
              <w:t>Reserve balances at July 27, 2002</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$33,254</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27"/>
        </w:trPr>
        <w:tc>
          <w:tcPr>
            <w:tcW w:w="7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6015355</wp:posOffset>
            </wp:positionH>
            <wp:positionV relativeFrom="paragraph">
              <wp:posOffset>-34290</wp:posOffset>
            </wp:positionV>
            <wp:extent cx="12700"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-34290</wp:posOffset>
            </wp:positionV>
            <wp:extent cx="12700"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payments for facilities leases related to the above noted facilities lease losses will be paid over the respective lease terms through fiscal 2006.</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Convertible Subordinated Debt</w:t>
      </w:r>
    </w:p>
    <w:p>
      <w:pPr>
        <w:spacing w:after="0" w:line="204" w:lineRule="exact"/>
        <w:rPr>
          <w:sz w:val="20"/>
          <w:szCs w:val="20"/>
          <w:color w:val="auto"/>
        </w:rPr>
      </w:pPr>
    </w:p>
    <w:p>
      <w:pPr>
        <w:ind w:right="40" w:firstLine="189"/>
        <w:spacing w:after="0" w:line="264" w:lineRule="auto"/>
        <w:rPr>
          <w:sz w:val="20"/>
          <w:szCs w:val="20"/>
          <w:color w:val="auto"/>
        </w:rPr>
      </w:pPr>
      <w:r>
        <w:rPr>
          <w:rFonts w:ascii="Arial" w:cs="Arial" w:eastAsia="Arial" w:hAnsi="Arial"/>
          <w:sz w:val="15"/>
          <w:szCs w:val="15"/>
          <w:color w:val="auto"/>
        </w:rPr>
        <w:t>On December 21, 2001, and January 10, 2002, the Company sold, in private placements pursuant to Section 4(2) of the Securities Act of 1933, as amended, $550 million in aggregate principal amount of 2 percent convertible subordinated notes due 2007. The initial purchasers of the notes were Morgan Stanley &amp; Co. Incorporated, Goldman, Sachs &amp; Co., Salomon Smith Barney, Inc. and Merrill Lynch Pierce Fenner and Smith Incorporated, who purchased the notes from the Company at a discount of 2.25 percent of the aggregate principal amount. Holders of the notes may, in whole or in part, convert the notes into shares of the Company’s common stock at a conversion rate of 22.8571 shares per $1,000 principal amount of notes (aggregate of approximately 12.6 million shares) at any time prior to maturity on January 1, 2007. At any time on or after January 5, 2005, the Company may redeem the notes in whole or in part at the following prices expressed as a percentage of the principal amount:</w:t>
      </w:r>
    </w:p>
    <w:p>
      <w:pPr>
        <w:spacing w:after="0" w:line="372" w:lineRule="exact"/>
        <w:rPr>
          <w:sz w:val="20"/>
          <w:szCs w:val="20"/>
          <w:color w:val="auto"/>
        </w:rPr>
      </w:pPr>
    </w:p>
    <w:tbl>
      <w:tblPr>
        <w:tblLayout w:type="fixed"/>
        <w:tblInd w:w="1420" w:type="dxa"/>
        <w:tblCellMar>
          <w:top w:w="0" w:type="dxa"/>
          <w:left w:w="0" w:type="dxa"/>
          <w:bottom w:w="0" w:type="dxa"/>
          <w:right w:w="0" w:type="dxa"/>
        </w:tblCellMar>
      </w:tblPr>
      <w:tr>
        <w:trPr>
          <w:trHeight w:val="150"/>
        </w:trPr>
        <w:tc>
          <w:tcPr>
            <w:tcW w:w="7240" w:type="dxa"/>
            <w:vAlign w:val="bottom"/>
          </w:tcPr>
          <w:p>
            <w:pPr>
              <w:ind w:left="3140"/>
              <w:spacing w:after="0"/>
              <w:rPr>
                <w:sz w:val="20"/>
                <w:szCs w:val="20"/>
                <w:color w:val="auto"/>
              </w:rPr>
            </w:pPr>
            <w:r>
              <w:rPr>
                <w:rFonts w:ascii="Arial" w:cs="Arial" w:eastAsia="Arial" w:hAnsi="Arial"/>
                <w:sz w:val="12"/>
                <w:szCs w:val="12"/>
                <w:b w:val="1"/>
                <w:bCs w:val="1"/>
                <w:color w:val="auto"/>
              </w:rPr>
              <w:t>Redemption Period</w:t>
            </w:r>
          </w:p>
        </w:tc>
        <w:tc>
          <w:tcPr>
            <w:tcW w:w="400" w:type="dxa"/>
            <w:vAlign w:val="bottom"/>
          </w:tcPr>
          <w:p>
            <w:pPr>
              <w:spacing w:after="0"/>
              <w:rPr>
                <w:sz w:val="13"/>
                <w:szCs w:val="13"/>
                <w:color w:val="auto"/>
              </w:rPr>
            </w:pPr>
          </w:p>
        </w:tc>
        <w:tc>
          <w:tcPr>
            <w:tcW w:w="940" w:type="dxa"/>
            <w:vAlign w:val="bottom"/>
          </w:tcPr>
          <w:p>
            <w:pPr>
              <w:jc w:val="right"/>
              <w:ind w:right="282"/>
              <w:spacing w:after="0"/>
              <w:rPr>
                <w:sz w:val="20"/>
                <w:szCs w:val="20"/>
                <w:color w:val="auto"/>
              </w:rPr>
            </w:pPr>
            <w:r>
              <w:rPr>
                <w:rFonts w:ascii="Arial" w:cs="Arial" w:eastAsia="Arial" w:hAnsi="Arial"/>
                <w:sz w:val="12"/>
                <w:szCs w:val="12"/>
                <w:b w:val="1"/>
                <w:bCs w:val="1"/>
                <w:color w:val="auto"/>
              </w:rPr>
              <w:t>Price</w:t>
            </w:r>
          </w:p>
        </w:tc>
      </w:tr>
      <w:tr>
        <w:trPr>
          <w:trHeight w:val="83"/>
        </w:trPr>
        <w:tc>
          <w:tcPr>
            <w:tcW w:w="72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r>
      <w:tr>
        <w:trPr>
          <w:trHeight w:val="85"/>
        </w:trPr>
        <w:tc>
          <w:tcPr>
            <w:tcW w:w="7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86"/>
        </w:trPr>
        <w:tc>
          <w:tcPr>
            <w:tcW w:w="7240" w:type="dxa"/>
            <w:vAlign w:val="bottom"/>
            <w:shd w:val="clear" w:color="auto" w:fill="EEEEEE"/>
          </w:tcPr>
          <w:p>
            <w:pPr>
              <w:spacing w:after="0"/>
              <w:rPr>
                <w:sz w:val="20"/>
                <w:szCs w:val="20"/>
                <w:color w:val="auto"/>
              </w:rPr>
            </w:pPr>
            <w:r>
              <w:rPr>
                <w:rFonts w:ascii="Arial" w:cs="Arial" w:eastAsia="Arial" w:hAnsi="Arial"/>
                <w:sz w:val="15"/>
                <w:szCs w:val="15"/>
                <w:color w:val="auto"/>
              </w:rPr>
              <w:t>Beginning on January 5, 2005 and ending on December 31, 2005</w:t>
            </w:r>
          </w:p>
        </w:tc>
        <w:tc>
          <w:tcPr>
            <w:tcW w:w="1340" w:type="dxa"/>
            <w:vAlign w:val="bottom"/>
            <w:gridSpan w:val="2"/>
            <w:shd w:val="clear" w:color="auto" w:fill="EEEEEE"/>
          </w:tcPr>
          <w:p>
            <w:pPr>
              <w:jc w:val="right"/>
              <w:ind w:right="62"/>
              <w:spacing w:after="0"/>
              <w:rPr>
                <w:sz w:val="20"/>
                <w:szCs w:val="20"/>
                <w:color w:val="auto"/>
              </w:rPr>
            </w:pPr>
            <w:r>
              <w:rPr>
                <w:rFonts w:ascii="Arial" w:cs="Arial" w:eastAsia="Arial" w:hAnsi="Arial"/>
                <w:sz w:val="15"/>
                <w:szCs w:val="15"/>
                <w:color w:val="auto"/>
              </w:rPr>
              <w:t>100.80%</w:t>
            </w:r>
          </w:p>
        </w:tc>
      </w:tr>
      <w:tr>
        <w:trPr>
          <w:trHeight w:val="186"/>
        </w:trPr>
        <w:tc>
          <w:tcPr>
            <w:tcW w:w="7240" w:type="dxa"/>
            <w:vAlign w:val="bottom"/>
          </w:tcPr>
          <w:p>
            <w:pPr>
              <w:spacing w:after="0"/>
              <w:rPr>
                <w:sz w:val="20"/>
                <w:szCs w:val="20"/>
                <w:color w:val="auto"/>
              </w:rPr>
            </w:pPr>
            <w:r>
              <w:rPr>
                <w:rFonts w:ascii="Arial" w:cs="Arial" w:eastAsia="Arial" w:hAnsi="Arial"/>
                <w:sz w:val="15"/>
                <w:szCs w:val="15"/>
                <w:color w:val="auto"/>
              </w:rPr>
              <w:t>Beginning on January 1, 2006 and ending on December 31, 2006</w:t>
            </w:r>
          </w:p>
        </w:tc>
        <w:tc>
          <w:tcPr>
            <w:tcW w:w="1340" w:type="dxa"/>
            <w:vAlign w:val="bottom"/>
            <w:gridSpan w:val="2"/>
          </w:tcPr>
          <w:p>
            <w:pPr>
              <w:jc w:val="right"/>
              <w:ind w:right="62"/>
              <w:spacing w:after="0"/>
              <w:rPr>
                <w:sz w:val="20"/>
                <w:szCs w:val="20"/>
                <w:color w:val="auto"/>
              </w:rPr>
            </w:pPr>
            <w:r>
              <w:rPr>
                <w:rFonts w:ascii="Arial" w:cs="Arial" w:eastAsia="Arial" w:hAnsi="Arial"/>
                <w:sz w:val="15"/>
                <w:szCs w:val="15"/>
                <w:color w:val="auto"/>
              </w:rPr>
              <w:t>100.40%</w:t>
            </w:r>
          </w:p>
        </w:tc>
      </w:tr>
      <w:tr>
        <w:trPr>
          <w:trHeight w:val="186"/>
        </w:trPr>
        <w:tc>
          <w:tcPr>
            <w:tcW w:w="7240" w:type="dxa"/>
            <w:vAlign w:val="bottom"/>
            <w:shd w:val="clear" w:color="auto" w:fill="EEEEEE"/>
          </w:tcPr>
          <w:p>
            <w:pPr>
              <w:spacing w:after="0"/>
              <w:rPr>
                <w:sz w:val="20"/>
                <w:szCs w:val="20"/>
                <w:color w:val="auto"/>
              </w:rPr>
            </w:pPr>
            <w:r>
              <w:rPr>
                <w:rFonts w:ascii="Arial" w:cs="Arial" w:eastAsia="Arial" w:hAnsi="Arial"/>
                <w:sz w:val="15"/>
                <w:szCs w:val="15"/>
                <w:color w:val="auto"/>
              </w:rPr>
              <w:t>On January 1, 2007</w:t>
            </w:r>
          </w:p>
        </w:tc>
        <w:tc>
          <w:tcPr>
            <w:tcW w:w="1340" w:type="dxa"/>
            <w:vAlign w:val="bottom"/>
            <w:gridSpan w:val="2"/>
            <w:shd w:val="clear" w:color="auto" w:fill="EEEEEE"/>
          </w:tcPr>
          <w:p>
            <w:pPr>
              <w:jc w:val="right"/>
              <w:ind w:right="62"/>
              <w:spacing w:after="0"/>
              <w:rPr>
                <w:sz w:val="20"/>
                <w:szCs w:val="20"/>
                <w:color w:val="auto"/>
              </w:rPr>
            </w:pPr>
            <w:r>
              <w:rPr>
                <w:rFonts w:ascii="Arial" w:cs="Arial" w:eastAsia="Arial" w:hAnsi="Arial"/>
                <w:sz w:val="15"/>
                <w:szCs w:val="15"/>
                <w:color w:val="auto"/>
              </w:rPr>
              <w:t>100.00%</w:t>
            </w:r>
          </w:p>
        </w:tc>
      </w:tr>
    </w:tbl>
    <w:p>
      <w:pPr>
        <w:spacing w:after="0" w:line="179" w:lineRule="exact"/>
        <w:rPr>
          <w:sz w:val="20"/>
          <w:szCs w:val="20"/>
          <w:color w:val="auto"/>
        </w:rPr>
      </w:pPr>
    </w:p>
    <w:p>
      <w:pPr>
        <w:ind w:firstLine="187"/>
        <w:spacing w:after="0" w:line="267" w:lineRule="auto"/>
        <w:rPr>
          <w:sz w:val="20"/>
          <w:szCs w:val="20"/>
          <w:color w:val="auto"/>
        </w:rPr>
      </w:pPr>
      <w:r>
        <w:rPr>
          <w:rFonts w:ascii="Arial" w:cs="Arial" w:eastAsia="Arial" w:hAnsi="Arial"/>
          <w:sz w:val="15"/>
          <w:szCs w:val="15"/>
          <w:color w:val="auto"/>
        </w:rPr>
        <w:t>The Company is required to pay interest on January 1 and July 1 of each year, beginning July 1, 2002. Debt issuance costs of $12.4 million are being amortized over a five-year term using the straight-line method, which approximates the effective interest rate method. The amortization of debt issuance costs will accelerate upon early redemption or conversion of the notes. During the quarter ended April 27, 2002, the net proceeds of $537.6 million were invested in United States government agency debt securities. The net proceeds remain available for general corporate purposes, including working capital and capital expenditures.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Balance Sheet Detail</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Inventories consisted of the following and are shown net of reserves for excess and obsolete inventory (in thousands):</w:t>
      </w:r>
    </w:p>
    <w:p>
      <w:pPr>
        <w:spacing w:after="0" w:line="396"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gridSpan w:val="7"/>
          </w:tcPr>
          <w:p>
            <w:pPr>
              <w:jc w:val="right"/>
              <w:ind w:right="1580"/>
              <w:spacing w:after="0"/>
              <w:rPr>
                <w:sz w:val="20"/>
                <w:szCs w:val="20"/>
                <w:color w:val="auto"/>
              </w:rPr>
            </w:pPr>
            <w:r>
              <w:rPr>
                <w:rFonts w:ascii="Arial" w:cs="Arial" w:eastAsia="Arial" w:hAnsi="Arial"/>
                <w:sz w:val="12"/>
                <w:szCs w:val="12"/>
                <w:b w:val="1"/>
                <w:bCs w:val="1"/>
                <w:color w:val="auto"/>
                <w:w w:val="90"/>
              </w:rPr>
              <w:t>July 27,</w:t>
            </w:r>
          </w:p>
        </w:tc>
        <w:tc>
          <w:tcPr>
            <w:tcW w:w="1580" w:type="dxa"/>
            <w:vAlign w:val="bottom"/>
            <w:gridSpan w:val="6"/>
          </w:tcPr>
          <w:p>
            <w:pPr>
              <w:jc w:val="right"/>
              <w:ind w:right="760"/>
              <w:spacing w:after="0"/>
              <w:rPr>
                <w:sz w:val="20"/>
                <w:szCs w:val="20"/>
                <w:color w:val="auto"/>
              </w:rPr>
            </w:pPr>
            <w:r>
              <w:rPr>
                <w:rFonts w:ascii="Arial" w:cs="Arial" w:eastAsia="Arial" w:hAnsi="Arial"/>
                <w:sz w:val="12"/>
                <w:szCs w:val="12"/>
                <w:b w:val="1"/>
                <w:bCs w:val="1"/>
                <w:color w:val="auto"/>
              </w:rPr>
              <w:t>October 27,</w:t>
            </w: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240" w:type="dxa"/>
            <w:vAlign w:val="bottom"/>
          </w:tcPr>
          <w:p>
            <w:pPr>
              <w:spacing w:after="0"/>
              <w:rPr>
                <w:sz w:val="7"/>
                <w:szCs w:val="7"/>
                <w:color w:val="auto"/>
              </w:rPr>
            </w:pPr>
          </w:p>
        </w:tc>
        <w:tc>
          <w:tcPr>
            <w:tcW w:w="43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240" w:type="dxa"/>
            <w:vAlign w:val="bottom"/>
          </w:tcPr>
          <w:p>
            <w:pPr>
              <w:spacing w:after="0"/>
              <w:rPr>
                <w:sz w:val="7"/>
                <w:szCs w:val="7"/>
                <w:color w:val="auto"/>
              </w:rPr>
            </w:pPr>
          </w:p>
        </w:tc>
        <w:tc>
          <w:tcPr>
            <w:tcW w:w="4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5"/>
                <w:szCs w:val="15"/>
                <w:color w:val="auto"/>
              </w:rPr>
              <w:t>Raw materials</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$1,835</w:t>
            </w:r>
          </w:p>
        </w:tc>
        <w:tc>
          <w:tcPr>
            <w:tcW w:w="58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$ 6,572</w:t>
            </w:r>
          </w:p>
        </w:tc>
        <w:tc>
          <w:tcPr>
            <w:tcW w:w="4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5"/>
                <w:szCs w:val="15"/>
                <w:color w:val="auto"/>
              </w:rPr>
              <w:t>Finished goods</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5,229</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5"/>
                <w:szCs w:val="15"/>
                <w:color w:val="auto"/>
              </w:rPr>
              <w:t>3,735</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240" w:type="dxa"/>
            <w:vAlign w:val="bottom"/>
          </w:tcPr>
          <w:p>
            <w:pPr>
              <w:spacing w:after="0"/>
              <w:rPr>
                <w:sz w:val="7"/>
                <w:szCs w:val="7"/>
                <w:color w:val="auto"/>
              </w:rPr>
            </w:pPr>
          </w:p>
        </w:tc>
        <w:tc>
          <w:tcPr>
            <w:tcW w:w="4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240" w:type="dxa"/>
            <w:vAlign w:val="bottom"/>
          </w:tcPr>
          <w:p>
            <w:pPr>
              <w:spacing w:after="0"/>
              <w:rPr>
                <w:sz w:val="7"/>
                <w:szCs w:val="7"/>
                <w:color w:val="auto"/>
              </w:rPr>
            </w:pPr>
          </w:p>
        </w:tc>
        <w:tc>
          <w:tcPr>
            <w:tcW w:w="4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4380" w:type="dxa"/>
            <w:vAlign w:val="bottom"/>
            <w:shd w:val="clear" w:color="auto" w:fill="EEEEEE"/>
          </w:tcPr>
          <w:p>
            <w:pPr>
              <w:ind w:left="400"/>
              <w:spacing w:after="0"/>
              <w:rPr>
                <w:sz w:val="20"/>
                <w:szCs w:val="20"/>
                <w:color w:val="auto"/>
              </w:rPr>
            </w:pPr>
            <w:r>
              <w:rPr>
                <w:rFonts w:ascii="Arial" w:cs="Arial" w:eastAsia="Arial" w:hAnsi="Arial"/>
                <w:sz w:val="15"/>
                <w:szCs w:val="15"/>
                <w:color w:val="auto"/>
              </w:rPr>
              <w:t>Total</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$7,064</w:t>
            </w:r>
          </w:p>
        </w:tc>
        <w:tc>
          <w:tcPr>
            <w:tcW w:w="58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$10,307</w:t>
            </w:r>
          </w:p>
        </w:tc>
        <w:tc>
          <w:tcPr>
            <w:tcW w:w="4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620" w:type="dxa"/>
            <w:vAlign w:val="bottom"/>
            <w:gridSpan w:val="2"/>
            <w:vMerge w:val="restart"/>
          </w:tcPr>
          <w:p>
            <w:pPr>
              <w:spacing w:after="0"/>
              <w:rPr>
                <w:sz w:val="20"/>
                <w:szCs w:val="20"/>
                <w:color w:val="auto"/>
              </w:rPr>
            </w:pPr>
            <w:r>
              <w:rPr>
                <w:rFonts w:ascii="Arial" w:cs="Arial" w:eastAsia="Arial" w:hAnsi="Arial"/>
                <w:sz w:val="15"/>
                <w:szCs w:val="15"/>
                <w:color w:val="auto"/>
              </w:rPr>
              <w:t>Property and equipment, net consisted of the following (in thousands):</w:t>
            </w:r>
          </w:p>
        </w:tc>
        <w:tc>
          <w:tcPr>
            <w:tcW w:w="6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9"/>
        </w:trPr>
        <w:tc>
          <w:tcPr>
            <w:tcW w:w="56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12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July 27,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October 27,</w:t>
            </w: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300" w:type="dxa"/>
            <w:vAlign w:val="bottom"/>
            <w:gridSpan w:val="7"/>
          </w:tcPr>
          <w:p>
            <w:pPr>
              <w:jc w:val="right"/>
              <w:ind w:right="100"/>
              <w:spacing w:after="0"/>
              <w:rPr>
                <w:sz w:val="20"/>
                <w:szCs w:val="20"/>
                <w:color w:val="auto"/>
              </w:rPr>
            </w:pPr>
            <w:r>
              <w:rPr>
                <w:rFonts w:ascii="Arial" w:cs="Arial" w:eastAsia="Arial" w:hAnsi="Arial"/>
                <w:sz w:val="12"/>
                <w:szCs w:val="12"/>
                <w:b w:val="1"/>
                <w:bCs w:val="1"/>
                <w:color w:val="auto"/>
              </w:rPr>
              <w:t>2002</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27"/>
              <w:spacing w:after="0"/>
              <w:rPr>
                <w:sz w:val="20"/>
                <w:szCs w:val="20"/>
                <w:color w:val="auto"/>
              </w:rPr>
            </w:pPr>
            <w:r>
              <w:rPr>
                <w:rFonts w:ascii="Arial" w:cs="Arial" w:eastAsia="Arial" w:hAnsi="Arial"/>
                <w:sz w:val="12"/>
                <w:szCs w:val="12"/>
                <w:b w:val="1"/>
                <w:bCs w:val="1"/>
                <w:color w:val="auto"/>
              </w:rPr>
              <w:t>2001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240" w:type="dxa"/>
            <w:vAlign w:val="bottom"/>
          </w:tcPr>
          <w:p>
            <w:pPr>
              <w:spacing w:after="0"/>
              <w:rPr>
                <w:sz w:val="7"/>
                <w:szCs w:val="7"/>
                <w:color w:val="auto"/>
              </w:rPr>
            </w:pPr>
          </w:p>
        </w:tc>
        <w:tc>
          <w:tcPr>
            <w:tcW w:w="4380" w:type="dxa"/>
            <w:vAlign w:val="bottom"/>
          </w:tcPr>
          <w:p>
            <w:pPr>
              <w:spacing w:after="0"/>
              <w:rPr>
                <w:sz w:val="7"/>
                <w:szCs w:val="7"/>
                <w:color w:val="auto"/>
              </w:rPr>
            </w:pPr>
          </w:p>
        </w:tc>
        <w:tc>
          <w:tcPr>
            <w:tcW w:w="1560" w:type="dxa"/>
            <w:vAlign w:val="bottom"/>
            <w:gridSpan w:val="3"/>
          </w:tcPr>
          <w:p>
            <w:pPr>
              <w:spacing w:after="0"/>
              <w:rPr>
                <w:sz w:val="7"/>
                <w:szCs w:val="7"/>
                <w:color w:val="auto"/>
              </w:rPr>
            </w:pPr>
          </w:p>
        </w:tc>
        <w:tc>
          <w:tcPr>
            <w:tcW w:w="240" w:type="dxa"/>
            <w:vAlign w:val="bottom"/>
            <w:tcBorders>
              <w:bottom w:val="single" w:sz="8" w:color="808080"/>
            </w:tcBorders>
            <w:gridSpan w:val="2"/>
          </w:tcPr>
          <w:p>
            <w:pPr>
              <w:spacing w:after="0"/>
              <w:rPr>
                <w:sz w:val="7"/>
                <w:szCs w:val="7"/>
                <w:color w:val="auto"/>
              </w:rPr>
            </w:pPr>
          </w:p>
        </w:tc>
        <w:tc>
          <w:tcPr>
            <w:tcW w:w="500" w:type="dxa"/>
            <w:vAlign w:val="bottom"/>
            <w:tcBorders>
              <w:bottom w:val="single" w:sz="8" w:color="808080"/>
            </w:tcBorders>
            <w:gridSpan w:val="2"/>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80" w:type="dxa"/>
            <w:vAlign w:val="bottom"/>
            <w:gridSpan w:val="2"/>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240" w:type="dxa"/>
            <w:vAlign w:val="bottom"/>
          </w:tcPr>
          <w:p>
            <w:pPr>
              <w:spacing w:after="0"/>
              <w:rPr>
                <w:sz w:val="7"/>
                <w:szCs w:val="7"/>
                <w:color w:val="auto"/>
              </w:rPr>
            </w:pPr>
          </w:p>
        </w:tc>
        <w:tc>
          <w:tcPr>
            <w:tcW w:w="4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5"/>
                <w:szCs w:val="15"/>
                <w:color w:val="auto"/>
              </w:rPr>
              <w:t>Computers, equipment and software</w:t>
            </w:r>
          </w:p>
        </w:tc>
        <w:tc>
          <w:tcPr>
            <w:tcW w:w="2300" w:type="dxa"/>
            <w:vAlign w:val="bottom"/>
            <w:gridSpan w:val="7"/>
            <w:shd w:val="clear" w:color="auto" w:fill="EEEEEE"/>
          </w:tcPr>
          <w:p>
            <w:pPr>
              <w:jc w:val="right"/>
              <w:spacing w:after="0"/>
              <w:rPr>
                <w:sz w:val="20"/>
                <w:szCs w:val="20"/>
                <w:color w:val="auto"/>
              </w:rPr>
            </w:pPr>
            <w:r>
              <w:rPr>
                <w:rFonts w:ascii="Arial" w:cs="Arial" w:eastAsia="Arial" w:hAnsi="Arial"/>
                <w:sz w:val="15"/>
                <w:szCs w:val="15"/>
                <w:color w:val="auto"/>
              </w:rPr>
              <w:t>$148,471</w:t>
            </w:r>
          </w:p>
        </w:tc>
        <w:tc>
          <w:tcPr>
            <w:tcW w:w="32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98,775</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300" w:type="dxa"/>
            <w:vAlign w:val="bottom"/>
            <w:gridSpan w:val="7"/>
          </w:tcPr>
          <w:p>
            <w:pPr>
              <w:jc w:val="right"/>
              <w:spacing w:after="0"/>
              <w:rPr>
                <w:sz w:val="20"/>
                <w:szCs w:val="20"/>
                <w:color w:val="auto"/>
              </w:rPr>
            </w:pPr>
            <w:r>
              <w:rPr>
                <w:rFonts w:ascii="Arial" w:cs="Arial" w:eastAsia="Arial" w:hAnsi="Arial"/>
                <w:sz w:val="15"/>
                <w:szCs w:val="15"/>
                <w:color w:val="auto"/>
              </w:rPr>
              <w:t>3,356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3,200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5"/>
                <w:szCs w:val="15"/>
                <w:color w:val="auto"/>
              </w:rPr>
              <w:t>Leasehold improvements</w:t>
            </w:r>
          </w:p>
        </w:tc>
        <w:tc>
          <w:tcPr>
            <w:tcW w:w="2300" w:type="dxa"/>
            <w:vAlign w:val="bottom"/>
            <w:gridSpan w:val="7"/>
            <w:shd w:val="clear" w:color="auto" w:fill="EEEEEE"/>
          </w:tcPr>
          <w:p>
            <w:pPr>
              <w:jc w:val="right"/>
              <w:spacing w:after="0"/>
              <w:rPr>
                <w:sz w:val="20"/>
                <w:szCs w:val="20"/>
                <w:color w:val="auto"/>
              </w:rPr>
            </w:pPr>
            <w:r>
              <w:rPr>
                <w:rFonts w:ascii="Arial" w:cs="Arial" w:eastAsia="Arial" w:hAnsi="Arial"/>
                <w:sz w:val="15"/>
                <w:szCs w:val="15"/>
                <w:color w:val="auto"/>
              </w:rPr>
              <w:t>28,730</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18,435</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800" w:type="dxa"/>
            <w:vAlign w:val="bottom"/>
            <w:gridSpan w:val="5"/>
          </w:tcPr>
          <w:p>
            <w:pPr>
              <w:spacing w:after="0"/>
              <w:rPr>
                <w:sz w:val="8"/>
                <w:szCs w:val="8"/>
                <w:color w:val="auto"/>
              </w:rPr>
            </w:pPr>
          </w:p>
        </w:tc>
        <w:tc>
          <w:tcPr>
            <w:tcW w:w="500" w:type="dxa"/>
            <w:vAlign w:val="bottom"/>
            <w:tcBorders>
              <w:bottom w:val="single" w:sz="8" w:color="808080"/>
            </w:tcBorders>
            <w:gridSpan w:val="2"/>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2300" w:type="dxa"/>
            <w:vAlign w:val="bottom"/>
            <w:gridSpan w:val="7"/>
          </w:tcPr>
          <w:p>
            <w:pPr>
              <w:jc w:val="right"/>
              <w:spacing w:after="0"/>
              <w:rPr>
                <w:sz w:val="20"/>
                <w:szCs w:val="20"/>
                <w:color w:val="auto"/>
              </w:rPr>
            </w:pPr>
            <w:r>
              <w:rPr>
                <w:rFonts w:ascii="Arial" w:cs="Arial" w:eastAsia="Arial" w:hAnsi="Arial"/>
                <w:sz w:val="15"/>
                <w:szCs w:val="15"/>
                <w:color w:val="auto"/>
              </w:rPr>
              <w:t>180,557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120,410</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5"/>
                <w:szCs w:val="15"/>
                <w:color w:val="auto"/>
              </w:rPr>
              <w:t>Less: Accumulated depreciation and amortization</w:t>
            </w:r>
          </w:p>
        </w:tc>
        <w:tc>
          <w:tcPr>
            <w:tcW w:w="2620" w:type="dxa"/>
            <w:vAlign w:val="bottom"/>
            <w:gridSpan w:val="8"/>
            <w:shd w:val="clear" w:color="auto" w:fill="EEEEEE"/>
          </w:tcPr>
          <w:p>
            <w:pPr>
              <w:jc w:val="right"/>
              <w:ind w:right="260"/>
              <w:spacing w:after="0"/>
              <w:rPr>
                <w:sz w:val="20"/>
                <w:szCs w:val="20"/>
                <w:color w:val="auto"/>
              </w:rPr>
            </w:pPr>
            <w:r>
              <w:rPr>
                <w:rFonts w:ascii="Arial" w:cs="Arial" w:eastAsia="Arial" w:hAnsi="Arial"/>
                <w:sz w:val="15"/>
                <w:szCs w:val="15"/>
                <w:color w:val="auto"/>
              </w:rPr>
              <w:t>(42,364)</w:t>
            </w:r>
          </w:p>
        </w:tc>
        <w:tc>
          <w:tcPr>
            <w:tcW w:w="2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5"/>
                <w:szCs w:val="15"/>
                <w:color w:val="auto"/>
                <w:w w:val="89"/>
              </w:rPr>
              <w:t>(22,953)</w:t>
            </w: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800" w:type="dxa"/>
            <w:vAlign w:val="bottom"/>
            <w:gridSpan w:val="5"/>
          </w:tcPr>
          <w:p>
            <w:pPr>
              <w:spacing w:after="0"/>
              <w:rPr>
                <w:sz w:val="8"/>
                <w:szCs w:val="8"/>
                <w:color w:val="auto"/>
              </w:rPr>
            </w:pPr>
          </w:p>
        </w:tc>
        <w:tc>
          <w:tcPr>
            <w:tcW w:w="500" w:type="dxa"/>
            <w:vAlign w:val="bottom"/>
            <w:tcBorders>
              <w:bottom w:val="single" w:sz="8" w:color="808080"/>
            </w:tcBorders>
            <w:gridSpan w:val="2"/>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240" w:type="dxa"/>
            <w:vAlign w:val="bottom"/>
          </w:tcPr>
          <w:p>
            <w:pPr>
              <w:spacing w:after="0"/>
              <w:rPr>
                <w:sz w:val="23"/>
                <w:szCs w:val="23"/>
                <w:color w:val="auto"/>
              </w:rPr>
            </w:pPr>
          </w:p>
        </w:tc>
        <w:tc>
          <w:tcPr>
            <w:tcW w:w="4380" w:type="dxa"/>
            <w:vAlign w:val="bottom"/>
          </w:tcPr>
          <w:p>
            <w:pPr>
              <w:ind w:left="380"/>
              <w:spacing w:after="0"/>
              <w:rPr>
                <w:sz w:val="20"/>
                <w:szCs w:val="20"/>
                <w:color w:val="auto"/>
              </w:rPr>
            </w:pPr>
            <w:r>
              <w:rPr>
                <w:rFonts w:ascii="Arial" w:cs="Arial" w:eastAsia="Arial" w:hAnsi="Arial"/>
                <w:sz w:val="15"/>
                <w:szCs w:val="15"/>
                <w:color w:val="auto"/>
              </w:rPr>
              <w:t>Total</w:t>
            </w:r>
          </w:p>
        </w:tc>
        <w:tc>
          <w:tcPr>
            <w:tcW w:w="2300" w:type="dxa"/>
            <w:vAlign w:val="bottom"/>
            <w:gridSpan w:val="7"/>
          </w:tcPr>
          <w:p>
            <w:pPr>
              <w:jc w:val="right"/>
              <w:spacing w:after="0"/>
              <w:rPr>
                <w:sz w:val="20"/>
                <w:szCs w:val="20"/>
                <w:color w:val="auto"/>
              </w:rPr>
            </w:pPr>
            <w:r>
              <w:rPr>
                <w:rFonts w:ascii="Arial" w:cs="Arial" w:eastAsia="Arial" w:hAnsi="Arial"/>
                <w:sz w:val="15"/>
                <w:szCs w:val="15"/>
                <w:color w:val="auto"/>
              </w:rPr>
              <w:t>$138,193</w:t>
            </w:r>
          </w:p>
        </w:tc>
        <w:tc>
          <w:tcPr>
            <w:tcW w:w="320" w:type="dxa"/>
            <w:vAlign w:val="bottom"/>
          </w:tcPr>
          <w:p>
            <w:pPr>
              <w:spacing w:after="0"/>
              <w:rPr>
                <w:sz w:val="23"/>
                <w:szCs w:val="23"/>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97,457</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12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-1920875</wp:posOffset>
            </wp:positionV>
            <wp:extent cx="1270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-1920875</wp:posOffset>
            </wp:positionV>
            <wp:extent cx="12700"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-1920875</wp:posOffset>
            </wp:positionV>
            <wp:extent cx="12700"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-1920875</wp:posOffset>
            </wp:positionV>
            <wp:extent cx="12700"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-34290</wp:posOffset>
            </wp:positionV>
            <wp:extent cx="12700"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-34290</wp:posOffset>
            </wp:positionV>
            <wp:extent cx="12700"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6096635</wp:posOffset>
            </wp:positionH>
            <wp:positionV relativeFrom="paragraph">
              <wp:posOffset>-34290</wp:posOffset>
            </wp:positionV>
            <wp:extent cx="12700"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-34290</wp:posOffset>
            </wp:positionV>
            <wp:extent cx="12700"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Leasehold improvements at July 27, 2002, and October 27, 2001, are shown net of estimated impairments related to facilities lease losses (see Note 4).</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380"/>
          </w:cols>
          <w:pgMar w:left="240" w:top="380" w:right="27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Commitments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Leases</w:t>
      </w:r>
    </w:p>
    <w:p>
      <w:pPr>
        <w:spacing w:after="0" w:line="200" w:lineRule="exact"/>
        <w:rPr>
          <w:sz w:val="20"/>
          <w:szCs w:val="20"/>
          <w:color w:val="auto"/>
        </w:rPr>
      </w:pPr>
    </w:p>
    <w:p>
      <w:pPr>
        <w:ind w:right="80" w:firstLine="187"/>
        <w:spacing w:after="0" w:line="267" w:lineRule="auto"/>
        <w:rPr>
          <w:sz w:val="20"/>
          <w:szCs w:val="20"/>
          <w:color w:val="auto"/>
        </w:rPr>
      </w:pPr>
      <w:r>
        <w:rPr>
          <w:rFonts w:ascii="Arial" w:cs="Arial" w:eastAsia="Arial" w:hAnsi="Arial"/>
          <w:sz w:val="15"/>
          <w:szCs w:val="15"/>
          <w:color w:val="auto"/>
        </w:rPr>
        <w:t>The Company leases its facilities and certain equipment under various operating lease agreements expiring through November 2013. In connection with its facilities lease agreements, the Company has signed unconditional, irrevocable letters of credit totaling $18.7 million as security for the leases. Future minimum lease payments under all non-cancelable operating leases as of July 27, 2002 were $269.5 million. In addition to base rent on its facilities leases, many of the operating lease agreements require that the Company pay a proportional share of the respective facilities’ operating expenses.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As of July 27, 2002, the Company had a facilities lease losses reserve, net of expected sublease income, related to future facilities lease commitments of $33.3 million (see Note 4).</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Manufacturing and Purchase Commitments</w:t>
      </w:r>
    </w:p>
    <w:p>
      <w:pPr>
        <w:spacing w:after="0" w:line="200" w:lineRule="exact"/>
        <w:rPr>
          <w:sz w:val="20"/>
          <w:szCs w:val="20"/>
          <w:color w:val="auto"/>
        </w:rPr>
      </w:pPr>
    </w:p>
    <w:p>
      <w:pPr>
        <w:jc w:val="both"/>
        <w:ind w:right="380" w:firstLine="187"/>
        <w:spacing w:after="0" w:line="301" w:lineRule="auto"/>
        <w:rPr>
          <w:sz w:val="20"/>
          <w:szCs w:val="20"/>
          <w:color w:val="auto"/>
        </w:rPr>
      </w:pPr>
      <w:r>
        <w:rPr>
          <w:rFonts w:ascii="Arial" w:cs="Arial" w:eastAsia="Arial" w:hAnsi="Arial"/>
          <w:sz w:val="13"/>
          <w:szCs w:val="13"/>
          <w:color w:val="auto"/>
        </w:rPr>
        <w:t>The Company has a manufacturing agreement with Solectron Corporation (Solectron) under which the Company provides to Solectron a twelve-month product forecast and places purchase orders with Solectron sixty calendar days in advance of the scheduled delivery of products to the Company’s customers. As of July 27, 2002, the Company’s commitment to Solectron for such inventory components, net of purchase commitment reserves, was $35.9 million, which the Company expects to utilize during future normal ongoing operations.</w:t>
      </w:r>
    </w:p>
    <w:p>
      <w:pPr>
        <w:spacing w:after="0" w:line="1"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Although the Company’s purchase orders placed with Solectron are cancelable, the terms of the agreement require the Company to purchase from Solectron all inventory components not returnable or usable by other Solectron customers.</w:t>
      </w:r>
    </w:p>
    <w:p>
      <w:pPr>
        <w:spacing w:after="0" w:line="155" w:lineRule="exact"/>
        <w:rPr>
          <w:sz w:val="20"/>
          <w:szCs w:val="20"/>
          <w:color w:val="auto"/>
        </w:rPr>
      </w:pPr>
    </w:p>
    <w:p>
      <w:pPr>
        <w:ind w:right="140" w:firstLine="189"/>
        <w:spacing w:after="0" w:line="322" w:lineRule="auto"/>
        <w:rPr>
          <w:sz w:val="20"/>
          <w:szCs w:val="20"/>
          <w:color w:val="auto"/>
        </w:rPr>
      </w:pPr>
      <w:r>
        <w:rPr>
          <w:rFonts w:ascii="Arial" w:cs="Arial" w:eastAsia="Arial" w:hAnsi="Arial"/>
          <w:sz w:val="14"/>
          <w:szCs w:val="14"/>
          <w:color w:val="auto"/>
        </w:rPr>
        <w:t>In addition, the Company purchases several key components used in the manufacture of its products. As of July 27, 2002, the Company had non-cancelable purchase commitments for various components, net of purchase commitment reserves, totaling $12.4 million, which the Company expects to utilize during future normal ongoing operations.</w:t>
      </w:r>
    </w:p>
    <w:p>
      <w:pPr>
        <w:spacing w:after="0" w:line="127" w:lineRule="exact"/>
        <w:rPr>
          <w:sz w:val="20"/>
          <w:szCs w:val="20"/>
          <w:color w:val="auto"/>
        </w:rPr>
      </w:pPr>
    </w:p>
    <w:p>
      <w:pPr>
        <w:ind w:right="40" w:firstLine="187"/>
        <w:spacing w:after="0" w:line="265" w:lineRule="auto"/>
        <w:rPr>
          <w:sz w:val="20"/>
          <w:szCs w:val="20"/>
          <w:color w:val="auto"/>
        </w:rPr>
      </w:pPr>
      <w:r>
        <w:rPr>
          <w:rFonts w:ascii="Arial" w:cs="Arial" w:eastAsia="Arial" w:hAnsi="Arial"/>
          <w:sz w:val="15"/>
          <w:szCs w:val="15"/>
          <w:color w:val="auto"/>
        </w:rPr>
        <w:t>The Company has established purchase commitment reserves of $3.2 million for excess inventory components committed to be purchased from Solectron and other key component vendors that it believes may not be realizable during future normal ongoing operations. These purchase commitment reserves represent the difference between the cost of the components and their estimated fair value based upon assumptions about market conditions and the Company’s current forecast of revenue. To the extent that such forecasts are not achieved or actual market conditions are less favorable than those projected, the Company’s commitments and associated reserve levels may change. The Company monitors its purchase commitment reserve requirements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Legal Proceedings</w:t>
      </w:r>
    </w:p>
    <w:p>
      <w:pPr>
        <w:spacing w:after="0" w:line="200" w:lineRule="exact"/>
        <w:rPr>
          <w:sz w:val="20"/>
          <w:szCs w:val="20"/>
          <w:color w:val="auto"/>
        </w:rPr>
      </w:pPr>
    </w:p>
    <w:p>
      <w:pPr>
        <w:ind w:right="220" w:firstLine="189"/>
        <w:spacing w:after="0" w:line="302" w:lineRule="auto"/>
        <w:rPr>
          <w:sz w:val="20"/>
          <w:szCs w:val="20"/>
          <w:color w:val="auto"/>
        </w:rPr>
      </w:pPr>
      <w:r>
        <w:rPr>
          <w:rFonts w:ascii="Arial" w:cs="Arial" w:eastAsia="Arial" w:hAnsi="Arial"/>
          <w:sz w:val="13"/>
          <w:szCs w:val="13"/>
          <w:color w:val="auto"/>
        </w:rPr>
        <w:t xml:space="preserve">On February 14, 2002, a suit captioned </w:t>
      </w:r>
      <w:r>
        <w:rPr>
          <w:rFonts w:ascii="Arial" w:cs="Arial" w:eastAsia="Arial" w:hAnsi="Arial"/>
          <w:sz w:val="13"/>
          <w:szCs w:val="13"/>
          <w:i w:val="1"/>
          <w:iCs w:val="1"/>
          <w:color w:val="auto"/>
        </w:rPr>
        <w:t>McDATA Corp. v. Brocade Communications Systems, Inc.</w:t>
      </w:r>
      <w:r>
        <w:rPr>
          <w:rFonts w:ascii="Arial" w:cs="Arial" w:eastAsia="Arial" w:hAnsi="Arial"/>
          <w:sz w:val="13"/>
          <w:szCs w:val="13"/>
          <w:color w:val="auto"/>
        </w:rPr>
        <w:t xml:space="preserve"> was filed against the Company in the United States District Court for the District of Colorado. The complaint alleged that the Brocade SilkWorm 3800 Enterprise Fibre Channel Fabric Switch and Brocade SilkWorm 12000 Core Fabric Switch infringe U.S. Patent</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No. 6,233,236, entitled “Method and Apparatus for Measuring Traffic Within a Switch.” The complaint seeks unspecified compensatory and exemplary damages and to permanently enjoin the Company from infringing the patent in the future. On March 4, 2002, McDATA Corporation (McDATA) filed an amended complaint, in which it additionally alleged that the Brocade SilkWorm 3200 Entry Fabric Switch infringed this patent. In connection with this suit, on March 4, 2002, McDATA filed a motion for a preliminary injunction against the Company with regard to the patent. The Company filed an answer and counterclaims on April 8, 2002 asserting, among other things, no infringement and that the patent is invalid, unenforceable and covered by an existing covenant not to sue between the Company and McDATA. A hearing on McDATA’s motion for preliminary injunction was held on July 15, 2002, and the Company is awaiting a decision on the matter. The Company believes that it has meritorious defenses to the claims and intends to defend the action vigorously.</w:t>
      </w:r>
    </w:p>
    <w:p>
      <w:pPr>
        <w:spacing w:after="0" w:line="153" w:lineRule="exact"/>
        <w:rPr>
          <w:sz w:val="20"/>
          <w:szCs w:val="20"/>
          <w:color w:val="auto"/>
        </w:rPr>
      </w:pPr>
    </w:p>
    <w:p>
      <w:pPr>
        <w:ind w:firstLine="189"/>
        <w:spacing w:after="0" w:line="263" w:lineRule="auto"/>
        <w:rPr>
          <w:sz w:val="20"/>
          <w:szCs w:val="20"/>
          <w:color w:val="auto"/>
        </w:rPr>
      </w:pPr>
      <w:r>
        <w:rPr>
          <w:rFonts w:ascii="Arial" w:cs="Arial" w:eastAsia="Arial" w:hAnsi="Arial"/>
          <w:sz w:val="15"/>
          <w:szCs w:val="15"/>
          <w:color w:val="auto"/>
        </w:rPr>
        <w:t xml:space="preserve">On July 20, 2001, the first of a number of putative class actions was filed in the United States District Court for the Southern District of New York against the Company, certain of its officers and directors, and certain of the underwriters in the Company’s initial public offering. Those cases were consolidated under the caption </w:t>
      </w:r>
      <w:r>
        <w:rPr>
          <w:rFonts w:ascii="Arial" w:cs="Arial" w:eastAsia="Arial" w:hAnsi="Arial"/>
          <w:sz w:val="15"/>
          <w:szCs w:val="15"/>
          <w:i w:val="1"/>
          <w:iCs w:val="1"/>
          <w:color w:val="auto"/>
        </w:rPr>
        <w:t>Chae v. Brocade Communications Systems,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Inc. et al. </w:t>
      </w:r>
      <w:r>
        <w:rPr>
          <w:rFonts w:ascii="Arial" w:cs="Arial" w:eastAsia="Arial" w:hAnsi="Arial"/>
          <w:sz w:val="15"/>
          <w:szCs w:val="15"/>
          <w:color w:val="auto"/>
        </w:rPr>
        <w:t>The complaints generally alleged that various investment bank underwriters engaged in improper and undisclosed activities related to the allocation of shares in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initial public offering. On March 1, 2002, the Court entered an order dismissing without prejudice all claims against the Company and its officers and directors named in the consolidated proceeding. On April 19, 2002, a consolidated amended class action captioned </w:t>
      </w:r>
      <w:r>
        <w:rPr>
          <w:rFonts w:ascii="Arial" w:cs="Arial" w:eastAsia="Arial" w:hAnsi="Arial"/>
          <w:sz w:val="15"/>
          <w:szCs w:val="15"/>
          <w:i w:val="1"/>
          <w:iCs w:val="1"/>
          <w:color w:val="auto"/>
        </w:rPr>
        <w:t>In Re Brocade Communications Systems, Inc. Initial Public Offering Securities Litigation, 01 CV 6613,</w:t>
      </w:r>
      <w:r>
        <w:rPr>
          <w:rFonts w:ascii="Arial" w:cs="Arial" w:eastAsia="Arial" w:hAnsi="Arial"/>
          <w:sz w:val="15"/>
          <w:szCs w:val="15"/>
          <w:color w:val="auto"/>
        </w:rPr>
        <w:t xml:space="preserve"> was filed asserting claims against the Brocade parties that are substantially similar to those alleged in the earlier case. The complaint seeks unspecified damages on behalf of a purported class of purchasers of common stock from May 24, 1999 to December 6, 2000. Motions to dismiss have been filed. The Company believes that it has meritorious defenses to the claims and intends to defend the action vigorously.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500"/>
        <w:spacing w:after="0" w:line="285" w:lineRule="auto"/>
        <w:rPr>
          <w:sz w:val="20"/>
          <w:szCs w:val="20"/>
          <w:color w:val="auto"/>
        </w:rPr>
      </w:pPr>
      <w:r>
        <w:rPr>
          <w:rFonts w:ascii="Arial" w:cs="Arial" w:eastAsia="Arial" w:hAnsi="Arial"/>
          <w:sz w:val="15"/>
          <w:szCs w:val="15"/>
          <w:color w:val="auto"/>
        </w:rPr>
        <w:t>class of purchasers of common stock from May 24, 1999 to December 6, 2000. The Company believes that it has meritorious defenses to the claims and intends to defend the action vigorously.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Stockholder Rights Plan</w:t>
      </w:r>
    </w:p>
    <w:p>
      <w:pPr>
        <w:spacing w:after="0" w:line="204" w:lineRule="exact"/>
        <w:rPr>
          <w:sz w:val="20"/>
          <w:szCs w:val="20"/>
          <w:color w:val="auto"/>
        </w:rPr>
      </w:pPr>
    </w:p>
    <w:p>
      <w:pPr>
        <w:ind w:firstLine="189"/>
        <w:spacing w:after="0" w:line="263" w:lineRule="auto"/>
        <w:rPr>
          <w:sz w:val="20"/>
          <w:szCs w:val="20"/>
          <w:color w:val="auto"/>
        </w:rPr>
      </w:pPr>
      <w:r>
        <w:rPr>
          <w:rFonts w:ascii="Arial" w:cs="Arial" w:eastAsia="Arial" w:hAnsi="Arial"/>
          <w:sz w:val="15"/>
          <w:szCs w:val="15"/>
          <w:color w:val="auto"/>
        </w:rPr>
        <w:t>On February 5, 2002, the Company’s Board of Directors adopted a stockholder rights plan. Under the plan, the Company declared and paid a dividend of one right for each share of common stock held by stockholders of record as of the close of business on February 19, 2002. Each right initially entitles stockholders to purchase a fractional share of the Company’s preferred stock at $280 per share. However, the rights are not immediately exercisable and will become exercisable only upon the occurrence of certain events. If a person or group acquires or announces a tender or exchange offer that would result in the acquisition of 15 percent or more of the Company’s common stock while the stockholder rights plan remains in place, then, unless the rights are redeemed by the Company for $0.001 per right, the rights will become exercisable by all rights holders except the acquiring person or group for shares of the Company or the third party acquirer having a value of twice the right’s then-current exercise price. The stockholder rights plan may have the effect of deterring or delaying a change in control of Brocade.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Net Income per Share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presents the calculation of basic and diluted net income per common share (in thousands, except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6"/>
          </w:tcPr>
          <w:p>
            <w:pPr>
              <w:jc w:val="right"/>
              <w:ind w:right="66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5"/>
              </w:rPr>
              <w:t>July 27,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5"/>
              </w:rPr>
              <w:t>July 28,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5"/>
              </w:rPr>
              <w:t>July 27,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5"/>
              </w:rPr>
              <w:t>July 28,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ind w:right="49"/>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ind w:right="48"/>
              <w:spacing w:after="0"/>
              <w:rPr>
                <w:sz w:val="20"/>
                <w:szCs w:val="20"/>
                <w:color w:val="auto"/>
              </w:rPr>
            </w:pPr>
            <w:r>
              <w:rPr>
                <w:rFonts w:ascii="Arial" w:cs="Arial" w:eastAsia="Arial" w:hAnsi="Arial"/>
                <w:sz w:val="12"/>
                <w:szCs w:val="12"/>
                <w:b w:val="1"/>
                <w:bCs w:val="1"/>
                <w:color w:val="auto"/>
              </w:rPr>
              <w:t>2001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ind w:right="49"/>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ind w:right="68"/>
              <w:spacing w:after="0"/>
              <w:rPr>
                <w:sz w:val="20"/>
                <w:szCs w:val="20"/>
                <w:color w:val="auto"/>
              </w:rPr>
            </w:pPr>
            <w:r>
              <w:rPr>
                <w:rFonts w:ascii="Arial" w:cs="Arial" w:eastAsia="Arial" w:hAnsi="Arial"/>
                <w:sz w:val="12"/>
                <w:szCs w:val="12"/>
                <w:b w:val="1"/>
                <w:bCs w:val="1"/>
                <w:color w:val="auto"/>
              </w:rPr>
              <w:t>2001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2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18,348</w:t>
            </w:r>
          </w:p>
        </w:tc>
        <w:tc>
          <w:tcPr>
            <w:tcW w:w="2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12,045</w:t>
            </w:r>
          </w:p>
        </w:tc>
        <w:tc>
          <w:tcPr>
            <w:tcW w:w="2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43,997</w:t>
            </w:r>
          </w:p>
        </w:tc>
        <w:tc>
          <w:tcPr>
            <w:tcW w:w="2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56,528</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780" w:type="dxa"/>
            <w:vAlign w:val="bottom"/>
            <w:gridSpan w:val="2"/>
            <w:vMerge w:val="restart"/>
          </w:tcPr>
          <w:p>
            <w:pPr>
              <w:spacing w:after="0"/>
              <w:rPr>
                <w:sz w:val="20"/>
                <w:szCs w:val="20"/>
                <w:color w:val="auto"/>
              </w:rPr>
            </w:pPr>
            <w:r>
              <w:rPr>
                <w:rFonts w:ascii="Arial" w:cs="Arial" w:eastAsia="Arial" w:hAnsi="Arial"/>
                <w:sz w:val="15"/>
                <w:szCs w:val="15"/>
                <w:color w:val="auto"/>
              </w:rPr>
              <w:t>Basic and diluted net income per share:</w:t>
            </w: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578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shd w:val="clear" w:color="auto" w:fill="EEEEEE"/>
          </w:tcPr>
          <w:p>
            <w:pPr>
              <w:ind w:left="240"/>
              <w:spacing w:after="0"/>
              <w:rPr>
                <w:sz w:val="20"/>
                <w:szCs w:val="20"/>
                <w:color w:val="auto"/>
              </w:rPr>
            </w:pPr>
            <w:r>
              <w:rPr>
                <w:rFonts w:ascii="Arial" w:cs="Arial" w:eastAsia="Arial" w:hAnsi="Arial"/>
                <w:sz w:val="15"/>
                <w:szCs w:val="15"/>
                <w:color w:val="auto"/>
              </w:rPr>
              <w:t>Weighted-average shares of common stock outstanding</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233,760</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228,068</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232,573</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226,006</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60" w:type="dxa"/>
            <w:vAlign w:val="bottom"/>
          </w:tcPr>
          <w:p>
            <w:pPr>
              <w:ind w:left="240"/>
              <w:spacing w:after="0"/>
              <w:rPr>
                <w:sz w:val="20"/>
                <w:szCs w:val="20"/>
                <w:color w:val="auto"/>
              </w:rPr>
            </w:pPr>
            <w:r>
              <w:rPr>
                <w:rFonts w:ascii="Arial" w:cs="Arial" w:eastAsia="Arial" w:hAnsi="Arial"/>
                <w:sz w:val="15"/>
                <w:szCs w:val="15"/>
                <w:color w:val="auto"/>
              </w:rPr>
              <w:t>Less: Weighted-average shares of common stock subject to repurchase</w:t>
            </w: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(743)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(5,205)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(1,754)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(6,387)</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5"/>
                <w:szCs w:val="15"/>
                <w:color w:val="auto"/>
              </w:rPr>
              <w:t>Weighted-average shares used in computing basic net income per share</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233,017</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222,863</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230,819</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219,619</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Arial" w:cs="Arial" w:eastAsia="Arial" w:hAnsi="Arial"/>
                <w:sz w:val="15"/>
                <w:szCs w:val="15"/>
                <w:color w:val="auto"/>
              </w:rPr>
              <w:t>Dilutive potential common shares</w:t>
            </w: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7,089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23,356</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13,853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24,653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5"/>
                <w:szCs w:val="15"/>
                <w:color w:val="auto"/>
              </w:rPr>
              <w:t>Weighted-average shares used in computing diluted net income per share</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240,106</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246,219</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244,672</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244,272</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78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5780" w:type="dxa"/>
            <w:vAlign w:val="bottom"/>
            <w:gridSpan w:val="2"/>
          </w:tcPr>
          <w:p>
            <w:pPr>
              <w:spacing w:after="0"/>
              <w:rPr>
                <w:sz w:val="20"/>
                <w:szCs w:val="20"/>
                <w:color w:val="auto"/>
              </w:rPr>
            </w:pPr>
            <w:r>
              <w:rPr>
                <w:rFonts w:ascii="Arial" w:cs="Arial" w:eastAsia="Arial" w:hAnsi="Arial"/>
                <w:sz w:val="15"/>
                <w:szCs w:val="15"/>
                <w:color w:val="auto"/>
              </w:rPr>
              <w:t>Basic net income per share</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0.08</w:t>
            </w:r>
          </w:p>
        </w:tc>
        <w:tc>
          <w:tcPr>
            <w:tcW w:w="28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0.05</w:t>
            </w:r>
          </w:p>
        </w:tc>
        <w:tc>
          <w:tcPr>
            <w:tcW w:w="28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0.19</w:t>
            </w:r>
          </w:p>
        </w:tc>
        <w:tc>
          <w:tcPr>
            <w:tcW w:w="28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0.26</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5"/>
                <w:szCs w:val="15"/>
                <w:color w:val="auto"/>
              </w:rPr>
              <w:t>Diluted net income per share</w:t>
            </w:r>
          </w:p>
        </w:tc>
        <w:tc>
          <w:tcPr>
            <w:tcW w:w="2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0.08</w:t>
            </w:r>
          </w:p>
        </w:tc>
        <w:tc>
          <w:tcPr>
            <w:tcW w:w="2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0.05</w:t>
            </w:r>
          </w:p>
        </w:tc>
        <w:tc>
          <w:tcPr>
            <w:tcW w:w="2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0.18</w:t>
            </w:r>
          </w:p>
        </w:tc>
        <w:tc>
          <w:tcPr>
            <w:tcW w:w="2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0.23</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-1677035</wp:posOffset>
            </wp:positionV>
            <wp:extent cx="12700"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-1677035</wp:posOffset>
            </wp:positionV>
            <wp:extent cx="12700"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-1677035</wp:posOffset>
            </wp:positionV>
            <wp:extent cx="12700"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-1677035</wp:posOffset>
            </wp:positionV>
            <wp:extent cx="12700"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-1677035</wp:posOffset>
            </wp:positionV>
            <wp:extent cx="12700"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-1677035</wp:posOffset>
            </wp:positionV>
            <wp:extent cx="12700"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-1677035</wp:posOffset>
            </wp:positionV>
            <wp:extent cx="12700"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6577965</wp:posOffset>
            </wp:positionH>
            <wp:positionV relativeFrom="paragraph">
              <wp:posOffset>-1677035</wp:posOffset>
            </wp:positionV>
            <wp:extent cx="12700"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-567055</wp:posOffset>
            </wp:positionV>
            <wp:extent cx="12700"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-567055</wp:posOffset>
            </wp:positionV>
            <wp:extent cx="12700"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-567055</wp:posOffset>
            </wp:positionV>
            <wp:extent cx="12700"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-567055</wp:posOffset>
            </wp:positionV>
            <wp:extent cx="12700"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-567055</wp:posOffset>
            </wp:positionV>
            <wp:extent cx="12700"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-567055</wp:posOffset>
            </wp:positionV>
            <wp:extent cx="12700"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-567055</wp:posOffset>
            </wp:positionV>
            <wp:extent cx="12700"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6577965</wp:posOffset>
            </wp:positionH>
            <wp:positionV relativeFrom="paragraph">
              <wp:posOffset>-567055</wp:posOffset>
            </wp:positionV>
            <wp:extent cx="12700"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-300355</wp:posOffset>
            </wp:positionV>
            <wp:extent cx="12700"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-300355</wp:posOffset>
            </wp:positionV>
            <wp:extent cx="12700"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-300355</wp:posOffset>
            </wp:positionV>
            <wp:extent cx="12700"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-300355</wp:posOffset>
            </wp:positionV>
            <wp:extent cx="12700"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-300355</wp:posOffset>
            </wp:positionV>
            <wp:extent cx="12700"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-300355</wp:posOffset>
            </wp:positionV>
            <wp:extent cx="12700"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-300355</wp:posOffset>
            </wp:positionV>
            <wp:extent cx="12700"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6577965</wp:posOffset>
            </wp:positionH>
            <wp:positionV relativeFrom="paragraph">
              <wp:posOffset>-300355</wp:posOffset>
            </wp:positionV>
            <wp:extent cx="12700"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-34290</wp:posOffset>
            </wp:positionV>
            <wp:extent cx="12700"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-34290</wp:posOffset>
            </wp:positionV>
            <wp:extent cx="12700"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-34290</wp:posOffset>
            </wp:positionV>
            <wp:extent cx="12700"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-34290</wp:posOffset>
            </wp:positionV>
            <wp:extent cx="12700"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-34290</wp:posOffset>
            </wp:positionV>
            <wp:extent cx="12700"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-34290</wp:posOffset>
            </wp:positionV>
            <wp:extent cx="12700"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-34290</wp:posOffset>
            </wp:positionV>
            <wp:extent cx="12700"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6577965</wp:posOffset>
            </wp:positionH>
            <wp:positionV relativeFrom="paragraph">
              <wp:posOffset>-34290</wp:posOffset>
            </wp:positionV>
            <wp:extent cx="12700"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ind w:right="120" w:firstLine="189"/>
        <w:spacing w:after="0" w:line="264" w:lineRule="auto"/>
        <w:rPr>
          <w:sz w:val="20"/>
          <w:szCs w:val="20"/>
          <w:color w:val="auto"/>
        </w:rPr>
      </w:pPr>
      <w:r>
        <w:rPr>
          <w:rFonts w:ascii="Arial" w:cs="Arial" w:eastAsia="Arial" w:hAnsi="Arial"/>
          <w:sz w:val="15"/>
          <w:szCs w:val="15"/>
          <w:color w:val="auto"/>
        </w:rPr>
        <w:t>For the quarters ended July 27, 2002 and July 28, 2001, potential common shares in the form of stock options to purchase 65.1 million and 27.9 million weighted-average shares of common stock, respectively, were antidilutive and, therefore, not included in the computation of diluted earnings per share. For the nine-month periods ended July 27, 2002 and July 28, 2001, potential common shares in the form of stock options to purchase 43.9 million and 18.8 million weighted-average shares of common stock, respectively, were antidilutive and, therefore, not included in the computation of diluted earnings per share. In addition, for the three and nine-month periods ended July 27, 2002, potential common shares resulting from the potential conversion of the Company’s convertible subordinated debt of 12.6 million and 10.0 million weighted-average common shares, respectively, were antidilutive and, therefore, not included in the computation of diluted earnings per share.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Segment Information</w:t>
      </w:r>
    </w:p>
    <w:p>
      <w:pPr>
        <w:spacing w:after="0" w:line="204" w:lineRule="exact"/>
        <w:rPr>
          <w:sz w:val="20"/>
          <w:szCs w:val="20"/>
          <w:color w:val="auto"/>
        </w:rPr>
      </w:pPr>
    </w:p>
    <w:p>
      <w:pPr>
        <w:ind w:right="360" w:firstLine="187"/>
        <w:spacing w:after="0" w:line="272" w:lineRule="auto"/>
        <w:rPr>
          <w:sz w:val="20"/>
          <w:szCs w:val="20"/>
          <w:color w:val="auto"/>
        </w:rPr>
      </w:pPr>
      <w:r>
        <w:rPr>
          <w:rFonts w:ascii="Arial" w:cs="Arial" w:eastAsia="Arial" w:hAnsi="Arial"/>
          <w:sz w:val="15"/>
          <w:szCs w:val="15"/>
          <w:color w:val="auto"/>
        </w:rPr>
        <w:t>The Company is organized and operates as one operating segment: the design, development, manufacturing, marketing and selling of infrastructure for SANs. The Chief Executive Officer is the Company’s Chief Operating Decision Maker (CODM), as defined by SFAS 131, “Disclosures about Segments of an Enterprise and Related Information.” The CODM allocates resources and assesses the performance of the Company based on consolidated revenues and overall profitability.</w:t>
      </w:r>
    </w:p>
    <w:p>
      <w:pPr>
        <w:spacing w:after="0" w:line="159" w:lineRule="exact"/>
        <w:rPr>
          <w:sz w:val="20"/>
          <w:szCs w:val="20"/>
          <w:color w:val="auto"/>
        </w:rPr>
      </w:pPr>
    </w:p>
    <w:p>
      <w:pPr>
        <w:ind w:right="40" w:firstLine="189"/>
        <w:spacing w:after="0" w:line="321" w:lineRule="auto"/>
        <w:rPr>
          <w:sz w:val="20"/>
          <w:szCs w:val="20"/>
          <w:color w:val="auto"/>
        </w:rPr>
      </w:pPr>
      <w:r>
        <w:rPr>
          <w:rFonts w:ascii="Arial" w:cs="Arial" w:eastAsia="Arial" w:hAnsi="Arial"/>
          <w:sz w:val="13"/>
          <w:szCs w:val="13"/>
          <w:color w:val="auto"/>
        </w:rPr>
        <w:t>Revenues are attributed to geographic areas based on the location of the customer to which products are shipped. Domestic and international revenues were 75 percent and 25 percent of total revenues, respectively, for the quarter ended July 27, 2002, and 71 percent and 29 percent, respectively, for the nine-month period ended July 27, 2002. Domestic and international revenues were 71 percent and 29 percent of total revenues, respectively, for the quarter ended July 28, 2001, and 72 percent and 28 percent of total revenues, respectively, for the nine-month period ended July 28, 2001. Domestic revenues include sales to certain OEM customers who then distribute Brocade product to their international customers. To date service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revenue has not exceeded 10 percent of total revenues. Identifiable assets located in foreign countries were not material as of July 27, 2002, and October 27, 2001.</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 the quarters ended July 27, 2002 and July 28, 2001, four and three customers each contributed greater than 10 percent of the Company’s total revenues, for combined totals of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76 percent and 54 percent of total revenues, respectively. For the nine-month periods ended July 27, 2002 and July 28, 2001, four and two customers each contributed greater than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10 percent of the Company’s total revenues, for combined totals of 73 percent and 48 percent of total revenues,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This report contains forward-looking statements, which are predictions about future events. These forward-looking statements include predictions regarding our:</w:t>
      </w:r>
    </w:p>
    <w:p>
      <w:pPr>
        <w:spacing w:after="0" w:line="200" w:lineRule="exact"/>
        <w:rPr>
          <w:sz w:val="20"/>
          <w:szCs w:val="20"/>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revenues and profits;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customer concentration;</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research and development expenses;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sales and marketing expenses;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general and administrative expenses;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provision for income taxes;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realization of deferred tax assets;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liquidity and sufficiency of existing cash, cash equivalents, and short-term investments for near-term requirements;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purchase commitments; and</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effect of recent accounting pronouncements on our financial condition and results of operations.</w:t>
      </w:r>
    </w:p>
    <w:p>
      <w:pPr>
        <w:spacing w:after="0" w:line="200" w:lineRule="exact"/>
        <w:rPr>
          <w:sz w:val="20"/>
          <w:szCs w:val="20"/>
          <w:color w:val="auto"/>
        </w:rPr>
      </w:pPr>
    </w:p>
    <w:p>
      <w:pPr>
        <w:jc w:val="both"/>
        <w:ind w:right="80" w:firstLine="184"/>
        <w:spacing w:after="0" w:line="272" w:lineRule="auto"/>
        <w:rPr>
          <w:sz w:val="20"/>
          <w:szCs w:val="20"/>
          <w:color w:val="auto"/>
        </w:rPr>
      </w:pPr>
      <w:r>
        <w:rPr>
          <w:rFonts w:ascii="Arial" w:cs="Arial" w:eastAsia="Arial" w:hAnsi="Arial"/>
          <w:sz w:val="15"/>
          <w:szCs w:val="15"/>
          <w:color w:val="auto"/>
        </w:rPr>
        <w:t>You can identify these and other forward-looking statements by the use of words such as “may,” “will,” “should,” “expects,” “plans,” “anticipates,” “believes,” “estimates,” “predicts,” “intend,” “potential,” “continue,” or the negative of such terms, or other comparable terminology. Forward-looking statements also include the assumptions underlying or relating to any of the foregoing statements.</w:t>
      </w:r>
    </w:p>
    <w:p>
      <w:pPr>
        <w:spacing w:after="0" w:line="159" w:lineRule="exact"/>
        <w:rPr>
          <w:sz w:val="20"/>
          <w:szCs w:val="20"/>
          <w:color w:val="auto"/>
        </w:rPr>
      </w:pPr>
    </w:p>
    <w:p>
      <w:pPr>
        <w:ind w:firstLine="189"/>
        <w:spacing w:after="0" w:line="321" w:lineRule="auto"/>
        <w:rPr>
          <w:sz w:val="20"/>
          <w:szCs w:val="20"/>
          <w:color w:val="auto"/>
        </w:rPr>
      </w:pPr>
      <w:r>
        <w:rPr>
          <w:rFonts w:ascii="Arial" w:cs="Arial" w:eastAsia="Arial" w:hAnsi="Arial"/>
          <w:sz w:val="13"/>
          <w:szCs w:val="13"/>
          <w:color w:val="auto"/>
        </w:rPr>
        <w:t>Our actual results could differ materially from those anticipated in these forward-looking statements as a result of various factors, including those set forth below under the heading “Risk Factors.” The following information should be read in conjunction with Management’s Discussion and Analysis of Financial Condition and Results of Operations and the Condensed Consolidated Financial Statements and notes thereto included in Item 1 of this Quarterly Report on Form 10-Q, and with Management’s Discussion and Analysis of Financial Condition and Results of Operations and the Consolidated Financial Statements and notes thereto contained in our Annual Report on Form 10-K filed with the SEC on January 24, 2002.</w:t>
      </w:r>
    </w:p>
    <w:p>
      <w:pPr>
        <w:spacing w:after="0" w:line="132" w:lineRule="exact"/>
        <w:rPr>
          <w:sz w:val="20"/>
          <w:szCs w:val="20"/>
          <w:color w:val="auto"/>
        </w:rPr>
      </w:pPr>
    </w:p>
    <w:p>
      <w:pPr>
        <w:ind w:right="680" w:firstLine="181"/>
        <w:spacing w:after="0" w:line="285" w:lineRule="auto"/>
        <w:rPr>
          <w:sz w:val="20"/>
          <w:szCs w:val="20"/>
          <w:color w:val="auto"/>
        </w:rPr>
      </w:pPr>
      <w:r>
        <w:rPr>
          <w:rFonts w:ascii="Arial" w:cs="Arial" w:eastAsia="Arial" w:hAnsi="Arial"/>
          <w:sz w:val="15"/>
          <w:szCs w:val="15"/>
          <w:color w:val="auto"/>
        </w:rPr>
        <w:t>All forward-looking statements included in this document are based on information available to us on the date hereof. We assume no obligation to update any forward-looking statements.</w:t>
      </w:r>
    </w:p>
    <w:p>
      <w:pPr>
        <w:spacing w:after="0" w:line="150" w:lineRule="exact"/>
        <w:rPr>
          <w:sz w:val="20"/>
          <w:szCs w:val="20"/>
          <w:color w:val="auto"/>
        </w:rPr>
      </w:pPr>
    </w:p>
    <w:p>
      <w:pPr>
        <w:ind w:right="300" w:firstLine="189"/>
        <w:spacing w:after="0" w:line="322" w:lineRule="auto"/>
        <w:rPr>
          <w:sz w:val="20"/>
          <w:szCs w:val="20"/>
          <w:color w:val="auto"/>
        </w:rPr>
      </w:pPr>
      <w:r>
        <w:rPr>
          <w:rFonts w:ascii="Arial" w:cs="Arial" w:eastAsia="Arial" w:hAnsi="Arial"/>
          <w:sz w:val="14"/>
          <w:szCs w:val="14"/>
          <w:color w:val="auto"/>
        </w:rPr>
        <w:t>Brocade, the B weave logo and SilkWorm are registered trademarks of Brocade Communications Systems, Inc. or its subsidiaries in the United States or in other countries. All other brands, products, or service names are or may be trademarks or service marks of, and are used to identify, products or services of their respective owners.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Events</w:t>
      </w:r>
    </w:p>
    <w:p>
      <w:pPr>
        <w:spacing w:after="0" w:line="204" w:lineRule="exact"/>
        <w:rPr>
          <w:sz w:val="20"/>
          <w:szCs w:val="20"/>
          <w:color w:val="auto"/>
        </w:rPr>
      </w:pPr>
    </w:p>
    <w:p>
      <w:pPr>
        <w:ind w:right="200" w:firstLine="189"/>
        <w:spacing w:after="0" w:line="322" w:lineRule="auto"/>
        <w:rPr>
          <w:sz w:val="20"/>
          <w:szCs w:val="20"/>
          <w:color w:val="auto"/>
        </w:rPr>
      </w:pPr>
      <w:r>
        <w:rPr>
          <w:rFonts w:ascii="Arial" w:cs="Arial" w:eastAsia="Arial" w:hAnsi="Arial"/>
          <w:sz w:val="14"/>
          <w:szCs w:val="14"/>
          <w:color w:val="auto"/>
        </w:rPr>
        <w:t>On August 9, 2002, Christopher B. Paisley joined our Board of Directors. Mr. Paisley will also serve on our Audit Committee and replaces Mark Leslie, who recently retired from our Board. Mr. Paisley currently serves as the Dean’s Executive Professor of Accounting and Finance at the Leavey School of Business at Santa Clara University.</w:t>
      </w:r>
    </w:p>
    <w:p>
      <w:pPr>
        <w:spacing w:after="0" w:line="127" w:lineRule="exact"/>
        <w:rPr>
          <w:sz w:val="20"/>
          <w:szCs w:val="20"/>
          <w:color w:val="auto"/>
        </w:rPr>
      </w:pPr>
    </w:p>
    <w:p>
      <w:pPr>
        <w:ind w:right="560" w:firstLine="189"/>
        <w:spacing w:after="0" w:line="302" w:lineRule="auto"/>
        <w:rPr>
          <w:sz w:val="20"/>
          <w:szCs w:val="20"/>
          <w:color w:val="auto"/>
        </w:rPr>
      </w:pPr>
      <w:r>
        <w:rPr>
          <w:rFonts w:ascii="Arial" w:cs="Arial" w:eastAsia="Arial" w:hAnsi="Arial"/>
          <w:sz w:val="13"/>
          <w:szCs w:val="13"/>
          <w:color w:val="auto"/>
        </w:rPr>
        <w:t xml:space="preserve">On February 14, 2002, a suit captioned </w:t>
      </w:r>
      <w:r>
        <w:rPr>
          <w:rFonts w:ascii="Arial" w:cs="Arial" w:eastAsia="Arial" w:hAnsi="Arial"/>
          <w:sz w:val="13"/>
          <w:szCs w:val="13"/>
          <w:i w:val="1"/>
          <w:iCs w:val="1"/>
          <w:color w:val="auto"/>
        </w:rPr>
        <w:t>McDATA Corp. v. Brocade Communications Systems, Inc.</w:t>
      </w:r>
      <w:r>
        <w:rPr>
          <w:rFonts w:ascii="Arial" w:cs="Arial" w:eastAsia="Arial" w:hAnsi="Arial"/>
          <w:sz w:val="13"/>
          <w:szCs w:val="13"/>
          <w:color w:val="auto"/>
        </w:rPr>
        <w:t xml:space="preserve"> was filed against Brocade in the United States District Court for the District of Colorado. The complaint alleged that the Brocade SilkWorm 3800 Enterprise Fibre Channel Fabric Switch and Brocade SilkWorm 12000 Core Fabric Switch infringe U.S. Patent</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No. 6,233,236, entitled “Method and Apparatus for Measuring Traffic Within a Switch.” The complaint seeks unspecified compensatory and exemplary damages and to permanently enjoin Brocade from infringing the patent in the future. On March 4, 2002, McDATA filed an amended complaint, in which it additionally alleged that the Brocade SilkWorm 3200 Entry Fabric Switch infringed this patent. In connection with this suit, on March 4, 2002, McDATA filed a motion for a preliminary injunction against Brocade with regard to the patent. We filed an answer and counterclaims on April 8, 2002 asserting, among other things, no infringement and that the patent is invalid, unenforceable and covered by an existing covenant not to sue between Brocade and McDATA. A hearing on McDATA’s motion for preliminary injunction was held on July 15, 2002,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we are awaiting a decision on the matter. We believe that we have meritorious defenses to the claims and intend to defend the action vigorously.</w:t>
      </w:r>
    </w:p>
    <w:p>
      <w:pPr>
        <w:spacing w:after="0" w:line="200" w:lineRule="exact"/>
        <w:rPr>
          <w:sz w:val="20"/>
          <w:szCs w:val="20"/>
          <w:color w:val="auto"/>
        </w:rPr>
      </w:pPr>
    </w:p>
    <w:p>
      <w:pPr>
        <w:ind w:right="100" w:firstLine="189"/>
        <w:spacing w:after="0" w:line="310" w:lineRule="auto"/>
        <w:rPr>
          <w:sz w:val="20"/>
          <w:szCs w:val="20"/>
          <w:color w:val="auto"/>
        </w:rPr>
      </w:pPr>
      <w:r>
        <w:rPr>
          <w:rFonts w:ascii="Arial" w:cs="Arial" w:eastAsia="Arial" w:hAnsi="Arial"/>
          <w:sz w:val="13"/>
          <w:szCs w:val="13"/>
          <w:color w:val="auto"/>
        </w:rPr>
        <w:t xml:space="preserve">On July 20, 2001, the first of a number of putative class actions was filed in the United States District Court for the Southern District of New York against us, certain of our officers and directors, and certain of the underwriters in our initial public offering. Those cases were consolidated under the caption </w:t>
      </w:r>
      <w:r>
        <w:rPr>
          <w:rFonts w:ascii="Arial" w:cs="Arial" w:eastAsia="Arial" w:hAnsi="Arial"/>
          <w:sz w:val="13"/>
          <w:szCs w:val="13"/>
          <w:i w:val="1"/>
          <w:iCs w:val="1"/>
          <w:color w:val="auto"/>
        </w:rPr>
        <w:t>Chae v. Brocade Communications Systems, Inc. et al.</w:t>
      </w:r>
      <w:r>
        <w:rPr>
          <w:rFonts w:ascii="Arial" w:cs="Arial" w:eastAsia="Arial" w:hAnsi="Arial"/>
          <w:sz w:val="13"/>
          <w:szCs w:val="13"/>
          <w:color w:val="auto"/>
        </w:rPr>
        <w:t xml:space="preserve"> The complaints generally alleged that various investment bank underwriters engaged in improper and undisclosed activities related to the allocation of shares in our initial public offering. On March 1, 2002, the Court entered an order dismissing without prejudice all claims against us and our officers and directors named in the consolidated proceeding. On April 19, 2002, a consolidated amended class action captioned </w:t>
      </w:r>
      <w:r>
        <w:rPr>
          <w:rFonts w:ascii="Arial" w:cs="Arial" w:eastAsia="Arial" w:hAnsi="Arial"/>
          <w:sz w:val="13"/>
          <w:szCs w:val="13"/>
          <w:i w:val="1"/>
          <w:iCs w:val="1"/>
          <w:color w:val="auto"/>
        </w:rPr>
        <w:t>In Re Brocade Communications Systems, Inc. Initial Public Offering Securities Litigation, 01 CV 6613,</w:t>
      </w:r>
      <w:r>
        <w:rPr>
          <w:rFonts w:ascii="Arial" w:cs="Arial" w:eastAsia="Arial" w:hAnsi="Arial"/>
          <w:sz w:val="13"/>
          <w:szCs w:val="13"/>
          <w:color w:val="auto"/>
        </w:rPr>
        <w:t xml:space="preserve"> was filed asserting claims against the Brocade parties that are substantially similar to those alleged in the earlier case. The complaint seeks unspecified damages on behalf of a purported class of purchasers of common stock from May 24, 1999 to December 6, 2000. Motions to dismiss have been filed. We believe that we have meritorious defenses to the claims and intend to defend the action vigorously.</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sets forth certain financial data for the periods indicated as a percentage of total net revenues:</w:t>
      </w: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8"/>
          </w:tcPr>
          <w:p>
            <w:pPr>
              <w:jc w:val="right"/>
              <w:ind w:right="40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0"/>
              </w:rPr>
              <w:t>July 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0"/>
              </w:rPr>
              <w:t>July 28,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0"/>
              </w:rPr>
              <w:t>July 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July 28,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5"/>
                <w:szCs w:val="15"/>
                <w:color w:val="auto"/>
              </w:rPr>
              <w:t>Net revenues</w:t>
            </w:r>
          </w:p>
        </w:tc>
        <w:tc>
          <w:tcPr>
            <w:tcW w:w="800" w:type="dxa"/>
            <w:vAlign w:val="bottom"/>
            <w:gridSpan w:val="4"/>
            <w:shd w:val="clear" w:color="auto" w:fill="EEEEEE"/>
          </w:tcPr>
          <w:p>
            <w:pPr>
              <w:jc w:val="right"/>
              <w:ind w:right="140"/>
              <w:spacing w:after="0"/>
              <w:rPr>
                <w:sz w:val="20"/>
                <w:szCs w:val="20"/>
                <w:color w:val="auto"/>
              </w:rPr>
            </w:pPr>
            <w:r>
              <w:rPr>
                <w:rFonts w:ascii="Arial" w:cs="Arial" w:eastAsia="Arial" w:hAnsi="Arial"/>
                <w:sz w:val="15"/>
                <w:szCs w:val="15"/>
                <w:color w:val="auto"/>
              </w:rPr>
              <w:t>100.0%</w:t>
            </w:r>
          </w:p>
        </w:tc>
        <w:tc>
          <w:tcPr>
            <w:tcW w:w="1060" w:type="dxa"/>
            <w:vAlign w:val="bottom"/>
            <w:gridSpan w:val="5"/>
            <w:shd w:val="clear" w:color="auto" w:fill="EEEEEE"/>
          </w:tcPr>
          <w:p>
            <w:pPr>
              <w:jc w:val="right"/>
              <w:ind w:right="140"/>
              <w:spacing w:after="0"/>
              <w:rPr>
                <w:sz w:val="20"/>
                <w:szCs w:val="20"/>
                <w:color w:val="auto"/>
              </w:rPr>
            </w:pPr>
            <w:r>
              <w:rPr>
                <w:rFonts w:ascii="Arial" w:cs="Arial" w:eastAsia="Arial" w:hAnsi="Arial"/>
                <w:sz w:val="15"/>
                <w:szCs w:val="15"/>
                <w:color w:val="auto"/>
              </w:rPr>
              <w:t>100.0%</w:t>
            </w:r>
          </w:p>
        </w:tc>
        <w:tc>
          <w:tcPr>
            <w:tcW w:w="1080" w:type="dxa"/>
            <w:vAlign w:val="bottom"/>
            <w:gridSpan w:val="5"/>
            <w:shd w:val="clear" w:color="auto" w:fill="EEEEEE"/>
          </w:tcPr>
          <w:p>
            <w:pPr>
              <w:jc w:val="right"/>
              <w:ind w:right="160"/>
              <w:spacing w:after="0"/>
              <w:rPr>
                <w:sz w:val="20"/>
                <w:szCs w:val="20"/>
                <w:color w:val="auto"/>
              </w:rPr>
            </w:pPr>
            <w:r>
              <w:rPr>
                <w:rFonts w:ascii="Arial" w:cs="Arial" w:eastAsia="Arial" w:hAnsi="Arial"/>
                <w:sz w:val="15"/>
                <w:szCs w:val="15"/>
                <w:color w:val="auto"/>
              </w:rPr>
              <w:t>100.0%</w:t>
            </w: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Cost of revenues</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39.9</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5"/>
                <w:szCs w:val="15"/>
                <w:color w:val="auto"/>
              </w:rPr>
              <w:t>40.0</w:t>
            </w:r>
          </w:p>
        </w:tc>
        <w:tc>
          <w:tcPr>
            <w:tcW w:w="26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39.8</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40.0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5"/>
                <w:szCs w:val="15"/>
                <w:color w:val="auto"/>
              </w:rPr>
              <w:t>Gross margin</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60.1</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60.0</w:t>
            </w: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60.2</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60.0</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5700" w:type="dxa"/>
            <w:vAlign w:val="bottom"/>
            <w:gridSpan w:val="2"/>
            <w:vMerge w:val="restart"/>
          </w:tcPr>
          <w:p>
            <w:pPr>
              <w:spacing w:after="0"/>
              <w:rPr>
                <w:sz w:val="20"/>
                <w:szCs w:val="20"/>
                <w:color w:val="auto"/>
              </w:rPr>
            </w:pPr>
            <w:r>
              <w:rPr>
                <w:rFonts w:ascii="Arial" w:cs="Arial" w:eastAsia="Arial" w:hAnsi="Arial"/>
                <w:sz w:val="15"/>
                <w:szCs w:val="15"/>
                <w:color w:val="auto"/>
              </w:rPr>
              <w:t>Operating expenses:</w:t>
            </w: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70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5"/>
                <w:szCs w:val="15"/>
                <w:color w:val="auto"/>
              </w:rPr>
              <w:t>Research and development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22.0</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23.6</w:t>
            </w: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23.3</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20.7</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80" w:type="dxa"/>
            <w:vAlign w:val="bottom"/>
          </w:tcPr>
          <w:p>
            <w:pPr>
              <w:ind w:left="220"/>
              <w:spacing w:after="0"/>
              <w:rPr>
                <w:sz w:val="20"/>
                <w:szCs w:val="20"/>
                <w:color w:val="auto"/>
              </w:rPr>
            </w:pPr>
            <w:r>
              <w:rPr>
                <w:rFonts w:ascii="Arial" w:cs="Arial" w:eastAsia="Arial" w:hAnsi="Arial"/>
                <w:sz w:val="15"/>
                <w:szCs w:val="15"/>
                <w:color w:val="auto"/>
              </w:rPr>
              <w:t>Sales and marketing</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20.0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5"/>
                <w:szCs w:val="15"/>
                <w:color w:val="auto"/>
              </w:rPr>
              <w:t>19.4</w:t>
            </w:r>
          </w:p>
        </w:tc>
        <w:tc>
          <w:tcPr>
            <w:tcW w:w="26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20.2</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17.5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5"/>
                <w:szCs w:val="15"/>
                <w:color w:val="auto"/>
              </w:rPr>
              <w:t>General and administrative</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3.1</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3.8</w:t>
            </w: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3.5</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3.4</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tcPr>
          <w:p>
            <w:pPr>
              <w:ind w:left="220"/>
              <w:spacing w:after="0"/>
              <w:rPr>
                <w:sz w:val="20"/>
                <w:szCs w:val="20"/>
                <w:color w:val="auto"/>
              </w:rPr>
            </w:pPr>
            <w:r>
              <w:rPr>
                <w:rFonts w:ascii="Arial" w:cs="Arial" w:eastAsia="Arial" w:hAnsi="Arial"/>
                <w:sz w:val="15"/>
                <w:szCs w:val="15"/>
                <w:color w:val="auto"/>
              </w:rPr>
              <w:t>Amortization of deferred stock compensation</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0.2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5"/>
                <w:szCs w:val="15"/>
                <w:color w:val="auto"/>
              </w:rPr>
              <w:t>0.2</w:t>
            </w:r>
          </w:p>
        </w:tc>
        <w:tc>
          <w:tcPr>
            <w:tcW w:w="26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0.2</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0.2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80" w:type="dxa"/>
            <w:vAlign w:val="bottom"/>
            <w:shd w:val="clear" w:color="auto" w:fill="EEEEEE"/>
          </w:tcPr>
          <w:p>
            <w:pPr>
              <w:ind w:left="480"/>
              <w:spacing w:after="0"/>
              <w:rPr>
                <w:sz w:val="20"/>
                <w:szCs w:val="20"/>
                <w:color w:val="auto"/>
              </w:rPr>
            </w:pPr>
            <w:r>
              <w:rPr>
                <w:rFonts w:ascii="Arial" w:cs="Arial" w:eastAsia="Arial" w:hAnsi="Arial"/>
                <w:sz w:val="15"/>
                <w:szCs w:val="15"/>
                <w:color w:val="auto"/>
              </w:rPr>
              <w:t>Total operating expenses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45.3</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47.0</w:t>
            </w: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47.2</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41.8</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57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5700" w:type="dxa"/>
            <w:vAlign w:val="bottom"/>
            <w:gridSpan w:val="2"/>
          </w:tcPr>
          <w:p>
            <w:pPr>
              <w:spacing w:after="0"/>
              <w:rPr>
                <w:sz w:val="20"/>
                <w:szCs w:val="20"/>
                <w:color w:val="auto"/>
              </w:rPr>
            </w:pPr>
            <w:r>
              <w:rPr>
                <w:rFonts w:ascii="Arial" w:cs="Arial" w:eastAsia="Arial" w:hAnsi="Arial"/>
                <w:sz w:val="15"/>
                <w:szCs w:val="15"/>
                <w:color w:val="auto"/>
              </w:rPr>
              <w:t>Income from operations</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14.8</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5"/>
                <w:szCs w:val="15"/>
                <w:color w:val="auto"/>
              </w:rPr>
              <w:t>13.0</w:t>
            </w:r>
          </w:p>
        </w:tc>
        <w:tc>
          <w:tcPr>
            <w:tcW w:w="26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13.0</w:t>
            </w:r>
          </w:p>
        </w:tc>
        <w:tc>
          <w:tcPr>
            <w:tcW w:w="28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18.2</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5"/>
                <w:szCs w:val="15"/>
                <w:color w:val="auto"/>
              </w:rPr>
              <w:t>Interest and other income, net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4.5</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1.8</w:t>
            </w: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4.1</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2.2</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Interest expense</w:t>
            </w:r>
          </w:p>
        </w:tc>
        <w:tc>
          <w:tcPr>
            <w:tcW w:w="800" w:type="dxa"/>
            <w:vAlign w:val="bottom"/>
            <w:gridSpan w:val="4"/>
          </w:tcPr>
          <w:p>
            <w:pPr>
              <w:jc w:val="right"/>
              <w:ind w:right="220"/>
              <w:spacing w:after="0"/>
              <w:rPr>
                <w:sz w:val="20"/>
                <w:szCs w:val="20"/>
                <w:color w:val="auto"/>
              </w:rPr>
            </w:pPr>
            <w:r>
              <w:rPr>
                <w:rFonts w:ascii="Arial" w:cs="Arial" w:eastAsia="Arial" w:hAnsi="Arial"/>
                <w:sz w:val="15"/>
                <w:szCs w:val="15"/>
                <w:color w:val="auto"/>
              </w:rPr>
              <w:t>(2.2)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1080" w:type="dxa"/>
            <w:vAlign w:val="bottom"/>
            <w:gridSpan w:val="5"/>
          </w:tcPr>
          <w:p>
            <w:pPr>
              <w:jc w:val="right"/>
              <w:ind w:right="220"/>
              <w:spacing w:after="0"/>
              <w:rPr>
                <w:sz w:val="20"/>
                <w:szCs w:val="20"/>
                <w:color w:val="auto"/>
              </w:rPr>
            </w:pPr>
            <w:r>
              <w:rPr>
                <w:rFonts w:ascii="Arial" w:cs="Arial" w:eastAsia="Arial" w:hAnsi="Arial"/>
                <w:sz w:val="15"/>
                <w:szCs w:val="15"/>
                <w:color w:val="auto"/>
              </w:rPr>
              <w:t>(1.9)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5"/>
                <w:szCs w:val="15"/>
                <w:color w:val="auto"/>
              </w:rPr>
              <w:t>Income before provision for income taxes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17.1</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ind w:right="20"/>
              <w:spacing w:after="0"/>
              <w:rPr>
                <w:sz w:val="20"/>
                <w:szCs w:val="20"/>
                <w:color w:val="auto"/>
              </w:rPr>
            </w:pPr>
            <w:r>
              <w:rPr>
                <w:rFonts w:ascii="Arial" w:cs="Arial" w:eastAsia="Arial" w:hAnsi="Arial"/>
                <w:sz w:val="15"/>
                <w:szCs w:val="15"/>
                <w:color w:val="auto"/>
              </w:rPr>
              <w:t>14.8</w:t>
            </w:r>
          </w:p>
        </w:tc>
        <w:tc>
          <w:tcPr>
            <w:tcW w:w="260" w:type="dxa"/>
            <w:vAlign w:val="bottom"/>
            <w:shd w:val="clear" w:color="auto" w:fill="EEEEEE"/>
          </w:tcPr>
          <w:p>
            <w:pPr>
              <w:spacing w:after="0"/>
              <w:rPr>
                <w:sz w:val="16"/>
                <w:szCs w:val="16"/>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15.2</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20.4</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5"/>
                <w:szCs w:val="15"/>
                <w:color w:val="auto"/>
              </w:rPr>
              <w:t>4.4</w:t>
            </w:r>
          </w:p>
        </w:tc>
        <w:tc>
          <w:tcPr>
            <w:tcW w:w="26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4.4</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6.1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800" w:type="dxa"/>
            <w:vAlign w:val="bottom"/>
            <w:gridSpan w:val="4"/>
            <w:shd w:val="clear" w:color="auto" w:fill="EEEEEE"/>
          </w:tcPr>
          <w:p>
            <w:pPr>
              <w:jc w:val="right"/>
              <w:ind w:right="140"/>
              <w:spacing w:after="0"/>
              <w:rPr>
                <w:sz w:val="20"/>
                <w:szCs w:val="20"/>
                <w:color w:val="auto"/>
              </w:rPr>
            </w:pPr>
            <w:r>
              <w:rPr>
                <w:rFonts w:ascii="Arial" w:cs="Arial" w:eastAsia="Arial" w:hAnsi="Arial"/>
                <w:sz w:val="15"/>
                <w:szCs w:val="15"/>
                <w:color w:val="auto"/>
              </w:rPr>
              <w:t>12.1%</w:t>
            </w:r>
          </w:p>
        </w:tc>
        <w:tc>
          <w:tcPr>
            <w:tcW w:w="1060" w:type="dxa"/>
            <w:vAlign w:val="bottom"/>
            <w:gridSpan w:val="5"/>
            <w:shd w:val="clear" w:color="auto" w:fill="EEEEEE"/>
          </w:tcPr>
          <w:p>
            <w:pPr>
              <w:jc w:val="right"/>
              <w:ind w:right="140"/>
              <w:spacing w:after="0"/>
              <w:rPr>
                <w:sz w:val="20"/>
                <w:szCs w:val="20"/>
                <w:color w:val="auto"/>
              </w:rPr>
            </w:pPr>
            <w:r>
              <w:rPr>
                <w:rFonts w:ascii="Arial" w:cs="Arial" w:eastAsia="Arial" w:hAnsi="Arial"/>
                <w:sz w:val="15"/>
                <w:szCs w:val="15"/>
                <w:color w:val="auto"/>
              </w:rPr>
              <w:t>10.4%</w:t>
            </w:r>
          </w:p>
        </w:tc>
        <w:tc>
          <w:tcPr>
            <w:tcW w:w="1080" w:type="dxa"/>
            <w:vAlign w:val="bottom"/>
            <w:gridSpan w:val="5"/>
            <w:shd w:val="clear" w:color="auto" w:fill="EEEEEE"/>
          </w:tcPr>
          <w:p>
            <w:pPr>
              <w:jc w:val="right"/>
              <w:ind w:right="160"/>
              <w:spacing w:after="0"/>
              <w:rPr>
                <w:sz w:val="20"/>
                <w:szCs w:val="20"/>
                <w:color w:val="auto"/>
              </w:rPr>
            </w:pPr>
            <w:r>
              <w:rPr>
                <w:rFonts w:ascii="Arial" w:cs="Arial" w:eastAsia="Arial" w:hAnsi="Arial"/>
                <w:sz w:val="15"/>
                <w:szCs w:val="15"/>
                <w:color w:val="auto"/>
              </w:rPr>
              <w:t>10.8%</w:t>
            </w:r>
          </w:p>
        </w:tc>
        <w:tc>
          <w:tcPr>
            <w:tcW w:w="1080" w:type="dxa"/>
            <w:vAlign w:val="bottom"/>
            <w:gridSpan w:val="4"/>
            <w:shd w:val="clear" w:color="auto" w:fill="EEEEEE"/>
          </w:tcPr>
          <w:p>
            <w:pPr>
              <w:jc w:val="right"/>
              <w:ind w:right="160"/>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-34290</wp:posOffset>
            </wp:positionV>
            <wp:extent cx="12700"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-34290</wp:posOffset>
            </wp:positionV>
            <wp:extent cx="12700"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5164455</wp:posOffset>
            </wp:positionH>
            <wp:positionV relativeFrom="paragraph">
              <wp:posOffset>-34290</wp:posOffset>
            </wp:positionV>
            <wp:extent cx="12700"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-34290</wp:posOffset>
            </wp:positionV>
            <wp:extent cx="12700"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-34290</wp:posOffset>
            </wp:positionV>
            <wp:extent cx="12700"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-34290</wp:posOffset>
            </wp:positionV>
            <wp:extent cx="12700"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6525895</wp:posOffset>
            </wp:positionH>
            <wp:positionV relativeFrom="paragraph">
              <wp:posOffset>-34290</wp:posOffset>
            </wp:positionV>
            <wp:extent cx="12700"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6311265</wp:posOffset>
            </wp:positionH>
            <wp:positionV relativeFrom="paragraph">
              <wp:posOffset>-34290</wp:posOffset>
            </wp:positionV>
            <wp:extent cx="12700"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 xml:space="preserve">Revenues. </w:t>
      </w:r>
      <w:r>
        <w:rPr>
          <w:rFonts w:ascii="Arial" w:cs="Arial" w:eastAsia="Arial" w:hAnsi="Arial"/>
          <w:sz w:val="14"/>
          <w:szCs w:val="14"/>
          <w:color w:val="auto"/>
        </w:rPr>
        <w:t>Our revenues are derived primarily from sales of our SilkWorm family of products. Net revenues for the quarter ended July 27, 2002 were $151.2 million, compared to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$116.3 million for the quarter ended July 28, 2001. The increase in net revenues was primarily the result of sales of our SilkWorm 12000 Core Fabric Switch, introduced in March 2002.</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Net revenues for the nine months ended July 27, 2002 were $409.3 million, compared to $396.5 million for the nine months ended July 28, 2001. Net revenues for the nine months ended</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July 27, 2002 benefited from the inclusion of sales of our SilkWorm 12000 Core Fabric Switch and were negatively impacted by the unfavorable economic conditions and reduced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information technology (IT) spending environment that began in fiscal 2001 and that has continued into fiscal 2002.</w:t>
      </w:r>
    </w:p>
    <w:p>
      <w:pPr>
        <w:spacing w:after="0" w:line="196" w:lineRule="exact"/>
        <w:rPr>
          <w:sz w:val="20"/>
          <w:szCs w:val="20"/>
          <w:color w:val="auto"/>
        </w:rPr>
      </w:pPr>
    </w:p>
    <w:p>
      <w:pPr>
        <w:ind w:firstLine="189"/>
        <w:spacing w:after="0" w:line="289" w:lineRule="auto"/>
        <w:rPr>
          <w:sz w:val="20"/>
          <w:szCs w:val="20"/>
          <w:color w:val="auto"/>
        </w:rPr>
      </w:pPr>
      <w:r>
        <w:rPr>
          <w:rFonts w:ascii="Arial" w:cs="Arial" w:eastAsia="Arial" w:hAnsi="Arial"/>
          <w:sz w:val="14"/>
          <w:szCs w:val="14"/>
          <w:color w:val="auto"/>
        </w:rPr>
        <w:t>Domestic and international revenues for the quarter ended July 27, 2002, were 75 percent and 25 percent of total revenues, respectively, compared with 71 percent and 29 percent of total revenues, respectively, for the quarter ended July 28, 2001. Domestic and international revenues for the nine months ended July 27, 2002, were 71 percent and 29 percent of total revenues, respectively, compared with 72 percent and 28 percent of total revenues, respectively, for the nine months ended July 28, 2001. International revenues resulted primarily from sales to customers in Western Europe and the greater Asia Pacific region. Revenues are attributed to geographic areas based on the location of the customer to which products are shipped. Domestic revenues include sales to certain OEM customers who then distribute our products to their international customers.</w:t>
      </w:r>
    </w:p>
    <w:p>
      <w:pPr>
        <w:spacing w:after="0" w:line="149" w:lineRule="exact"/>
        <w:rPr>
          <w:sz w:val="20"/>
          <w:szCs w:val="20"/>
          <w:color w:val="auto"/>
        </w:rPr>
      </w:pPr>
    </w:p>
    <w:p>
      <w:pPr>
        <w:ind w:right="20" w:firstLine="181"/>
        <w:spacing w:after="0" w:line="321" w:lineRule="auto"/>
        <w:rPr>
          <w:sz w:val="20"/>
          <w:szCs w:val="20"/>
          <w:color w:val="auto"/>
        </w:rPr>
      </w:pPr>
      <w:r>
        <w:rPr>
          <w:rFonts w:ascii="Arial" w:cs="Arial" w:eastAsia="Arial" w:hAnsi="Arial"/>
          <w:sz w:val="13"/>
          <w:szCs w:val="13"/>
          <w:color w:val="auto"/>
        </w:rPr>
        <w:t>A significant portion of our revenues is concentrated among a relatively small number of customers. For the quarters ended July 27, 2002 and July 28, 2001, four and three customers each contributed greater than 10 percent of our total revenues for combined totals of 76 percent and 54 percent of our total revenues, respectively. For the nine-month periods ended July 27, 2002 and July 28, 2001, four and two customers each contributed greater than 10 percent of our total revenues for combined totals of 73 percent and 48 percent of our total revenues, respectively. The level of sales to any single customer may vary and the loss of any one significant customer, or a decrease in the level of sales to any one significant customer,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could seriously harm our financial condition and results of operations. We expect that a significant portion of our future revenues will continue to come from sales of products to a relatively small number of customers.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 xml:space="preserve">Gross margin. </w:t>
      </w:r>
      <w:r>
        <w:rPr>
          <w:rFonts w:ascii="Arial" w:cs="Arial" w:eastAsia="Arial" w:hAnsi="Arial"/>
          <w:sz w:val="14"/>
          <w:szCs w:val="14"/>
          <w:color w:val="auto"/>
        </w:rPr>
        <w:t>Gross margins for both the three and nine-month periods ended July 27, 2002, remained consistent with gross margins reported in the prior comparable periods.</w:t>
      </w:r>
    </w:p>
    <w:p>
      <w:pPr>
        <w:spacing w:after="0" w:line="212" w:lineRule="exact"/>
        <w:rPr>
          <w:sz w:val="20"/>
          <w:szCs w:val="20"/>
          <w:color w:val="auto"/>
        </w:rPr>
      </w:pPr>
    </w:p>
    <w:p>
      <w:pPr>
        <w:ind w:firstLine="189"/>
        <w:spacing w:after="0" w:line="312"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Research and development (R&amp;D) expenses increased to $33.2 million and $95.5 million for the three and nine-month periods ended July 27, 2002,</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compared to $27.4 million and $82.0 million for the three and nine-month periods ended July 28, 2001, respectively. R&amp;D expenses consist primarily of salaries and related expenses for personnel engaged in engineering and R&amp;D activities; fees paid to consultants and outside service providers; nonrecurring engineering charges; prototyping expenses related to the design, development, testing and enhancement of our products; depreciation related to engineering and test equipment; and IT and facilities expenses. The increase in R&amp;D expenses reflects our continued belief that investment in R&amp;D is a critical factor in maintaining our competitive position. The increases in R&amp;D expenses were primarily related to additional personnel associated with the initial development of future products. We currently anticipate that R&amp;D expenses will increase in absolute dollars during the next quarter.</w:t>
      </w:r>
    </w:p>
    <w:p>
      <w:pPr>
        <w:spacing w:after="0" w:line="139" w:lineRule="exact"/>
        <w:rPr>
          <w:sz w:val="20"/>
          <w:szCs w:val="20"/>
          <w:color w:val="auto"/>
        </w:rPr>
      </w:pPr>
    </w:p>
    <w:p>
      <w:pPr>
        <w:ind w:right="100" w:firstLine="189"/>
        <w:spacing w:after="0" w:line="262" w:lineRule="auto"/>
        <w:rPr>
          <w:sz w:val="20"/>
          <w:szCs w:val="20"/>
          <w:color w:val="auto"/>
        </w:rPr>
      </w:pPr>
      <w:r>
        <w:rPr>
          <w:rFonts w:ascii="Arial" w:cs="Arial" w:eastAsia="Arial" w:hAnsi="Arial"/>
          <w:sz w:val="15"/>
          <w:szCs w:val="15"/>
          <w:i w:val="1"/>
          <w:iCs w:val="1"/>
          <w:color w:val="auto"/>
        </w:rPr>
        <w:t xml:space="preserve">Sales and marketing expenses. </w:t>
      </w:r>
      <w:r>
        <w:rPr>
          <w:rFonts w:ascii="Arial" w:cs="Arial" w:eastAsia="Arial" w:hAnsi="Arial"/>
          <w:sz w:val="15"/>
          <w:szCs w:val="15"/>
          <w:color w:val="auto"/>
        </w:rPr>
        <w:t>Sales and marketing expenses increased to $30.3 million and $82.7 million for the three and nine-month periods ended July 27, 2002,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$22.6 million and $69.6 million for the three and nine-month periods ended July 28, 2001, respectively. Sales and marketing expenses consist primarily of salaries, commissions and related expenses for personnel engaged in marketing and sales activities; costs associated with promotional and travel expenses; and IT and facilities expenses. The increases in sales and marketing expenses were primarily due to the continued expansion of our sales and marketing organizations, and, for the three months ended July 27, 2002, an increase in commissions associated with increased revenue levels. We believe that continued investment in sales and marketing is critical to the success of our strategy to expand relationships with our OEM customers; to expand our presence in the master reseller and fabric integration channel; to communicate with, understand and anticipate the current and future needs of the end users of our products in order to increase demand for our partners; and to maintain our leadership position in the SAN market. In addition, we are currently expanding our international sales activities to various countries in Europe and the greater Asia Pacific region. We currently anticipate that sales and marketing expenses will increase in absolute dollars during the next quarter.</w:t>
      </w:r>
    </w:p>
    <w:p>
      <w:pPr>
        <w:spacing w:after="0" w:line="170" w:lineRule="exact"/>
        <w:rPr>
          <w:sz w:val="20"/>
          <w:szCs w:val="20"/>
          <w:color w:val="auto"/>
        </w:rPr>
      </w:pPr>
    </w:p>
    <w:p>
      <w:pPr>
        <w:ind w:firstLine="189"/>
        <w:spacing w:after="0" w:line="292" w:lineRule="auto"/>
        <w:rPr>
          <w:sz w:val="20"/>
          <w:szCs w:val="20"/>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General and administrative (G&amp;A) expenses increased to $4.8 million and $14.1 million for the three and nine-month periods ended July 27, 2002,</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compared to $4.4 million and $13.4 million for the three and nine-month periods ended July 28, 2001, respectively. G&amp;A expenses consist primarily of salaries and related expenses for corporate executives, finance, human resources and investor relations, as well as recruiting expenses, professional fees, corporate legal expenses, other corporate expenses, and IT and facilities expenses. We currently anticipate that G&amp;A expenses will remain relatively constant in terms of absolute dollars during the next quarter.</w:t>
      </w:r>
    </w:p>
    <w:p>
      <w:pPr>
        <w:spacing w:after="0" w:line="149" w:lineRule="exact"/>
        <w:rPr>
          <w:sz w:val="20"/>
          <w:szCs w:val="20"/>
          <w:color w:val="auto"/>
        </w:rPr>
      </w:pPr>
    </w:p>
    <w:p>
      <w:pPr>
        <w:ind w:firstLine="189"/>
        <w:spacing w:after="0" w:line="272" w:lineRule="auto"/>
        <w:rPr>
          <w:sz w:val="20"/>
          <w:szCs w:val="20"/>
          <w:color w:val="auto"/>
        </w:rPr>
      </w:pPr>
      <w:r>
        <w:rPr>
          <w:rFonts w:ascii="Arial" w:cs="Arial" w:eastAsia="Arial" w:hAnsi="Arial"/>
          <w:sz w:val="15"/>
          <w:szCs w:val="15"/>
          <w:i w:val="1"/>
          <w:iCs w:val="1"/>
          <w:color w:val="auto"/>
        </w:rPr>
        <w:t xml:space="preserve">Amortization of deferred stock compensation. </w:t>
      </w:r>
      <w:r>
        <w:rPr>
          <w:rFonts w:ascii="Arial" w:cs="Arial" w:eastAsia="Arial" w:hAnsi="Arial"/>
          <w:sz w:val="15"/>
          <w:szCs w:val="15"/>
          <w:color w:val="auto"/>
        </w:rPr>
        <w:t>Amortization of deferred stock compensation was $0.2 million and $0.7 million for the three and nine-months periods ended July 27, 2002,</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compared to $0.3 million and $0.8 million, for the three and nine-month periods ended July 28, 2001, respectively. As of July 27, 2002, unamortized deferred stock compensation was approximately $0.3 million.</w:t>
      </w:r>
    </w:p>
    <w:p>
      <w:pPr>
        <w:spacing w:after="0" w:line="159" w:lineRule="exact"/>
        <w:rPr>
          <w:sz w:val="20"/>
          <w:szCs w:val="20"/>
          <w:color w:val="auto"/>
        </w:rPr>
      </w:pPr>
    </w:p>
    <w:p>
      <w:pPr>
        <w:ind w:right="80" w:firstLine="189"/>
        <w:spacing w:after="0" w:line="263" w:lineRule="auto"/>
        <w:rPr>
          <w:sz w:val="20"/>
          <w:szCs w:val="20"/>
          <w:color w:val="auto"/>
        </w:rPr>
      </w:pPr>
      <w:r>
        <w:rPr>
          <w:rFonts w:ascii="Arial" w:cs="Arial" w:eastAsia="Arial" w:hAnsi="Arial"/>
          <w:sz w:val="15"/>
          <w:szCs w:val="15"/>
          <w:i w:val="1"/>
          <w:iCs w:val="1"/>
          <w:color w:val="auto"/>
        </w:rPr>
        <w:t xml:space="preserve">Interest and other income, net. </w:t>
      </w:r>
      <w:r>
        <w:rPr>
          <w:rFonts w:ascii="Arial" w:cs="Arial" w:eastAsia="Arial" w:hAnsi="Arial"/>
          <w:sz w:val="15"/>
          <w:szCs w:val="15"/>
          <w:color w:val="auto"/>
        </w:rPr>
        <w:t>Interest and other income, net increased to $6.8 million and $16.8 million for the three and nine-month periods ended July 27, 2002,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$2.1 million and $8.7 million for the three and nine-month periods ended July 28, 2001, respectively. The increases were primarily the result of increased cash and investment balances associated with the investment of the proceeds received from our convertible debt offering. Interest and other income, net for the quarter ended July 28, 2001, includes realized gains of $0.9 million from the sale of marketable equity securities and impairment charges of $1.2 million related to other-than-temporary declines in the fair value of certain minority equity investments in non-publicly traded companies. Interest and other income, net for the nine-month period ended July 28, 2001, includes realized gains of $6.6 million from the sale of marketable equity securities and impairment charges of $4.7 million related to other-than-temporary declines in the fair value of certain minority equity investments in non-publicly traded companies. No impairment charges related to other-than-temporary declines in the fair value of minority equity investments were recorded for the three and nine-month periods ended July 27, 2002.</w:t>
      </w:r>
    </w:p>
    <w:p>
      <w:pPr>
        <w:spacing w:after="0" w:line="166" w:lineRule="exact"/>
        <w:rPr>
          <w:sz w:val="20"/>
          <w:szCs w:val="20"/>
          <w:color w:val="auto"/>
        </w:rPr>
      </w:pPr>
    </w:p>
    <w:p>
      <w:pPr>
        <w:ind w:right="100" w:firstLine="189"/>
        <w:spacing w:after="0" w:line="285"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was $3.4 million and $8.1 million for the three and nine-month periods ended July 27, 2002, respectively, and was primarily the result of the issuance</w:t>
      </w:r>
      <w:r>
        <w:rPr>
          <w:rFonts w:ascii="Arial" w:cs="Arial" w:eastAsia="Arial" w:hAnsi="Arial"/>
          <w:sz w:val="15"/>
          <w:szCs w:val="15"/>
          <w:i w:val="1"/>
          <w:iCs w:val="1"/>
          <w:color w:val="auto"/>
        </w:rPr>
        <w:t xml:space="preserve"> </w:t>
      </w:r>
      <w:r>
        <w:rPr>
          <w:rFonts w:ascii="Arial" w:cs="Arial" w:eastAsia="Arial" w:hAnsi="Arial"/>
          <w:sz w:val="15"/>
          <w:szCs w:val="15"/>
          <w:color w:val="auto"/>
        </w:rPr>
        <w:t>of convertible subordinated debt.</w:t>
      </w:r>
    </w:p>
    <w:p>
      <w:pPr>
        <w:spacing w:after="0" w:line="150" w:lineRule="exact"/>
        <w:rPr>
          <w:sz w:val="20"/>
          <w:szCs w:val="20"/>
          <w:color w:val="auto"/>
        </w:rPr>
      </w:pPr>
    </w:p>
    <w:p>
      <w:pPr>
        <w:ind w:right="160" w:firstLine="189"/>
        <w:spacing w:after="0" w:line="365"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Our effective tax rate for both the three and nine-month periods ended July 27, 2002, was 29 percent compared to 30 percent for the three and nine-month</w:t>
      </w:r>
      <w:r>
        <w:rPr>
          <w:rFonts w:ascii="Arial" w:cs="Arial" w:eastAsia="Arial" w:hAnsi="Arial"/>
          <w:sz w:val="13"/>
          <w:szCs w:val="13"/>
          <w:i w:val="1"/>
          <w:iCs w:val="1"/>
          <w:color w:val="auto"/>
        </w:rPr>
        <w:t xml:space="preserve"> </w:t>
      </w:r>
      <w:r>
        <w:rPr>
          <w:rFonts w:ascii="Arial" w:cs="Arial" w:eastAsia="Arial" w:hAnsi="Arial"/>
          <w:sz w:val="13"/>
          <w:szCs w:val="13"/>
          <w:color w:val="auto"/>
        </w:rPr>
        <w:t>periods ended July 28, 2001. Our ability to maintain our current effective tax rate requires that international revenues and earnings be achieved as planned. To the extent that international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60"/>
        <w:spacing w:after="0" w:line="285" w:lineRule="auto"/>
        <w:rPr>
          <w:sz w:val="20"/>
          <w:szCs w:val="20"/>
          <w:color w:val="auto"/>
        </w:rPr>
      </w:pPr>
      <w:r>
        <w:rPr>
          <w:rFonts w:ascii="Arial" w:cs="Arial" w:eastAsia="Arial" w:hAnsi="Arial"/>
          <w:sz w:val="15"/>
          <w:szCs w:val="15"/>
          <w:color w:val="auto"/>
        </w:rPr>
        <w:t>revenues and earnings differ from plan, a factor largely influenced by the buying behavior of our OEM customers, or unfavorable changes in tax laws and regulations occur, our effective tax rate could change.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4" w:lineRule="exact"/>
        <w:rPr>
          <w:sz w:val="20"/>
          <w:szCs w:val="20"/>
          <w:color w:val="auto"/>
        </w:rPr>
      </w:pPr>
    </w:p>
    <w:p>
      <w:pPr>
        <w:ind w:right="100" w:firstLine="189"/>
        <w:spacing w:after="0" w:line="265" w:lineRule="auto"/>
        <w:rPr>
          <w:sz w:val="20"/>
          <w:szCs w:val="20"/>
          <w:color w:val="auto"/>
        </w:rPr>
      </w:pPr>
      <w:r>
        <w:rPr>
          <w:rFonts w:ascii="Arial" w:cs="Arial" w:eastAsia="Arial" w:hAnsi="Arial"/>
          <w:sz w:val="15"/>
          <w:szCs w:val="15"/>
          <w:color w:val="auto"/>
        </w:rPr>
        <w:t>Cash, cash equivalents, short-term investments and long-term investments were $882.3 million as of July 27, 2002, an increase of $627.2 million from October 27, 2001. For the nine-month period ended July 27, 2002, we generated $89.9 million in cash from operating activities, primarily from net income and an increase in accounts payable which was partially offset by an increase in accounts receivable due to increased sales during the quarter ended July 27, 2002. Also included in cash from operations were income tax benefits related to employee stock option transactions of $26.2 million, which were partially offset by an increase in net deferred tax assets of $20.3 million. As of July 27, 2002, we had $248.8 million in net deferred tax assets, which we believe will be realizable through future profitable operations.</w:t>
      </w:r>
    </w:p>
    <w:p>
      <w:pPr>
        <w:spacing w:after="0" w:line="166" w:lineRule="exact"/>
        <w:rPr>
          <w:sz w:val="20"/>
          <w:szCs w:val="20"/>
          <w:color w:val="auto"/>
        </w:rPr>
      </w:pPr>
    </w:p>
    <w:p>
      <w:pPr>
        <w:ind w:right="120" w:firstLine="189"/>
        <w:spacing w:after="0" w:line="267" w:lineRule="auto"/>
        <w:rPr>
          <w:sz w:val="20"/>
          <w:szCs w:val="20"/>
          <w:color w:val="auto"/>
        </w:rPr>
      </w:pPr>
      <w:r>
        <w:rPr>
          <w:rFonts w:ascii="Arial" w:cs="Arial" w:eastAsia="Arial" w:hAnsi="Arial"/>
          <w:sz w:val="15"/>
          <w:szCs w:val="15"/>
          <w:color w:val="auto"/>
        </w:rPr>
        <w:t>Net cash used in investing activities for the nine-month period ended July 27, 2002 was $631.9 million, resulting primarily from purchases of investments of $640.8 million and purchases of capital equipment of $65.2 million. Net cash provided by financing activities totaled $587.6 million and was the result of $537.6 million in net proceeds from the issuance of convertible subordinated notes (see Note 5, “Convertible Subordinated Debt,” of the Notes to Condensed Consolidated Financial Statements), and $50.0 million in net proceeds from the issuance of common stock related to employee participation in employee stock plans.</w:t>
      </w:r>
    </w:p>
    <w:p>
      <w:pPr>
        <w:spacing w:after="0" w:line="165" w:lineRule="exact"/>
        <w:rPr>
          <w:sz w:val="20"/>
          <w:szCs w:val="20"/>
          <w:color w:val="auto"/>
        </w:rPr>
      </w:pPr>
    </w:p>
    <w:p>
      <w:pPr>
        <w:ind w:firstLine="187"/>
        <w:spacing w:after="0" w:line="292" w:lineRule="auto"/>
        <w:rPr>
          <w:sz w:val="20"/>
          <w:szCs w:val="20"/>
          <w:color w:val="auto"/>
        </w:rPr>
      </w:pPr>
      <w:r>
        <w:rPr>
          <w:rFonts w:ascii="Arial" w:cs="Arial" w:eastAsia="Arial" w:hAnsi="Arial"/>
          <w:sz w:val="14"/>
          <w:szCs w:val="14"/>
          <w:color w:val="auto"/>
        </w:rPr>
        <w:t>We have a manufacturing agreement with Solectron under which we provide to Solectron a twelve-month product forecast and place purchase orders with Solectron sixty calendar days in advance of the scheduled delivery of products to our customers. As of July 27, 2002, our commitment to Solectron for such inventory components, net of purchase commitment reserves, was $35.9 million, which we expect to utilize during future normal ongoing operations. Although the purchase orders we place with Solectron are cancelable, the terms of the agreement require us to purchase from Solectron all inventory components not returnable or usable by other Solectron customers.</w:t>
      </w:r>
    </w:p>
    <w:p>
      <w:pPr>
        <w:spacing w:after="0" w:line="149" w:lineRule="exact"/>
        <w:rPr>
          <w:sz w:val="20"/>
          <w:szCs w:val="20"/>
          <w:color w:val="auto"/>
        </w:rPr>
      </w:pPr>
    </w:p>
    <w:p>
      <w:pPr>
        <w:ind w:right="100" w:firstLine="189"/>
        <w:spacing w:after="0" w:line="285" w:lineRule="auto"/>
        <w:rPr>
          <w:sz w:val="20"/>
          <w:szCs w:val="20"/>
          <w:color w:val="auto"/>
        </w:rPr>
      </w:pPr>
      <w:r>
        <w:rPr>
          <w:rFonts w:ascii="Arial" w:cs="Arial" w:eastAsia="Arial" w:hAnsi="Arial"/>
          <w:sz w:val="15"/>
          <w:szCs w:val="15"/>
          <w:color w:val="auto"/>
        </w:rPr>
        <w:t>In addition, we purchase several key components used in the manufacture of our products. As of July 27, 2002, we had non-cancelable purchase commitments for various components, net of purchase commitment reserves, totaling $12.4 million, which we expect to utilize during future normal ongoing operations.</w:t>
      </w:r>
    </w:p>
    <w:p>
      <w:pPr>
        <w:spacing w:after="0" w:line="150" w:lineRule="exact"/>
        <w:rPr>
          <w:sz w:val="20"/>
          <w:szCs w:val="20"/>
          <w:color w:val="auto"/>
        </w:rPr>
      </w:pPr>
    </w:p>
    <w:p>
      <w:pPr>
        <w:ind w:right="80" w:firstLine="187"/>
        <w:spacing w:after="0" w:line="289" w:lineRule="auto"/>
        <w:rPr>
          <w:sz w:val="20"/>
          <w:szCs w:val="20"/>
          <w:color w:val="auto"/>
        </w:rPr>
      </w:pPr>
      <w:r>
        <w:rPr>
          <w:rFonts w:ascii="Arial" w:cs="Arial" w:eastAsia="Arial" w:hAnsi="Arial"/>
          <w:sz w:val="14"/>
          <w:szCs w:val="14"/>
          <w:color w:val="auto"/>
        </w:rPr>
        <w:t>We have established purchase commitment reserves of $3.2 million for excess inventory components committed to be purchased from Solectron and other key component vendors that we believe may not be realizable during future normal ongoing operations. These purchase commitment reserves represent the difference between the cost of the components and their estimated fair value based upon assumptions about market conditions and our current forecast of revenue. To the extent that such forecasts are not achieved or actual market conditions are less favorable than those projected, our commitments and associated reserve levels may change. We monitor these purchase commitment reserve requirements on a quarterly basis, and as of July 27, 2002 continue to believe our reserves are adequate and sufficient to meet any unrealizable purchase commitments.</w:t>
      </w:r>
    </w:p>
    <w:p>
      <w:pPr>
        <w:spacing w:after="0" w:line="149" w:lineRule="exact"/>
        <w:rPr>
          <w:sz w:val="20"/>
          <w:szCs w:val="20"/>
          <w:color w:val="auto"/>
        </w:rPr>
      </w:pPr>
    </w:p>
    <w:p>
      <w:pPr>
        <w:ind w:firstLine="189"/>
        <w:spacing w:after="0" w:line="292" w:lineRule="auto"/>
        <w:rPr>
          <w:sz w:val="20"/>
          <w:szCs w:val="20"/>
          <w:color w:val="auto"/>
        </w:rPr>
      </w:pPr>
      <w:r>
        <w:rPr>
          <w:rFonts w:ascii="Arial" w:cs="Arial" w:eastAsia="Arial" w:hAnsi="Arial"/>
          <w:sz w:val="14"/>
          <w:szCs w:val="14"/>
          <w:color w:val="auto"/>
        </w:rPr>
        <w:t>On December 21, 2001, and January 10, 2002, we sold $550 million in aggregate principal amount of 2 percent convertible subordinated notes due 2007 (see Note 5, “Convertible Subordinated Debt,” of the Notes to Condensed Consolidated Financial Statements). Holders of the notes may, in whole or in part, convert the notes into shares of our common stock at a conversion rate of 22.8571 shares per $1,000 principal amount of notes (aggregate of approximately 12.6 million shares) at any time prior to maturity on January 1, 2007. At any time on or after January 5, 2005, we may redeem the notes in whole or in part at the following prices expressed as a percentage of the principal amount:</w:t>
      </w:r>
    </w:p>
    <w:p>
      <w:pPr>
        <w:spacing w:after="0" w:line="355" w:lineRule="exact"/>
        <w:rPr>
          <w:sz w:val="20"/>
          <w:szCs w:val="20"/>
          <w:color w:val="auto"/>
        </w:rPr>
      </w:pPr>
    </w:p>
    <w:tbl>
      <w:tblPr>
        <w:tblLayout w:type="fixed"/>
        <w:tblInd w:w="1420" w:type="dxa"/>
        <w:tblCellMar>
          <w:top w:w="0" w:type="dxa"/>
          <w:left w:w="0" w:type="dxa"/>
          <w:bottom w:w="0" w:type="dxa"/>
          <w:right w:w="0" w:type="dxa"/>
        </w:tblCellMar>
      </w:tblPr>
      <w:tr>
        <w:trPr>
          <w:trHeight w:val="150"/>
        </w:trPr>
        <w:tc>
          <w:tcPr>
            <w:tcW w:w="7240" w:type="dxa"/>
            <w:vAlign w:val="bottom"/>
          </w:tcPr>
          <w:p>
            <w:pPr>
              <w:ind w:left="3140"/>
              <w:spacing w:after="0"/>
              <w:rPr>
                <w:sz w:val="20"/>
                <w:szCs w:val="20"/>
                <w:color w:val="auto"/>
              </w:rPr>
            </w:pPr>
            <w:r>
              <w:rPr>
                <w:rFonts w:ascii="Arial" w:cs="Arial" w:eastAsia="Arial" w:hAnsi="Arial"/>
                <w:sz w:val="12"/>
                <w:szCs w:val="12"/>
                <w:b w:val="1"/>
                <w:bCs w:val="1"/>
                <w:color w:val="auto"/>
              </w:rPr>
              <w:t>Redemption Period</w:t>
            </w:r>
          </w:p>
        </w:tc>
        <w:tc>
          <w:tcPr>
            <w:tcW w:w="400" w:type="dxa"/>
            <w:vAlign w:val="bottom"/>
          </w:tcPr>
          <w:p>
            <w:pPr>
              <w:spacing w:after="0"/>
              <w:rPr>
                <w:sz w:val="13"/>
                <w:szCs w:val="13"/>
                <w:color w:val="auto"/>
              </w:rPr>
            </w:pPr>
          </w:p>
        </w:tc>
        <w:tc>
          <w:tcPr>
            <w:tcW w:w="940" w:type="dxa"/>
            <w:vAlign w:val="bottom"/>
          </w:tcPr>
          <w:p>
            <w:pPr>
              <w:jc w:val="right"/>
              <w:ind w:right="282"/>
              <w:spacing w:after="0"/>
              <w:rPr>
                <w:sz w:val="20"/>
                <w:szCs w:val="20"/>
                <w:color w:val="auto"/>
              </w:rPr>
            </w:pPr>
            <w:r>
              <w:rPr>
                <w:rFonts w:ascii="Arial" w:cs="Arial" w:eastAsia="Arial" w:hAnsi="Arial"/>
                <w:sz w:val="12"/>
                <w:szCs w:val="12"/>
                <w:b w:val="1"/>
                <w:bCs w:val="1"/>
                <w:color w:val="auto"/>
              </w:rPr>
              <w:t>Price</w:t>
            </w:r>
          </w:p>
        </w:tc>
      </w:tr>
      <w:tr>
        <w:trPr>
          <w:trHeight w:val="83"/>
        </w:trPr>
        <w:tc>
          <w:tcPr>
            <w:tcW w:w="72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r>
      <w:tr>
        <w:trPr>
          <w:trHeight w:val="85"/>
        </w:trPr>
        <w:tc>
          <w:tcPr>
            <w:tcW w:w="7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86"/>
        </w:trPr>
        <w:tc>
          <w:tcPr>
            <w:tcW w:w="7240" w:type="dxa"/>
            <w:vAlign w:val="bottom"/>
            <w:shd w:val="clear" w:color="auto" w:fill="EEEEEE"/>
          </w:tcPr>
          <w:p>
            <w:pPr>
              <w:spacing w:after="0"/>
              <w:rPr>
                <w:sz w:val="20"/>
                <w:szCs w:val="20"/>
                <w:color w:val="auto"/>
              </w:rPr>
            </w:pPr>
            <w:r>
              <w:rPr>
                <w:rFonts w:ascii="Arial" w:cs="Arial" w:eastAsia="Arial" w:hAnsi="Arial"/>
                <w:sz w:val="15"/>
                <w:szCs w:val="15"/>
                <w:color w:val="auto"/>
              </w:rPr>
              <w:t>Beginning on January 5, 2005 and ending on December 31, 2005</w:t>
            </w:r>
          </w:p>
        </w:tc>
        <w:tc>
          <w:tcPr>
            <w:tcW w:w="1340" w:type="dxa"/>
            <w:vAlign w:val="bottom"/>
            <w:gridSpan w:val="2"/>
            <w:shd w:val="clear" w:color="auto" w:fill="EEEEEE"/>
          </w:tcPr>
          <w:p>
            <w:pPr>
              <w:jc w:val="right"/>
              <w:ind w:right="62"/>
              <w:spacing w:after="0"/>
              <w:rPr>
                <w:sz w:val="20"/>
                <w:szCs w:val="20"/>
                <w:color w:val="auto"/>
              </w:rPr>
            </w:pPr>
            <w:r>
              <w:rPr>
                <w:rFonts w:ascii="Arial" w:cs="Arial" w:eastAsia="Arial" w:hAnsi="Arial"/>
                <w:sz w:val="15"/>
                <w:szCs w:val="15"/>
                <w:color w:val="auto"/>
              </w:rPr>
              <w:t>100.80%</w:t>
            </w:r>
          </w:p>
        </w:tc>
      </w:tr>
      <w:tr>
        <w:trPr>
          <w:trHeight w:val="186"/>
        </w:trPr>
        <w:tc>
          <w:tcPr>
            <w:tcW w:w="7240" w:type="dxa"/>
            <w:vAlign w:val="bottom"/>
          </w:tcPr>
          <w:p>
            <w:pPr>
              <w:spacing w:after="0"/>
              <w:rPr>
                <w:sz w:val="20"/>
                <w:szCs w:val="20"/>
                <w:color w:val="auto"/>
              </w:rPr>
            </w:pPr>
            <w:r>
              <w:rPr>
                <w:rFonts w:ascii="Arial" w:cs="Arial" w:eastAsia="Arial" w:hAnsi="Arial"/>
                <w:sz w:val="15"/>
                <w:szCs w:val="15"/>
                <w:color w:val="auto"/>
              </w:rPr>
              <w:t>Beginning on January 1, 2006 and ending on December 31, 2006</w:t>
            </w:r>
          </w:p>
        </w:tc>
        <w:tc>
          <w:tcPr>
            <w:tcW w:w="1340" w:type="dxa"/>
            <w:vAlign w:val="bottom"/>
            <w:gridSpan w:val="2"/>
          </w:tcPr>
          <w:p>
            <w:pPr>
              <w:jc w:val="right"/>
              <w:ind w:right="62"/>
              <w:spacing w:after="0"/>
              <w:rPr>
                <w:sz w:val="20"/>
                <w:szCs w:val="20"/>
                <w:color w:val="auto"/>
              </w:rPr>
            </w:pPr>
            <w:r>
              <w:rPr>
                <w:rFonts w:ascii="Arial" w:cs="Arial" w:eastAsia="Arial" w:hAnsi="Arial"/>
                <w:sz w:val="15"/>
                <w:szCs w:val="15"/>
                <w:color w:val="auto"/>
              </w:rPr>
              <w:t>100.40%</w:t>
            </w:r>
          </w:p>
        </w:tc>
      </w:tr>
      <w:tr>
        <w:trPr>
          <w:trHeight w:val="186"/>
        </w:trPr>
        <w:tc>
          <w:tcPr>
            <w:tcW w:w="7240" w:type="dxa"/>
            <w:vAlign w:val="bottom"/>
            <w:shd w:val="clear" w:color="auto" w:fill="EEEEEE"/>
          </w:tcPr>
          <w:p>
            <w:pPr>
              <w:spacing w:after="0"/>
              <w:rPr>
                <w:sz w:val="20"/>
                <w:szCs w:val="20"/>
                <w:color w:val="auto"/>
              </w:rPr>
            </w:pPr>
            <w:r>
              <w:rPr>
                <w:rFonts w:ascii="Arial" w:cs="Arial" w:eastAsia="Arial" w:hAnsi="Arial"/>
                <w:sz w:val="15"/>
                <w:szCs w:val="15"/>
                <w:color w:val="auto"/>
              </w:rPr>
              <w:t>On January 1, 2007</w:t>
            </w:r>
          </w:p>
        </w:tc>
        <w:tc>
          <w:tcPr>
            <w:tcW w:w="1340" w:type="dxa"/>
            <w:vAlign w:val="bottom"/>
            <w:gridSpan w:val="2"/>
            <w:shd w:val="clear" w:color="auto" w:fill="EEEEEE"/>
          </w:tcPr>
          <w:p>
            <w:pPr>
              <w:jc w:val="right"/>
              <w:ind w:right="62"/>
              <w:spacing w:after="0"/>
              <w:rPr>
                <w:sz w:val="20"/>
                <w:szCs w:val="20"/>
                <w:color w:val="auto"/>
              </w:rPr>
            </w:pPr>
            <w:r>
              <w:rPr>
                <w:rFonts w:ascii="Arial" w:cs="Arial" w:eastAsia="Arial" w:hAnsi="Arial"/>
                <w:sz w:val="15"/>
                <w:szCs w:val="15"/>
                <w:color w:val="auto"/>
              </w:rPr>
              <w:t>100.00%</w:t>
            </w:r>
          </w:p>
        </w:tc>
      </w:tr>
    </w:tbl>
    <w:p>
      <w:pPr>
        <w:spacing w:after="0" w:line="179" w:lineRule="exact"/>
        <w:rPr>
          <w:sz w:val="20"/>
          <w:szCs w:val="20"/>
          <w:color w:val="auto"/>
        </w:rPr>
      </w:pPr>
    </w:p>
    <w:p>
      <w:pPr>
        <w:ind w:right="140" w:firstLine="187"/>
        <w:spacing w:after="0" w:line="272" w:lineRule="auto"/>
        <w:rPr>
          <w:sz w:val="20"/>
          <w:szCs w:val="20"/>
          <w:color w:val="auto"/>
        </w:rPr>
      </w:pPr>
      <w:r>
        <w:rPr>
          <w:rFonts w:ascii="Arial" w:cs="Arial" w:eastAsia="Arial" w:hAnsi="Arial"/>
          <w:sz w:val="15"/>
          <w:szCs w:val="15"/>
          <w:color w:val="auto"/>
        </w:rPr>
        <w:t>We are required to pay interest on January 1 and July 1 of each year, beginning July 1, 2002. Debt issuance costs of $12.4 million are being amortized over a five-year term using the straight-line method, which approximates the effective interest rate method. The amortization of debt issuance costs will accelerate upon early redemption or conversion of the notes. The net proceeds remain available for general corporate purposes, including working capital and capital expenditures.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summarizes our contractual obligations (including interest expense) and commitments as of July 27, 2002 (in thousands):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5"/>
              </w:rPr>
              <w:t>Less than</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2"/>
              </w:rPr>
              <w:t>After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3"/>
          </w:tcPr>
          <w:p>
            <w:pPr>
              <w:ind w:left="120"/>
              <w:spacing w:after="0"/>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1 year</w:t>
            </w:r>
          </w:p>
        </w:tc>
        <w:tc>
          <w:tcPr>
            <w:tcW w:w="240" w:type="dxa"/>
            <w:vAlign w:val="bottom"/>
          </w:tcPr>
          <w:p>
            <w:pPr>
              <w:spacing w:after="0"/>
              <w:rPr>
                <w:sz w:val="13"/>
                <w:szCs w:val="13"/>
                <w:color w:val="auto"/>
              </w:rPr>
            </w:pPr>
          </w:p>
        </w:tc>
        <w:tc>
          <w:tcPr>
            <w:tcW w:w="920" w:type="dxa"/>
            <w:vAlign w:val="bottom"/>
            <w:gridSpan w:val="3"/>
          </w:tcPr>
          <w:p>
            <w:pPr>
              <w:ind w:left="200"/>
              <w:spacing w:after="0"/>
              <w:rPr>
                <w:sz w:val="20"/>
                <w:szCs w:val="20"/>
                <w:color w:val="auto"/>
              </w:rPr>
            </w:pPr>
            <w:r>
              <w:rPr>
                <w:rFonts w:ascii="Arial" w:cs="Arial" w:eastAsia="Arial" w:hAnsi="Arial"/>
                <w:sz w:val="12"/>
                <w:szCs w:val="12"/>
                <w:b w:val="1"/>
                <w:bCs w:val="1"/>
                <w:color w:val="auto"/>
              </w:rPr>
              <w:t>1 - 3 years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2"/>
              </w:rPr>
              <w:t>3 years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4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Contractual Obligations:</w:t>
            </w: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Convertible subordinated notes, including interest</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599,500</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center"/>
              <w:spacing w:after="0"/>
              <w:rPr>
                <w:sz w:val="20"/>
                <w:szCs w:val="20"/>
                <w:color w:val="auto"/>
              </w:rPr>
            </w:pPr>
            <w:r>
              <w:rPr>
                <w:rFonts w:ascii="Arial" w:cs="Arial" w:eastAsia="Arial" w:hAnsi="Arial"/>
                <w:sz w:val="15"/>
                <w:szCs w:val="15"/>
                <w:color w:val="auto"/>
                <w:w w:val="91"/>
              </w:rPr>
              <w:t>11,000</w:t>
            </w:r>
          </w:p>
        </w:tc>
        <w:tc>
          <w:tcPr>
            <w:tcW w:w="2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22,000</w:t>
            </w:r>
          </w:p>
        </w:tc>
        <w:tc>
          <w:tcPr>
            <w:tcW w:w="24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566,500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5"/>
                <w:szCs w:val="15"/>
                <w:color w:val="auto"/>
              </w:rPr>
              <w:t>Non-cancelable operating leases</w:t>
            </w:r>
          </w:p>
        </w:tc>
        <w:tc>
          <w:tcPr>
            <w:tcW w:w="320" w:type="dxa"/>
            <w:vAlign w:val="bottom"/>
            <w:shd w:val="clear" w:color="auto" w:fill="EEEEEE"/>
          </w:tcPr>
          <w:p>
            <w:pPr>
              <w:spacing w:after="0"/>
              <w:rPr>
                <w:sz w:val="16"/>
                <w:szCs w:val="16"/>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269,494</w:t>
            </w: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20" w:type="dxa"/>
            <w:vAlign w:val="bottom"/>
            <w:shd w:val="clear" w:color="auto" w:fill="EEEEEE"/>
          </w:tcPr>
          <w:p>
            <w:pPr>
              <w:jc w:val="center"/>
              <w:spacing w:after="0"/>
              <w:rPr>
                <w:sz w:val="20"/>
                <w:szCs w:val="20"/>
                <w:color w:val="auto"/>
              </w:rPr>
            </w:pPr>
            <w:r>
              <w:rPr>
                <w:rFonts w:ascii="Arial" w:cs="Arial" w:eastAsia="Arial" w:hAnsi="Arial"/>
                <w:sz w:val="15"/>
                <w:szCs w:val="15"/>
                <w:color w:val="auto"/>
                <w:w w:val="91"/>
              </w:rPr>
              <w:t>28,834</w:t>
            </w: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54,618</w:t>
            </w: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8"/>
              </w:rPr>
              <w:t>186,042</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Unconditional purchase obligations, gross</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51,489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91"/>
              </w:rPr>
              <w:t>51,489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0" w:type="dxa"/>
            <w:vAlign w:val="bottom"/>
            <w:shd w:val="clear" w:color="auto" w:fill="EEEEEE"/>
          </w:tcPr>
          <w:p>
            <w:pPr>
              <w:ind w:left="220"/>
              <w:spacing w:after="0"/>
              <w:rPr>
                <w:sz w:val="20"/>
                <w:szCs w:val="20"/>
                <w:color w:val="auto"/>
              </w:rPr>
            </w:pPr>
            <w:r>
              <w:rPr>
                <w:rFonts w:ascii="Arial" w:cs="Arial" w:eastAsia="Arial" w:hAnsi="Arial"/>
                <w:sz w:val="15"/>
                <w:szCs w:val="15"/>
                <w:color w:val="auto"/>
              </w:rPr>
              <w:t>Total contractual obligations</w:t>
            </w:r>
          </w:p>
        </w:tc>
        <w:tc>
          <w:tcPr>
            <w:tcW w:w="3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8"/>
              </w:rPr>
              <w:t>920,483</w:t>
            </w: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jc w:val="center"/>
              <w:spacing w:after="0"/>
              <w:rPr>
                <w:sz w:val="20"/>
                <w:szCs w:val="20"/>
                <w:color w:val="auto"/>
              </w:rPr>
            </w:pPr>
            <w:r>
              <w:rPr>
                <w:rFonts w:ascii="Arial" w:cs="Arial" w:eastAsia="Arial" w:hAnsi="Arial"/>
                <w:sz w:val="15"/>
                <w:szCs w:val="15"/>
                <w:color w:val="auto"/>
                <w:w w:val="91"/>
              </w:rPr>
              <w:t>91,323</w:t>
            </w:r>
          </w:p>
        </w:tc>
        <w:tc>
          <w:tcPr>
            <w:tcW w:w="240" w:type="dxa"/>
            <w:vAlign w:val="bottom"/>
            <w:shd w:val="clear" w:color="auto" w:fill="EEEEEE"/>
          </w:tcPr>
          <w:p>
            <w:pPr>
              <w:spacing w:after="0"/>
              <w:rPr>
                <w:sz w:val="16"/>
                <w:szCs w:val="16"/>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76,618</w:t>
            </w:r>
          </w:p>
        </w:tc>
        <w:tc>
          <w:tcPr>
            <w:tcW w:w="240" w:type="dxa"/>
            <w:vAlign w:val="bottom"/>
            <w:shd w:val="clear" w:color="auto" w:fill="EEEEEE"/>
          </w:tcPr>
          <w:p>
            <w:pPr>
              <w:spacing w:after="0"/>
              <w:rPr>
                <w:sz w:val="16"/>
                <w:szCs w:val="16"/>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8"/>
              </w:rPr>
              <w:t>752,542</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8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Other Commitments:</w:t>
            </w:r>
          </w:p>
        </w:tc>
        <w:tc>
          <w:tcPr>
            <w:tcW w:w="3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4820" w:type="dxa"/>
            <w:vAlign w:val="bottom"/>
            <w:gridSpan w:val="2"/>
            <w:vMerge w:val="continue"/>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5"/>
                <w:szCs w:val="15"/>
                <w:color w:val="auto"/>
              </w:rPr>
              <w:t>Standby letters of credit</w:t>
            </w:r>
          </w:p>
        </w:tc>
        <w:tc>
          <w:tcPr>
            <w:tcW w:w="3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18,749</w:t>
            </w: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0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EEEEEE"/>
          </w:tcPr>
          <w:p>
            <w:pPr>
              <w:ind w:left="220"/>
              <w:spacing w:after="0"/>
              <w:rPr>
                <w:sz w:val="20"/>
                <w:szCs w:val="20"/>
                <w:color w:val="auto"/>
              </w:rPr>
            </w:pPr>
            <w:r>
              <w:rPr>
                <w:rFonts w:ascii="Arial" w:cs="Arial" w:eastAsia="Arial" w:hAnsi="Arial"/>
                <w:sz w:val="15"/>
                <w:szCs w:val="15"/>
                <w:color w:val="auto"/>
              </w:rPr>
              <w:t>n/a</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EEEEEE"/>
          </w:tcPr>
          <w:p>
            <w:pPr>
              <w:ind w:left="240"/>
              <w:spacing w:after="0"/>
              <w:rPr>
                <w:sz w:val="20"/>
                <w:szCs w:val="20"/>
                <w:color w:val="auto"/>
              </w:rPr>
            </w:pPr>
            <w:r>
              <w:rPr>
                <w:rFonts w:ascii="Arial" w:cs="Arial" w:eastAsia="Arial" w:hAnsi="Arial"/>
                <w:sz w:val="15"/>
                <w:szCs w:val="15"/>
                <w:color w:val="auto"/>
              </w:rPr>
              <w:t>n/a</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EEEEEE"/>
          </w:tcPr>
          <w:p>
            <w:pPr>
              <w:ind w:left="32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-419100</wp:posOffset>
            </wp:positionV>
            <wp:extent cx="12700"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-419100</wp:posOffset>
            </wp:positionV>
            <wp:extent cx="12700"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-419100</wp:posOffset>
            </wp:positionV>
            <wp:extent cx="12700"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-419100</wp:posOffset>
            </wp:positionV>
            <wp:extent cx="12700"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-419100</wp:posOffset>
            </wp:positionV>
            <wp:extent cx="12700"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-419100</wp:posOffset>
            </wp:positionV>
            <wp:extent cx="12700"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-419100</wp:posOffset>
            </wp:positionV>
            <wp:extent cx="12700"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-419100</wp:posOffset>
            </wp:positionV>
            <wp:extent cx="12700"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-34290</wp:posOffset>
            </wp:positionV>
            <wp:extent cx="12700"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-34290</wp:posOffset>
            </wp:positionV>
            <wp:extent cx="12700"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-34290</wp:posOffset>
            </wp:positionV>
            <wp:extent cx="12700"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-34290</wp:posOffset>
            </wp:positionV>
            <wp:extent cx="12700"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-34290</wp:posOffset>
            </wp:positionV>
            <wp:extent cx="12700"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-34290</wp:posOffset>
            </wp:positionV>
            <wp:extent cx="12700"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-34290</wp:posOffset>
            </wp:positionV>
            <wp:extent cx="12700"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-34290</wp:posOffset>
            </wp:positionV>
            <wp:extent cx="12700"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ind w:firstLine="187"/>
        <w:spacing w:after="0" w:line="267" w:lineRule="auto"/>
        <w:rPr>
          <w:sz w:val="20"/>
          <w:szCs w:val="20"/>
          <w:color w:val="auto"/>
        </w:rPr>
      </w:pPr>
      <w:r>
        <w:rPr>
          <w:rFonts w:ascii="Arial" w:cs="Arial" w:eastAsia="Arial" w:hAnsi="Arial"/>
          <w:sz w:val="15"/>
          <w:szCs w:val="15"/>
          <w:color w:val="auto"/>
        </w:rPr>
        <w:t>We believe that our existing cash, cash equivalents, short-term and long-term investments, and cash expected to be generated from future operations will be sufficient to meet our capital requirements at least through the next 12 months, although we could elect to seek additional funding prior to that time. Our future capital requirements will depend on many factors, including the rate of revenue growth, the timing and extent of spending to support product development efforts and the expansion of sales and marketing, the timing of introductions of new products and enhancements to existing products, and the market acceptance of our products.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 Party Transactions</w:t>
      </w:r>
    </w:p>
    <w:p>
      <w:pPr>
        <w:spacing w:after="0" w:line="204" w:lineRule="exact"/>
        <w:rPr>
          <w:sz w:val="20"/>
          <w:szCs w:val="20"/>
          <w:color w:val="auto"/>
        </w:rPr>
      </w:pPr>
    </w:p>
    <w:p>
      <w:pPr>
        <w:ind w:right="140" w:firstLine="189"/>
        <w:spacing w:after="0" w:line="300" w:lineRule="auto"/>
        <w:rPr>
          <w:sz w:val="20"/>
          <w:szCs w:val="20"/>
          <w:color w:val="auto"/>
        </w:rPr>
      </w:pPr>
      <w:r>
        <w:rPr>
          <w:rFonts w:ascii="Arial" w:cs="Arial" w:eastAsia="Arial" w:hAnsi="Arial"/>
          <w:sz w:val="14"/>
          <w:szCs w:val="14"/>
          <w:color w:val="auto"/>
        </w:rPr>
        <w:t>Larry W. Sonsini, a director of Brocade, serves as a member and Chairman and CEO of Wilson Sonsini Goodrich &amp; Rosati, Professional Corporation (WSGR), our principal outside legal counsel. Aggregate fees billed to us by WSGR for legal services rendered during the nine-month periods ended July 27, 2002 and July 28, 2001, were $2.5 million and $0.5 million, respectively. We believe that the services rendered to us by WSGR were on terms no more favorable than those with unrelated parties.</w:t>
      </w:r>
    </w:p>
    <w:p>
      <w:pPr>
        <w:spacing w:after="0" w:line="142" w:lineRule="exact"/>
        <w:rPr>
          <w:sz w:val="20"/>
          <w:szCs w:val="20"/>
          <w:color w:val="auto"/>
        </w:rPr>
      </w:pPr>
    </w:p>
    <w:p>
      <w:pPr>
        <w:ind w:right="20" w:firstLine="189"/>
        <w:spacing w:after="0" w:line="272" w:lineRule="auto"/>
        <w:rPr>
          <w:sz w:val="20"/>
          <w:szCs w:val="20"/>
          <w:color w:val="auto"/>
        </w:rPr>
      </w:pPr>
      <w:r>
        <w:rPr>
          <w:rFonts w:ascii="Arial" w:cs="Arial" w:eastAsia="Arial" w:hAnsi="Arial"/>
          <w:sz w:val="15"/>
          <w:szCs w:val="15"/>
          <w:color w:val="auto"/>
        </w:rPr>
        <w:t>Mark Leslie was a director of Brocade until May 2002, and served on the Board of Directors of VERITAS Software Corporation (Veritas), a company with whom we do business. During the nine-month periods ended July 27, 2002, and July 28, 2001, total revenues from sales to Veritas were $2.0 million and $2.1 million, respectively. We believe that sales to Veritas were on terms no more favorable than those with unrelated parties.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04" w:lineRule="exact"/>
        <w:rPr>
          <w:sz w:val="20"/>
          <w:szCs w:val="20"/>
          <w:color w:val="auto"/>
        </w:rPr>
      </w:pPr>
    </w:p>
    <w:p>
      <w:pPr>
        <w:ind w:firstLine="189"/>
        <w:spacing w:after="0" w:line="286" w:lineRule="auto"/>
        <w:rPr>
          <w:sz w:val="20"/>
          <w:szCs w:val="20"/>
          <w:color w:val="auto"/>
        </w:rPr>
      </w:pPr>
      <w:r>
        <w:rPr>
          <w:rFonts w:ascii="Arial" w:cs="Arial" w:eastAsia="Arial" w:hAnsi="Arial"/>
          <w:sz w:val="14"/>
          <w:szCs w:val="14"/>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revenues and expenses, and related disclosure of contingent assets and liabilities. We evaluate, on an on-going basis, our estimates and judgments, including those related to sales returns, bad debts, excess inventory and purchase commitments, investments, warranty obligations, lease losses, income taxes, and contingencies and litigation. We base our estimates on historical experience and assumptions that we believe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54" w:lineRule="exact"/>
        <w:rPr>
          <w:sz w:val="20"/>
          <w:szCs w:val="20"/>
          <w:color w:val="auto"/>
        </w:rPr>
      </w:pPr>
    </w:p>
    <w:p>
      <w:pPr>
        <w:ind w:right="660" w:firstLine="187"/>
        <w:spacing w:after="0" w:line="285" w:lineRule="auto"/>
        <w:rPr>
          <w:sz w:val="20"/>
          <w:szCs w:val="20"/>
          <w:color w:val="auto"/>
        </w:rPr>
      </w:pPr>
      <w:r>
        <w:rPr>
          <w:rFonts w:ascii="Arial" w:cs="Arial" w:eastAsia="Arial" w:hAnsi="Arial"/>
          <w:sz w:val="15"/>
          <w:szCs w:val="15"/>
          <w:color w:val="auto"/>
        </w:rPr>
        <w:t>We believe the following critical accounting policies, among others, affect our more significant judgments and estimates used in the preparation of our Consolidated Financial Statements:</w:t>
      </w:r>
    </w:p>
    <w:p>
      <w:pPr>
        <w:spacing w:after="0" w:line="150" w:lineRule="exact"/>
        <w:rPr>
          <w:sz w:val="20"/>
          <w:szCs w:val="20"/>
          <w:color w:val="auto"/>
        </w:rPr>
      </w:pPr>
    </w:p>
    <w:p>
      <w:pPr>
        <w:ind w:left="420" w:hanging="194"/>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Revenue recognition and allowances;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Inventory and purchase commitment reserves;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Lease losses; and</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Accounting for income taxes.</w:t>
      </w:r>
    </w:p>
    <w:p>
      <w:pPr>
        <w:spacing w:after="0" w:line="200" w:lineRule="exact"/>
        <w:rPr>
          <w:sz w:val="20"/>
          <w:szCs w:val="20"/>
          <w:color w:val="auto"/>
        </w:rPr>
      </w:pPr>
    </w:p>
    <w:p>
      <w:pPr>
        <w:ind w:right="40" w:firstLine="189"/>
        <w:spacing w:after="0" w:line="292" w:lineRule="auto"/>
        <w:rPr>
          <w:sz w:val="20"/>
          <w:szCs w:val="20"/>
          <w:color w:val="auto"/>
        </w:rPr>
      </w:pPr>
      <w:r>
        <w:rPr>
          <w:rFonts w:ascii="Arial" w:cs="Arial" w:eastAsia="Arial" w:hAnsi="Arial"/>
          <w:sz w:val="14"/>
          <w:szCs w:val="14"/>
          <w:color w:val="auto"/>
        </w:rPr>
        <w:t>Product revenue is generally recognized when persuasive evidence of an arrangement exists, delivery has occurred, fee is fixed or determinable, and collectibility is probable. However, revenue recognition is deferred for shipments to new customers and for shipments to existing customers when significant support services are required to successfully integrate our product into our customer’s products. These revenues, and related costs, are deferred and recognized when the customer has successfully integrated our product into its product offerings and we have met any support obligations. In addition, revenue from sales to master resellers is recognized upon reported sell-through.</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0" w:firstLine="189"/>
        <w:spacing w:after="0" w:line="289" w:lineRule="auto"/>
        <w:rPr>
          <w:sz w:val="20"/>
          <w:szCs w:val="20"/>
          <w:color w:val="auto"/>
        </w:rPr>
      </w:pPr>
      <w:r>
        <w:rPr>
          <w:rFonts w:ascii="Arial" w:cs="Arial" w:eastAsia="Arial" w:hAnsi="Arial"/>
          <w:sz w:val="14"/>
          <w:szCs w:val="14"/>
          <w:color w:val="auto"/>
        </w:rPr>
        <w:t>Service revenue, which to date has not been material, consists of training, warranty, and maintenance arrangements, including post-contract customer support (PCS) services. PCS services are offered under renewable, annual fee-based contracts or as part of multiple element arrangements and typically include upgrades and enhancements to our software operating system, and telephone support. For multiple element arrangements, we allocate revenue to each element based upon vendor-specific objective evidence (VSOE). VSOE for each element is based upon the price charged when the element is sold separately. Service revenue, including revenue allocated to undelivered elements, is deferred and recognized ratably over the contractual period, which is generally one to three years. Training revenue is recognized upon completion of the training.</w:t>
      </w:r>
    </w:p>
    <w:p>
      <w:pPr>
        <w:spacing w:after="0" w:line="149" w:lineRule="exact"/>
        <w:rPr>
          <w:sz w:val="20"/>
          <w:szCs w:val="20"/>
          <w:color w:val="auto"/>
        </w:rPr>
      </w:pPr>
    </w:p>
    <w:p>
      <w:pPr>
        <w:ind w:right="160" w:firstLine="187"/>
        <w:spacing w:after="0" w:line="272" w:lineRule="auto"/>
        <w:rPr>
          <w:sz w:val="20"/>
          <w:szCs w:val="20"/>
          <w:color w:val="auto"/>
        </w:rPr>
      </w:pPr>
      <w:r>
        <w:rPr>
          <w:rFonts w:ascii="Arial" w:cs="Arial" w:eastAsia="Arial" w:hAnsi="Arial"/>
          <w:sz w:val="15"/>
          <w:szCs w:val="15"/>
          <w:color w:val="auto"/>
        </w:rPr>
        <w:t>We accrue for warranty costs and reduces revenue for estimated sales returns and other allowances at the time of shipment. Warranty costs, sales returns and other allowances are estimated based upon historical experience. If the data used to calculate these estimates does not properly anticipate future returns, revenue could be misstated. To date, actual experience has been consistent with our estimates.</w:t>
      </w:r>
    </w:p>
    <w:p>
      <w:pPr>
        <w:spacing w:after="0" w:line="159" w:lineRule="exact"/>
        <w:rPr>
          <w:sz w:val="20"/>
          <w:szCs w:val="20"/>
          <w:color w:val="auto"/>
        </w:rPr>
      </w:pPr>
    </w:p>
    <w:p>
      <w:pPr>
        <w:ind w:right="120" w:firstLine="187"/>
        <w:spacing w:after="0" w:line="267" w:lineRule="auto"/>
        <w:rPr>
          <w:sz w:val="20"/>
          <w:szCs w:val="20"/>
          <w:color w:val="auto"/>
        </w:rPr>
      </w:pPr>
      <w:r>
        <w:rPr>
          <w:rFonts w:ascii="Arial" w:cs="Arial" w:eastAsia="Arial" w:hAnsi="Arial"/>
          <w:sz w:val="15"/>
          <w:szCs w:val="15"/>
          <w:color w:val="auto"/>
        </w:rPr>
        <w:t>We maintain allowances for doubtful accounts for estimated losses resulting from the inability of our customers to make required payments. We analyze accounts receivable and historical bad debts, customer concentrations, customer creditworthiness, current economic trends and changes in customer payment terms and practices when evaluating the adequacy of the allowance for doubtful accounts. If the financial condition of our customers was to deteriorate, resulting in an impairment of their ability to make payments, additional allowances and charges against earnings may be required. To date, actual experience has been consistent with our estimates.</w:t>
      </w:r>
    </w:p>
    <w:p>
      <w:pPr>
        <w:spacing w:after="0" w:line="165" w:lineRule="exact"/>
        <w:rPr>
          <w:sz w:val="20"/>
          <w:szCs w:val="20"/>
          <w:color w:val="auto"/>
        </w:rPr>
      </w:pPr>
    </w:p>
    <w:p>
      <w:pPr>
        <w:ind w:right="80" w:firstLine="187"/>
        <w:spacing w:after="0" w:line="265" w:lineRule="auto"/>
        <w:rPr>
          <w:sz w:val="20"/>
          <w:szCs w:val="20"/>
          <w:color w:val="auto"/>
        </w:rPr>
      </w:pPr>
      <w:r>
        <w:rPr>
          <w:rFonts w:ascii="Arial" w:cs="Arial" w:eastAsia="Arial" w:hAnsi="Arial"/>
          <w:sz w:val="15"/>
          <w:szCs w:val="15"/>
          <w:color w:val="auto"/>
        </w:rPr>
        <w:t>We write down inventory and record purchase commitment reserves for estimated excess and obsolete inventory equal to the difference between the cost of inventory and the estimated fair value based upon assumptions about future demand and market conditions. Although we strive to ensure the accuracy of our forecasts of future product demand, any significant unanticipated changes in demand or technological developments could have a significant impact on the value of our inventory and commitments, and our reported results. If actual market conditions are less favorable than those projected, additional inventory write-downs, purchase commitment reserves, and charges against earnings might be required. To date actual experience has been consistent with our estimates.</w:t>
      </w:r>
    </w:p>
    <w:p>
      <w:pPr>
        <w:spacing w:after="0" w:line="166" w:lineRule="exact"/>
        <w:rPr>
          <w:sz w:val="20"/>
          <w:szCs w:val="20"/>
          <w:color w:val="auto"/>
        </w:rPr>
      </w:pPr>
    </w:p>
    <w:p>
      <w:pPr>
        <w:ind w:firstLine="181"/>
        <w:spacing w:after="0" w:line="285" w:lineRule="auto"/>
        <w:rPr>
          <w:sz w:val="20"/>
          <w:szCs w:val="20"/>
          <w:color w:val="auto"/>
        </w:rPr>
      </w:pPr>
      <w:r>
        <w:rPr>
          <w:rFonts w:ascii="Arial" w:cs="Arial" w:eastAsia="Arial" w:hAnsi="Arial"/>
          <w:sz w:val="14"/>
          <w:szCs w:val="14"/>
          <w:color w:val="auto"/>
        </w:rPr>
        <w:t>As a result of continuing unfavorable economic conditions and a reduction in IT spending rates, during the quarter ended October 27, 2001, we performed a comprehensive analysis of our real estate facility requirements and identified existing vacant excess facility space, which was subsequently offered for sublease. Based upon the results of this analysis, during the quarter ended October 27, 2001, we recorded a charge of $39.8 million related to estimated facilities lease losses, net of expected sublease income, and a charge of $5.7 million in connection with the impairment of certain related leasehold improvements. In determining the net facilities lease losses and related asset impairment charges, various assumptions were made including the time period over which the facilities will be vacant, expected sublease terms and rates. The estimated charges represented the low-end of an estimated range that may be adjusted upon the occurrence of future triggering events. Under certain circumstances, we estimated the high-end of this range to be $63.0 million. Triggering events may include, but are not limited to, changes in estimated time to sublease the facilities, sublease terms, and sublease rates.</w:t>
      </w:r>
    </w:p>
    <w:p>
      <w:pPr>
        <w:spacing w:after="0" w:line="153" w:lineRule="exact"/>
        <w:rPr>
          <w:sz w:val="20"/>
          <w:szCs w:val="20"/>
          <w:color w:val="auto"/>
        </w:rPr>
      </w:pPr>
    </w:p>
    <w:p>
      <w:pPr>
        <w:ind w:right="260" w:firstLine="189"/>
        <w:spacing w:after="0" w:line="265" w:lineRule="auto"/>
        <w:rPr>
          <w:sz w:val="20"/>
          <w:szCs w:val="20"/>
          <w:color w:val="auto"/>
        </w:rPr>
      </w:pPr>
      <w:r>
        <w:rPr>
          <w:rFonts w:ascii="Arial" w:cs="Arial" w:eastAsia="Arial" w:hAnsi="Arial"/>
          <w:sz w:val="15"/>
          <w:szCs w:val="15"/>
          <w:color w:val="auto"/>
        </w:rPr>
        <w:t>During the quarter ended July 27, 2002, we revised certain estimates and assumptions used to calculate our reserves for facilities lease losses and related asset impairment charges, including those related to expected sublease rates, estimated time to sublease, expected future operating costs, and expected future use of the facilities. These revised estimates and assumptions were based on current conditions and events. The net impact of these changes in estimates and assumptions was not material. Should there be further changes in real estate market conditions or should it take longer than expected to find a suitable tenant to sublease the facilities, adjustments to the facilities lease losses reserve may be necessary in future periods based upon the then current actual events and circumstances.</w:t>
      </w:r>
    </w:p>
    <w:p>
      <w:pPr>
        <w:spacing w:after="0" w:line="166" w:lineRule="exact"/>
        <w:rPr>
          <w:sz w:val="20"/>
          <w:szCs w:val="20"/>
          <w:color w:val="auto"/>
        </w:rPr>
      </w:pPr>
    </w:p>
    <w:p>
      <w:pPr>
        <w:ind w:firstLine="187"/>
        <w:spacing w:after="0" w:line="285" w:lineRule="auto"/>
        <w:rPr>
          <w:sz w:val="20"/>
          <w:szCs w:val="20"/>
          <w:color w:val="auto"/>
        </w:rPr>
      </w:pPr>
      <w:r>
        <w:rPr>
          <w:rFonts w:ascii="Arial" w:cs="Arial" w:eastAsia="Arial" w:hAnsi="Arial"/>
          <w:sz w:val="14"/>
          <w:szCs w:val="14"/>
          <w:color w:val="auto"/>
        </w:rPr>
        <w:t>The determination of our tax provision is subject to judgments and estimates due to operations in several tax jurisdictions outside the United States. Sales to our international customers are generally taxed at rates that are lower than United States rates, resulting in a reduction of our effective tax rate. The ability to maintain our current effective tax rate is contingent upon existing tax laws in both the United States and in the respective countries in which our international subsidiaries are located. Future changes in domestic or international tax laws could affect the continued realization of the tax benefits we are currently receiving and expect to receive from international sales. In addition, a decrease in the percentage of our total revenue from international customers or in the mix of international revenue among particular tax jurisdictions could change our overall effective tax rate. Also, our current effective tax rate assumes that United States income taxes are not provided for undistributed earnings of certain non-United States subsidiaries. These earnings could become subject to incremental foreign withholding, or Federal and state income taxes should they be either deemed or actually remitted to the United States.</w:t>
      </w:r>
    </w:p>
    <w:p>
      <w:pPr>
        <w:spacing w:after="0" w:line="153" w:lineRule="exact"/>
        <w:rPr>
          <w:sz w:val="20"/>
          <w:szCs w:val="20"/>
          <w:color w:val="auto"/>
        </w:rPr>
      </w:pPr>
    </w:p>
    <w:p>
      <w:pPr>
        <w:ind w:right="60" w:firstLine="187"/>
        <w:spacing w:after="0" w:line="285" w:lineRule="auto"/>
        <w:rPr>
          <w:sz w:val="20"/>
          <w:szCs w:val="20"/>
          <w:color w:val="auto"/>
        </w:rPr>
      </w:pPr>
      <w:r>
        <w:rPr>
          <w:rFonts w:ascii="Arial" w:cs="Arial" w:eastAsia="Arial" w:hAnsi="Arial"/>
          <w:sz w:val="15"/>
          <w:szCs w:val="15"/>
          <w:color w:val="auto"/>
        </w:rPr>
        <w:t>The carrying value of our net deferred tax assets, which is made up primarily of income tax deductions and credits resulting from stock option exercises, assumes that we will be able to generate sufficient future income to fully utilize these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80"/>
        <w:spacing w:after="0" w:line="285" w:lineRule="auto"/>
        <w:rPr>
          <w:sz w:val="20"/>
          <w:szCs w:val="20"/>
          <w:color w:val="auto"/>
        </w:rPr>
      </w:pPr>
      <w:r>
        <w:rPr>
          <w:rFonts w:ascii="Arial" w:cs="Arial" w:eastAsia="Arial" w:hAnsi="Arial"/>
          <w:sz w:val="15"/>
          <w:szCs w:val="15"/>
          <w:color w:val="auto"/>
        </w:rPr>
        <w:t>tax deductions and credits. If we do not generate sufficient future income, the realization of these deferred tax assets may be impaired resulting in additional income tax expense. We evaluate the expected realization of our deferred tax assets and assess the need for valuation allowances quarterly.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204" w:lineRule="exact"/>
        <w:rPr>
          <w:sz w:val="20"/>
          <w:szCs w:val="20"/>
          <w:color w:val="auto"/>
        </w:rPr>
      </w:pPr>
    </w:p>
    <w:p>
      <w:pPr>
        <w:ind w:right="280" w:firstLine="189"/>
        <w:spacing w:after="0" w:line="264" w:lineRule="auto"/>
        <w:rPr>
          <w:sz w:val="20"/>
          <w:szCs w:val="20"/>
          <w:color w:val="auto"/>
        </w:rPr>
      </w:pPr>
      <w:r>
        <w:rPr>
          <w:rFonts w:ascii="Arial" w:cs="Arial" w:eastAsia="Arial" w:hAnsi="Arial"/>
          <w:sz w:val="15"/>
          <w:szCs w:val="15"/>
          <w:color w:val="auto"/>
        </w:rPr>
        <w:t>In October 2001, the FASB issued Statement of Financial Accounting Standards No. 144 “Accounting for the Impairment or Disposal of Long-Lived Assets” (SFAS 144). SFAS 144 supersedes SFAS No. 121 “Accounting for the Impairment of Long-Lived Assets and for Long-Lived Assets to Be Disposed Of” (SFAS 121), and certain provisions of APB Opinion No. 30 “Reporting the Results of Operations-Reporting the Effects of Disposal of a Segment of a Business, and Extraordinary, Unusual and Infrequently Occurring Events and Transactions” (APB 30). SFAS 144 establishes standards for long-lived assets to be disposed of, and redefines the valuation and presentation of discontinued operations. SFAS 144 is effective for fiscal years beginning after December 15, 2001, and interim periods within those fiscal years. We do not expect the adoption of SFAS 144 to have a material effect on our financial position,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Our quarterly revenues and operating results may fluctuate in future periods for a number of reasons, which could adversely affect the trading price of our stock.</w:t>
      </w:r>
    </w:p>
    <w:p>
      <w:pPr>
        <w:spacing w:after="0" w:line="212" w:lineRule="exact"/>
        <w:rPr>
          <w:sz w:val="20"/>
          <w:szCs w:val="20"/>
          <w:color w:val="auto"/>
        </w:rPr>
      </w:pPr>
    </w:p>
    <w:p>
      <w:pPr>
        <w:ind w:firstLine="189"/>
        <w:spacing w:after="0" w:line="285" w:lineRule="auto"/>
        <w:rPr>
          <w:sz w:val="20"/>
          <w:szCs w:val="20"/>
          <w:color w:val="auto"/>
        </w:rPr>
      </w:pPr>
      <w:r>
        <w:rPr>
          <w:rFonts w:ascii="Arial" w:cs="Arial" w:eastAsia="Arial" w:hAnsi="Arial"/>
          <w:sz w:val="15"/>
          <w:szCs w:val="15"/>
          <w:color w:val="auto"/>
        </w:rPr>
        <w:t>Our quarterly revenues and operating results may vary significantly in the future due to a number of factors, any of which may cause our stock price to fluctuate. The primary factors that may impact the predictability of our quarterly results include the following:</w:t>
      </w:r>
    </w:p>
    <w:p>
      <w:pPr>
        <w:spacing w:after="0" w:line="150" w:lineRule="exact"/>
        <w:rPr>
          <w:sz w:val="20"/>
          <w:szCs w:val="20"/>
          <w:color w:val="auto"/>
        </w:rPr>
      </w:pPr>
    </w:p>
    <w:p>
      <w:pPr>
        <w:ind w:left="420" w:right="20" w:hanging="194"/>
        <w:spacing w:after="0" w:line="322"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general economic conditions and specific economic conditions in the computer, storage, and networking industries. In particular, recent economic uncertainty has resulted in a general reduction in information technology (IT) spending. This reduction in IT spending has lead to a decline in our growth rates compared to historical trends;</w:t>
      </w:r>
    </w:p>
    <w:p>
      <w:pPr>
        <w:spacing w:after="0" w:line="127" w:lineRule="exact"/>
        <w:rPr>
          <w:rFonts w:ascii="Arial" w:cs="Arial" w:eastAsia="Arial" w:hAnsi="Arial"/>
          <w:sz w:val="14"/>
          <w:szCs w:val="14"/>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timing of customer orders and product implementations, particularly large orders from and product implementations of our OEM customers;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effects of terrorist activity and armed conflict, such as disruptions or downturns in general economic activity;</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announcements, introductions, and transitions of new products by us and our competitors;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ability of new competitors to enter the market and effectively compete against us;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deferrals of customer orders in anticipation of new products, services, or product enhancements introduced by us or our competitors;</w:t>
      </w:r>
    </w:p>
    <w:p>
      <w:pPr>
        <w:spacing w:after="0" w:line="200" w:lineRule="exact"/>
        <w:rPr>
          <w:rFonts w:ascii="Arial" w:cs="Arial" w:eastAsia="Arial" w:hAnsi="Arial"/>
          <w:sz w:val="15"/>
          <w:szCs w:val="15"/>
          <w:color w:val="auto"/>
        </w:rPr>
      </w:pPr>
    </w:p>
    <w:p>
      <w:pPr>
        <w:ind w:left="420" w:right="480" w:hanging="194"/>
        <w:spacing w:after="0" w:line="285" w:lineRule="auto"/>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obtain sufficient supplies of sole or limited sourced components, including application specific integrated circuits (ASICs), microprocessors, certain logic chips, programmable logic devices, chassis, printed circuit boards and power supplies;</w:t>
      </w:r>
    </w:p>
    <w:p>
      <w:pPr>
        <w:spacing w:after="0" w:line="149"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increases in prices of components used in the manufacture of our products;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attain and maintain production volumes and quality levels;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variations in the mix of our products sold and the mix of distribution channels through which they are sold;</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litigation; and</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legislation or regulatory developments.</w:t>
      </w:r>
    </w:p>
    <w:p>
      <w:pPr>
        <w:spacing w:after="0" w:line="200" w:lineRule="exact"/>
        <w:rPr>
          <w:sz w:val="20"/>
          <w:szCs w:val="20"/>
          <w:color w:val="auto"/>
        </w:rPr>
      </w:pPr>
    </w:p>
    <w:p>
      <w:pPr>
        <w:ind w:right="40" w:firstLine="181"/>
        <w:spacing w:after="0" w:line="285" w:lineRule="auto"/>
        <w:rPr>
          <w:sz w:val="20"/>
          <w:szCs w:val="20"/>
          <w:color w:val="auto"/>
        </w:rPr>
      </w:pPr>
      <w:r>
        <w:rPr>
          <w:rFonts w:ascii="Arial" w:cs="Arial" w:eastAsia="Arial" w:hAnsi="Arial"/>
          <w:sz w:val="15"/>
          <w:szCs w:val="15"/>
          <w:color w:val="auto"/>
        </w:rPr>
        <w:t>Accordingly, the results of any prior periods should not be relied upon as an indication of future performance. If our operating results are below the expectations of stock market analysts or investors, our stock price may decline.</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revenues may be impacted by changes in IT spending levels.</w:t>
      </w:r>
    </w:p>
    <w:p>
      <w:pPr>
        <w:spacing w:after="0" w:line="200" w:lineRule="exact"/>
        <w:rPr>
          <w:sz w:val="20"/>
          <w:szCs w:val="20"/>
          <w:color w:val="auto"/>
        </w:rPr>
      </w:pPr>
    </w:p>
    <w:p>
      <w:pPr>
        <w:ind w:right="40" w:firstLine="189"/>
        <w:spacing w:after="0" w:line="300" w:lineRule="auto"/>
        <w:rPr>
          <w:sz w:val="20"/>
          <w:szCs w:val="20"/>
          <w:color w:val="auto"/>
        </w:rPr>
      </w:pPr>
      <w:r>
        <w:rPr>
          <w:rFonts w:ascii="Arial" w:cs="Arial" w:eastAsia="Arial" w:hAnsi="Arial"/>
          <w:sz w:val="14"/>
          <w:szCs w:val="14"/>
          <w:color w:val="auto"/>
        </w:rPr>
        <w:t>In recent quarters, unfavorable economic conditions and reduced global IT spending rates have adversely affected our operating results and led to a decline in our growth rates compared to historical trends. While we have begun to experience some resumption of growth in our business, the extent and duration of growth are influenced by overall IT spending rates. We are unable to predict when IT spending rates will return to historical levels, if at all. If there are further reductions in either domestic or international IT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spending rates, or if IT spending rates do not return to historical levels, our revenues, operating results and financial condition may be adversely affected.</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success depends on our ability to develop new and enhanced products that achieve widespread market acceptance.</w:t>
      </w:r>
    </w:p>
    <w:p>
      <w:pPr>
        <w:spacing w:after="0" w:line="200" w:lineRule="exact"/>
        <w:rPr>
          <w:sz w:val="20"/>
          <w:szCs w:val="20"/>
          <w:color w:val="auto"/>
        </w:rPr>
      </w:pPr>
    </w:p>
    <w:p>
      <w:pPr>
        <w:ind w:right="140" w:firstLine="187"/>
        <w:spacing w:after="0" w:line="289" w:lineRule="auto"/>
        <w:rPr>
          <w:sz w:val="20"/>
          <w:szCs w:val="20"/>
          <w:color w:val="auto"/>
        </w:rPr>
      </w:pPr>
      <w:r>
        <w:rPr>
          <w:rFonts w:ascii="Arial" w:cs="Arial" w:eastAsia="Arial" w:hAnsi="Arial"/>
          <w:sz w:val="14"/>
          <w:szCs w:val="14"/>
          <w:color w:val="auto"/>
        </w:rPr>
        <w:t>We currently derive substantially all of our revenues from sales of our SilkWorm family of products. We expect that revenue from this product family will continue to account for a substantial portion of our revenues for the foreseeable future. Therefore, widespread market acceptance of these products is critical to our future success. Some of our products have been only recently introduced and, therefore, the demand and market acceptance of these products is uncertain. Factors that may affect the market acceptance of our products include the performance, price and total cost of ownership of our products; the features and functionality of our products; the availability and price of competing products and technologies; and the success and development of our OEM partners, master resellers and fabric partners. Many of these factors are beyond our control.</w:t>
      </w:r>
    </w:p>
    <w:p>
      <w:pPr>
        <w:spacing w:after="0" w:line="149" w:lineRule="exact"/>
        <w:rPr>
          <w:sz w:val="20"/>
          <w:szCs w:val="20"/>
          <w:color w:val="auto"/>
        </w:rPr>
      </w:pPr>
    </w:p>
    <w:p>
      <w:pPr>
        <w:ind w:right="140" w:firstLine="189"/>
        <w:spacing w:after="0" w:line="286" w:lineRule="auto"/>
        <w:rPr>
          <w:sz w:val="20"/>
          <w:szCs w:val="20"/>
          <w:color w:val="auto"/>
        </w:rPr>
      </w:pPr>
      <w:r>
        <w:rPr>
          <w:rFonts w:ascii="Arial" w:cs="Arial" w:eastAsia="Arial" w:hAnsi="Arial"/>
          <w:sz w:val="14"/>
          <w:szCs w:val="14"/>
          <w:color w:val="auto"/>
        </w:rPr>
        <w:t>Our future success depends upon our ability to address the rapidly changing needs of our customers by developing and introducing high-quality, cost-effective products and product enhancements on a timely basis and by keeping pace with technological developments and emerging industry standards. We recently introduced the SilkWorm 12000 Core Fabric Switch which is targeted at expanding our existing market, but is also targeted toward the “director” class market. We expect that a significant portion of our future growth will depend upon the market acceptance of this product. We expect to launch new products during the next year and our future revenue growth will be dependent on the success of the SilkWorm 12000 Core Fabric Switch and these new products. We have in the past experienced delays in product development and such delays may occur in the future. If we are unable to achieve market acceptance of our new products, our business and results of operations could be harmed.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As we introduce new products, we must manage the transition between our new products and our older products.</w:t>
      </w:r>
    </w:p>
    <w:p>
      <w:pPr>
        <w:spacing w:after="0" w:line="200" w:lineRule="exact"/>
        <w:rPr>
          <w:sz w:val="20"/>
          <w:szCs w:val="20"/>
          <w:color w:val="auto"/>
        </w:rPr>
      </w:pPr>
    </w:p>
    <w:p>
      <w:pPr>
        <w:ind w:right="20" w:firstLine="181"/>
        <w:spacing w:after="0" w:line="286" w:lineRule="auto"/>
        <w:rPr>
          <w:sz w:val="20"/>
          <w:szCs w:val="20"/>
          <w:color w:val="auto"/>
        </w:rPr>
      </w:pPr>
      <w:r>
        <w:rPr>
          <w:rFonts w:ascii="Arial" w:cs="Arial" w:eastAsia="Arial" w:hAnsi="Arial"/>
          <w:sz w:val="14"/>
          <w:szCs w:val="14"/>
          <w:color w:val="auto"/>
        </w:rPr>
        <w:t>As new or enhanced products are introduced, we must successfully manage the transition from older products in order to minimize disruption in customers’ ordering patterns, avoid excessive levels of older product inventories, and ensure that enough supplies of new products can be delivered to meet customers’ demands. Our failure to manage the transition to newer products in the future or to develop and successfully introduce new products and product enhancements could adversely affect our business and financial results. In particular, in conjunction with the transition of our product offerings from 1 to 2 Gbit/sec technology, we have begun introducing products with new features and functionality. We face risks relating to this product transition, including risks relating to forecasting demand for 2 Gbit/sec products and related transition issues, as well as possible product and software defects and a potentially different sales and support environment due to the complexity of these new systems. If any of the foregoing occurs, our business could be seriously harmed.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Increased market competition may lead to reduced sales of our products, reduced profits, and reduced market share.</w:t>
      </w:r>
    </w:p>
    <w:p>
      <w:pPr>
        <w:spacing w:after="0" w:line="200" w:lineRule="exact"/>
        <w:rPr>
          <w:sz w:val="20"/>
          <w:szCs w:val="20"/>
          <w:color w:val="auto"/>
        </w:rPr>
      </w:pPr>
    </w:p>
    <w:p>
      <w:pPr>
        <w:ind w:right="100" w:firstLine="187"/>
        <w:spacing w:after="0" w:line="264" w:lineRule="auto"/>
        <w:rPr>
          <w:sz w:val="20"/>
          <w:szCs w:val="20"/>
          <w:color w:val="auto"/>
        </w:rPr>
      </w:pPr>
      <w:r>
        <w:rPr>
          <w:rFonts w:ascii="Arial" w:cs="Arial" w:eastAsia="Arial" w:hAnsi="Arial"/>
          <w:sz w:val="15"/>
          <w:szCs w:val="15"/>
          <w:color w:val="auto"/>
        </w:rPr>
        <w:t>The markets for our SAN switching products are competitive, and are likely to become even more competitive. Increased competition could result in pricing pressures, reduced sales, reduced margins, reduced profits, reduced market share, or the failure of our products to achieve or maintain market acceptance. Our products face competition from multiple sources and we may not be able to compete successfully against current and future competitors. Furthermore, as the SAN market evolves, non-Fibre Channel-based products may become available to interconnect servers and storage. To the extent that these products provide the ability to network servers and storage and support high-performance, block-data storage applications, they may compete with our current and future products. These products may include, but are not limited to, non-Fibre Channel based emerging products based on Gigabit Ethernet, 10-Gigabit Ethernet and Infiniband.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International political instability may increase our cost of doing business and disrupt our business.</w:t>
      </w:r>
    </w:p>
    <w:p>
      <w:pPr>
        <w:spacing w:after="0" w:line="200" w:lineRule="exact"/>
        <w:rPr>
          <w:sz w:val="20"/>
          <w:szCs w:val="20"/>
          <w:color w:val="auto"/>
        </w:rPr>
      </w:pPr>
    </w:p>
    <w:p>
      <w:pPr>
        <w:ind w:firstLine="189"/>
        <w:spacing w:after="0" w:line="286" w:lineRule="auto"/>
        <w:rPr>
          <w:sz w:val="20"/>
          <w:szCs w:val="20"/>
          <w:color w:val="auto"/>
        </w:rPr>
      </w:pPr>
      <w:r>
        <w:rPr>
          <w:rFonts w:ascii="Arial" w:cs="Arial" w:eastAsia="Arial" w:hAnsi="Arial"/>
          <w:sz w:val="14"/>
          <w:szCs w:val="14"/>
          <w:color w:val="auto"/>
        </w:rPr>
        <w:t>Increased international political instability, as demonstrated by the September 2001 terrorist attacks, disruption in air transportation and further enhanced security measures as a result of the September 2001 terrorist attacks, the military action taken in Afghanistan, and the conflicts in the Middle East, may halt or hinder our ability to do business and may increase our costs. This increased instability may, for example, negatively impact the reliability and cost of transportation, negatively impact the desire of our employees and customers to travel, adversely affect our ability to obtain adequate insurance at reasonable rates, and require us to take extra security precautions for our operations. In addition, to the extent that air transportation is delayed or disrupted, the operations of our contract manufacturers and suppliers may be disrupted, particularly if shipments of components and raw materials are delayed. If this international political instability continues or escalates, our business and results of operations could be harmed.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Failure to manage expansion effectively could seriously harm our business, financial condition, and prospects.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380"/>
          </w:cols>
          <w:pgMar w:left="240" w:top="380" w:right="27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firstLine="189"/>
        <w:spacing w:after="0" w:line="289" w:lineRule="auto"/>
        <w:rPr>
          <w:sz w:val="20"/>
          <w:szCs w:val="20"/>
          <w:color w:val="auto"/>
        </w:rPr>
      </w:pPr>
      <w:r>
        <w:rPr>
          <w:rFonts w:ascii="Arial" w:cs="Arial" w:eastAsia="Arial" w:hAnsi="Arial"/>
          <w:sz w:val="14"/>
          <w:szCs w:val="14"/>
          <w:color w:val="auto"/>
        </w:rPr>
        <w:t>Our ability to successfully implement our business plan, develop and offer products, and manage expansion in a rapidly evolving market requires a comprehensive and effective planning and management process. We continue to increase the scope of our operations domestically and internationally, and have grown headcount substantially. In addition, we plan to continue to hire employees in the foreseeable future. Our growth in business, headcount, and relationships with customers and other third parties has placed, and will continue to place, a significant strain on management systems and resources. Our failure to continue to improve upon our operational, managerial, and financial controls, reporting systems, and procedures, and our failure to continue to expand, train, and manage our work force worldwide, could seriously harm our business and financial results.</w:t>
      </w:r>
    </w:p>
    <w:p>
      <w:pPr>
        <w:spacing w:after="0" w:line="149" w:lineRule="exact"/>
        <w:rPr>
          <w:sz w:val="20"/>
          <w:szCs w:val="20"/>
          <w:color w:val="auto"/>
        </w:rPr>
      </w:pPr>
    </w:p>
    <w:p>
      <w:pPr>
        <w:ind w:right="140" w:firstLine="189"/>
        <w:spacing w:after="0" w:line="285" w:lineRule="auto"/>
        <w:rPr>
          <w:sz w:val="20"/>
          <w:szCs w:val="20"/>
          <w:color w:val="auto"/>
        </w:rPr>
      </w:pPr>
      <w:r>
        <w:rPr>
          <w:rFonts w:ascii="Arial" w:cs="Arial" w:eastAsia="Arial" w:hAnsi="Arial"/>
          <w:sz w:val="15"/>
          <w:szCs w:val="15"/>
          <w:b w:val="1"/>
          <w:bCs w:val="1"/>
          <w:i w:val="1"/>
          <w:iCs w:val="1"/>
          <w:color w:val="auto"/>
        </w:rPr>
        <w:t>Failure to adequately anticipate future OEM and end-user product needs and failure to forecast OEM and end-user demand could negatively impact the demand for our products and reduce our revenues.</w:t>
      </w:r>
    </w:p>
    <w:p>
      <w:pPr>
        <w:spacing w:after="0" w:line="150" w:lineRule="exact"/>
        <w:rPr>
          <w:sz w:val="20"/>
          <w:szCs w:val="20"/>
          <w:color w:val="auto"/>
        </w:rPr>
      </w:pPr>
    </w:p>
    <w:p>
      <w:pPr>
        <w:ind w:right="160" w:firstLine="187"/>
        <w:spacing w:after="0" w:line="267" w:lineRule="auto"/>
        <w:rPr>
          <w:sz w:val="20"/>
          <w:szCs w:val="20"/>
          <w:color w:val="auto"/>
        </w:rPr>
      </w:pPr>
      <w:r>
        <w:rPr>
          <w:rFonts w:ascii="Arial" w:cs="Arial" w:eastAsia="Arial" w:hAnsi="Arial"/>
          <w:sz w:val="15"/>
          <w:szCs w:val="15"/>
          <w:color w:val="auto"/>
        </w:rPr>
        <w:t>We market and sell our products through OEM partners, master resellers and fabric partners. We must continually assess, anticipate, and respond to the needs of these OEM partners, master resellers and fabric partners. We must also ensure that our products integrate with solutions provided by these OEM partners, master resellers and fabric partners. In addition, we must continually assess, anticipate, and respond to the needs of their customers, who are the end-users of our products. If we fail to respond to the needs of these groups, our business and operating results could be harmed.</w:t>
      </w:r>
    </w:p>
    <w:p>
      <w:pPr>
        <w:spacing w:after="0" w:line="165" w:lineRule="exact"/>
        <w:rPr>
          <w:sz w:val="20"/>
          <w:szCs w:val="20"/>
          <w:color w:val="auto"/>
        </w:rPr>
      </w:pPr>
    </w:p>
    <w:p>
      <w:pPr>
        <w:ind w:right="20" w:firstLine="189"/>
        <w:spacing w:after="0" w:line="267" w:lineRule="auto"/>
        <w:rPr>
          <w:sz w:val="20"/>
          <w:szCs w:val="20"/>
          <w:color w:val="auto"/>
        </w:rPr>
      </w:pPr>
      <w:r>
        <w:rPr>
          <w:rFonts w:ascii="Arial" w:cs="Arial" w:eastAsia="Arial" w:hAnsi="Arial"/>
          <w:sz w:val="15"/>
          <w:szCs w:val="15"/>
          <w:color w:val="auto"/>
        </w:rPr>
        <w:t>Because we market and sell our products through OEM partners, master resellers and fabric partners, our direct contact with the end-users of our products is often limited. Although we make every effort to communicate with, understand, and anticipate the current and future needs of the end-users of our products, to a large extent we rely on our OEM partners, master resellers and fabric partners for visibility into those end-user requirements. Our failure to adequately assess and anticipate future end-user needs could negatively impact the demand for our products and reduce our revenues.</w:t>
      </w:r>
    </w:p>
    <w:p>
      <w:pPr>
        <w:spacing w:after="0" w:line="165" w:lineRule="exact"/>
        <w:rPr>
          <w:sz w:val="20"/>
          <w:szCs w:val="20"/>
          <w:color w:val="auto"/>
        </w:rPr>
      </w:pPr>
    </w:p>
    <w:p>
      <w:pPr>
        <w:ind w:right="20" w:firstLine="189"/>
        <w:spacing w:after="0" w:line="289" w:lineRule="auto"/>
        <w:rPr>
          <w:sz w:val="20"/>
          <w:szCs w:val="20"/>
          <w:color w:val="auto"/>
        </w:rPr>
      </w:pPr>
      <w:r>
        <w:rPr>
          <w:rFonts w:ascii="Arial" w:cs="Arial" w:eastAsia="Arial" w:hAnsi="Arial"/>
          <w:sz w:val="14"/>
          <w:szCs w:val="14"/>
          <w:color w:val="auto"/>
        </w:rPr>
        <w:t>Similarly, we have limited ability to forecast the demand for our products. In preparing sales and demand forecasts, we rely largely on input from our OEM partners, master resellers and fabric partners. If our customers are unable to accurately forecast demand, or we fail to effectively communicate with our customers about end-user demand or other time sensitive information, sales and demand forecasts may not reflect the most accurate, up-to-date information. Because we make business decisions based on our sales and demand forecasts, if these forecasts do not materialize, our business and financial results could be negatively impacted. Furthermore, we may not be able to identify these forecast differences until late in our fiscal quarter. Consequently, we may not be able to make adjustments to our business model without negatively impacting our earnings.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plan to continue to increase our international sales activities significantly, which will subject us to additional business risks.</w:t>
      </w:r>
    </w:p>
    <w:p>
      <w:pPr>
        <w:spacing w:after="0" w:line="200" w:lineRule="exact"/>
        <w:rPr>
          <w:sz w:val="20"/>
          <w:szCs w:val="20"/>
          <w:color w:val="auto"/>
        </w:rPr>
      </w:pPr>
    </w:p>
    <w:p>
      <w:pPr>
        <w:ind w:right="540" w:firstLine="187"/>
        <w:spacing w:after="0" w:line="285" w:lineRule="auto"/>
        <w:rPr>
          <w:sz w:val="20"/>
          <w:szCs w:val="20"/>
          <w:color w:val="auto"/>
        </w:rPr>
      </w:pPr>
      <w:r>
        <w:rPr>
          <w:rFonts w:ascii="Arial" w:cs="Arial" w:eastAsia="Arial" w:hAnsi="Arial"/>
          <w:sz w:val="15"/>
          <w:szCs w:val="15"/>
          <w:color w:val="auto"/>
        </w:rPr>
        <w:t>We plan to continue to expand our international sales activities significantly. Expansion of international operations will involve inherent risks that we may not be able to control, including:</w:t>
      </w:r>
    </w:p>
    <w:p>
      <w:pPr>
        <w:spacing w:after="0" w:line="150" w:lineRule="exact"/>
        <w:rPr>
          <w:sz w:val="20"/>
          <w:szCs w:val="20"/>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supporting multiple languages;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recruiting sales and technical support personnel with the skills to support our products;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increased complexity and costs of managing international operations;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commercial laws and business practices that favor local competition;</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multiple, potentially conflicting, and changing governmental laws and regulations, including differing labor and employment laws;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longer sales cycles;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difficulties in collecting accounts receivable;</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reduced or limited protections of intellectual property rights; and</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political and economic instability.</w:t>
      </w:r>
    </w:p>
    <w:p>
      <w:pPr>
        <w:spacing w:after="0" w:line="200" w:lineRule="exact"/>
        <w:rPr>
          <w:sz w:val="20"/>
          <w:szCs w:val="20"/>
          <w:color w:val="auto"/>
        </w:rPr>
      </w:pPr>
    </w:p>
    <w:p>
      <w:pPr>
        <w:ind w:right="100" w:firstLine="187"/>
        <w:spacing w:after="0" w:line="321" w:lineRule="auto"/>
        <w:rPr>
          <w:sz w:val="20"/>
          <w:szCs w:val="20"/>
          <w:color w:val="auto"/>
        </w:rPr>
      </w:pPr>
      <w:r>
        <w:rPr>
          <w:rFonts w:ascii="Arial" w:cs="Arial" w:eastAsia="Arial" w:hAnsi="Arial"/>
          <w:sz w:val="13"/>
          <w:szCs w:val="13"/>
          <w:color w:val="auto"/>
        </w:rPr>
        <w:t>To date, none of our international revenues and costs of revenues has been denominated in foreign currencies. As a result, an increase in the value of the United States dollar relative to foreign currencies could make our products more expensive and, thus, less competitive in foreign markets. In the future, a portion of our international revenues may be denominated in foreign currencies, including the Euro, which will subject us to risks associated with fluctuations in those foreign currencies. Additionally, we receive significant tax benefits from sales to our international customers. These benefits are contingent upon existing tax laws in both the United States and in the respective countries in which our international customers are located.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Future changes in domestic or international tax laws could affect the continued realization of the tax benefits we are currently receiving and expect to receive from sales to our international customers. In addition, a decrease in the percentage of our total revenue from international customers, or in the mix of international revenue among particular tax jurisdictions, could increase our overall effective tax rate.</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depend on OEM customers. The loss of any of these OEM customers could significantly reduce our revenues.</w:t>
      </w:r>
    </w:p>
    <w:p>
      <w:pPr>
        <w:spacing w:after="0" w:line="200" w:lineRule="exact"/>
        <w:rPr>
          <w:sz w:val="20"/>
          <w:szCs w:val="20"/>
          <w:color w:val="auto"/>
        </w:rPr>
      </w:pPr>
    </w:p>
    <w:p>
      <w:pPr>
        <w:ind w:right="40" w:firstLine="181"/>
        <w:spacing w:after="0" w:line="264" w:lineRule="auto"/>
        <w:rPr>
          <w:sz w:val="20"/>
          <w:szCs w:val="20"/>
          <w:color w:val="auto"/>
        </w:rPr>
      </w:pPr>
      <w:r>
        <w:rPr>
          <w:rFonts w:ascii="Arial" w:cs="Arial" w:eastAsia="Arial" w:hAnsi="Arial"/>
          <w:sz w:val="15"/>
          <w:szCs w:val="15"/>
          <w:color w:val="auto"/>
        </w:rPr>
        <w:t>Although our customer base has increased, we still depend on large, recurring purchases from a limited number of large OEM customers. Our agreements with our OEM customers are typically cancelable, non-exclusive, and have no minimum purchase requirements. For the fiscal quarter ended July 27, 2002, four customers each represented greater than ten percent of our total revenues for a combined total of 76 percent of our total revenues. In addition, HP and Compaq, two of our larger OEM customers, recently merged. This merger may result in a decrease or a disruption in our sales to the combined company. We anticipate that our revenues and operating results will continue to depend on sales to a relatively small number of customers. Therefore, the loss of any one significant customer, or a decrease in the level of sales to any one significant customer, could seriously harm our financial condition and results of operations.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Failure to expand distribution channels and manage distribution relationships could significantly reduce our revenues.</w:t>
      </w:r>
    </w:p>
    <w:p>
      <w:pPr>
        <w:spacing w:after="0" w:line="200" w:lineRule="exact"/>
        <w:rPr>
          <w:sz w:val="20"/>
          <w:szCs w:val="20"/>
          <w:color w:val="auto"/>
        </w:rPr>
      </w:pPr>
    </w:p>
    <w:p>
      <w:pPr>
        <w:ind w:firstLine="189"/>
        <w:spacing w:after="0" w:line="264" w:lineRule="auto"/>
        <w:rPr>
          <w:sz w:val="20"/>
          <w:szCs w:val="20"/>
          <w:color w:val="auto"/>
        </w:rPr>
      </w:pPr>
      <w:r>
        <w:rPr>
          <w:rFonts w:ascii="Arial" w:cs="Arial" w:eastAsia="Arial" w:hAnsi="Arial"/>
          <w:sz w:val="15"/>
          <w:szCs w:val="15"/>
          <w:color w:val="auto"/>
        </w:rPr>
        <w:t>Our success will depend on our continuing ability to develop and manage relationships with significant OEM partners, master resellers and fabric partners, as well as on the sales efforts and success of these customers. Our OEM customers may evaluate our products for a limited time period before they begin to market and sell them. Assisting these customers through the evaluation process may require significant sales, marketing, and management efforts on our part, particularly if our products are being qualified with multiple customers at the same time. In addition, once our products have been qualified, our customer agreements have no minimum purchase commitments. We may not be able to maintain or expand our distribution channels, manage distribution relationships successfully, or market our products through OEMs effectively. Our failure to manage successfully our distribution relationships or the failure of our customers to sell our products could reduce our revenues.</w:t>
      </w:r>
    </w:p>
    <w:p>
      <w:pPr>
        <w:spacing w:after="0" w:line="167" w:lineRule="exact"/>
        <w:rPr>
          <w:sz w:val="20"/>
          <w:szCs w:val="20"/>
          <w:color w:val="auto"/>
        </w:rPr>
      </w:pPr>
    </w:p>
    <w:p>
      <w:pPr>
        <w:ind w:right="360" w:firstLine="189"/>
        <w:spacing w:after="0" w:line="285" w:lineRule="auto"/>
        <w:rPr>
          <w:sz w:val="20"/>
          <w:szCs w:val="20"/>
          <w:color w:val="auto"/>
        </w:rPr>
      </w:pPr>
      <w:r>
        <w:rPr>
          <w:rFonts w:ascii="Arial" w:cs="Arial" w:eastAsia="Arial" w:hAnsi="Arial"/>
          <w:sz w:val="15"/>
          <w:szCs w:val="15"/>
          <w:b w:val="1"/>
          <w:bCs w:val="1"/>
          <w:i w:val="1"/>
          <w:iCs w:val="1"/>
          <w:color w:val="auto"/>
        </w:rPr>
        <w:t>The loss of our relationship with Solectron Corporation, our principal manufacturer, or the failure to accurately forecast demand for our products or successfully manage our relationship with Solectron, could negatively impact our ability to manufacture and sell our products.</w:t>
      </w:r>
    </w:p>
    <w:p>
      <w:pPr>
        <w:spacing w:after="0" w:line="150" w:lineRule="exact"/>
        <w:rPr>
          <w:sz w:val="20"/>
          <w:szCs w:val="20"/>
          <w:color w:val="auto"/>
        </w:rPr>
      </w:pPr>
    </w:p>
    <w:p>
      <w:pPr>
        <w:ind w:right="80" w:firstLine="187"/>
        <w:spacing w:after="0" w:line="265" w:lineRule="auto"/>
        <w:rPr>
          <w:sz w:val="20"/>
          <w:szCs w:val="20"/>
          <w:color w:val="auto"/>
        </w:rPr>
      </w:pPr>
      <w:r>
        <w:rPr>
          <w:rFonts w:ascii="Arial" w:cs="Arial" w:eastAsia="Arial" w:hAnsi="Arial"/>
          <w:sz w:val="15"/>
          <w:szCs w:val="15"/>
          <w:color w:val="auto"/>
        </w:rPr>
        <w:t>We currently depend on Solectron, a third party manufacturer, to manufacture our products. If we should fail to effectively manage our relationship with Solectron, or if Solectron experiences delays, disruptions, capacity constraints, or quality control problems in its manufacturing operations, our ability to ship products to our customers could be delayed and our competitive position and reputation could be harmed. Qualifying a new contract manufacturer and commencing volume production is a lengthy and expensive process. Although we recently qualified an additional third-party contract manufacturer to manufacture some of our products, if we are required or choose to change our principal contract manufacturer, we may lose revenue and damage our customer relationships.</w:t>
      </w:r>
    </w:p>
    <w:p>
      <w:pPr>
        <w:spacing w:after="0" w:line="166" w:lineRule="exact"/>
        <w:rPr>
          <w:sz w:val="20"/>
          <w:szCs w:val="20"/>
          <w:color w:val="auto"/>
        </w:rPr>
      </w:pPr>
    </w:p>
    <w:p>
      <w:pPr>
        <w:ind w:right="40" w:firstLine="187"/>
        <w:spacing w:after="0" w:line="292" w:lineRule="auto"/>
        <w:rPr>
          <w:sz w:val="20"/>
          <w:szCs w:val="20"/>
          <w:color w:val="auto"/>
        </w:rPr>
      </w:pPr>
      <w:r>
        <w:rPr>
          <w:rFonts w:ascii="Arial" w:cs="Arial" w:eastAsia="Arial" w:hAnsi="Arial"/>
          <w:sz w:val="14"/>
          <w:szCs w:val="14"/>
          <w:color w:val="auto"/>
        </w:rPr>
        <w:t>We have entered into a manufacturing agreement with Solectron under which we provide to Solectron a 12-month product forecast and place purchase orders with Solectron 60 calendar days in advance of the scheduled delivery of products to our customers. Although our purchase orders placed with Solectron are cancelable, the terms of the agreement require us to purchase from Solectron all inventory components not returnable or usable by other Solectron customers. Accordingly, if we inaccurately forecast demand for our products, we may be unable to obtain adequate manufacturing capacity from Solectron to meet customers’ delivery requirements or we may accumulate excess inventories.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dependent on sole source and limited source suppliers for certain key components including ASICs and power supplies.</w:t>
      </w:r>
    </w:p>
    <w:p>
      <w:pPr>
        <w:spacing w:after="0" w:line="200" w:lineRule="exact"/>
        <w:rPr>
          <w:sz w:val="20"/>
          <w:szCs w:val="20"/>
          <w:color w:val="auto"/>
        </w:rPr>
      </w:pPr>
    </w:p>
    <w:p>
      <w:pPr>
        <w:ind w:right="40" w:firstLine="187"/>
        <w:spacing w:after="0" w:line="285" w:lineRule="auto"/>
        <w:rPr>
          <w:sz w:val="20"/>
          <w:szCs w:val="20"/>
          <w:color w:val="auto"/>
        </w:rPr>
      </w:pPr>
      <w:r>
        <w:rPr>
          <w:rFonts w:ascii="Arial" w:cs="Arial" w:eastAsia="Arial" w:hAnsi="Arial"/>
          <w:sz w:val="14"/>
          <w:szCs w:val="14"/>
          <w:color w:val="auto"/>
        </w:rPr>
        <w:t>We currently purchase several key components used in the manufacture of our products from single or limited sources. We purchase ASICs, microprocessors, certain connectors, certain logic chips, programmable logic devices, and chassis from single sources, and printed circuit boards and power supplies from limited sources. In addition, we license certain software from third parties that is incorporated into the operating system of our products. If we are unable to buy or license these components on a timely basis, we will not be able to deliver our products to our customers in a timely manner. We use a rolling six-month forecast based on anticipated product orders to determine component requirements. If we overestimate component requirements, we may have excess inventory, which would increase our costs. If we underestimate component requirements, we may have inadequate inventory, which could interrupt the manufacturing process and result in lost or deferred revenue. In addition, lead times for components vary significantly and depend on factors such as the specific supplier, contract terms, and demand for a component at a given time. We also may experience shortages of certain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components from time to time, which also could delay the manufacturing and sales processes.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The prices of our products may decline which would reduce our revenues and gross margins.</w:t>
      </w:r>
    </w:p>
    <w:p>
      <w:pPr>
        <w:spacing w:after="0" w:line="200" w:lineRule="exact"/>
        <w:rPr>
          <w:sz w:val="20"/>
          <w:szCs w:val="20"/>
          <w:color w:val="auto"/>
        </w:rPr>
      </w:pPr>
    </w:p>
    <w:p>
      <w:pPr>
        <w:ind w:right="220" w:firstLine="187"/>
        <w:spacing w:after="0" w:line="321" w:lineRule="auto"/>
        <w:rPr>
          <w:sz w:val="20"/>
          <w:szCs w:val="20"/>
          <w:color w:val="auto"/>
        </w:rPr>
      </w:pPr>
      <w:r>
        <w:rPr>
          <w:rFonts w:ascii="Arial" w:cs="Arial" w:eastAsia="Arial" w:hAnsi="Arial"/>
          <w:sz w:val="13"/>
          <w:szCs w:val="13"/>
          <w:color w:val="auto"/>
        </w:rPr>
        <w:t>The average unit prices of our products may decrease in the future in response to changes in product mix, competitive pricing pressures, increased sales discounts, new product introductions by us or our competitors, or other factors. If we are unable to offset these factors by increasing sales volumes, our total revenues will decline. In addition, to maintain our gross margins we must maintain or increase current shipment volumes and develop and introduce new products and product enhancements, and we must continue to reduce the manufacturing cost of our products. Failure to reduce the manufacturing cost of our products in response to declines in unit selling prices would result in a decline in our gross margins.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Undetected software or hardware errors could increase our costs and reduce our revenues.</w:t>
      </w:r>
    </w:p>
    <w:p>
      <w:pPr>
        <w:spacing w:after="0" w:line="200" w:lineRule="exact"/>
        <w:rPr>
          <w:sz w:val="20"/>
          <w:szCs w:val="20"/>
          <w:color w:val="auto"/>
        </w:rPr>
      </w:pPr>
    </w:p>
    <w:p>
      <w:pPr>
        <w:ind w:right="20" w:firstLine="189"/>
        <w:spacing w:after="0" w:line="265" w:lineRule="auto"/>
        <w:rPr>
          <w:sz w:val="20"/>
          <w:szCs w:val="20"/>
          <w:color w:val="auto"/>
        </w:rPr>
      </w:pPr>
      <w:r>
        <w:rPr>
          <w:rFonts w:ascii="Arial" w:cs="Arial" w:eastAsia="Arial" w:hAnsi="Arial"/>
          <w:sz w:val="15"/>
          <w:szCs w:val="15"/>
          <w:color w:val="auto"/>
        </w:rPr>
        <w:t>Networking products frequently contain undetected software or hardware errors when first introduced or as new versions are released. Our products are becoming increasingly complex and errors may be found from time to time in our new or enhanced products. In addition, our products are combined with products from other vendors. As a result, when problems occur, it may be difficult to identify the source of the problem. These problems may cause us to incur significant warranty and repair costs, divert the attention of engineering personnel from product development efforts and cause significant customer relations problems. Moreover, the occurrence of hardware and software errors, whether caused by another vendor’s SAN products, or ours, could delay or prevent the development of the SAN market.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may not be able to maintain profitability.</w:t>
      </w:r>
    </w:p>
    <w:p>
      <w:pPr>
        <w:spacing w:after="0" w:line="200" w:lineRule="exact"/>
        <w:rPr>
          <w:sz w:val="20"/>
          <w:szCs w:val="20"/>
          <w:color w:val="auto"/>
        </w:rPr>
      </w:pPr>
    </w:p>
    <w:p>
      <w:pPr>
        <w:ind w:right="40" w:firstLine="187"/>
        <w:spacing w:after="0" w:line="272" w:lineRule="auto"/>
        <w:rPr>
          <w:sz w:val="20"/>
          <w:szCs w:val="20"/>
          <w:color w:val="auto"/>
        </w:rPr>
      </w:pPr>
      <w:r>
        <w:rPr>
          <w:rFonts w:ascii="Arial" w:cs="Arial" w:eastAsia="Arial" w:hAnsi="Arial"/>
          <w:sz w:val="15"/>
          <w:szCs w:val="15"/>
          <w:color w:val="auto"/>
        </w:rPr>
        <w:t>We may not be able to maintain profitability in the future. We expect to incur significant costs and expenses for product development, sales and marketing, customer support, and expansion of corporate infrastructure. We make investment decisions based upon anticipated revenues and margins. If these anticipated revenues and margins do not materialize our future profitability could be adversely affected.</w:t>
      </w:r>
    </w:p>
    <w:p>
      <w:pPr>
        <w:spacing w:after="0" w:line="159" w:lineRule="exact"/>
        <w:rPr>
          <w:sz w:val="20"/>
          <w:szCs w:val="20"/>
          <w:color w:val="auto"/>
        </w:rPr>
      </w:pPr>
    </w:p>
    <w:p>
      <w:pPr>
        <w:ind w:right="80" w:firstLine="189"/>
        <w:spacing w:after="0" w:line="265" w:lineRule="auto"/>
        <w:rPr>
          <w:sz w:val="20"/>
          <w:szCs w:val="20"/>
          <w:color w:val="auto"/>
        </w:rPr>
      </w:pPr>
      <w:r>
        <w:rPr>
          <w:rFonts w:ascii="Arial" w:cs="Arial" w:eastAsia="Arial" w:hAnsi="Arial"/>
          <w:sz w:val="15"/>
          <w:szCs w:val="15"/>
          <w:color w:val="auto"/>
        </w:rPr>
        <w:t>In addition, we have a limited operating history. Therefore, it is difficult to forecast future operating results based on historical results. We plan our operating expenses based in part on future revenue projections. Our ability to accurately forecast quarterly revenue is limited for the reasons discussed above in “Our quarterly revenues and operating results may fluctuate in future periods for a number of reasons, which could adversely affect the trading price of our stock.” Moreover, most of our expenses are fixed in the short-term or incurred in advance of receipt of corresponding revenue. As a result, we may not be able to decrease our spending to offset any unexpected shortfall in revenues. If this occurs, we could incur losses and our operating results may be below our expectations and those of investors and stock market analysts.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If we lose key personnel or are unable to hire additional qualified personnel, we may not be successful.</w:t>
      </w:r>
    </w:p>
    <w:p>
      <w:pPr>
        <w:spacing w:after="0" w:line="200" w:lineRule="exact"/>
        <w:rPr>
          <w:sz w:val="20"/>
          <w:szCs w:val="20"/>
          <w:color w:val="auto"/>
        </w:rPr>
      </w:pPr>
    </w:p>
    <w:p>
      <w:pPr>
        <w:ind w:right="40" w:firstLine="189"/>
        <w:spacing w:after="0" w:line="272" w:lineRule="auto"/>
        <w:rPr>
          <w:sz w:val="20"/>
          <w:szCs w:val="20"/>
          <w:color w:val="auto"/>
        </w:rPr>
      </w:pPr>
      <w:r>
        <w:rPr>
          <w:rFonts w:ascii="Arial" w:cs="Arial" w:eastAsia="Arial" w:hAnsi="Arial"/>
          <w:sz w:val="15"/>
          <w:szCs w:val="15"/>
          <w:color w:val="auto"/>
        </w:rPr>
        <w:t>Our success depends to a significant degree upon the continued contributions of key management, engineering, and sales and marketing personnel, many of whom would be difficult to replace. We do not have key person life insurance on any of our key personnel. We also believe that our success depends to a significant extent on the ability of management to operate effectively, both individually and as a group.</w:t>
      </w:r>
    </w:p>
    <w:p>
      <w:pPr>
        <w:spacing w:after="0" w:line="159" w:lineRule="exact"/>
        <w:rPr>
          <w:sz w:val="20"/>
          <w:szCs w:val="20"/>
          <w:color w:val="auto"/>
        </w:rPr>
      </w:pPr>
    </w:p>
    <w:p>
      <w:pPr>
        <w:ind w:firstLine="187"/>
        <w:spacing w:after="0" w:line="292" w:lineRule="auto"/>
        <w:rPr>
          <w:sz w:val="20"/>
          <w:szCs w:val="20"/>
          <w:color w:val="auto"/>
        </w:rPr>
      </w:pPr>
      <w:r>
        <w:rPr>
          <w:rFonts w:ascii="Arial" w:cs="Arial" w:eastAsia="Arial" w:hAnsi="Arial"/>
          <w:sz w:val="14"/>
          <w:szCs w:val="14"/>
          <w:color w:val="auto"/>
        </w:rPr>
        <w:t>We believe our future success will also depend in large part upon our ability to attract and retain highly skilled managerial, engineering, sales and marketing, finance, and operations personnel. We have experienced difficulty in hiring qualified ASIC, software, system and test, sales and marketing, and customer support personnel. We may not be successful in attracting and retaining these individuals in the future.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49" w:lineRule="exact"/>
        <w:rPr>
          <w:sz w:val="20"/>
          <w:szCs w:val="20"/>
          <w:color w:val="auto"/>
        </w:rPr>
      </w:pPr>
    </w:p>
    <w:p>
      <w:pPr>
        <w:ind w:firstLine="189"/>
        <w:spacing w:after="0" w:line="272" w:lineRule="auto"/>
        <w:rPr>
          <w:sz w:val="20"/>
          <w:szCs w:val="20"/>
          <w:color w:val="auto"/>
        </w:rPr>
      </w:pPr>
      <w:r>
        <w:rPr>
          <w:rFonts w:ascii="Arial" w:cs="Arial" w:eastAsia="Arial" w:hAnsi="Arial"/>
          <w:sz w:val="15"/>
          <w:szCs w:val="15"/>
          <w:color w:val="auto"/>
        </w:rPr>
        <w:t>In addition, companies in the computer storage and server industry whose employees accept positions with competitors frequently claim that their competitors have engaged in unfair hiring practices. We may receive such claims in the future as we seek to hire qualified personnel. Such claims, if received, may result in material litigation. We could incur substantial costs in defending against these claims, regardless of their merits.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may be unable to protect our intellectual property, which would negatively affect our ability to compete.</w:t>
      </w:r>
    </w:p>
    <w:p>
      <w:pPr>
        <w:spacing w:after="0" w:line="200" w:lineRule="exact"/>
        <w:rPr>
          <w:sz w:val="20"/>
          <w:szCs w:val="20"/>
          <w:color w:val="auto"/>
        </w:rPr>
      </w:pPr>
    </w:p>
    <w:p>
      <w:pPr>
        <w:jc w:val="both"/>
        <w:ind w:right="140" w:firstLine="187"/>
        <w:spacing w:after="0" w:line="272" w:lineRule="auto"/>
        <w:rPr>
          <w:sz w:val="20"/>
          <w:szCs w:val="20"/>
          <w:color w:val="auto"/>
        </w:rPr>
      </w:pPr>
      <w:r>
        <w:rPr>
          <w:rFonts w:ascii="Arial" w:cs="Arial" w:eastAsia="Arial" w:hAnsi="Arial"/>
          <w:sz w:val="15"/>
          <w:szCs w:val="15"/>
          <w:color w:val="auto"/>
        </w:rPr>
        <w:t>We rely on a combination of patent, copyright, trademark, and trade secret laws, confidentiality agreements, and other contractual restrictions on disclosure to protect our intellectual property rights. We also enter into confidentiality or license agreements with our employees, consultants, and corporate partners, and control access to and distribution of our technology, software, documentation, and other confidential information. These measures may not preclude competitors from</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360"/>
          </w:cols>
          <w:pgMar w:left="240" w:top="380" w:right="29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0"/>
        <w:spacing w:after="0" w:line="300" w:lineRule="auto"/>
        <w:rPr>
          <w:sz w:val="20"/>
          <w:szCs w:val="20"/>
          <w:color w:val="auto"/>
        </w:rPr>
      </w:pPr>
      <w:r>
        <w:rPr>
          <w:rFonts w:ascii="Arial" w:cs="Arial" w:eastAsia="Arial" w:hAnsi="Arial"/>
          <w:sz w:val="14"/>
          <w:szCs w:val="14"/>
          <w:color w:val="auto"/>
        </w:rPr>
        <w:t>independently developing products with functionality or features similar to our products. Despite efforts to protect our proprietary rights, unauthorized parties may attempt to copy or otherwise obtain and use our products or technology. Monitoring unauthorized use of our products is difficult and we cannot be certain that the steps we take to prevent unauthorized use of our technology, particularly in foreign countries where the laws may not protect proprietary rights as fully as in the United States, will be effective.</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Others may bring infringement claims, which could be time-consuming and expensive to defend, against us.</w:t>
      </w:r>
    </w:p>
    <w:p>
      <w:pPr>
        <w:spacing w:after="0" w:line="200" w:lineRule="exact"/>
        <w:rPr>
          <w:sz w:val="20"/>
          <w:szCs w:val="20"/>
          <w:color w:val="auto"/>
        </w:rPr>
      </w:pPr>
    </w:p>
    <w:p>
      <w:pPr>
        <w:ind w:firstLine="189"/>
        <w:spacing w:after="0" w:line="263" w:lineRule="auto"/>
        <w:rPr>
          <w:sz w:val="20"/>
          <w:szCs w:val="20"/>
          <w:color w:val="auto"/>
        </w:rPr>
      </w:pPr>
      <w:r>
        <w:rPr>
          <w:rFonts w:ascii="Arial" w:cs="Arial" w:eastAsia="Arial" w:hAnsi="Arial"/>
          <w:sz w:val="15"/>
          <w:szCs w:val="15"/>
          <w:color w:val="auto"/>
        </w:rPr>
        <w:t xml:space="preserve">In recent years, there has been significant litigation in the United States involving patents and other intellectual property rights. On February 14, 2002, a suit captioned </w:t>
      </w:r>
      <w:r>
        <w:rPr>
          <w:rFonts w:ascii="Arial" w:cs="Arial" w:eastAsia="Arial" w:hAnsi="Arial"/>
          <w:sz w:val="15"/>
          <w:szCs w:val="15"/>
          <w:i w:val="1"/>
          <w:iCs w:val="1"/>
          <w:color w:val="auto"/>
        </w:rPr>
        <w:t>McDATA Corp. v.</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Brocade Communications Systems, Inc. </w:t>
      </w:r>
      <w:r>
        <w:rPr>
          <w:rFonts w:ascii="Arial" w:cs="Arial" w:eastAsia="Arial" w:hAnsi="Arial"/>
          <w:sz w:val="15"/>
          <w:szCs w:val="15"/>
          <w:color w:val="auto"/>
        </w:rPr>
        <w:t>was filed against Brocade in the United States District Court for the District of Colorado. The complaint alleged that the Brocade SilkWorm 3800</w:t>
      </w:r>
      <w:r>
        <w:rPr>
          <w:rFonts w:ascii="Arial" w:cs="Arial" w:eastAsia="Arial" w:hAnsi="Arial"/>
          <w:sz w:val="15"/>
          <w:szCs w:val="15"/>
          <w:i w:val="1"/>
          <w:iCs w:val="1"/>
          <w:color w:val="auto"/>
        </w:rPr>
        <w:t xml:space="preserve"> </w:t>
      </w:r>
      <w:r>
        <w:rPr>
          <w:rFonts w:ascii="Arial" w:cs="Arial" w:eastAsia="Arial" w:hAnsi="Arial"/>
          <w:sz w:val="15"/>
          <w:szCs w:val="15"/>
          <w:color w:val="auto"/>
        </w:rPr>
        <w:t>Enterprise Fibre Channel Fabric Switch and Brocade SilkWorm 12000 Core Fabric Switch infringe U.S. Patent No. 6,233,236, entitled “Method and Apparatus for Measuring Traffic Within a Switch.” The complaint seeks unspecified compensatory and exemplary damages and to permanently enjoin Brocade from infringing the patent in the future. On March 4, 2002, McDATA filed an amended complaint, in which it additionally alleged that the Brocade SilkWorm 3200 Entry Fabric Switch infringed this patent. In connection with this suit, on March 4, 2002, McDATA filed a motion for a preliminary injunction against Brocade with regard to the patent. We filed an answer and counterclaims on April 8, 2002. A hearing on the motion for preliminary injunction was held on July 15, 2002, and we are awaiting a decision on the matter. We believe that we have meritorious defenses to the claims and intend to defend the action vigorously.</w:t>
      </w:r>
    </w:p>
    <w:p>
      <w:pPr>
        <w:spacing w:after="0" w:line="166" w:lineRule="exact"/>
        <w:rPr>
          <w:sz w:val="20"/>
          <w:szCs w:val="20"/>
          <w:color w:val="auto"/>
        </w:rPr>
      </w:pPr>
    </w:p>
    <w:p>
      <w:pPr>
        <w:ind w:right="60" w:firstLine="187"/>
        <w:spacing w:after="0" w:line="267" w:lineRule="auto"/>
        <w:rPr>
          <w:sz w:val="20"/>
          <w:szCs w:val="20"/>
          <w:color w:val="auto"/>
        </w:rPr>
      </w:pPr>
      <w:r>
        <w:rPr>
          <w:rFonts w:ascii="Arial" w:cs="Arial" w:eastAsia="Arial" w:hAnsi="Arial"/>
          <w:sz w:val="15"/>
          <w:szCs w:val="15"/>
          <w:color w:val="auto"/>
        </w:rPr>
        <w:t>We may be a party to litigation in the future to protect our intellectual property or as a result of an alleged infringement of others’ intellectual property. These claims and any resulting lawsuit, including the McDATA lawsuit, could subject us to significant liability for damages and invalidation of proprietary rights. These lawsuits, regardless of their success, would likely be time-consuming and expensive to resolve and would divert management’s time and attention. Any potential intellectual property litigation, including the McDATA litigation, also could force us to do one or more of the following:</w:t>
      </w:r>
    </w:p>
    <w:p>
      <w:pPr>
        <w:spacing w:after="0" w:line="165" w:lineRule="exact"/>
        <w:rPr>
          <w:sz w:val="20"/>
          <w:szCs w:val="20"/>
          <w:color w:val="auto"/>
        </w:rPr>
      </w:pPr>
    </w:p>
    <w:p>
      <w:pPr>
        <w:ind w:left="420" w:hanging="194"/>
        <w:spacing w:after="0"/>
        <w:tabs>
          <w:tab w:leader="none" w:pos="420" w:val="left"/>
        </w:tabs>
        <w:numPr>
          <w:ilvl w:val="0"/>
          <w:numId w:val="6"/>
        </w:numPr>
        <w:rPr>
          <w:rFonts w:ascii="Arial" w:cs="Arial" w:eastAsia="Arial" w:hAnsi="Arial"/>
          <w:sz w:val="15"/>
          <w:szCs w:val="15"/>
          <w:color w:val="auto"/>
        </w:rPr>
      </w:pPr>
      <w:r>
        <w:rPr>
          <w:rFonts w:ascii="Arial" w:cs="Arial" w:eastAsia="Arial" w:hAnsi="Arial"/>
          <w:sz w:val="15"/>
          <w:szCs w:val="15"/>
          <w:color w:val="auto"/>
        </w:rPr>
        <w:t>stop selling, incorporating or using products or services that use the challenged intellectual property;</w:t>
      </w:r>
    </w:p>
    <w:p>
      <w:pPr>
        <w:spacing w:after="0" w:line="200" w:lineRule="exact"/>
        <w:rPr>
          <w:rFonts w:ascii="Arial" w:cs="Arial" w:eastAsia="Arial" w:hAnsi="Arial"/>
          <w:sz w:val="15"/>
          <w:szCs w:val="15"/>
          <w:color w:val="auto"/>
        </w:rPr>
      </w:pPr>
    </w:p>
    <w:p>
      <w:pPr>
        <w:ind w:left="420" w:right="240" w:hanging="194"/>
        <w:spacing w:after="0" w:line="285" w:lineRule="auto"/>
        <w:tabs>
          <w:tab w:leader="none" w:pos="4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obtain from the owner of the infringed intellectual property a license to the relevant intellectual property, which license may require us to license our intellectual property to such owner, or may not be available on reasonable terms or at all; and</w:t>
      </w:r>
    </w:p>
    <w:p>
      <w:pPr>
        <w:spacing w:after="0" w:line="149" w:lineRule="exact"/>
        <w:rPr>
          <w:rFonts w:ascii="Arial" w:cs="Arial" w:eastAsia="Arial" w:hAnsi="Arial"/>
          <w:sz w:val="15"/>
          <w:szCs w:val="15"/>
          <w:color w:val="auto"/>
        </w:rPr>
      </w:pPr>
    </w:p>
    <w:p>
      <w:pPr>
        <w:ind w:left="420" w:hanging="194"/>
        <w:spacing w:after="0"/>
        <w:tabs>
          <w:tab w:leader="none" w:pos="42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redesign those products or services that use technology that is the subject of an infringement claim.</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If we are forced to take any of the foregoing actions, we may be unable to manufacture, use, sell, import and export our products, which would reduce our revenues.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may engage in future acquisitions that dilute our stockholders and cause us to use cash, incur debt, or assume contingent liabilities.</w:t>
      </w:r>
    </w:p>
    <w:p>
      <w:pPr>
        <w:spacing w:after="0" w:line="200" w:lineRule="exact"/>
        <w:rPr>
          <w:sz w:val="20"/>
          <w:szCs w:val="20"/>
          <w:color w:val="auto"/>
        </w:rPr>
      </w:pPr>
    </w:p>
    <w:p>
      <w:pPr>
        <w:ind w:right="160" w:firstLine="181"/>
        <w:spacing w:after="0" w:line="272" w:lineRule="auto"/>
        <w:rPr>
          <w:sz w:val="20"/>
          <w:szCs w:val="20"/>
          <w:color w:val="auto"/>
        </w:rPr>
      </w:pPr>
      <w:r>
        <w:rPr>
          <w:rFonts w:ascii="Arial" w:cs="Arial" w:eastAsia="Arial" w:hAnsi="Arial"/>
          <w:sz w:val="15"/>
          <w:szCs w:val="15"/>
          <w:color w:val="auto"/>
        </w:rPr>
        <w:t>As part of our strategy, we expect to review opportunities to buy other businesses or technologies that would complement our current products, expand the breadth of our markets or enhance our technical capabilities, or that may otherwise offer growth opportunities. We may buy businesses, products, or technologies in the future. In the event of any future purchases, we could:</w:t>
      </w:r>
    </w:p>
    <w:p>
      <w:pPr>
        <w:spacing w:after="0" w:line="159" w:lineRule="exact"/>
        <w:rPr>
          <w:sz w:val="20"/>
          <w:szCs w:val="20"/>
          <w:color w:val="auto"/>
        </w:rPr>
      </w:pPr>
    </w:p>
    <w:p>
      <w:pPr>
        <w:ind w:left="420" w:hanging="194"/>
        <w:spacing w:after="0"/>
        <w:tabs>
          <w:tab w:leader="none" w:pos="4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issue stock that would dilute our current stockholders’ percentage ownership;</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7"/>
        </w:numPr>
        <w:rPr>
          <w:rFonts w:ascii="Arial" w:cs="Arial" w:eastAsia="Arial" w:hAnsi="Arial"/>
          <w:sz w:val="15"/>
          <w:szCs w:val="15"/>
          <w:color w:val="auto"/>
        </w:rPr>
      </w:pPr>
      <w:r>
        <w:rPr>
          <w:rFonts w:ascii="Arial" w:cs="Arial" w:eastAsia="Arial" w:hAnsi="Arial"/>
          <w:sz w:val="15"/>
          <w:szCs w:val="15"/>
          <w:color w:val="auto"/>
        </w:rPr>
        <w:t>use cash, which may result in a reduction of our liquidity;</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incur debt; or</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assume liabilities.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These purchases also involve numerous risks, including:</w:t>
      </w:r>
    </w:p>
    <w:p>
      <w:pPr>
        <w:spacing w:after="0" w:line="200" w:lineRule="exact"/>
        <w:rPr>
          <w:sz w:val="20"/>
          <w:szCs w:val="20"/>
          <w:color w:val="auto"/>
        </w:rPr>
      </w:pPr>
    </w:p>
    <w:p>
      <w:pPr>
        <w:ind w:left="420" w:hanging="194"/>
        <w:spacing w:after="0"/>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problems combining the purchased operations, technologies, personnel or products;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unanticipated costs;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diversion of management’s attention from our core business;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adverse effects on existing business relationships with suppliers and customers;</w:t>
      </w:r>
    </w:p>
    <w:p>
      <w:pPr>
        <w:spacing w:after="0" w:line="200" w:lineRule="exact"/>
        <w:rPr>
          <w:rFonts w:ascii="Arial" w:cs="Arial" w:eastAsia="Arial" w:hAnsi="Arial"/>
          <w:sz w:val="15"/>
          <w:szCs w:val="15"/>
          <w:color w:val="auto"/>
        </w:rPr>
      </w:pPr>
    </w:p>
    <w:p>
      <w:pPr>
        <w:ind w:left="5580" w:right="5080" w:hanging="5354"/>
        <w:spacing w:after="0" w:line="600" w:lineRule="auto"/>
        <w:tabs>
          <w:tab w:leader="none" w:pos="417" w:val="left"/>
        </w:tabs>
        <w:numPr>
          <w:ilvl w:val="0"/>
          <w:numId w:val="8"/>
        </w:numPr>
        <w:rPr>
          <w:rFonts w:ascii="Arial" w:cs="Arial" w:eastAsia="Arial" w:hAnsi="Arial"/>
          <w:sz w:val="14"/>
          <w:szCs w:val="14"/>
          <w:color w:val="auto"/>
        </w:rPr>
      </w:pPr>
      <w:r>
        <w:rPr>
          <w:rFonts w:ascii="Arial" w:cs="Arial" w:eastAsia="Arial" w:hAnsi="Arial"/>
          <w:sz w:val="14"/>
          <w:szCs w:val="14"/>
          <w:color w:val="auto"/>
        </w:rPr>
        <w:t>risks associated with entering into markets in which we have no, or limited, prior experience; and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-34925</wp:posOffset>
            </wp:positionV>
            <wp:extent cx="727075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220"/>
        <w:spacing w:after="0"/>
        <w:tabs>
          <w:tab w:leader="none" w:pos="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potential loss of key employees of acquired organizations.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may not be able to successfully integrate any businesses, products, technologies, or personnel that we might acquire in the future.</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products must comply with evolving industry standards and government regulations.</w:t>
      </w:r>
    </w:p>
    <w:p>
      <w:pPr>
        <w:spacing w:after="0" w:line="200" w:lineRule="exact"/>
        <w:rPr>
          <w:sz w:val="20"/>
          <w:szCs w:val="20"/>
          <w:color w:val="auto"/>
        </w:rPr>
      </w:pPr>
    </w:p>
    <w:p>
      <w:pPr>
        <w:ind w:right="60" w:firstLine="189"/>
        <w:spacing w:after="0" w:line="265" w:lineRule="auto"/>
        <w:rPr>
          <w:sz w:val="20"/>
          <w:szCs w:val="20"/>
          <w:color w:val="auto"/>
        </w:rPr>
      </w:pPr>
      <w:r>
        <w:rPr>
          <w:rFonts w:ascii="Arial" w:cs="Arial" w:eastAsia="Arial" w:hAnsi="Arial"/>
          <w:sz w:val="15"/>
          <w:szCs w:val="15"/>
          <w:color w:val="auto"/>
        </w:rPr>
        <w:t>Industry standards for SAN products are continuing to emerge, evolve, and achieve acceptance. To remain competitive, we must continue to introduce new products and product enhancements that meet these industry standards. All components of the SAN must interoperate together. Industry standards are in place to specify guidelines for interoperability and communication based on standard specifications. Our products comprise only a part of the entire SAN solution utilized by the end-user, and we depend on the companies that provide other components of the SAN solution, many of whom are significantly larger than us, to support the industry standards as they evolve. The failure of these providers to support these industry standards could adversely affect the market acceptance of our products.</w:t>
      </w:r>
    </w:p>
    <w:p>
      <w:pPr>
        <w:spacing w:after="0" w:line="166" w:lineRule="exact"/>
        <w:rPr>
          <w:sz w:val="20"/>
          <w:szCs w:val="20"/>
          <w:color w:val="auto"/>
        </w:rPr>
      </w:pPr>
    </w:p>
    <w:p>
      <w:pPr>
        <w:jc w:val="both"/>
        <w:ind w:right="340" w:firstLine="189"/>
        <w:spacing w:after="0" w:line="272" w:lineRule="auto"/>
        <w:rPr>
          <w:sz w:val="20"/>
          <w:szCs w:val="20"/>
          <w:color w:val="auto"/>
        </w:rPr>
      </w:pPr>
      <w:r>
        <w:rPr>
          <w:rFonts w:ascii="Arial" w:cs="Arial" w:eastAsia="Arial" w:hAnsi="Arial"/>
          <w:sz w:val="15"/>
          <w:szCs w:val="15"/>
          <w:color w:val="auto"/>
        </w:rPr>
        <w:t>In addition, in the United States, our products comply with various regulations and standards defined by the Federal Communications Commission and Underwriters Laboratories. Internationally, products that we develop will be required to comply with standards established by authorities in various countries. Failure to comply with existing or evolving industry standards or to obtain timely domestic or foreign regulatory approvals or certificates could materially harm our business.</w:t>
      </w:r>
    </w:p>
    <w:p>
      <w:pPr>
        <w:spacing w:after="0" w:line="159" w:lineRule="exact"/>
        <w:rPr>
          <w:sz w:val="20"/>
          <w:szCs w:val="20"/>
          <w:color w:val="auto"/>
        </w:rPr>
      </w:pPr>
    </w:p>
    <w:p>
      <w:pPr>
        <w:jc w:val="both"/>
        <w:ind w:right="340" w:firstLine="189"/>
        <w:spacing w:after="0" w:line="285" w:lineRule="auto"/>
        <w:rPr>
          <w:sz w:val="20"/>
          <w:szCs w:val="20"/>
          <w:color w:val="auto"/>
        </w:rPr>
      </w:pPr>
      <w:r>
        <w:rPr>
          <w:rFonts w:ascii="Arial" w:cs="Arial" w:eastAsia="Arial" w:hAnsi="Arial"/>
          <w:sz w:val="15"/>
          <w:szCs w:val="15"/>
          <w:b w:val="1"/>
          <w:bCs w:val="1"/>
          <w:i w:val="1"/>
          <w:iCs w:val="1"/>
          <w:color w:val="auto"/>
        </w:rPr>
        <w:t>Provisions in our charter documents, customer agreements, Delaware law, and our stockholder rights plan could prevent or delay a change in control of Brocade, which could hinder stockholders’ ability to receive a premium for our stock.</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Provisions of our certificate of incorporation and bylaws may discourage, delay or prevent a merger or acquisition that a stockholder may consider favorable. These provisions include:</w:t>
      </w:r>
    </w:p>
    <w:p>
      <w:pPr>
        <w:spacing w:after="0" w:line="223" w:lineRule="exact"/>
        <w:rPr>
          <w:sz w:val="20"/>
          <w:szCs w:val="20"/>
          <w:color w:val="auto"/>
        </w:rPr>
      </w:pPr>
    </w:p>
    <w:p>
      <w:pPr>
        <w:ind w:left="420" w:hanging="194"/>
        <w:spacing w:after="0"/>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authorizing the issuance of preferred stock without stockholder approval;</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providing for a classified board of directors with staggered, three-year terms;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prohibiting cumulative voting in the election of directors;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limiting the persons who may call special meetings of stockholders;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prohibiting stockholder actions by written consent; and</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requiring super-majority voting to effect amendments to the foregoing provisions of our certificate of incorporation and bylaws.</w:t>
      </w:r>
    </w:p>
    <w:p>
      <w:pPr>
        <w:spacing w:after="0" w:line="200" w:lineRule="exact"/>
        <w:rPr>
          <w:sz w:val="20"/>
          <w:szCs w:val="20"/>
          <w:color w:val="auto"/>
        </w:rPr>
      </w:pPr>
    </w:p>
    <w:p>
      <w:pPr>
        <w:ind w:firstLine="189"/>
        <w:spacing w:after="0" w:line="300" w:lineRule="auto"/>
        <w:rPr>
          <w:sz w:val="20"/>
          <w:szCs w:val="20"/>
          <w:color w:val="auto"/>
        </w:rPr>
      </w:pPr>
      <w:r>
        <w:rPr>
          <w:rFonts w:ascii="Arial" w:cs="Arial" w:eastAsia="Arial" w:hAnsi="Arial"/>
          <w:sz w:val="14"/>
          <w:szCs w:val="14"/>
          <w:color w:val="auto"/>
        </w:rPr>
        <w:t>Certain provisions of Delaware law also may discourage, delay, or prevent someone from acquiring or merging with us. Further, our agreements with certain of our customers require that we give prior notice of a change of control and grant certain manufacturing rights following the change of control. In addition, we currently have in place a stockholder rights plan. Any of these things could prevent or delay a change in control of Brocade, which could hinder stockholders’ ability to receive a premium for our stock.</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expect to experience volatility in our stock price, which could negatively affect stockholders’ investments.</w:t>
      </w:r>
    </w:p>
    <w:p>
      <w:pPr>
        <w:spacing w:after="0" w:line="200" w:lineRule="exact"/>
        <w:rPr>
          <w:sz w:val="20"/>
          <w:szCs w:val="20"/>
          <w:color w:val="auto"/>
        </w:rPr>
      </w:pPr>
    </w:p>
    <w:p>
      <w:pPr>
        <w:ind w:right="160" w:firstLine="187"/>
        <w:spacing w:after="0" w:line="285" w:lineRule="auto"/>
        <w:rPr>
          <w:sz w:val="20"/>
          <w:szCs w:val="20"/>
          <w:color w:val="auto"/>
        </w:rPr>
      </w:pPr>
      <w:r>
        <w:rPr>
          <w:rFonts w:ascii="Arial" w:cs="Arial" w:eastAsia="Arial" w:hAnsi="Arial"/>
          <w:sz w:val="15"/>
          <w:szCs w:val="15"/>
          <w:color w:val="auto"/>
        </w:rPr>
        <w:t>The market price of our common stock has experienced significant volatility in the past and may continue to fluctuate significantly in response to the following factors, some of which are beyond our control:</w:t>
      </w:r>
    </w:p>
    <w:p>
      <w:pPr>
        <w:spacing w:after="0" w:line="150" w:lineRule="exact"/>
        <w:rPr>
          <w:sz w:val="20"/>
          <w:szCs w:val="20"/>
          <w:color w:val="auto"/>
        </w:rPr>
      </w:pPr>
    </w:p>
    <w:p>
      <w:pPr>
        <w:ind w:left="420" w:hanging="194"/>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macroeconomic conditions;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actual or anticipated fluctuations in our operating results;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financial estimates by securities analysts;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market valuations of other technology companies;</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announcements of financial results by us or other technology companies;</w:t>
      </w:r>
    </w:p>
    <w:p>
      <w:pPr>
        <w:spacing w:after="0" w:line="200" w:lineRule="exact"/>
        <w:rPr>
          <w:rFonts w:ascii="Arial" w:cs="Arial" w:eastAsia="Arial" w:hAnsi="Arial"/>
          <w:sz w:val="15"/>
          <w:szCs w:val="15"/>
          <w:color w:val="auto"/>
        </w:rPr>
      </w:pPr>
    </w:p>
    <w:p>
      <w:pPr>
        <w:ind w:left="420" w:right="160" w:hanging="194"/>
        <w:spacing w:after="0" w:line="285" w:lineRule="auto"/>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announcements by us, our competitors, customers, or similar businesses of significant technical innovations, contracts, acquisitions, strategic partnerships, joint ventures or capital commitments;</w:t>
      </w:r>
    </w:p>
    <w:p>
      <w:pPr>
        <w:spacing w:after="0" w:line="149" w:lineRule="exact"/>
        <w:rPr>
          <w:rFonts w:ascii="Arial" w:cs="Arial" w:eastAsia="Arial" w:hAnsi="Arial"/>
          <w:sz w:val="15"/>
          <w:szCs w:val="15"/>
          <w:color w:val="auto"/>
        </w:rPr>
      </w:pPr>
    </w:p>
    <w:p>
      <w:pPr>
        <w:ind w:left="420" w:hanging="194"/>
        <w:spacing w:after="0"/>
        <w:tabs>
          <w:tab w:leader="none" w:pos="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losses of major OEM customers;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20" w:hanging="194"/>
        <w:spacing w:after="0"/>
        <w:tabs>
          <w:tab w:leader="none" w:pos="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sales by us of common stock or convertible securities; and</w:t>
      </w:r>
    </w:p>
    <w:p>
      <w:pPr>
        <w:spacing w:after="0" w:line="200" w:lineRule="exact"/>
        <w:rPr>
          <w:rFonts w:ascii="Arial" w:cs="Arial" w:eastAsia="Arial" w:hAnsi="Arial"/>
          <w:sz w:val="15"/>
          <w:szCs w:val="15"/>
          <w:color w:val="auto"/>
        </w:rPr>
      </w:pPr>
    </w:p>
    <w:p>
      <w:pPr>
        <w:ind w:left="420" w:hanging="194"/>
        <w:spacing w:after="0"/>
        <w:tabs>
          <w:tab w:leader="none" w:pos="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incurring additional debt.</w:t>
      </w:r>
    </w:p>
    <w:p>
      <w:pPr>
        <w:spacing w:after="0" w:line="200" w:lineRule="exact"/>
        <w:rPr>
          <w:sz w:val="20"/>
          <w:szCs w:val="20"/>
          <w:color w:val="auto"/>
        </w:rPr>
      </w:pPr>
    </w:p>
    <w:p>
      <w:pPr>
        <w:ind w:right="60" w:firstLine="189"/>
        <w:spacing w:after="0" w:line="285" w:lineRule="auto"/>
        <w:rPr>
          <w:sz w:val="20"/>
          <w:szCs w:val="20"/>
          <w:color w:val="auto"/>
        </w:rPr>
      </w:pPr>
      <w:r>
        <w:rPr>
          <w:rFonts w:ascii="Arial" w:cs="Arial" w:eastAsia="Arial" w:hAnsi="Arial"/>
          <w:sz w:val="15"/>
          <w:szCs w:val="15"/>
          <w:color w:val="auto"/>
        </w:rPr>
        <w:t>In addition, the stock market has experienced extreme volatility that often has been unrelated to the performance of particular companies. These market fluctuations may cause our stock price to fall regardless of how the business performs.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business may be harmed by class action litigation due to stock price volatility.</w:t>
      </w:r>
    </w:p>
    <w:p>
      <w:pPr>
        <w:spacing w:after="0" w:line="200" w:lineRule="exact"/>
        <w:rPr>
          <w:sz w:val="20"/>
          <w:szCs w:val="20"/>
          <w:color w:val="auto"/>
        </w:rPr>
      </w:pPr>
    </w:p>
    <w:p>
      <w:pPr>
        <w:ind w:right="120" w:firstLine="189"/>
        <w:spacing w:after="0" w:line="292" w:lineRule="auto"/>
        <w:rPr>
          <w:sz w:val="20"/>
          <w:szCs w:val="20"/>
          <w:color w:val="auto"/>
        </w:rPr>
      </w:pPr>
      <w:r>
        <w:rPr>
          <w:rFonts w:ascii="Arial" w:cs="Arial" w:eastAsia="Arial" w:hAnsi="Arial"/>
          <w:sz w:val="14"/>
          <w:szCs w:val="14"/>
          <w:color w:val="auto"/>
        </w:rPr>
        <w:t>In the past, securities class action litigation often has been brought against a company following periods of volatility in the market price of its securities. We are currently in litigation regarding alleged nondisclosure of improprieties in the distribution of shares in our initial public offering by our underwriters, including undisclosed fees and commissions received by the underwriters and alleged laddering arrangements. We believe that the claims are without merit and intend to defend ourselves vigorously. In addition, in the future we may be the target of other securities litigation. Securities litigation could result in substantial costs and divert management’s attention and resources.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Business interruptions could adversely affect our business.</w:t>
      </w:r>
    </w:p>
    <w:p>
      <w:pPr>
        <w:spacing w:after="0" w:line="200" w:lineRule="exact"/>
        <w:rPr>
          <w:sz w:val="20"/>
          <w:szCs w:val="20"/>
          <w:color w:val="auto"/>
        </w:rPr>
      </w:pPr>
    </w:p>
    <w:p>
      <w:pPr>
        <w:ind w:right="20" w:firstLine="189"/>
        <w:spacing w:after="0" w:line="264" w:lineRule="auto"/>
        <w:rPr>
          <w:sz w:val="20"/>
          <w:szCs w:val="20"/>
          <w:color w:val="auto"/>
        </w:rPr>
      </w:pPr>
      <w:r>
        <w:rPr>
          <w:rFonts w:ascii="Arial" w:cs="Arial" w:eastAsia="Arial" w:hAnsi="Arial"/>
          <w:sz w:val="15"/>
          <w:szCs w:val="15"/>
          <w:color w:val="auto"/>
        </w:rPr>
        <w:t>Our operations are vulnerable to interruption by fire, earthquake, power loss, telecommunications failure, and other events beyond our control. A substantial portion of our facilities, including our corporate headquarters, is located near major earthquake faults. In the event of a major earthquake, we could experience business interruptions, destruction of facilities and loss of life. We neither carry earthquake insurance nor have we set aside funds or reserves to cover such earthquake-related losses. Our facilities located in the State of California have, from time to time, been subject to rolling electrical blackouts resulting from shortages of available electrical power. Should these blackouts continue to occur or increase in severity in the future, they could disrupt the operations of our affected facilities. Although we carry business interruption insurance to mitigate the impact of potential business interruptions, should a business interruption occur, our business could be seriously harmed.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private minority equity investments are subject to equity price risk and their value may fluctuate.</w:t>
      </w:r>
    </w:p>
    <w:p>
      <w:pPr>
        <w:spacing w:after="0" w:line="200" w:lineRule="exact"/>
        <w:rPr>
          <w:sz w:val="20"/>
          <w:szCs w:val="20"/>
          <w:color w:val="auto"/>
        </w:rPr>
      </w:pPr>
    </w:p>
    <w:p>
      <w:pPr>
        <w:ind w:right="140" w:firstLine="189"/>
        <w:spacing w:after="0" w:line="272" w:lineRule="auto"/>
        <w:rPr>
          <w:sz w:val="20"/>
          <w:szCs w:val="20"/>
          <w:color w:val="auto"/>
        </w:rPr>
      </w:pPr>
      <w:r>
        <w:rPr>
          <w:rFonts w:ascii="Arial" w:cs="Arial" w:eastAsia="Arial" w:hAnsi="Arial"/>
          <w:sz w:val="15"/>
          <w:szCs w:val="15"/>
          <w:color w:val="auto"/>
        </w:rPr>
        <w:t>From time to time, we make equity investments for the promotion of business and strategic objectives. The market price and valuation of the securities that we hold in these companies may fluctuate due to market conditions and other circumstances over which we have little or no control. To the extent that the fair value of these securities is less than our cost over an extended period of time, our operating results and financial condition could be harmed.</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are exposed to market risk related to changes in interest rates.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200" w:lineRule="exact"/>
        <w:rPr>
          <w:sz w:val="20"/>
          <w:szCs w:val="20"/>
          <w:color w:val="auto"/>
        </w:rPr>
      </w:pPr>
    </w:p>
    <w:p>
      <w:pPr>
        <w:ind w:right="80" w:firstLine="189"/>
        <w:spacing w:after="0" w:line="265" w:lineRule="auto"/>
        <w:rPr>
          <w:sz w:val="20"/>
          <w:szCs w:val="20"/>
          <w:color w:val="auto"/>
        </w:rPr>
      </w:pPr>
      <w:r>
        <w:rPr>
          <w:rFonts w:ascii="Arial" w:cs="Arial" w:eastAsia="Arial" w:hAnsi="Arial"/>
          <w:sz w:val="15"/>
          <w:szCs w:val="15"/>
          <w:color w:val="auto"/>
        </w:rPr>
        <w:t>Our exposure to market risk due to changes in the general level of United States interest rates relates primarily to our cash equivalents, and short-term and long-term investment portfolios. Our cash, cash equivalents, and short-term and long-term investments are primarily maintained at four major financial institutions in the United States. As of July 27, 2002, we did not hold any derivative instruments. The primary objective of our investment activities is the preservation of principal while maximizing investment income and minimizing risk. Our short-term investments consist of United States Treasury and Federal agency debt securities with original maturity dates between three months and one year. Due to the nature of our short-term investments, we believe that market risk due to changes in interest rates is not material.</w:t>
      </w:r>
    </w:p>
    <w:p>
      <w:pPr>
        <w:spacing w:after="0" w:line="166" w:lineRule="exact"/>
        <w:rPr>
          <w:sz w:val="20"/>
          <w:szCs w:val="20"/>
          <w:color w:val="auto"/>
        </w:rPr>
      </w:pPr>
    </w:p>
    <w:p>
      <w:pPr>
        <w:ind w:right="480" w:firstLine="187"/>
        <w:spacing w:after="0" w:line="285" w:lineRule="auto"/>
        <w:rPr>
          <w:sz w:val="20"/>
          <w:szCs w:val="20"/>
          <w:color w:val="auto"/>
        </w:rPr>
      </w:pPr>
      <w:r>
        <w:rPr>
          <w:rFonts w:ascii="Arial" w:cs="Arial" w:eastAsia="Arial" w:hAnsi="Arial"/>
          <w:sz w:val="15"/>
          <w:szCs w:val="15"/>
          <w:color w:val="auto"/>
        </w:rPr>
        <w:t>The following table presents the hypothetical changes in fair values of our investments in debt securities issued by United States government agencies as of July 27, 2002 that are sensitive to changes in interest rates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6"/>
              </w:rPr>
              <w:t>Valuation of Securities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86"/>
              </w:rPr>
              <w:t>Valuation of Securities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5"/>
          </w:tcPr>
          <w:p>
            <w:pPr>
              <w:jc w:val="center"/>
              <w:ind w:right="20"/>
              <w:spacing w:after="0" w:line="128" w:lineRule="exact"/>
              <w:rPr>
                <w:sz w:val="20"/>
                <w:szCs w:val="20"/>
                <w:color w:val="auto"/>
              </w:rPr>
            </w:pPr>
            <w:r>
              <w:rPr>
                <w:rFonts w:ascii="Arial" w:cs="Arial" w:eastAsia="Arial" w:hAnsi="Arial"/>
                <w:sz w:val="12"/>
                <w:szCs w:val="12"/>
                <w:b w:val="1"/>
                <w:bCs w:val="1"/>
                <w:color w:val="auto"/>
                <w:w w:val="88"/>
              </w:rPr>
              <w:t>Given an Interest Rate</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440"/>
              <w:spacing w:after="0" w:line="128" w:lineRule="exact"/>
              <w:rPr>
                <w:sz w:val="20"/>
                <w:szCs w:val="20"/>
                <w:color w:val="auto"/>
              </w:rPr>
            </w:pPr>
            <w:r>
              <w:rPr>
                <w:rFonts w:ascii="Arial" w:cs="Arial" w:eastAsia="Arial" w:hAnsi="Arial"/>
                <w:sz w:val="12"/>
                <w:szCs w:val="12"/>
                <w:b w:val="1"/>
                <w:bCs w:val="1"/>
                <w:color w:val="auto"/>
                <w:w w:val="90"/>
              </w:rPr>
              <w:t>Fair Value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5"/>
          </w:tcPr>
          <w:p>
            <w:pPr>
              <w:jc w:val="center"/>
              <w:ind w:right="20"/>
              <w:spacing w:after="0" w:line="128" w:lineRule="exact"/>
              <w:rPr>
                <w:sz w:val="20"/>
                <w:szCs w:val="20"/>
                <w:color w:val="auto"/>
              </w:rPr>
            </w:pPr>
            <w:r>
              <w:rPr>
                <w:rFonts w:ascii="Arial" w:cs="Arial" w:eastAsia="Arial" w:hAnsi="Arial"/>
                <w:sz w:val="12"/>
                <w:szCs w:val="12"/>
                <w:b w:val="1"/>
                <w:bCs w:val="1"/>
                <w:color w:val="auto"/>
                <w:w w:val="89"/>
              </w:rPr>
              <w:t>Given an Interest Rate</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5"/>
              </w:rPr>
              <w:t>Decrease of X Basis Points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420"/>
              <w:spacing w:after="0"/>
              <w:rPr>
                <w:sz w:val="20"/>
                <w:szCs w:val="20"/>
                <w:color w:val="auto"/>
              </w:rPr>
            </w:pPr>
            <w:r>
              <w:rPr>
                <w:rFonts w:ascii="Arial" w:cs="Arial" w:eastAsia="Arial" w:hAnsi="Arial"/>
                <w:sz w:val="12"/>
                <w:szCs w:val="12"/>
                <w:b w:val="1"/>
                <w:bCs w:val="1"/>
                <w:color w:val="auto"/>
                <w:w w:val="86"/>
              </w:rPr>
              <w:t>As of</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6"/>
              </w:rPr>
              <w:t>Increase of X Basis Points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1000" w:type="dxa"/>
            <w:vAlign w:val="bottom"/>
            <w:gridSpan w:val="3"/>
            <w:vMerge w:val="restart"/>
          </w:tcPr>
          <w:p>
            <w:pPr>
              <w:jc w:val="center"/>
              <w:ind w:right="420"/>
              <w:spacing w:after="0"/>
              <w:rPr>
                <w:sz w:val="20"/>
                <w:szCs w:val="20"/>
                <w:color w:val="auto"/>
              </w:rPr>
            </w:pPr>
            <w:r>
              <w:rPr>
                <w:rFonts w:ascii="Arial" w:cs="Arial" w:eastAsia="Arial" w:hAnsi="Arial"/>
                <w:sz w:val="12"/>
                <w:szCs w:val="12"/>
                <w:b w:val="1"/>
                <w:bCs w:val="1"/>
                <w:color w:val="auto"/>
                <w:w w:val="86"/>
              </w:rPr>
              <w:t>July 27,</w:t>
            </w:r>
          </w:p>
        </w:tc>
        <w:tc>
          <w:tcPr>
            <w:tcW w:w="2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1980" w:type="dxa"/>
            <w:vAlign w:val="bottom"/>
            <w:gridSpan w:val="2"/>
          </w:tcPr>
          <w:p>
            <w:pPr>
              <w:ind w:left="720"/>
              <w:spacing w:after="0"/>
              <w:rPr>
                <w:sz w:val="20"/>
                <w:szCs w:val="20"/>
                <w:color w:val="auto"/>
              </w:rPr>
            </w:pPr>
            <w:r>
              <w:rPr>
                <w:rFonts w:ascii="Arial" w:cs="Arial" w:eastAsia="Arial" w:hAnsi="Arial"/>
                <w:sz w:val="12"/>
                <w:szCs w:val="12"/>
                <w:b w:val="1"/>
                <w:bCs w:val="1"/>
                <w:color w:val="auto"/>
              </w:rPr>
              <w:t>Issuer</w:t>
            </w:r>
          </w:p>
        </w:tc>
        <w:tc>
          <w:tcPr>
            <w:tcW w:w="2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(150BP)</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2"/>
                <w:szCs w:val="12"/>
                <w:b w:val="1"/>
                <w:bCs w:val="1"/>
                <w:color w:val="auto"/>
                <w:w w:val="89"/>
              </w:rPr>
              <w:t>(100BP)</w:t>
            </w:r>
          </w:p>
        </w:tc>
        <w:tc>
          <w:tcPr>
            <w:tcW w:w="2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(50BP)</w:t>
            </w:r>
          </w:p>
        </w:tc>
        <w:tc>
          <w:tcPr>
            <w:tcW w:w="940" w:type="dxa"/>
            <w:vAlign w:val="bottom"/>
            <w:gridSpan w:val="3"/>
          </w:tcPr>
          <w:p>
            <w:pPr>
              <w:jc w:val="center"/>
              <w:ind w:left="413"/>
              <w:spacing w:after="0"/>
              <w:rPr>
                <w:sz w:val="20"/>
                <w:szCs w:val="20"/>
                <w:color w:val="auto"/>
              </w:rPr>
            </w:pPr>
            <w:r>
              <w:rPr>
                <w:rFonts w:ascii="Arial" w:cs="Arial" w:eastAsia="Arial" w:hAnsi="Arial"/>
                <w:sz w:val="12"/>
                <w:szCs w:val="12"/>
                <w:b w:val="1"/>
                <w:bCs w:val="1"/>
                <w:color w:val="auto"/>
                <w:w w:val="82"/>
              </w:rPr>
              <w:t>2002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50BP</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tcPr>
          <w:p>
            <w:pPr>
              <w:jc w:val="center"/>
              <w:ind w:right="480"/>
              <w:spacing w:after="0"/>
              <w:rPr>
                <w:sz w:val="20"/>
                <w:szCs w:val="20"/>
                <w:color w:val="auto"/>
              </w:rPr>
            </w:pPr>
            <w:r>
              <w:rPr>
                <w:rFonts w:ascii="Arial" w:cs="Arial" w:eastAsia="Arial" w:hAnsi="Arial"/>
                <w:sz w:val="12"/>
                <w:szCs w:val="12"/>
                <w:b w:val="1"/>
                <w:bCs w:val="1"/>
                <w:color w:val="auto"/>
                <w:w w:val="87"/>
              </w:rPr>
              <w:t>100BP</w:t>
            </w:r>
          </w:p>
        </w:tc>
        <w:tc>
          <w:tcPr>
            <w:tcW w:w="22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150BP</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560" w:type="dxa"/>
            <w:vAlign w:val="bottom"/>
            <w:gridSpan w:val="3"/>
          </w:tcPr>
          <w:p>
            <w:pPr>
              <w:ind w:left="580"/>
              <w:spacing w:after="0"/>
              <w:rPr>
                <w:sz w:val="20"/>
                <w:szCs w:val="20"/>
                <w:color w:val="auto"/>
              </w:rPr>
            </w:pPr>
            <w:r>
              <w:rPr>
                <w:rFonts w:ascii="Arial" w:cs="Arial" w:eastAsia="Arial" w:hAnsi="Arial"/>
                <w:sz w:val="15"/>
                <w:szCs w:val="15"/>
                <w:color w:val="auto"/>
              </w:rPr>
              <w:t>U.S. government agency</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1980" w:type="dxa"/>
            <w:vAlign w:val="bottom"/>
            <w:gridSpan w:val="2"/>
          </w:tcPr>
          <w:p>
            <w:pPr>
              <w:ind w:left="100"/>
              <w:spacing w:after="0"/>
              <w:rPr>
                <w:sz w:val="20"/>
                <w:szCs w:val="20"/>
                <w:color w:val="auto"/>
              </w:rPr>
            </w:pPr>
            <w:r>
              <w:rPr>
                <w:rFonts w:ascii="Arial" w:cs="Arial" w:eastAsia="Arial" w:hAnsi="Arial"/>
                <w:sz w:val="15"/>
                <w:szCs w:val="15"/>
                <w:color w:val="auto"/>
              </w:rPr>
              <w:t>debt securities</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$708,665</w:t>
            </w:r>
          </w:p>
        </w:tc>
        <w:tc>
          <w:tcPr>
            <w:tcW w:w="2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$701,222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$693,833</w:t>
            </w:r>
          </w:p>
        </w:tc>
        <w:tc>
          <w:tcPr>
            <w:tcW w:w="2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$686,525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$679,215</w:t>
            </w:r>
          </w:p>
        </w:tc>
        <w:tc>
          <w:tcPr>
            <w:tcW w:w="2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$671,984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$664,804</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-26-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8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-463550</wp:posOffset>
            </wp:positionV>
            <wp:extent cx="12700"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-463550</wp:posOffset>
            </wp:positionV>
            <wp:extent cx="12700"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-463550</wp:posOffset>
            </wp:positionV>
            <wp:extent cx="12700"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-463550</wp:posOffset>
            </wp:positionV>
            <wp:extent cx="12700"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-463550</wp:posOffset>
            </wp:positionV>
            <wp:extent cx="12700"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-463550</wp:posOffset>
            </wp:positionV>
            <wp:extent cx="12700"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-463550</wp:posOffset>
            </wp:positionV>
            <wp:extent cx="12700"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-463550</wp:posOffset>
            </wp:positionV>
            <wp:extent cx="12700"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-463550</wp:posOffset>
            </wp:positionV>
            <wp:extent cx="12700"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-463550</wp:posOffset>
            </wp:positionV>
            <wp:extent cx="12700"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-463550</wp:posOffset>
            </wp:positionV>
            <wp:extent cx="12700"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-463550</wp:posOffset>
            </wp:positionV>
            <wp:extent cx="12700"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-463550</wp:posOffset>
            </wp:positionV>
            <wp:extent cx="12700"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-463550</wp:posOffset>
            </wp:positionV>
            <wp:extent cx="12700"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80" w:firstLine="187"/>
        <w:spacing w:after="0" w:line="267" w:lineRule="auto"/>
        <w:rPr>
          <w:sz w:val="20"/>
          <w:szCs w:val="20"/>
          <w:color w:val="auto"/>
        </w:rPr>
      </w:pPr>
      <w:r>
        <w:rPr>
          <w:rFonts w:ascii="Arial" w:cs="Arial" w:eastAsia="Arial" w:hAnsi="Arial"/>
          <w:sz w:val="15"/>
          <w:szCs w:val="15"/>
          <w:color w:val="auto"/>
        </w:rPr>
        <w:t>These instruments are not leveraged and are classified as available-for-sale. The modeling technique used above measures the change in fair values arising from selected potential changes in interest rates. Market changes reflect immediate hypothetical parallel shifts in the yield curve of plus or minus 50 basis points (BP), 100 BP, and 150 BP. A 50 BP move in the Federal Funds Rate has occurred in nine of the last 10 years; a 100 BP move in the Federal Funds Rate has occurred in six of the last 10 years; and a 150 BP move in the Federal Funds Rate has occurred in four of the last 10 years.</w:t>
      </w:r>
    </w:p>
    <w:p>
      <w:pPr>
        <w:spacing w:after="0" w:line="165" w:lineRule="exact"/>
        <w:rPr>
          <w:sz w:val="20"/>
          <w:szCs w:val="20"/>
          <w:color w:val="auto"/>
        </w:rPr>
      </w:pPr>
    </w:p>
    <w:p>
      <w:pPr>
        <w:ind w:right="20" w:firstLine="187"/>
        <w:spacing w:after="0" w:line="285" w:lineRule="auto"/>
        <w:rPr>
          <w:sz w:val="20"/>
          <w:szCs w:val="20"/>
          <w:color w:val="auto"/>
        </w:rPr>
      </w:pPr>
      <w:r>
        <w:rPr>
          <w:rFonts w:ascii="Arial" w:cs="Arial" w:eastAsia="Arial" w:hAnsi="Arial"/>
          <w:sz w:val="15"/>
          <w:szCs w:val="15"/>
          <w:color w:val="auto"/>
        </w:rPr>
        <w:t>The following table (in thousands) presents our cash equivalents and short-term and long-term investments subject to interest rate risk and their related weighted-average interest rates as of July 27, 2002. Carrying value approximates fair value.</w:t>
      </w:r>
    </w:p>
    <w:p>
      <w:pPr>
        <w:spacing w:after="0" w:line="346" w:lineRule="exact"/>
        <w:rPr>
          <w:sz w:val="20"/>
          <w:szCs w:val="20"/>
          <w:color w:val="auto"/>
        </w:rPr>
      </w:pPr>
    </w:p>
    <w:tbl>
      <w:tblPr>
        <w:tblLayout w:type="fixed"/>
        <w:tblInd w:w="256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162"/>
              <w:spacing w:after="0"/>
              <w:rPr>
                <w:sz w:val="20"/>
                <w:szCs w:val="20"/>
                <w:color w:val="auto"/>
              </w:rPr>
            </w:pPr>
            <w:r>
              <w:rPr>
                <w:rFonts w:ascii="Arial" w:cs="Arial" w:eastAsia="Arial" w:hAnsi="Arial"/>
                <w:sz w:val="12"/>
                <w:szCs w:val="12"/>
                <w:b w:val="1"/>
                <w:bCs w:val="1"/>
                <w:color w:val="auto"/>
              </w:rPr>
              <w:t>Average</w:t>
            </w:r>
          </w:p>
        </w:tc>
      </w:tr>
      <w:tr>
        <w:trPr>
          <w:trHeight w:val="150"/>
        </w:trPr>
        <w:tc>
          <w:tcPr>
            <w:tcW w:w="3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3"/>
                <w:szCs w:val="13"/>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b w:val="1"/>
                <w:bCs w:val="1"/>
                <w:color w:val="auto"/>
                <w:w w:val="98"/>
              </w:rPr>
              <w:t>Interest Rate</w:t>
            </w:r>
          </w:p>
        </w:tc>
      </w:tr>
      <w:tr>
        <w:trPr>
          <w:trHeight w:val="83"/>
        </w:trPr>
        <w:tc>
          <w:tcPr>
            <w:tcW w:w="376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r>
      <w:tr>
        <w:trPr>
          <w:trHeight w:val="85"/>
        </w:trPr>
        <w:tc>
          <w:tcPr>
            <w:tcW w:w="3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86"/>
        </w:trPr>
        <w:tc>
          <w:tcPr>
            <w:tcW w:w="3760" w:type="dxa"/>
            <w:vAlign w:val="bottom"/>
            <w:shd w:val="clear" w:color="auto" w:fill="EEEEEE"/>
          </w:tcPr>
          <w:p>
            <w:pPr>
              <w:spacing w:after="0"/>
              <w:rPr>
                <w:sz w:val="20"/>
                <w:szCs w:val="20"/>
                <w:color w:val="auto"/>
              </w:rPr>
            </w:pPr>
            <w:r>
              <w:rPr>
                <w:rFonts w:ascii="Arial" w:cs="Arial" w:eastAsia="Arial" w:hAnsi="Arial"/>
                <w:sz w:val="15"/>
                <w:szCs w:val="15"/>
                <w:color w:val="auto"/>
              </w:rPr>
              <w:t>Cash and cash equivalents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$195,784</w:t>
            </w:r>
          </w:p>
        </w:tc>
        <w:tc>
          <w:tcPr>
            <w:tcW w:w="500" w:type="dxa"/>
            <w:vAlign w:val="bottom"/>
            <w:shd w:val="clear" w:color="auto" w:fill="EEEEEE"/>
          </w:tcPr>
          <w:p>
            <w:pPr>
              <w:spacing w:after="0"/>
              <w:rPr>
                <w:sz w:val="16"/>
                <w:szCs w:val="16"/>
                <w:color w:val="auto"/>
              </w:rPr>
            </w:pP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5"/>
                <w:szCs w:val="15"/>
                <w:color w:val="auto"/>
              </w:rPr>
              <w:t>1.55%</w:t>
            </w:r>
          </w:p>
        </w:tc>
      </w:tr>
      <w:tr>
        <w:trPr>
          <w:trHeight w:val="186"/>
        </w:trPr>
        <w:tc>
          <w:tcPr>
            <w:tcW w:w="3760" w:type="dxa"/>
            <w:vAlign w:val="bottom"/>
          </w:tcPr>
          <w:p>
            <w:pPr>
              <w:spacing w:after="0"/>
              <w:rPr>
                <w:sz w:val="20"/>
                <w:szCs w:val="20"/>
                <w:color w:val="auto"/>
              </w:rPr>
            </w:pPr>
            <w:r>
              <w:rPr>
                <w:rFonts w:ascii="Arial" w:cs="Arial" w:eastAsia="Arial" w:hAnsi="Arial"/>
                <w:sz w:val="15"/>
                <w:szCs w:val="15"/>
                <w:color w:val="auto"/>
              </w:rPr>
              <w:t>Short-term investments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76,723</w:t>
            </w:r>
          </w:p>
        </w:tc>
        <w:tc>
          <w:tcPr>
            <w:tcW w:w="500" w:type="dxa"/>
            <w:vAlign w:val="bottom"/>
          </w:tcPr>
          <w:p>
            <w:pPr>
              <w:spacing w:after="0"/>
              <w:rPr>
                <w:sz w:val="16"/>
                <w:szCs w:val="16"/>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5"/>
                <w:szCs w:val="15"/>
                <w:color w:val="auto"/>
              </w:rPr>
              <w:t>2.42%</w:t>
            </w:r>
          </w:p>
        </w:tc>
      </w:tr>
      <w:tr>
        <w:trPr>
          <w:trHeight w:val="186"/>
        </w:trPr>
        <w:tc>
          <w:tcPr>
            <w:tcW w:w="3760" w:type="dxa"/>
            <w:vAlign w:val="bottom"/>
            <w:shd w:val="clear" w:color="auto" w:fill="EEEEEE"/>
          </w:tcPr>
          <w:p>
            <w:pPr>
              <w:spacing w:after="0"/>
              <w:rPr>
                <w:sz w:val="20"/>
                <w:szCs w:val="20"/>
                <w:color w:val="auto"/>
              </w:rPr>
            </w:pPr>
            <w:r>
              <w:rPr>
                <w:rFonts w:ascii="Arial" w:cs="Arial" w:eastAsia="Arial" w:hAnsi="Arial"/>
                <w:sz w:val="15"/>
                <w:szCs w:val="15"/>
                <w:color w:val="auto"/>
              </w:rPr>
              <w:t>Long-term investments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609,802</w:t>
            </w:r>
          </w:p>
        </w:tc>
        <w:tc>
          <w:tcPr>
            <w:tcW w:w="500" w:type="dxa"/>
            <w:vAlign w:val="bottom"/>
            <w:shd w:val="clear" w:color="auto" w:fill="EEEEEE"/>
          </w:tcPr>
          <w:p>
            <w:pPr>
              <w:spacing w:after="0"/>
              <w:rPr>
                <w:sz w:val="16"/>
                <w:szCs w:val="16"/>
                <w:color w:val="auto"/>
              </w:rPr>
            </w:pP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5"/>
                <w:szCs w:val="15"/>
                <w:color w:val="auto"/>
              </w:rPr>
              <w:t>3.91%</w:t>
            </w:r>
          </w:p>
        </w:tc>
      </w:tr>
      <w:tr>
        <w:trPr>
          <w:trHeight w:val="93"/>
        </w:trPr>
        <w:tc>
          <w:tcPr>
            <w:tcW w:w="3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r>
      <w:tr>
        <w:trPr>
          <w:trHeight w:val="269"/>
        </w:trPr>
        <w:tc>
          <w:tcPr>
            <w:tcW w:w="3760" w:type="dxa"/>
            <w:vAlign w:val="bottom"/>
          </w:tcPr>
          <w:p>
            <w:pPr>
              <w:ind w:left="280"/>
              <w:spacing w:after="0"/>
              <w:rPr>
                <w:sz w:val="20"/>
                <w:szCs w:val="20"/>
                <w:color w:val="auto"/>
              </w:rPr>
            </w:pPr>
            <w:r>
              <w:rPr>
                <w:rFonts w:ascii="Arial" w:cs="Arial" w:eastAsia="Arial" w:hAnsi="Arial"/>
                <w:sz w:val="15"/>
                <w:szCs w:val="15"/>
                <w:color w:val="auto"/>
              </w:rPr>
              <w:t>Total</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$882,309</w:t>
            </w:r>
          </w:p>
        </w:tc>
        <w:tc>
          <w:tcPr>
            <w:tcW w:w="500" w:type="dxa"/>
            <w:vAlign w:val="bottom"/>
          </w:tcPr>
          <w:p>
            <w:pPr>
              <w:spacing w:after="0"/>
              <w:rPr>
                <w:sz w:val="23"/>
                <w:szCs w:val="23"/>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5"/>
                <w:szCs w:val="15"/>
                <w:color w:val="auto"/>
              </w:rPr>
              <w:t>3.26%</w:t>
            </w:r>
          </w:p>
        </w:tc>
      </w:tr>
      <w:tr>
        <w:trPr>
          <w:trHeight w:val="127"/>
        </w:trPr>
        <w:tc>
          <w:tcPr>
            <w:tcW w:w="3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4602480</wp:posOffset>
            </wp:positionH>
            <wp:positionV relativeFrom="paragraph">
              <wp:posOffset>-34290</wp:posOffset>
            </wp:positionV>
            <wp:extent cx="12700"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3492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-34290</wp:posOffset>
            </wp:positionV>
            <wp:extent cx="12700"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34925"/>
                    </a:xfrm>
                    <a:prstGeom prst="rect">
                      <a:avLst/>
                    </a:prstGeom>
                    <a:noFill/>
                  </pic:spPr>
                </pic:pic>
              </a:graphicData>
            </a:graphic>
          </wp:anchor>
        </w:drawing>
      </w:r>
    </w:p>
    <w:p>
      <w:pPr>
        <w:spacing w:after="0" w:line="248" w:lineRule="exact"/>
        <w:rPr>
          <w:sz w:val="20"/>
          <w:szCs w:val="20"/>
          <w:color w:val="auto"/>
        </w:rPr>
      </w:pPr>
    </w:p>
    <w:p>
      <w:pPr>
        <w:ind w:firstLine="189"/>
        <w:spacing w:after="0" w:line="265" w:lineRule="auto"/>
        <w:rPr>
          <w:sz w:val="20"/>
          <w:szCs w:val="20"/>
          <w:color w:val="auto"/>
        </w:rPr>
      </w:pPr>
      <w:r>
        <w:rPr>
          <w:rFonts w:ascii="Arial" w:cs="Arial" w:eastAsia="Arial" w:hAnsi="Arial"/>
          <w:sz w:val="15"/>
          <w:szCs w:val="15"/>
          <w:color w:val="auto"/>
        </w:rPr>
        <w:t>Our convertible subordinated debt is subject to a fixed interest rate and the notes are based on a fixed conversion ratio into common stock. Therefore, we are not exposed to changes in interest rates related to our long-term debt instruments. The notes are not listed on any securities exchange or included in any automated quotation system; however, the notes are eligible for trading on the PortalSM Market. On July 26, 2002, the average bid and ask price on the Portal Market of our convertible subordinated notes due 2007 was 75.25, resulting in an aggregate fair value of approximately $413.9 million. Our common stock is quoted on the Nasdaq National Market under the symbol “BRCD.” On July 26, 2002, the last reported sale price of our common stock on the Nasdaq National Market was $16.54 per share.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 —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204" w:lineRule="exact"/>
        <w:rPr>
          <w:sz w:val="20"/>
          <w:szCs w:val="20"/>
          <w:color w:val="auto"/>
        </w:rPr>
      </w:pPr>
    </w:p>
    <w:p>
      <w:pPr>
        <w:ind w:right="540" w:firstLine="189"/>
        <w:spacing w:after="0" w:line="302" w:lineRule="auto"/>
        <w:rPr>
          <w:sz w:val="20"/>
          <w:szCs w:val="20"/>
          <w:color w:val="auto"/>
        </w:rPr>
      </w:pPr>
      <w:r>
        <w:rPr>
          <w:rFonts w:ascii="Arial" w:cs="Arial" w:eastAsia="Arial" w:hAnsi="Arial"/>
          <w:sz w:val="13"/>
          <w:szCs w:val="13"/>
          <w:color w:val="auto"/>
        </w:rPr>
        <w:t xml:space="preserve">On February 14, 2002, a suit captioned </w:t>
      </w:r>
      <w:r>
        <w:rPr>
          <w:rFonts w:ascii="Arial" w:cs="Arial" w:eastAsia="Arial" w:hAnsi="Arial"/>
          <w:sz w:val="13"/>
          <w:szCs w:val="13"/>
          <w:i w:val="1"/>
          <w:iCs w:val="1"/>
          <w:color w:val="auto"/>
        </w:rPr>
        <w:t>McDATA Corp. v. Brocade Communications Systems, Inc.</w:t>
      </w:r>
      <w:r>
        <w:rPr>
          <w:rFonts w:ascii="Arial" w:cs="Arial" w:eastAsia="Arial" w:hAnsi="Arial"/>
          <w:sz w:val="13"/>
          <w:szCs w:val="13"/>
          <w:color w:val="auto"/>
        </w:rPr>
        <w:t xml:space="preserve"> was filed against Brocade in the United States District Court for the District of Colorado. The complaint alleged that the Brocade SilkWorm 3800 Enterprise Fibre Channel Fabric Switch and Brocade SilkWorm 12000 Core Fabric Switch infringe U.S. Patent</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No. 6,233,236, entitled “Method and Apparatus for Measuring Traffic Within a Switch.” The complaint seeks unspecified compensatory and exemplary damages and to permanently enjoin Brocade from infringing the patent in the future. On March 4, 2002, McDATA filed an amended complaint, in which it additionally alleged that the Brocade SilkWorm 3200 Entry Fabric Switch infringed this patent. In connection with this suit, on March 4, 2002, McDATA filed a motion for a preliminary injunction against Brocade with regard to the patent. We filed an answer and counterclaims on April 8, 2002 asserting, among other things, no infringement and that the patent is invalid, unenforceable and covered by an existing covenant not to sue between Brocade and McDATA. A hearing on McDATA’s motion for preliminary injunction was held on July 15, 2002, and we are awaiting a decision on the matter. We believe that we have meritorious defenses to the claims and intend to defend the action vigorously.</w:t>
      </w:r>
    </w:p>
    <w:p>
      <w:pPr>
        <w:spacing w:after="0" w:line="166" w:lineRule="exact"/>
        <w:rPr>
          <w:sz w:val="20"/>
          <w:szCs w:val="20"/>
          <w:color w:val="auto"/>
        </w:rPr>
      </w:pPr>
    </w:p>
    <w:p>
      <w:pPr>
        <w:ind w:right="80" w:firstLine="189"/>
        <w:spacing w:after="0" w:line="310" w:lineRule="auto"/>
        <w:rPr>
          <w:sz w:val="20"/>
          <w:szCs w:val="20"/>
          <w:color w:val="auto"/>
        </w:rPr>
      </w:pPr>
      <w:r>
        <w:rPr>
          <w:rFonts w:ascii="Arial" w:cs="Arial" w:eastAsia="Arial" w:hAnsi="Arial"/>
          <w:sz w:val="13"/>
          <w:szCs w:val="13"/>
          <w:color w:val="auto"/>
        </w:rPr>
        <w:t xml:space="preserve">On July 20, 2001, the first of a number of putative class actions was filed in the United States District Court for the Southern District of New York against us, certain of our officers and directors, and certain of the underwriters in our initial public offering. Those cases were consolidated under the caption </w:t>
      </w:r>
      <w:r>
        <w:rPr>
          <w:rFonts w:ascii="Arial" w:cs="Arial" w:eastAsia="Arial" w:hAnsi="Arial"/>
          <w:sz w:val="13"/>
          <w:szCs w:val="13"/>
          <w:i w:val="1"/>
          <w:iCs w:val="1"/>
          <w:color w:val="auto"/>
        </w:rPr>
        <w:t>Chae v. Brocade Communications Systems, Inc. et al.</w:t>
      </w:r>
      <w:r>
        <w:rPr>
          <w:rFonts w:ascii="Arial" w:cs="Arial" w:eastAsia="Arial" w:hAnsi="Arial"/>
          <w:sz w:val="13"/>
          <w:szCs w:val="13"/>
          <w:color w:val="auto"/>
        </w:rPr>
        <w:t xml:space="preserve"> The complaints generally alleged that various investment bank underwriters engaged in improper and undisclosed activities related to the allocation of shares in our initial public offering. On March 1, 2002, the Court entered an order dismissing without prejudice all claims against us and our officers and directors named in the consolidated proceeding. On April 19, 2002, a consolidated amended class action captioned </w:t>
      </w:r>
      <w:r>
        <w:rPr>
          <w:rFonts w:ascii="Arial" w:cs="Arial" w:eastAsia="Arial" w:hAnsi="Arial"/>
          <w:sz w:val="13"/>
          <w:szCs w:val="13"/>
          <w:i w:val="1"/>
          <w:iCs w:val="1"/>
          <w:color w:val="auto"/>
        </w:rPr>
        <w:t>In Re Brocade Communications Systems, Inc. Initial Public Offering Securities Litigation, 01 CV 6613,</w:t>
      </w:r>
      <w:r>
        <w:rPr>
          <w:rFonts w:ascii="Arial" w:cs="Arial" w:eastAsia="Arial" w:hAnsi="Arial"/>
          <w:sz w:val="13"/>
          <w:szCs w:val="13"/>
          <w:color w:val="auto"/>
        </w:rPr>
        <w:t xml:space="preserve"> was filed asserting claims against the Brocade parties that are substantially similar to those alleged in the earlier case. The complaint seeks unspecified damages on behalf of a purported class of purchasers of common stock from May 24, 1999 to December 6, 2000. Motions to dismiss have been filed. We believe that we have meritorious defenses to the claims and intend to defend the action vigorously.</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Changes in Securities and Use of Proceeds</w:t>
      </w:r>
    </w:p>
    <w:p>
      <w:pPr>
        <w:spacing w:after="0" w:line="204" w:lineRule="exact"/>
        <w:rPr>
          <w:sz w:val="20"/>
          <w:szCs w:val="20"/>
          <w:color w:val="auto"/>
        </w:rPr>
      </w:pPr>
    </w:p>
    <w:p>
      <w:pPr>
        <w:ind w:right="40" w:firstLine="189"/>
        <w:spacing w:after="0" w:line="267" w:lineRule="auto"/>
        <w:rPr>
          <w:sz w:val="20"/>
          <w:szCs w:val="20"/>
          <w:color w:val="auto"/>
        </w:rPr>
      </w:pPr>
      <w:r>
        <w:rPr>
          <w:rFonts w:ascii="Arial" w:cs="Arial" w:eastAsia="Arial" w:hAnsi="Arial"/>
          <w:sz w:val="15"/>
          <w:szCs w:val="15"/>
          <w:color w:val="auto"/>
        </w:rPr>
        <w:t>On December 21, 2001, and January 10, 2002, we sold, in private placements pursuant to Section 4(2) of the Securities Act of 1933, as amended, $550 million in aggregate principal amount of 2 percent convertible subordinated notes due 2007. The initial purchasers of the notes were Morgan Stanley &amp; Co. Incorporated, Goldman, Sachs &amp; Co., Salomon Smith Barney, Inc. and Merrill Lynch, Pierce Fenner and Smith Incorporated, who purchased the notes from us at a discount of 2.25 percent of the aggregate principal amount. Holders of the notes may, in whole or in part, convert the notes into shares of our common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stock at a conversion rate of 22.8571 shares per $1,000 principal amount of notes (aggregate of approximately 12.6 million shares) at any time prior to maturity on January 1, 2007. At any time on or after January 5, 2005, we may redeem the notes in whole or in part at the following prices expressed as a percentage of the principal amount:</w:t>
      </w:r>
    </w:p>
    <w:p>
      <w:pPr>
        <w:spacing w:after="0" w:line="356" w:lineRule="exact"/>
        <w:rPr>
          <w:sz w:val="20"/>
          <w:szCs w:val="20"/>
          <w:color w:val="auto"/>
        </w:rPr>
      </w:pPr>
    </w:p>
    <w:tbl>
      <w:tblPr>
        <w:tblLayout w:type="fixed"/>
        <w:tblInd w:w="1420" w:type="dxa"/>
        <w:tblCellMar>
          <w:top w:w="0" w:type="dxa"/>
          <w:left w:w="0" w:type="dxa"/>
          <w:bottom w:w="0" w:type="dxa"/>
          <w:right w:w="0" w:type="dxa"/>
        </w:tblCellMar>
      </w:tblPr>
      <w:tr>
        <w:trPr>
          <w:trHeight w:val="150"/>
        </w:trPr>
        <w:tc>
          <w:tcPr>
            <w:tcW w:w="7240" w:type="dxa"/>
            <w:vAlign w:val="bottom"/>
          </w:tcPr>
          <w:p>
            <w:pPr>
              <w:ind w:left="3140"/>
              <w:spacing w:after="0"/>
              <w:rPr>
                <w:sz w:val="20"/>
                <w:szCs w:val="20"/>
                <w:color w:val="auto"/>
              </w:rPr>
            </w:pPr>
            <w:r>
              <w:rPr>
                <w:rFonts w:ascii="Arial" w:cs="Arial" w:eastAsia="Arial" w:hAnsi="Arial"/>
                <w:sz w:val="12"/>
                <w:szCs w:val="12"/>
                <w:b w:val="1"/>
                <w:bCs w:val="1"/>
                <w:color w:val="auto"/>
              </w:rPr>
              <w:t>Redemption Period</w:t>
            </w:r>
          </w:p>
        </w:tc>
        <w:tc>
          <w:tcPr>
            <w:tcW w:w="400" w:type="dxa"/>
            <w:vAlign w:val="bottom"/>
          </w:tcPr>
          <w:p>
            <w:pPr>
              <w:spacing w:after="0"/>
              <w:rPr>
                <w:sz w:val="13"/>
                <w:szCs w:val="13"/>
                <w:color w:val="auto"/>
              </w:rPr>
            </w:pPr>
          </w:p>
        </w:tc>
        <w:tc>
          <w:tcPr>
            <w:tcW w:w="940" w:type="dxa"/>
            <w:vAlign w:val="bottom"/>
          </w:tcPr>
          <w:p>
            <w:pPr>
              <w:jc w:val="right"/>
              <w:ind w:right="282"/>
              <w:spacing w:after="0"/>
              <w:rPr>
                <w:sz w:val="20"/>
                <w:szCs w:val="20"/>
                <w:color w:val="auto"/>
              </w:rPr>
            </w:pPr>
            <w:r>
              <w:rPr>
                <w:rFonts w:ascii="Arial" w:cs="Arial" w:eastAsia="Arial" w:hAnsi="Arial"/>
                <w:sz w:val="12"/>
                <w:szCs w:val="12"/>
                <w:b w:val="1"/>
                <w:bCs w:val="1"/>
                <w:color w:val="auto"/>
              </w:rPr>
              <w:t>Price</w:t>
            </w:r>
          </w:p>
        </w:tc>
      </w:tr>
      <w:tr>
        <w:trPr>
          <w:trHeight w:val="83"/>
        </w:trPr>
        <w:tc>
          <w:tcPr>
            <w:tcW w:w="72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r>
      <w:tr>
        <w:trPr>
          <w:trHeight w:val="85"/>
        </w:trPr>
        <w:tc>
          <w:tcPr>
            <w:tcW w:w="7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86"/>
        </w:trPr>
        <w:tc>
          <w:tcPr>
            <w:tcW w:w="7240" w:type="dxa"/>
            <w:vAlign w:val="bottom"/>
            <w:shd w:val="clear" w:color="auto" w:fill="EEEEEE"/>
          </w:tcPr>
          <w:p>
            <w:pPr>
              <w:spacing w:after="0"/>
              <w:rPr>
                <w:sz w:val="20"/>
                <w:szCs w:val="20"/>
                <w:color w:val="auto"/>
              </w:rPr>
            </w:pPr>
            <w:r>
              <w:rPr>
                <w:rFonts w:ascii="Arial" w:cs="Arial" w:eastAsia="Arial" w:hAnsi="Arial"/>
                <w:sz w:val="15"/>
                <w:szCs w:val="15"/>
                <w:color w:val="auto"/>
              </w:rPr>
              <w:t>Beginning on January 5, 2005 and ending on December 31, 2005</w:t>
            </w:r>
          </w:p>
        </w:tc>
        <w:tc>
          <w:tcPr>
            <w:tcW w:w="1340" w:type="dxa"/>
            <w:vAlign w:val="bottom"/>
            <w:gridSpan w:val="2"/>
            <w:shd w:val="clear" w:color="auto" w:fill="EEEEEE"/>
          </w:tcPr>
          <w:p>
            <w:pPr>
              <w:jc w:val="right"/>
              <w:ind w:right="62"/>
              <w:spacing w:after="0"/>
              <w:rPr>
                <w:sz w:val="20"/>
                <w:szCs w:val="20"/>
                <w:color w:val="auto"/>
              </w:rPr>
            </w:pPr>
            <w:r>
              <w:rPr>
                <w:rFonts w:ascii="Arial" w:cs="Arial" w:eastAsia="Arial" w:hAnsi="Arial"/>
                <w:sz w:val="15"/>
                <w:szCs w:val="15"/>
                <w:color w:val="auto"/>
              </w:rPr>
              <w:t>100.80%</w:t>
            </w:r>
          </w:p>
        </w:tc>
      </w:tr>
      <w:tr>
        <w:trPr>
          <w:trHeight w:val="186"/>
        </w:trPr>
        <w:tc>
          <w:tcPr>
            <w:tcW w:w="7240" w:type="dxa"/>
            <w:vAlign w:val="bottom"/>
          </w:tcPr>
          <w:p>
            <w:pPr>
              <w:spacing w:after="0"/>
              <w:rPr>
                <w:sz w:val="20"/>
                <w:szCs w:val="20"/>
                <w:color w:val="auto"/>
              </w:rPr>
            </w:pPr>
            <w:r>
              <w:rPr>
                <w:rFonts w:ascii="Arial" w:cs="Arial" w:eastAsia="Arial" w:hAnsi="Arial"/>
                <w:sz w:val="15"/>
                <w:szCs w:val="15"/>
                <w:color w:val="auto"/>
              </w:rPr>
              <w:t>Beginning on January 1, 2006 and ending on December 31, 2006</w:t>
            </w:r>
          </w:p>
        </w:tc>
        <w:tc>
          <w:tcPr>
            <w:tcW w:w="1340" w:type="dxa"/>
            <w:vAlign w:val="bottom"/>
            <w:gridSpan w:val="2"/>
          </w:tcPr>
          <w:p>
            <w:pPr>
              <w:jc w:val="right"/>
              <w:ind w:right="62"/>
              <w:spacing w:after="0"/>
              <w:rPr>
                <w:sz w:val="20"/>
                <w:szCs w:val="20"/>
                <w:color w:val="auto"/>
              </w:rPr>
            </w:pPr>
            <w:r>
              <w:rPr>
                <w:rFonts w:ascii="Arial" w:cs="Arial" w:eastAsia="Arial" w:hAnsi="Arial"/>
                <w:sz w:val="15"/>
                <w:szCs w:val="15"/>
                <w:color w:val="auto"/>
              </w:rPr>
              <w:t>100.40%</w:t>
            </w:r>
          </w:p>
        </w:tc>
      </w:tr>
      <w:tr>
        <w:trPr>
          <w:trHeight w:val="186"/>
        </w:trPr>
        <w:tc>
          <w:tcPr>
            <w:tcW w:w="7240" w:type="dxa"/>
            <w:vAlign w:val="bottom"/>
            <w:shd w:val="clear" w:color="auto" w:fill="EEEEEE"/>
          </w:tcPr>
          <w:p>
            <w:pPr>
              <w:spacing w:after="0"/>
              <w:rPr>
                <w:sz w:val="20"/>
                <w:szCs w:val="20"/>
                <w:color w:val="auto"/>
              </w:rPr>
            </w:pPr>
            <w:r>
              <w:rPr>
                <w:rFonts w:ascii="Arial" w:cs="Arial" w:eastAsia="Arial" w:hAnsi="Arial"/>
                <w:sz w:val="15"/>
                <w:szCs w:val="15"/>
                <w:color w:val="auto"/>
              </w:rPr>
              <w:t>On January 1, 2007</w:t>
            </w:r>
          </w:p>
        </w:tc>
        <w:tc>
          <w:tcPr>
            <w:tcW w:w="1340" w:type="dxa"/>
            <w:vAlign w:val="bottom"/>
            <w:gridSpan w:val="2"/>
            <w:shd w:val="clear" w:color="auto" w:fill="EEEEEE"/>
          </w:tcPr>
          <w:p>
            <w:pPr>
              <w:jc w:val="right"/>
              <w:ind w:right="62"/>
              <w:spacing w:after="0"/>
              <w:rPr>
                <w:sz w:val="20"/>
                <w:szCs w:val="20"/>
                <w:color w:val="auto"/>
              </w:rPr>
            </w:pPr>
            <w:r>
              <w:rPr>
                <w:rFonts w:ascii="Arial" w:cs="Arial" w:eastAsia="Arial" w:hAnsi="Arial"/>
                <w:sz w:val="15"/>
                <w:szCs w:val="15"/>
                <w:color w:val="auto"/>
              </w:rPr>
              <w:t>100.00%</w:t>
            </w:r>
          </w:p>
        </w:tc>
      </w:tr>
    </w:tbl>
    <w:p>
      <w:pPr>
        <w:spacing w:after="0" w:line="179" w:lineRule="exact"/>
        <w:rPr>
          <w:sz w:val="20"/>
          <w:szCs w:val="20"/>
          <w:color w:val="auto"/>
        </w:rPr>
      </w:pPr>
    </w:p>
    <w:p>
      <w:pPr>
        <w:ind w:firstLine="187"/>
        <w:spacing w:after="0" w:line="264" w:lineRule="auto"/>
        <w:rPr>
          <w:sz w:val="20"/>
          <w:szCs w:val="20"/>
          <w:color w:val="auto"/>
        </w:rPr>
      </w:pPr>
      <w:r>
        <w:rPr>
          <w:rFonts w:ascii="Arial" w:cs="Arial" w:eastAsia="Arial" w:hAnsi="Arial"/>
          <w:sz w:val="15"/>
          <w:szCs w:val="15"/>
          <w:color w:val="auto"/>
        </w:rPr>
        <w:t>We are required to pay interest on January 1 and July 1 of each year, beginning July 1, 2002. Debt issuance costs of $12.4 million are being amortized over a five-year term using the straight-line method, which approximates the effective interest rate method. The amortization of these debt issuance costs will accelerate upon early redemption or conversion of the notes. The offer and sale of the notes was exempt from the registration requirements of the Securities Act of 1933, as amended, pursuant to Section 4(2). On March 21, 2002 we filed a registration statement (Reg. No. 333-84698) for the resale of the notes and the shares of common stock issuable upon conversion of the notes. This registration statement was declared effective by the SEC on May 23, 2002. The net proceeds of $537.6 million were invested in United States government agency debt securities and remain available for general corporate purposes, including working capital and capital expenditures.</w:t>
      </w:r>
    </w:p>
    <w:p>
      <w:pPr>
        <w:spacing w:after="0" w:line="167" w:lineRule="exact"/>
        <w:rPr>
          <w:sz w:val="20"/>
          <w:szCs w:val="20"/>
          <w:color w:val="auto"/>
        </w:rPr>
      </w:pPr>
    </w:p>
    <w:p>
      <w:pPr>
        <w:ind w:right="60" w:firstLine="189"/>
        <w:spacing w:after="0" w:line="286" w:lineRule="auto"/>
        <w:rPr>
          <w:sz w:val="20"/>
          <w:szCs w:val="20"/>
          <w:color w:val="auto"/>
        </w:rPr>
      </w:pPr>
      <w:r>
        <w:rPr>
          <w:rFonts w:ascii="Arial" w:cs="Arial" w:eastAsia="Arial" w:hAnsi="Arial"/>
          <w:sz w:val="14"/>
          <w:szCs w:val="14"/>
          <w:color w:val="auto"/>
        </w:rPr>
        <w:t>On February 5, 2002, our Board of Directors adopted a stockholder rights plan. Under the plan, we declared and paid a dividend of one right for each share of common stock held by stockholders of record as of the close of business on February 19, 2002. Each right initially entitles stockholders to purchase a fractional share of our preferred stock at $280 per share. However, the rights are not immediately exercisable and will become exercisable only upon the occurrence of certain events. If a person or group acquires or announces a tender or exchange offer that would result in the acquisition of 15 percent or more of our common stock while the stockholder rights plan remains in place, then, unless the rights are redeemed by us for $0.001 per right, the rights will become exercisable by all rights holders except the acquiring person or group for shares of us or the third party acquirer having a value of twice the right’s then-current exercise price. The stockholder rights plan may have the effect of deterring or delaying a change in control of Brocade.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 and Reports on Form 8-K</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(a) Exhibits.</w:t>
      </w:r>
    </w:p>
    <w:p>
      <w:pPr>
        <w:spacing w:after="0" w:line="204" w:lineRule="exact"/>
        <w:rPr>
          <w:sz w:val="20"/>
          <w:szCs w:val="20"/>
          <w:color w:val="auto"/>
        </w:rPr>
      </w:pPr>
    </w:p>
    <w:p>
      <w:pPr>
        <w:ind w:firstLine="187"/>
        <w:spacing w:after="0" w:line="285" w:lineRule="auto"/>
        <w:rPr>
          <w:sz w:val="20"/>
          <w:szCs w:val="20"/>
          <w:color w:val="auto"/>
        </w:rPr>
      </w:pPr>
      <w:r>
        <w:rPr>
          <w:rFonts w:ascii="Arial" w:cs="Arial" w:eastAsia="Arial" w:hAnsi="Arial"/>
          <w:sz w:val="15"/>
          <w:szCs w:val="15"/>
          <w:color w:val="auto"/>
        </w:rPr>
        <w:t>The exhibits listed below are required by Item 601 of Regulation S-K. Each management contract or compensatory plan or arrangement required to be filed as an exhibit to this Form 10-Q has been identified.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44"/>
              <w:spacing w:after="0"/>
              <w:rPr>
                <w:sz w:val="20"/>
                <w:szCs w:val="20"/>
                <w:color w:val="auto"/>
              </w:rPr>
            </w:pPr>
            <w:r>
              <w:rPr>
                <w:rFonts w:ascii="Arial" w:cs="Arial" w:eastAsia="Arial" w:hAnsi="Arial"/>
                <w:sz w:val="12"/>
                <w:szCs w:val="12"/>
                <w:color w:val="auto"/>
              </w:rPr>
              <w:t>Exhibit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24"/>
              <w:spacing w:after="0"/>
              <w:rPr>
                <w:sz w:val="20"/>
                <w:szCs w:val="20"/>
                <w:color w:val="auto"/>
              </w:rPr>
            </w:pPr>
            <w:r>
              <w:rPr>
                <w:rFonts w:ascii="Arial" w:cs="Arial" w:eastAsia="Arial" w:hAnsi="Arial"/>
                <w:sz w:val="12"/>
                <w:szCs w:val="12"/>
                <w:color w:val="auto"/>
              </w:rPr>
              <w:t>Number</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360" w:type="dxa"/>
            <w:vAlign w:val="bottom"/>
          </w:tcPr>
          <w:p>
            <w:pPr>
              <w:ind w:left="3420"/>
              <w:spacing w:after="0"/>
              <w:rPr>
                <w:sz w:val="20"/>
                <w:szCs w:val="20"/>
                <w:color w:val="auto"/>
              </w:rPr>
            </w:pPr>
            <w:r>
              <w:rPr>
                <w:rFonts w:ascii="Arial" w:cs="Arial" w:eastAsia="Arial" w:hAnsi="Arial"/>
                <w:sz w:val="12"/>
                <w:szCs w:val="12"/>
                <w:color w:val="auto"/>
              </w:rPr>
              <w:t>Description of Document</w:t>
            </w:r>
          </w:p>
        </w:tc>
        <w:tc>
          <w:tcPr>
            <w:tcW w:w="940" w:type="dxa"/>
            <w:vAlign w:val="bottom"/>
          </w:tcPr>
          <w:p>
            <w:pPr>
              <w:spacing w:after="0"/>
              <w:rPr>
                <w:sz w:val="12"/>
                <w:szCs w:val="12"/>
                <w:color w:val="auto"/>
              </w:rPr>
            </w:pPr>
          </w:p>
        </w:tc>
      </w:tr>
      <w:tr>
        <w:trPr>
          <w:trHeight w:val="83"/>
        </w:trPr>
        <w:tc>
          <w:tcPr>
            <w:tcW w:w="28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680" w:type="dxa"/>
            <w:vAlign w:val="bottom"/>
            <w:tcBorders>
              <w:bottom w:val="single" w:sz="8" w:color="808080"/>
            </w:tcBorders>
            <w:gridSpan w:val="2"/>
          </w:tcPr>
          <w:p>
            <w:pPr>
              <w:spacing w:after="0"/>
              <w:rPr>
                <w:sz w:val="7"/>
                <w:szCs w:val="7"/>
                <w:color w:val="auto"/>
              </w:rPr>
            </w:pPr>
          </w:p>
        </w:tc>
        <w:tc>
          <w:tcPr>
            <w:tcW w:w="940" w:type="dxa"/>
            <w:vAlign w:val="bottom"/>
          </w:tcPr>
          <w:p>
            <w:pPr>
              <w:spacing w:after="0"/>
              <w:rPr>
                <w:sz w:val="7"/>
                <w:szCs w:val="7"/>
                <w:color w:val="auto"/>
              </w:rPr>
            </w:pPr>
          </w:p>
        </w:tc>
      </w:tr>
      <w:tr>
        <w:trPr>
          <w:trHeight w:val="264"/>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3.1</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(8)</w:t>
            </w:r>
          </w:p>
        </w:tc>
        <w:tc>
          <w:tcPr>
            <w:tcW w:w="700" w:type="dxa"/>
            <w:vAlign w:val="bottom"/>
          </w:tcPr>
          <w:p>
            <w:pPr>
              <w:spacing w:after="0"/>
              <w:rPr>
                <w:sz w:val="22"/>
                <w:szCs w:val="22"/>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Amended and Restated Certificate of Incorporation.</w:t>
            </w:r>
          </w:p>
        </w:tc>
        <w:tc>
          <w:tcPr>
            <w:tcW w:w="940" w:type="dxa"/>
            <w:vAlign w:val="bottom"/>
          </w:tcPr>
          <w:p>
            <w:pPr>
              <w:spacing w:after="0"/>
              <w:rPr>
                <w:sz w:val="22"/>
                <w:szCs w:val="22"/>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3.2</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(1)</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Bylaws of the Registrant.</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3.3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w w:val="89"/>
              </w:rPr>
              <w:t>(10)</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w w:val="97"/>
              </w:rPr>
              <w:t>Certificate of Designation of Rights, Preferences and Privileges of Series A Participating Preferred Stock of Brocade Communications</w:t>
            </w:r>
          </w:p>
        </w:tc>
        <w:tc>
          <w:tcPr>
            <w:tcW w:w="94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Systems, Inc. (included in Exhibit 10.32)</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4.1</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(1)</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Form of Registrant’s Common Stock certificate.</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4.2</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(9)</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Indenture, dated as of December 21, 2001, between Brocade and State Street Bank and Trust Company of California, N.A.</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4.3</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(9)</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Form of Note (included in Exhibit 4.2)</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4.4</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(9)</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w w:val="93"/>
              </w:rPr>
              <w:t>Registration Rights Agreement, dated as of December 21, 2001, by and among Brocade and Morgan Stanley &amp; Co. Incorporated, Goldman,</w:t>
            </w:r>
          </w:p>
        </w:tc>
        <w:tc>
          <w:tcPr>
            <w:tcW w:w="94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Sachs &amp; Co., Salomon Smith Barney Inc. and Merrill Lynch Pierce Fenner and Smith Incorporated.</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10.1</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Form of Indemnification Agreement entered into between Brocade and each of its directors and executive officers.</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10.2</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1995</w:t>
            </w:r>
          </w:p>
        </w:tc>
        <w:tc>
          <w:tcPr>
            <w:tcW w:w="8360" w:type="dxa"/>
            <w:vAlign w:val="bottom"/>
          </w:tcPr>
          <w:p>
            <w:pPr>
              <w:ind w:left="20"/>
              <w:spacing w:after="0"/>
              <w:rPr>
                <w:sz w:val="20"/>
                <w:szCs w:val="20"/>
                <w:color w:val="auto"/>
              </w:rPr>
            </w:pPr>
            <w:r>
              <w:rPr>
                <w:rFonts w:ascii="Arial" w:cs="Arial" w:eastAsia="Arial" w:hAnsi="Arial"/>
                <w:sz w:val="15"/>
                <w:szCs w:val="15"/>
                <w:color w:val="auto"/>
              </w:rPr>
              <w:t>Equity Incentive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10.3</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1998</w:t>
            </w:r>
          </w:p>
        </w:tc>
        <w:tc>
          <w:tcPr>
            <w:tcW w:w="8360" w:type="dxa"/>
            <w:vAlign w:val="bottom"/>
          </w:tcPr>
          <w:p>
            <w:pPr>
              <w:ind w:left="20"/>
              <w:spacing w:after="0"/>
              <w:rPr>
                <w:sz w:val="20"/>
                <w:szCs w:val="20"/>
                <w:color w:val="auto"/>
              </w:rPr>
            </w:pPr>
            <w:r>
              <w:rPr>
                <w:rFonts w:ascii="Arial" w:cs="Arial" w:eastAsia="Arial" w:hAnsi="Arial"/>
                <w:sz w:val="15"/>
                <w:szCs w:val="15"/>
                <w:color w:val="auto"/>
              </w:rPr>
              <w:t>Equity Incentive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10.4</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1998</w:t>
            </w:r>
          </w:p>
        </w:tc>
        <w:tc>
          <w:tcPr>
            <w:tcW w:w="8360" w:type="dxa"/>
            <w:vAlign w:val="bottom"/>
          </w:tcPr>
          <w:p>
            <w:pPr>
              <w:ind w:left="20"/>
              <w:spacing w:after="0"/>
              <w:rPr>
                <w:sz w:val="20"/>
                <w:szCs w:val="20"/>
                <w:color w:val="auto"/>
              </w:rPr>
            </w:pPr>
            <w:r>
              <w:rPr>
                <w:rFonts w:ascii="Arial" w:cs="Arial" w:eastAsia="Arial" w:hAnsi="Arial"/>
                <w:sz w:val="15"/>
                <w:szCs w:val="15"/>
                <w:color w:val="auto"/>
              </w:rPr>
              <w:t>Executive Equity Incentive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10.5</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(6)</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Amended and Restated 1999 Director Option Plan as of April 17, 2001, and form of agreement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10.6</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1999</w:t>
            </w:r>
          </w:p>
        </w:tc>
        <w:tc>
          <w:tcPr>
            <w:tcW w:w="8360" w:type="dxa"/>
            <w:vAlign w:val="bottom"/>
          </w:tcPr>
          <w:p>
            <w:pPr>
              <w:ind w:left="20"/>
              <w:spacing w:after="0"/>
              <w:rPr>
                <w:sz w:val="20"/>
                <w:szCs w:val="20"/>
                <w:color w:val="auto"/>
              </w:rPr>
            </w:pPr>
            <w:r>
              <w:rPr>
                <w:rFonts w:ascii="Arial" w:cs="Arial" w:eastAsia="Arial" w:hAnsi="Arial"/>
                <w:sz w:val="15"/>
                <w:szCs w:val="15"/>
                <w:color w:val="auto"/>
              </w:rPr>
              <w:t>Employee Stock Purchase Plan.</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10.7</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1999</w:t>
            </w:r>
          </w:p>
        </w:tc>
        <w:tc>
          <w:tcPr>
            <w:tcW w:w="8360" w:type="dxa"/>
            <w:vAlign w:val="bottom"/>
          </w:tcPr>
          <w:p>
            <w:pPr>
              <w:ind w:left="20"/>
              <w:spacing w:after="0"/>
              <w:rPr>
                <w:sz w:val="20"/>
                <w:szCs w:val="20"/>
                <w:color w:val="auto"/>
              </w:rPr>
            </w:pPr>
            <w:r>
              <w:rPr>
                <w:rFonts w:ascii="Arial" w:cs="Arial" w:eastAsia="Arial" w:hAnsi="Arial"/>
                <w:sz w:val="15"/>
                <w:szCs w:val="15"/>
                <w:color w:val="auto"/>
              </w:rPr>
              <w:t>Stock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10.8</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1999</w:t>
            </w:r>
          </w:p>
        </w:tc>
        <w:tc>
          <w:tcPr>
            <w:tcW w:w="8360" w:type="dxa"/>
            <w:vAlign w:val="bottom"/>
          </w:tcPr>
          <w:p>
            <w:pPr>
              <w:ind w:left="20"/>
              <w:spacing w:after="0"/>
              <w:rPr>
                <w:sz w:val="20"/>
                <w:szCs w:val="20"/>
                <w:color w:val="auto"/>
              </w:rPr>
            </w:pPr>
            <w:r>
              <w:rPr>
                <w:rFonts w:ascii="Arial" w:cs="Arial" w:eastAsia="Arial" w:hAnsi="Arial"/>
                <w:sz w:val="15"/>
                <w:szCs w:val="15"/>
                <w:color w:val="auto"/>
              </w:rPr>
              <w:t>Nonstatutory Stock Option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10.9</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Master Equipment Lease Agreement between Venture Lending &amp; Leasing, Inc. and Brocade, dated September 5, 1996.</w:t>
            </w:r>
          </w:p>
        </w:tc>
        <w:tc>
          <w:tcPr>
            <w:tcW w:w="940" w:type="dxa"/>
            <w:vAlign w:val="bottom"/>
          </w:tcPr>
          <w:p>
            <w:pPr>
              <w:spacing w:after="0"/>
              <w:rPr>
                <w:sz w:val="16"/>
                <w:szCs w:val="16"/>
                <w:color w:val="auto"/>
              </w:rPr>
            </w:pPr>
          </w:p>
        </w:tc>
      </w:tr>
      <w:tr>
        <w:trPr>
          <w:trHeight w:val="191"/>
        </w:trPr>
        <w:tc>
          <w:tcPr>
            <w:tcW w:w="1480" w:type="dxa"/>
            <w:vAlign w:val="bottom"/>
            <w:gridSpan w:val="5"/>
          </w:tcPr>
          <w:p>
            <w:pPr>
              <w:ind w:left="280"/>
              <w:spacing w:after="0"/>
              <w:rPr>
                <w:sz w:val="20"/>
                <w:szCs w:val="20"/>
                <w:color w:val="auto"/>
              </w:rPr>
            </w:pPr>
            <w:r>
              <w:rPr>
                <w:rFonts w:ascii="Arial" w:cs="Arial" w:eastAsia="Arial" w:hAnsi="Arial"/>
                <w:sz w:val="15"/>
                <w:szCs w:val="15"/>
                <w:color w:val="auto"/>
              </w:rPr>
              <w:t>10.10 (1) #</w:t>
            </w: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Acknowledgement between Wind River Systems, Inc. and Brocade, dated April 22, 1999.</w:t>
            </w:r>
          </w:p>
        </w:tc>
        <w:tc>
          <w:tcPr>
            <w:tcW w:w="940" w:type="dxa"/>
            <w:vAlign w:val="bottom"/>
          </w:tcPr>
          <w:p>
            <w:pPr>
              <w:spacing w:after="0"/>
              <w:rPr>
                <w:sz w:val="16"/>
                <w:szCs w:val="16"/>
                <w:color w:val="auto"/>
              </w:rPr>
            </w:pPr>
          </w:p>
        </w:tc>
      </w:tr>
      <w:tr>
        <w:trPr>
          <w:trHeight w:val="373"/>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60" w:type="dxa"/>
            <w:vAlign w:val="bottom"/>
          </w:tcPr>
          <w:p>
            <w:pPr>
              <w:ind w:left="3440"/>
              <w:spacing w:after="0"/>
              <w:rPr>
                <w:sz w:val="20"/>
                <w:szCs w:val="20"/>
                <w:color w:val="auto"/>
              </w:rPr>
            </w:pPr>
            <w:r>
              <w:rPr>
                <w:rFonts w:ascii="Arial" w:cs="Arial" w:eastAsia="Arial" w:hAnsi="Arial"/>
                <w:sz w:val="15"/>
                <w:szCs w:val="15"/>
                <w:color w:val="auto"/>
              </w:rPr>
              <w:t>-28-</w:t>
            </w:r>
          </w:p>
        </w:tc>
        <w:tc>
          <w:tcPr>
            <w:tcW w:w="940" w:type="dxa"/>
            <w:vAlign w:val="bottom"/>
          </w:tcPr>
          <w:p>
            <w:pPr>
              <w:spacing w:after="0"/>
              <w:rPr>
                <w:sz w:val="24"/>
                <w:szCs w:val="24"/>
                <w:color w:val="auto"/>
              </w:rPr>
            </w:pPr>
          </w:p>
        </w:tc>
      </w:tr>
      <w:tr>
        <w:trPr>
          <w:trHeight w:val="197"/>
        </w:trPr>
        <w:tc>
          <w:tcPr>
            <w:tcW w:w="2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83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ind w:left="80"/>
              <w:spacing w:after="0"/>
              <w:rPr>
                <w:sz w:val="20"/>
                <w:szCs w:val="20"/>
                <w:color w:val="auto"/>
              </w:rPr>
            </w:pPr>
            <w:r>
              <w:rPr>
                <w:rFonts w:ascii="Arial" w:cs="Arial" w:eastAsia="Arial" w:hAnsi="Arial"/>
                <w:sz w:val="12"/>
                <w:szCs w:val="12"/>
                <w:color w:val="auto"/>
              </w:rPr>
              <w:t>Exhibit</w:t>
            </w:r>
          </w:p>
        </w:tc>
        <w:tc>
          <w:tcPr>
            <w:tcW w:w="34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color w:val="auto"/>
              </w:rPr>
              <w:t>Number</w:t>
            </w:r>
          </w:p>
        </w:tc>
        <w:tc>
          <w:tcPr>
            <w:tcW w:w="340" w:type="dxa"/>
            <w:vAlign w:val="bottom"/>
          </w:tcPr>
          <w:p>
            <w:pPr>
              <w:spacing w:after="0"/>
              <w:rPr>
                <w:sz w:val="12"/>
                <w:szCs w:val="12"/>
                <w:color w:val="auto"/>
              </w:rPr>
            </w:pPr>
          </w:p>
        </w:tc>
        <w:tc>
          <w:tcPr>
            <w:tcW w:w="8680" w:type="dxa"/>
            <w:vAlign w:val="bottom"/>
          </w:tcPr>
          <w:p>
            <w:pPr>
              <w:ind w:left="3740"/>
              <w:spacing w:after="0"/>
              <w:rPr>
                <w:sz w:val="20"/>
                <w:szCs w:val="20"/>
                <w:color w:val="auto"/>
              </w:rPr>
            </w:pPr>
            <w:r>
              <w:rPr>
                <w:rFonts w:ascii="Arial" w:cs="Arial" w:eastAsia="Arial" w:hAnsi="Arial"/>
                <w:sz w:val="12"/>
                <w:szCs w:val="12"/>
                <w:color w:val="auto"/>
              </w:rPr>
              <w:t>Description of Document</w:t>
            </w:r>
          </w:p>
        </w:tc>
        <w:tc>
          <w:tcPr>
            <w:tcW w:w="940" w:type="dxa"/>
            <w:vAlign w:val="bottom"/>
          </w:tcPr>
          <w:p>
            <w:pPr>
              <w:spacing w:after="0"/>
              <w:rPr>
                <w:sz w:val="12"/>
                <w:szCs w:val="12"/>
                <w:color w:val="auto"/>
              </w:rPr>
            </w:pPr>
          </w:p>
        </w:tc>
      </w:tr>
      <w:tr>
        <w:trPr>
          <w:trHeight w:val="83"/>
        </w:trPr>
        <w:tc>
          <w:tcPr>
            <w:tcW w:w="280" w:type="dxa"/>
            <w:vAlign w:val="bottom"/>
          </w:tcPr>
          <w:p>
            <w:pPr>
              <w:spacing w:after="0"/>
              <w:rPr>
                <w:sz w:val="7"/>
                <w:szCs w:val="7"/>
                <w:color w:val="auto"/>
              </w:rPr>
            </w:pPr>
          </w:p>
        </w:tc>
        <w:tc>
          <w:tcPr>
            <w:tcW w:w="1200" w:type="dxa"/>
            <w:vAlign w:val="bottom"/>
            <w:tcBorders>
              <w:bottom w:val="single" w:sz="8" w:color="808080"/>
            </w:tcBorders>
            <w:gridSpan w:val="2"/>
          </w:tcPr>
          <w:p>
            <w:pPr>
              <w:spacing w:after="0"/>
              <w:rPr>
                <w:sz w:val="7"/>
                <w:szCs w:val="7"/>
                <w:color w:val="auto"/>
              </w:rPr>
            </w:pPr>
          </w:p>
        </w:tc>
        <w:tc>
          <w:tcPr>
            <w:tcW w:w="340" w:type="dxa"/>
            <w:vAlign w:val="bottom"/>
          </w:tcPr>
          <w:p>
            <w:pPr>
              <w:spacing w:after="0"/>
              <w:rPr>
                <w:sz w:val="7"/>
                <w:szCs w:val="7"/>
                <w:color w:val="auto"/>
              </w:rPr>
            </w:pPr>
          </w:p>
        </w:tc>
        <w:tc>
          <w:tcPr>
            <w:tcW w:w="8680" w:type="dxa"/>
            <w:vAlign w:val="bottom"/>
            <w:tcBorders>
              <w:bottom w:val="single" w:sz="8" w:color="808080"/>
            </w:tcBorders>
          </w:tcPr>
          <w:p>
            <w:pPr>
              <w:spacing w:after="0"/>
              <w:rPr>
                <w:sz w:val="7"/>
                <w:szCs w:val="7"/>
                <w:color w:val="auto"/>
              </w:rPr>
            </w:pPr>
          </w:p>
        </w:tc>
        <w:tc>
          <w:tcPr>
            <w:tcW w:w="940" w:type="dxa"/>
            <w:vAlign w:val="bottom"/>
          </w:tcPr>
          <w:p>
            <w:pPr>
              <w:spacing w:after="0"/>
              <w:rPr>
                <w:sz w:val="7"/>
                <w:szCs w:val="7"/>
                <w:color w:val="auto"/>
              </w:rPr>
            </w:pPr>
          </w:p>
        </w:tc>
      </w:tr>
      <w:tr>
        <w:trPr>
          <w:trHeight w:val="264"/>
        </w:trPr>
        <w:tc>
          <w:tcPr>
            <w:tcW w:w="1480" w:type="dxa"/>
            <w:vAlign w:val="bottom"/>
            <w:gridSpan w:val="3"/>
          </w:tcPr>
          <w:p>
            <w:pPr>
              <w:ind w:left="280"/>
              <w:spacing w:after="0"/>
              <w:rPr>
                <w:sz w:val="20"/>
                <w:szCs w:val="20"/>
                <w:color w:val="auto"/>
              </w:rPr>
            </w:pPr>
            <w:r>
              <w:rPr>
                <w:rFonts w:ascii="Arial" w:cs="Arial" w:eastAsia="Arial" w:hAnsi="Arial"/>
                <w:sz w:val="15"/>
                <w:szCs w:val="15"/>
                <w:color w:val="auto"/>
              </w:rPr>
              <w:t>10.11 (1)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Letter Agreement with Michael J. Byrd, dated April 5, 1999.</w:t>
            </w:r>
          </w:p>
        </w:tc>
        <w:tc>
          <w:tcPr>
            <w:tcW w:w="940" w:type="dxa"/>
            <w:vAlign w:val="bottom"/>
          </w:tcPr>
          <w:p>
            <w:pPr>
              <w:spacing w:after="0"/>
              <w:rPr>
                <w:sz w:val="22"/>
                <w:szCs w:val="22"/>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10.12</w:t>
            </w:r>
          </w:p>
        </w:tc>
        <w:tc>
          <w:tcPr>
            <w:tcW w:w="840" w:type="dxa"/>
            <w:vAlign w:val="bottom"/>
          </w:tcPr>
          <w:p>
            <w:pPr>
              <w:ind w:left="20"/>
              <w:spacing w:after="0"/>
              <w:rPr>
                <w:sz w:val="20"/>
                <w:szCs w:val="20"/>
                <w:color w:val="auto"/>
              </w:rPr>
            </w:pPr>
            <w:r>
              <w:rPr>
                <w:rFonts w:ascii="Arial" w:cs="Arial" w:eastAsia="Arial" w:hAnsi="Arial"/>
                <w:sz w:val="15"/>
                <w:szCs w:val="15"/>
                <w:color w:val="auto"/>
              </w:rPr>
              <w:t>(3)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Manufacturing Agreement between Solectron California Corporation and Brocade, dated July 30, 1999.</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10.13</w:t>
            </w:r>
          </w:p>
        </w:tc>
        <w:tc>
          <w:tcPr>
            <w:tcW w:w="840" w:type="dxa"/>
            <w:vAlign w:val="bottom"/>
          </w:tcPr>
          <w:p>
            <w:pPr>
              <w:ind w:left="20"/>
              <w:spacing w:after="0"/>
              <w:rPr>
                <w:sz w:val="20"/>
                <w:szCs w:val="20"/>
                <w:color w:val="auto"/>
              </w:rPr>
            </w:pPr>
            <w:r>
              <w:rPr>
                <w:rFonts w:ascii="Arial" w:cs="Arial" w:eastAsia="Arial" w:hAnsi="Arial"/>
                <w:sz w:val="15"/>
                <w:szCs w:val="15"/>
                <w:color w:val="auto"/>
              </w:rPr>
              <w:t>(3)</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Master Lease Agreement between Spieker Properties and Brocade, dated December 17, 1999.</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10.14</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First Amendment to Lease between Spieker Properties and Brocade, dated February 16,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10.15</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Second Amendment to Lease between Spieker Properties and Brocade, dated August 11,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10.16</w:t>
            </w:r>
          </w:p>
        </w:tc>
        <w:tc>
          <w:tcPr>
            <w:tcW w:w="840" w:type="dxa"/>
            <w:vAlign w:val="bottom"/>
          </w:tcPr>
          <w:p>
            <w:pPr>
              <w:ind w:left="20"/>
              <w:spacing w:after="0"/>
              <w:rPr>
                <w:sz w:val="20"/>
                <w:szCs w:val="20"/>
                <w:color w:val="auto"/>
              </w:rPr>
            </w:pPr>
            <w:r>
              <w:rPr>
                <w:rFonts w:ascii="Arial" w:cs="Arial" w:eastAsia="Arial" w:hAnsi="Arial"/>
                <w:sz w:val="15"/>
                <w:szCs w:val="15"/>
                <w:color w:val="auto"/>
              </w:rPr>
              <w:t>(4)</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Credit Agreement between Comerica Bank-California and Brocade, dated January 5,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10.17</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First Amendment to Credit Agreement between Comerica Bank-California and Brocade, dated March 21,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10.18</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Second Amendment to Credit Agreement between Comerica Bank-California and Brocade, dated September 20,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10.19</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Master Lease Agreement between Spieker Properties and Brocade, dated July 26,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10.20</w:t>
            </w:r>
          </w:p>
        </w:tc>
        <w:tc>
          <w:tcPr>
            <w:tcW w:w="840" w:type="dxa"/>
            <w:vAlign w:val="bottom"/>
          </w:tcPr>
          <w:p>
            <w:pPr>
              <w:ind w:left="20"/>
              <w:spacing w:after="0"/>
              <w:rPr>
                <w:sz w:val="20"/>
                <w:szCs w:val="20"/>
                <w:color w:val="auto"/>
              </w:rPr>
            </w:pPr>
            <w:r>
              <w:rPr>
                <w:rFonts w:ascii="Arial" w:cs="Arial" w:eastAsia="Arial" w:hAnsi="Arial"/>
                <w:sz w:val="15"/>
                <w:szCs w:val="15"/>
                <w:color w:val="auto"/>
              </w:rPr>
              <w:t>(7)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Purchase Agreement between Compaq Computer Corporation and Brocade, dated February 1,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10.21</w:t>
            </w:r>
          </w:p>
        </w:tc>
        <w:tc>
          <w:tcPr>
            <w:tcW w:w="840" w:type="dxa"/>
            <w:vAlign w:val="bottom"/>
          </w:tcPr>
          <w:p>
            <w:pPr>
              <w:ind w:left="20"/>
              <w:spacing w:after="0"/>
              <w:rPr>
                <w:sz w:val="20"/>
                <w:szCs w:val="20"/>
                <w:color w:val="auto"/>
              </w:rPr>
            </w:pPr>
            <w:r>
              <w:rPr>
                <w:rFonts w:ascii="Arial" w:cs="Arial" w:eastAsia="Arial" w:hAnsi="Arial"/>
                <w:sz w:val="15"/>
                <w:szCs w:val="15"/>
                <w:color w:val="auto"/>
              </w:rPr>
              <w:t>(7)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Purchase Agreement between EMC Corporation and Brocade, dated January 25,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10.22</w:t>
            </w:r>
          </w:p>
        </w:tc>
        <w:tc>
          <w:tcPr>
            <w:tcW w:w="840" w:type="dxa"/>
            <w:vAlign w:val="bottom"/>
          </w:tcPr>
          <w:p>
            <w:pPr>
              <w:ind w:left="20"/>
              <w:spacing w:after="0"/>
              <w:rPr>
                <w:sz w:val="20"/>
                <w:szCs w:val="20"/>
                <w:color w:val="auto"/>
              </w:rPr>
            </w:pPr>
            <w:r>
              <w:rPr>
                <w:rFonts w:ascii="Arial" w:cs="Arial" w:eastAsia="Arial" w:hAnsi="Arial"/>
                <w:sz w:val="15"/>
                <w:szCs w:val="15"/>
                <w:color w:val="auto"/>
              </w:rPr>
              <w:t>(7)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Promissory Note between David A. Smith and Brocade, dated April 27,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10.23</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Extension Agreement between EMC Corporation and Brocade, dated December 18,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10.24</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Goods Agreement between International Business Machines Corporation and Brocade, dated April 15, 1999.</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10.25</w:t>
            </w:r>
          </w:p>
        </w:tc>
        <w:tc>
          <w:tcPr>
            <w:tcW w:w="840" w:type="dxa"/>
            <w:vAlign w:val="bottom"/>
          </w:tcPr>
          <w:p>
            <w:pPr>
              <w:ind w:left="20"/>
              <w:spacing w:after="0"/>
              <w:rPr>
                <w:sz w:val="20"/>
                <w:szCs w:val="20"/>
                <w:color w:val="auto"/>
              </w:rPr>
            </w:pPr>
            <w:r>
              <w:rPr>
                <w:rFonts w:ascii="Arial" w:cs="Arial" w:eastAsia="Arial" w:hAnsi="Arial"/>
                <w:sz w:val="15"/>
                <w:szCs w:val="15"/>
                <w:color w:val="auto"/>
              </w:rPr>
              <w:t>(8)</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#1 to the Goods Agreement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10.26</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Statement of Work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10.27</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#3 to Statement of Work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10.28</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#4 to Statement of Work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10.29</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Statement of Work #2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10.30</w:t>
            </w:r>
          </w:p>
        </w:tc>
        <w:tc>
          <w:tcPr>
            <w:tcW w:w="840" w:type="dxa"/>
            <w:vAlign w:val="bottom"/>
          </w:tcPr>
          <w:p>
            <w:pPr>
              <w:ind w:left="20"/>
              <w:spacing w:after="0"/>
              <w:rPr>
                <w:sz w:val="20"/>
                <w:szCs w:val="20"/>
                <w:color w:val="auto"/>
              </w:rPr>
            </w:pPr>
            <w:r>
              <w:rPr>
                <w:rFonts w:ascii="Arial" w:cs="Arial" w:eastAsia="Arial" w:hAnsi="Arial"/>
                <w:sz w:val="15"/>
                <w:szCs w:val="15"/>
                <w:color w:val="auto"/>
              </w:rPr>
              <w:t>(5)</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Third Amendment to Credit Agreement between Comerica Bank-California and Brocade, dated January 22, 2001.</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10.31</w:t>
            </w:r>
          </w:p>
        </w:tc>
        <w:tc>
          <w:tcPr>
            <w:tcW w:w="840" w:type="dxa"/>
            <w:vAlign w:val="bottom"/>
          </w:tcPr>
          <w:p>
            <w:pPr>
              <w:ind w:left="20"/>
              <w:spacing w:after="0"/>
              <w:rPr>
                <w:sz w:val="20"/>
                <w:szCs w:val="20"/>
                <w:color w:val="auto"/>
              </w:rPr>
            </w:pPr>
            <w:r>
              <w:rPr>
                <w:rFonts w:ascii="Arial" w:cs="Arial" w:eastAsia="Arial" w:hAnsi="Arial"/>
                <w:sz w:val="15"/>
                <w:szCs w:val="15"/>
                <w:color w:val="auto"/>
              </w:rPr>
              <w:t>(5)</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Lease Agreement between MV Golden State San Jose, LLC and Brocade, dated December 1,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10.32</w:t>
            </w:r>
          </w:p>
        </w:tc>
        <w:tc>
          <w:tcPr>
            <w:tcW w:w="840" w:type="dxa"/>
            <w:vAlign w:val="bottom"/>
          </w:tcPr>
          <w:p>
            <w:pPr>
              <w:ind w:left="20"/>
              <w:spacing w:after="0"/>
              <w:rPr>
                <w:sz w:val="20"/>
                <w:szCs w:val="20"/>
                <w:color w:val="auto"/>
              </w:rPr>
            </w:pPr>
            <w:r>
              <w:rPr>
                <w:rFonts w:ascii="Arial" w:cs="Arial" w:eastAsia="Arial" w:hAnsi="Arial"/>
                <w:sz w:val="15"/>
                <w:szCs w:val="15"/>
                <w:color w:val="auto"/>
              </w:rPr>
              <w:t>(11)</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w w:val="92"/>
              </w:rPr>
              <w:t>Preferred Stock Rights Agreement, dated as of February 7, 2002, between Brocade and Wells Fargo Bank, MN N.A., including the Certificate</w:t>
            </w:r>
          </w:p>
        </w:tc>
        <w:tc>
          <w:tcPr>
            <w:tcW w:w="94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of Designation, the form of Rights Certificate and the Summary of Rights attached thereto as Exhibits A, B, and C, respectively.</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10.33</w:t>
            </w:r>
          </w:p>
        </w:tc>
        <w:tc>
          <w:tcPr>
            <w:tcW w:w="840" w:type="dxa"/>
            <w:vAlign w:val="bottom"/>
          </w:tcPr>
          <w:p>
            <w:pPr>
              <w:ind w:left="20"/>
              <w:spacing w:after="0"/>
              <w:rPr>
                <w:sz w:val="20"/>
                <w:szCs w:val="20"/>
                <w:color w:val="auto"/>
              </w:rPr>
            </w:pPr>
            <w:r>
              <w:rPr>
                <w:rFonts w:ascii="Arial" w:cs="Arial" w:eastAsia="Arial" w:hAnsi="Arial"/>
                <w:sz w:val="15"/>
                <w:szCs w:val="15"/>
                <w:color w:val="auto"/>
              </w:rPr>
              <w:t>(10)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5 to Statement of Work No.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10.34</w:t>
            </w:r>
          </w:p>
        </w:tc>
        <w:tc>
          <w:tcPr>
            <w:tcW w:w="840" w:type="dxa"/>
            <w:vAlign w:val="bottom"/>
          </w:tcPr>
          <w:p>
            <w:pPr>
              <w:ind w:left="20"/>
              <w:spacing w:after="0"/>
              <w:rPr>
                <w:sz w:val="20"/>
                <w:szCs w:val="20"/>
                <w:color w:val="auto"/>
              </w:rPr>
            </w:pPr>
            <w:r>
              <w:rPr>
                <w:rFonts w:ascii="Arial" w:cs="Arial" w:eastAsia="Arial" w:hAnsi="Arial"/>
                <w:sz w:val="15"/>
                <w:szCs w:val="15"/>
                <w:color w:val="auto"/>
              </w:rPr>
              <w:t>(10)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6 to Statement of Work No.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10.35</w:t>
            </w:r>
          </w:p>
        </w:tc>
        <w:tc>
          <w:tcPr>
            <w:tcW w:w="840" w:type="dxa"/>
            <w:vAlign w:val="bottom"/>
          </w:tcPr>
          <w:p>
            <w:pPr>
              <w:ind w:left="20"/>
              <w:spacing w:after="0"/>
              <w:rPr>
                <w:sz w:val="20"/>
                <w:szCs w:val="20"/>
                <w:color w:val="auto"/>
              </w:rPr>
            </w:pPr>
            <w:r>
              <w:rPr>
                <w:rFonts w:ascii="Arial" w:cs="Arial" w:eastAsia="Arial" w:hAnsi="Arial"/>
                <w:sz w:val="15"/>
                <w:szCs w:val="15"/>
                <w:color w:val="auto"/>
              </w:rPr>
              <w:t>(10)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1 to Statement of Work No. 2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10.36</w:t>
            </w:r>
          </w:p>
        </w:tc>
        <w:tc>
          <w:tcPr>
            <w:tcW w:w="840" w:type="dxa"/>
            <w:vAlign w:val="bottom"/>
          </w:tcPr>
          <w:p>
            <w:pPr>
              <w:ind w:left="20"/>
              <w:spacing w:after="0"/>
              <w:rPr>
                <w:sz w:val="20"/>
                <w:szCs w:val="20"/>
                <w:color w:val="auto"/>
              </w:rPr>
            </w:pPr>
            <w:r>
              <w:rPr>
                <w:rFonts w:ascii="Arial" w:cs="Arial" w:eastAsia="Arial" w:hAnsi="Arial"/>
                <w:sz w:val="15"/>
                <w:szCs w:val="15"/>
                <w:color w:val="auto"/>
              </w:rPr>
              <w:t>(10)</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2 to Statement of Work No. 2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10.37</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7 to Statement of Work No.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10.38</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w w:val="94"/>
              </w:rPr>
              <w:t>OEM Purchase Agreement between Brocade and Hewlett-Packard Company, dated January 28, 2000 (2000 OEM Purchase Agreement).</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10.39</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to 2000 OEM Purchase Agreement between Brocade and Hewlett-Packard Company, dated April 20, 2001.</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10.40</w:t>
            </w:r>
          </w:p>
        </w:tc>
        <w:tc>
          <w:tcPr>
            <w:tcW w:w="840" w:type="dxa"/>
            <w:vAlign w:val="bottom"/>
          </w:tcPr>
          <w:p>
            <w:pPr>
              <w:spacing w:after="0"/>
              <w:rPr>
                <w:sz w:val="16"/>
                <w:szCs w:val="16"/>
                <w:color w:val="auto"/>
              </w:rPr>
            </w:pP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Letter Amendment to 2000 OEM Purchase Agreement between Brocade and Hewlett-Packard Company, dated January 25, 2002.</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10.41</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w w:val="97"/>
              </w:rPr>
              <w:t>OEM Purchase Agreement between Brocade and Hewlett-Packard Company, dated April 20, 2001 (2001 OEM Purchase Agreement).</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10.42</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1 to 2001 OEM Purchase Agreement between Brocade and Hewlett-Packard Company, dated July 1, 2001.</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10.43</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w w:val="99"/>
              </w:rPr>
              <w:t>Amendment No. 2 to 2001 OEM Purchase Agreement between Brocade and Hewlett-Packard Company, dated November 6, 2001.</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10.44</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3 to 2001 OEM Purchase Agreement between Brocade and Hewlett-Packard Company, dated February 1, 2002.</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10.45</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4 to 2001 OEM Purchase Agreement between Brocade and Hewlett-Packard Company, dated June 5, 2002.</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rPr>
              <w:t>12.1</w:t>
            </w:r>
          </w:p>
        </w:tc>
        <w:tc>
          <w:tcPr>
            <w:tcW w:w="840" w:type="dxa"/>
            <w:vAlign w:val="bottom"/>
          </w:tcPr>
          <w:p>
            <w:pPr>
              <w:spacing w:after="0"/>
              <w:rPr>
                <w:sz w:val="16"/>
                <w:szCs w:val="16"/>
                <w:color w:val="auto"/>
              </w:rPr>
            </w:pP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Statement of Computation of Ratio of Earnings to Fixed Charges</w:t>
            </w:r>
          </w:p>
        </w:tc>
        <w:tc>
          <w:tcPr>
            <w:tcW w:w="940" w:type="dxa"/>
            <w:vAlign w:val="bottom"/>
          </w:tcPr>
          <w:p>
            <w:pPr>
              <w:spacing w:after="0"/>
              <w:rPr>
                <w:sz w:val="16"/>
                <w:szCs w:val="16"/>
                <w:color w:val="auto"/>
              </w:rPr>
            </w:pPr>
          </w:p>
        </w:tc>
      </w:tr>
      <w:tr>
        <w:trPr>
          <w:trHeight w:val="191"/>
        </w:trPr>
        <w:tc>
          <w:tcPr>
            <w:tcW w:w="640" w:type="dxa"/>
            <w:vAlign w:val="bottom"/>
            <w:gridSpan w:val="2"/>
          </w:tcPr>
          <w:p>
            <w:pPr>
              <w:ind w:left="280"/>
              <w:spacing w:after="0"/>
              <w:rPr>
                <w:sz w:val="20"/>
                <w:szCs w:val="20"/>
                <w:color w:val="auto"/>
              </w:rPr>
            </w:pPr>
            <w:r>
              <w:rPr>
                <w:rFonts w:ascii="Arial" w:cs="Arial" w:eastAsia="Arial" w:hAnsi="Arial"/>
                <w:sz w:val="15"/>
                <w:szCs w:val="15"/>
                <w:color w:val="auto"/>
              </w:rPr>
              <w:t>99.1</w:t>
            </w:r>
          </w:p>
        </w:tc>
        <w:tc>
          <w:tcPr>
            <w:tcW w:w="840" w:type="dxa"/>
            <w:vAlign w:val="bottom"/>
          </w:tcPr>
          <w:p>
            <w:pPr>
              <w:spacing w:after="0"/>
              <w:rPr>
                <w:sz w:val="16"/>
                <w:szCs w:val="16"/>
                <w:color w:val="auto"/>
              </w:rPr>
            </w:pP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Certification Pursuant to 18 U.S.C Section 1350, as adopted pursuant to Section 906 of the Sarbanes-Oxley Act of 2002</w:t>
            </w:r>
          </w:p>
        </w:tc>
        <w:tc>
          <w:tcPr>
            <w:tcW w:w="940" w:type="dxa"/>
            <w:vAlign w:val="bottom"/>
          </w:tcPr>
          <w:p>
            <w:pPr>
              <w:spacing w:after="0"/>
              <w:rPr>
                <w:sz w:val="16"/>
                <w:szCs w:val="16"/>
                <w:color w:val="auto"/>
              </w:rPr>
            </w:pPr>
          </w:p>
        </w:tc>
      </w:tr>
      <w:tr>
        <w:trPr>
          <w:trHeight w:val="373"/>
        </w:trPr>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20" w:type="dxa"/>
            <w:vAlign w:val="bottom"/>
            <w:gridSpan w:val="2"/>
          </w:tcPr>
          <w:p>
            <w:pPr>
              <w:ind w:left="4100"/>
              <w:spacing w:after="0"/>
              <w:rPr>
                <w:sz w:val="20"/>
                <w:szCs w:val="20"/>
                <w:color w:val="auto"/>
              </w:rPr>
            </w:pPr>
            <w:r>
              <w:rPr>
                <w:rFonts w:ascii="Arial" w:cs="Arial" w:eastAsia="Arial" w:hAnsi="Arial"/>
                <w:sz w:val="15"/>
                <w:szCs w:val="15"/>
                <w:color w:val="auto"/>
              </w:rPr>
              <w:t>-29-</w:t>
            </w:r>
          </w:p>
        </w:tc>
        <w:tc>
          <w:tcPr>
            <w:tcW w:w="940" w:type="dxa"/>
            <w:vAlign w:val="bottom"/>
          </w:tcPr>
          <w:p>
            <w:pPr>
              <w:spacing w:after="0"/>
              <w:rPr>
                <w:sz w:val="24"/>
                <w:szCs w:val="24"/>
                <w:color w:val="auto"/>
              </w:rPr>
            </w:pPr>
          </w:p>
        </w:tc>
      </w:tr>
      <w:tr>
        <w:trPr>
          <w:trHeight w:val="197"/>
        </w:trPr>
        <w:tc>
          <w:tcPr>
            <w:tcW w:w="2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68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31" w:name="page32"/>
    <w:bookmarkEnd w:id="31"/>
    <w:p>
      <w:pPr>
        <w:ind w:left="7"/>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13246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24610" cy="7620"/>
                    </a:xfrm>
                    <a:prstGeom prst="rect">
                      <a:avLst/>
                    </a:prstGeom>
                    <a:noFill/>
                  </pic:spPr>
                </pic:pic>
              </a:graphicData>
            </a:graphic>
          </wp:anchor>
        </w:drawing>
      </w:r>
    </w:p>
    <w:p>
      <w:pPr>
        <w:spacing w:after="0" w:line="364" w:lineRule="exact"/>
        <w:rPr>
          <w:sz w:val="20"/>
          <w:szCs w:val="20"/>
          <w:color w:val="auto"/>
        </w:rPr>
      </w:pPr>
    </w:p>
    <w:p>
      <w:pPr>
        <w:ind w:left="587" w:hanging="587"/>
        <w:spacing w:after="0"/>
        <w:tabs>
          <w:tab w:leader="none" w:pos="587"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 required to be filed as an exhibit pursuant to Item 14(c) of Form 10-K.</w:t>
      </w:r>
    </w:p>
    <w:p>
      <w:pPr>
        <w:spacing w:after="0" w:line="30" w:lineRule="exact"/>
        <w:rPr>
          <w:sz w:val="20"/>
          <w:szCs w:val="20"/>
          <w:color w:val="auto"/>
        </w:rPr>
      </w:pPr>
    </w:p>
    <w:p>
      <w:pPr>
        <w:ind w:left="587" w:hanging="587"/>
        <w:spacing w:after="0"/>
        <w:tabs>
          <w:tab w:leader="none" w:pos="587"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Confidential treatment granted as to certain portions, which portions were omitted and filed separately with the Securities and Exchange Commission.</w:t>
      </w:r>
    </w:p>
    <w:p>
      <w:pPr>
        <w:spacing w:after="0" w:line="37" w:lineRule="exact"/>
        <w:rPr>
          <w:sz w:val="20"/>
          <w:szCs w:val="20"/>
          <w:color w:val="auto"/>
        </w:rPr>
      </w:pPr>
    </w:p>
    <w:p>
      <w:pPr>
        <w:ind w:left="587" w:hanging="587"/>
        <w:spacing w:after="0"/>
        <w:tabs>
          <w:tab w:leader="none" w:pos="587"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which portions are omitted and filed separately with the Securities and Exchange Commission.</w:t>
      </w:r>
    </w:p>
    <w:p>
      <w:pPr>
        <w:spacing w:after="0" w:line="37" w:lineRule="exact"/>
        <w:rPr>
          <w:sz w:val="20"/>
          <w:szCs w:val="20"/>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Registration Statement on Form S-1 (Reg. No. 333-74711), as amended.</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Registration Statement on Form S-8 (Reg. No. 333-95653) filed on January 28, 2000.</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Annual Report on Form 10-K for the fiscal year ended October 31, 1999, as amended.</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January 29, 2000.</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January 27, 2001.</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July 28, 2001.</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Annual Report on Form 10-K for the fiscal year ended October 28, 2000.</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Annual Report on Form 10-K for the fiscal year ended October 27, 2001.</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January 26, 2002.</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April 27, 2002.</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Incorporated by reference from Brocade’s Registration Statement on Form 8-A filed on February 11, 2002.</w:t>
      </w:r>
    </w:p>
    <w:p>
      <w:pPr>
        <w:spacing w:after="0" w:line="191" w:lineRule="exact"/>
        <w:rPr>
          <w:rFonts w:ascii="Arial" w:cs="Arial" w:eastAsia="Arial" w:hAnsi="Arial"/>
          <w:sz w:val="15"/>
          <w:szCs w:val="15"/>
          <w:color w:val="auto"/>
        </w:rPr>
      </w:pPr>
    </w:p>
    <w:p>
      <w:pPr>
        <w:ind w:left="447" w:hanging="257"/>
        <w:spacing w:after="0"/>
        <w:tabs>
          <w:tab w:leader="none" w:pos="447" w:val="left"/>
        </w:tabs>
        <w:numPr>
          <w:ilvl w:val="1"/>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Reports on Form 8-K.</w:t>
      </w:r>
    </w:p>
    <w:p>
      <w:pPr>
        <w:spacing w:after="0" w:line="204" w:lineRule="exact"/>
        <w:rPr>
          <w:sz w:val="20"/>
          <w:szCs w:val="20"/>
          <w:color w:val="auto"/>
        </w:rPr>
      </w:pPr>
    </w:p>
    <w:p>
      <w:pPr>
        <w:ind w:left="187"/>
        <w:spacing w:after="0"/>
        <w:rPr>
          <w:sz w:val="20"/>
          <w:szCs w:val="20"/>
          <w:color w:val="auto"/>
        </w:rPr>
      </w:pPr>
      <w:r>
        <w:rPr>
          <w:rFonts w:ascii="Arial" w:cs="Arial" w:eastAsia="Arial" w:hAnsi="Arial"/>
          <w:sz w:val="15"/>
          <w:szCs w:val="15"/>
          <w:color w:val="auto"/>
        </w:rPr>
        <w:t>We filed one report on Form 8-K during the quarter ended July 27, 2002. Information regarding the items reported on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1427" w:type="dxa"/>
        <w:tblCellMar>
          <w:top w:w="0" w:type="dxa"/>
          <w:left w:w="0" w:type="dxa"/>
          <w:bottom w:w="0" w:type="dxa"/>
          <w:right w:w="0" w:type="dxa"/>
        </w:tblCellMar>
      </w:tblPr>
      <w:tr>
        <w:trPr>
          <w:trHeight w:val="150"/>
        </w:trPr>
        <w:tc>
          <w:tcPr>
            <w:tcW w:w="1480" w:type="dxa"/>
            <w:vAlign w:val="bottom"/>
          </w:tcPr>
          <w:p>
            <w:pPr>
              <w:jc w:val="right"/>
              <w:ind w:right="553"/>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3"/>
                <w:szCs w:val="13"/>
                <w:color w:val="auto"/>
              </w:rPr>
            </w:pPr>
          </w:p>
        </w:tc>
        <w:tc>
          <w:tcPr>
            <w:tcW w:w="6020" w:type="dxa"/>
            <w:vAlign w:val="bottom"/>
          </w:tcPr>
          <w:p>
            <w:pPr>
              <w:ind w:left="2560"/>
              <w:spacing w:after="0"/>
              <w:rPr>
                <w:sz w:val="20"/>
                <w:szCs w:val="20"/>
                <w:color w:val="auto"/>
              </w:rPr>
            </w:pPr>
            <w:r>
              <w:rPr>
                <w:rFonts w:ascii="Arial" w:cs="Arial" w:eastAsia="Arial" w:hAnsi="Arial"/>
                <w:sz w:val="12"/>
                <w:szCs w:val="12"/>
                <w:b w:val="1"/>
                <w:bCs w:val="1"/>
                <w:color w:val="auto"/>
              </w:rPr>
              <w:t>Item Reported On</w:t>
            </w:r>
          </w:p>
        </w:tc>
      </w:tr>
      <w:tr>
        <w:trPr>
          <w:trHeight w:val="83"/>
        </w:trPr>
        <w:tc>
          <w:tcPr>
            <w:tcW w:w="148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6020" w:type="dxa"/>
            <w:vAlign w:val="bottom"/>
            <w:tcBorders>
              <w:bottom w:val="single" w:sz="8" w:color="808080"/>
            </w:tcBorders>
          </w:tcPr>
          <w:p>
            <w:pPr>
              <w:spacing w:after="0"/>
              <w:rPr>
                <w:sz w:val="7"/>
                <w:szCs w:val="7"/>
                <w:color w:val="auto"/>
              </w:rPr>
            </w:pPr>
          </w:p>
        </w:tc>
      </w:tr>
      <w:tr>
        <w:trPr>
          <w:trHeight w:val="269"/>
        </w:trPr>
        <w:tc>
          <w:tcPr>
            <w:tcW w:w="1480" w:type="dxa"/>
            <w:vAlign w:val="bottom"/>
          </w:tcPr>
          <w:p>
            <w:pPr>
              <w:jc w:val="right"/>
              <w:ind w:right="553"/>
              <w:spacing w:after="0"/>
              <w:rPr>
                <w:sz w:val="20"/>
                <w:szCs w:val="20"/>
                <w:color w:val="auto"/>
              </w:rPr>
            </w:pPr>
            <w:r>
              <w:rPr>
                <w:rFonts w:ascii="Arial" w:cs="Arial" w:eastAsia="Arial" w:hAnsi="Arial"/>
                <w:sz w:val="15"/>
                <w:szCs w:val="15"/>
                <w:color w:val="auto"/>
                <w:w w:val="88"/>
              </w:rPr>
              <w:t>June 18, 2002</w:t>
            </w:r>
          </w:p>
        </w:tc>
        <w:tc>
          <w:tcPr>
            <w:tcW w:w="6440" w:type="dxa"/>
            <w:vAlign w:val="bottom"/>
            <w:gridSpan w:val="2"/>
          </w:tcPr>
          <w:p>
            <w:pPr>
              <w:ind w:left="420"/>
              <w:spacing w:after="0"/>
              <w:rPr>
                <w:sz w:val="20"/>
                <w:szCs w:val="20"/>
                <w:color w:val="auto"/>
              </w:rPr>
            </w:pPr>
            <w:r>
              <w:rPr>
                <w:rFonts w:ascii="Arial" w:cs="Arial" w:eastAsia="Arial" w:hAnsi="Arial"/>
                <w:sz w:val="15"/>
                <w:szCs w:val="15"/>
                <w:color w:val="auto"/>
              </w:rPr>
              <w:t>Change in Certifying Accountant, as amended on June 25, 2002.</w:t>
            </w:r>
          </w:p>
        </w:tc>
      </w:tr>
    </w:tbl>
    <w:p>
      <w:pPr>
        <w:spacing w:after="0" w:line="182" w:lineRule="exact"/>
        <w:rPr>
          <w:sz w:val="20"/>
          <w:szCs w:val="20"/>
          <w:color w:val="auto"/>
        </w:rPr>
      </w:pPr>
    </w:p>
    <w:p>
      <w:pPr>
        <w:ind w:left="7"/>
        <w:spacing w:after="0"/>
        <w:rPr>
          <w:sz w:val="20"/>
          <w:szCs w:val="20"/>
          <w:color w:val="auto"/>
        </w:rPr>
      </w:pPr>
      <w:r>
        <w:rPr>
          <w:rFonts w:ascii="Arial" w:cs="Arial" w:eastAsia="Arial" w:hAnsi="Arial"/>
          <w:sz w:val="15"/>
          <w:szCs w:val="15"/>
          <w:color w:val="auto"/>
        </w:rPr>
        <w:t>Items 3, 4 and 5 are not applicable and have been omitted.</w:t>
      </w:r>
    </w:p>
    <w:p>
      <w:pPr>
        <w:spacing w:after="0" w:line="200" w:lineRule="exact"/>
        <w:rPr>
          <w:sz w:val="20"/>
          <w:szCs w:val="20"/>
          <w:color w:val="auto"/>
        </w:rPr>
      </w:pPr>
    </w:p>
    <w:p>
      <w:pPr>
        <w:ind w:left="5587"/>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7270750"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26"/>
          </w:cols>
          <w:pgMar w:left="233" w:top="380"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SIGNATURES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Brocade Communications Systems, Inc.</w:t>
      </w:r>
    </w:p>
    <w:p>
      <w:pPr>
        <w:spacing w:after="0" w:line="200" w:lineRule="exact"/>
        <w:rPr>
          <w:sz w:val="20"/>
          <w:szCs w:val="20"/>
          <w:color w:val="auto"/>
        </w:rPr>
      </w:pPr>
    </w:p>
    <w:p>
      <w:pPr>
        <w:spacing w:after="0" w:line="233" w:lineRule="exact"/>
        <w:rPr>
          <w:sz w:val="20"/>
          <w:szCs w:val="20"/>
          <w:color w:val="auto"/>
        </w:rPr>
      </w:pPr>
    </w:p>
    <w:p>
      <w:pPr>
        <w:spacing w:after="0"/>
        <w:tabs>
          <w:tab w:leader="none" w:pos="5620" w:val="left"/>
        </w:tabs>
        <w:rPr>
          <w:sz w:val="20"/>
          <w:szCs w:val="20"/>
          <w:color w:val="auto"/>
        </w:rPr>
      </w:pPr>
      <w:r>
        <w:rPr>
          <w:rFonts w:ascii="Arial" w:cs="Arial" w:eastAsia="Arial" w:hAnsi="Arial"/>
          <w:sz w:val="15"/>
          <w:szCs w:val="15"/>
          <w:color w:val="auto"/>
        </w:rPr>
        <w:t>Date: August 27, 2002</w:t>
      </w:r>
      <w:r>
        <w:rPr>
          <w:sz w:val="20"/>
          <w:szCs w:val="20"/>
          <w:color w:val="auto"/>
        </w:rPr>
        <w:tab/>
      </w:r>
      <w:r>
        <w:rPr>
          <w:rFonts w:ascii="Arial" w:cs="Arial" w:eastAsia="Arial" w:hAnsi="Arial"/>
          <w:sz w:val="14"/>
          <w:szCs w:val="14"/>
          <w:color w:val="auto"/>
        </w:rPr>
        <w:t>By: /s/ ANTONIO CANOVA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72390</wp:posOffset>
            </wp:positionV>
            <wp:extent cx="351409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14090" cy="7620"/>
                    </a:xfrm>
                    <a:prstGeom prst="rect">
                      <a:avLst/>
                    </a:prstGeom>
                    <a:noFill/>
                  </pic:spPr>
                </pic:pic>
              </a:graphicData>
            </a:graphic>
          </wp:anchor>
        </w:drawing>
      </w:r>
    </w:p>
    <w:p>
      <w:pPr>
        <w:spacing w:after="0" w:line="192"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Antonio Canova</w:t>
      </w:r>
    </w:p>
    <w:p>
      <w:pPr>
        <w:spacing w:after="0" w:line="18"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Vice President, Finance and</w:t>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Chief Financial Officer</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0750"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300"/>
          </w:cols>
          <w:pgMar w:left="240" w:top="380" w:right="35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60" w:type="dxa"/>
            <w:vAlign w:val="bottom"/>
          </w:tcPr>
          <w:p>
            <w:pPr>
              <w:ind w:left="2980"/>
              <w:spacing w:after="0"/>
              <w:rPr>
                <w:sz w:val="20"/>
                <w:szCs w:val="20"/>
                <w:color w:val="auto"/>
              </w:rPr>
            </w:pPr>
            <w:r>
              <w:rPr>
                <w:rFonts w:ascii="Arial" w:cs="Arial" w:eastAsia="Arial" w:hAnsi="Arial"/>
                <w:sz w:val="15"/>
                <w:szCs w:val="15"/>
                <w:b w:val="1"/>
                <w:bCs w:val="1"/>
                <w:color w:val="auto"/>
              </w:rPr>
              <w:t>EXHIBIT INDEX</w:t>
            </w:r>
          </w:p>
        </w:tc>
        <w:tc>
          <w:tcPr>
            <w:tcW w:w="940" w:type="dxa"/>
            <w:vAlign w:val="bottom"/>
          </w:tcPr>
          <w:p>
            <w:pPr>
              <w:spacing w:after="0"/>
              <w:rPr>
                <w:sz w:val="16"/>
                <w:szCs w:val="16"/>
                <w:color w:val="auto"/>
              </w:rPr>
            </w:pPr>
          </w:p>
        </w:tc>
      </w:tr>
      <w:tr>
        <w:trPr>
          <w:trHeight w:val="518"/>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344"/>
              <w:spacing w:after="0"/>
              <w:rPr>
                <w:sz w:val="20"/>
                <w:szCs w:val="20"/>
                <w:color w:val="auto"/>
              </w:rPr>
            </w:pPr>
            <w:r>
              <w:rPr>
                <w:rFonts w:ascii="Arial" w:cs="Arial" w:eastAsia="Arial" w:hAnsi="Arial"/>
                <w:sz w:val="12"/>
                <w:szCs w:val="12"/>
                <w:color w:val="auto"/>
              </w:rPr>
              <w:t>Exhibit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8"/>
        </w:trPr>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24"/>
              <w:spacing w:after="0"/>
              <w:rPr>
                <w:sz w:val="20"/>
                <w:szCs w:val="20"/>
                <w:color w:val="auto"/>
              </w:rPr>
            </w:pPr>
            <w:r>
              <w:rPr>
                <w:rFonts w:ascii="Arial" w:cs="Arial" w:eastAsia="Arial" w:hAnsi="Arial"/>
                <w:sz w:val="12"/>
                <w:szCs w:val="12"/>
                <w:color w:val="auto"/>
              </w:rPr>
              <w:t>Number</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360" w:type="dxa"/>
            <w:vAlign w:val="bottom"/>
          </w:tcPr>
          <w:p>
            <w:pPr>
              <w:ind w:left="3420"/>
              <w:spacing w:after="0"/>
              <w:rPr>
                <w:sz w:val="20"/>
                <w:szCs w:val="20"/>
                <w:color w:val="auto"/>
              </w:rPr>
            </w:pPr>
            <w:r>
              <w:rPr>
                <w:rFonts w:ascii="Arial" w:cs="Arial" w:eastAsia="Arial" w:hAnsi="Arial"/>
                <w:sz w:val="12"/>
                <w:szCs w:val="12"/>
                <w:color w:val="auto"/>
              </w:rPr>
              <w:t>Description of Document</w:t>
            </w:r>
          </w:p>
        </w:tc>
        <w:tc>
          <w:tcPr>
            <w:tcW w:w="940" w:type="dxa"/>
            <w:vAlign w:val="bottom"/>
          </w:tcPr>
          <w:p>
            <w:pPr>
              <w:spacing w:after="0"/>
              <w:rPr>
                <w:sz w:val="12"/>
                <w:szCs w:val="12"/>
                <w:color w:val="auto"/>
              </w:rPr>
            </w:pPr>
          </w:p>
        </w:tc>
      </w:tr>
      <w:tr>
        <w:trPr>
          <w:trHeight w:val="83"/>
        </w:trPr>
        <w:tc>
          <w:tcPr>
            <w:tcW w:w="28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680" w:type="dxa"/>
            <w:vAlign w:val="bottom"/>
            <w:tcBorders>
              <w:bottom w:val="single" w:sz="8" w:color="808080"/>
            </w:tcBorders>
            <w:gridSpan w:val="2"/>
          </w:tcPr>
          <w:p>
            <w:pPr>
              <w:spacing w:after="0"/>
              <w:rPr>
                <w:sz w:val="7"/>
                <w:szCs w:val="7"/>
                <w:color w:val="auto"/>
              </w:rPr>
            </w:pPr>
          </w:p>
        </w:tc>
        <w:tc>
          <w:tcPr>
            <w:tcW w:w="940" w:type="dxa"/>
            <w:vAlign w:val="bottom"/>
          </w:tcPr>
          <w:p>
            <w:pPr>
              <w:spacing w:after="0"/>
              <w:rPr>
                <w:sz w:val="7"/>
                <w:szCs w:val="7"/>
                <w:color w:val="auto"/>
              </w:rPr>
            </w:pPr>
          </w:p>
        </w:tc>
      </w:tr>
      <w:tr>
        <w:trPr>
          <w:trHeight w:val="264"/>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3.1</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(8)</w:t>
            </w:r>
          </w:p>
        </w:tc>
        <w:tc>
          <w:tcPr>
            <w:tcW w:w="700" w:type="dxa"/>
            <w:vAlign w:val="bottom"/>
          </w:tcPr>
          <w:p>
            <w:pPr>
              <w:spacing w:after="0"/>
              <w:rPr>
                <w:sz w:val="22"/>
                <w:szCs w:val="22"/>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Amended and Restated Certificate of Incorporation.</w:t>
            </w:r>
          </w:p>
        </w:tc>
        <w:tc>
          <w:tcPr>
            <w:tcW w:w="940" w:type="dxa"/>
            <w:vAlign w:val="bottom"/>
          </w:tcPr>
          <w:p>
            <w:pPr>
              <w:spacing w:after="0"/>
              <w:rPr>
                <w:sz w:val="22"/>
                <w:szCs w:val="22"/>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3.2</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(1)</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Bylaws of the Registrant.</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3.3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w w:val="89"/>
              </w:rPr>
              <w:t>(10)</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w w:val="97"/>
              </w:rPr>
              <w:t>Certificate of Designation of Rights, Preferences and Privileges of Series A Participating Preferred Stock of Brocade Communications</w:t>
            </w:r>
          </w:p>
        </w:tc>
        <w:tc>
          <w:tcPr>
            <w:tcW w:w="94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Systems, Inc. (included in Exhibit 10.32)</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4.1</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(1)</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Form of Registrant’s Common Stock certificate.</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4.2</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(9)</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Indenture, dated as of December 21, 2001, between Brocade and State Street Bank and Trust Company of California, N.A.</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4.3</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(9)</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Form of Note (included in Exhibit 4.2)</w:t>
            </w:r>
          </w:p>
        </w:tc>
        <w:tc>
          <w:tcPr>
            <w:tcW w:w="940" w:type="dxa"/>
            <w:vAlign w:val="bottom"/>
          </w:tcPr>
          <w:p>
            <w:pPr>
              <w:spacing w:after="0"/>
              <w:rPr>
                <w:sz w:val="16"/>
                <w:szCs w:val="16"/>
                <w:color w:val="auto"/>
              </w:rPr>
            </w:pPr>
          </w:p>
        </w:tc>
      </w:tr>
      <w:tr>
        <w:trPr>
          <w:trHeight w:val="186"/>
        </w:trPr>
        <w:tc>
          <w:tcPr>
            <w:tcW w:w="500" w:type="dxa"/>
            <w:vAlign w:val="bottom"/>
            <w:gridSpan w:val="2"/>
          </w:tcPr>
          <w:p>
            <w:pPr>
              <w:ind w:left="280"/>
              <w:spacing w:after="0"/>
              <w:rPr>
                <w:sz w:val="20"/>
                <w:szCs w:val="20"/>
                <w:color w:val="auto"/>
              </w:rPr>
            </w:pPr>
            <w:r>
              <w:rPr>
                <w:rFonts w:ascii="Arial" w:cs="Arial" w:eastAsia="Arial" w:hAnsi="Arial"/>
                <w:sz w:val="15"/>
                <w:szCs w:val="15"/>
                <w:color w:val="auto"/>
                <w:w w:val="95"/>
              </w:rPr>
              <w:t>4.4</w:t>
            </w:r>
          </w:p>
        </w:tc>
        <w:tc>
          <w:tcPr>
            <w:tcW w:w="280" w:type="dxa"/>
            <w:vAlign w:val="bottom"/>
            <w:gridSpan w:val="2"/>
          </w:tcPr>
          <w:p>
            <w:pPr>
              <w:jc w:val="right"/>
              <w:ind w:right="27"/>
              <w:spacing w:after="0"/>
              <w:rPr>
                <w:sz w:val="20"/>
                <w:szCs w:val="20"/>
                <w:color w:val="auto"/>
              </w:rPr>
            </w:pPr>
            <w:r>
              <w:rPr>
                <w:rFonts w:ascii="Arial" w:cs="Arial" w:eastAsia="Arial" w:hAnsi="Arial"/>
                <w:sz w:val="15"/>
                <w:szCs w:val="15"/>
                <w:color w:val="auto"/>
                <w:w w:val="87"/>
              </w:rPr>
              <w:t>(9)</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w w:val="93"/>
              </w:rPr>
              <w:t>Registration Rights Agreement, dated as of December 21, 2001, by and among Brocade and Morgan Stanley &amp; Co. Incorporated, Goldman,</w:t>
            </w:r>
          </w:p>
        </w:tc>
        <w:tc>
          <w:tcPr>
            <w:tcW w:w="94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Sachs &amp; Co., Salomon Smith Barney Inc. and Merrill Lynch Pierce Fenner and Smith Incorporated.</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10.1</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Form of Indemnification Agreement entered into between Brocade and each of its directors and executive officers.</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10.2</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1995</w:t>
            </w:r>
          </w:p>
        </w:tc>
        <w:tc>
          <w:tcPr>
            <w:tcW w:w="8360" w:type="dxa"/>
            <w:vAlign w:val="bottom"/>
          </w:tcPr>
          <w:p>
            <w:pPr>
              <w:ind w:left="20"/>
              <w:spacing w:after="0"/>
              <w:rPr>
                <w:sz w:val="20"/>
                <w:szCs w:val="20"/>
                <w:color w:val="auto"/>
              </w:rPr>
            </w:pPr>
            <w:r>
              <w:rPr>
                <w:rFonts w:ascii="Arial" w:cs="Arial" w:eastAsia="Arial" w:hAnsi="Arial"/>
                <w:sz w:val="15"/>
                <w:szCs w:val="15"/>
                <w:color w:val="auto"/>
              </w:rPr>
              <w:t>Equity Incentive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10.3</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1998</w:t>
            </w:r>
          </w:p>
        </w:tc>
        <w:tc>
          <w:tcPr>
            <w:tcW w:w="8360" w:type="dxa"/>
            <w:vAlign w:val="bottom"/>
          </w:tcPr>
          <w:p>
            <w:pPr>
              <w:ind w:left="20"/>
              <w:spacing w:after="0"/>
              <w:rPr>
                <w:sz w:val="20"/>
                <w:szCs w:val="20"/>
                <w:color w:val="auto"/>
              </w:rPr>
            </w:pPr>
            <w:r>
              <w:rPr>
                <w:rFonts w:ascii="Arial" w:cs="Arial" w:eastAsia="Arial" w:hAnsi="Arial"/>
                <w:sz w:val="15"/>
                <w:szCs w:val="15"/>
                <w:color w:val="auto"/>
              </w:rPr>
              <w:t>Equity Incentive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10.4</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1998</w:t>
            </w:r>
          </w:p>
        </w:tc>
        <w:tc>
          <w:tcPr>
            <w:tcW w:w="8360" w:type="dxa"/>
            <w:vAlign w:val="bottom"/>
          </w:tcPr>
          <w:p>
            <w:pPr>
              <w:ind w:left="20"/>
              <w:spacing w:after="0"/>
              <w:rPr>
                <w:sz w:val="20"/>
                <w:szCs w:val="20"/>
                <w:color w:val="auto"/>
              </w:rPr>
            </w:pPr>
            <w:r>
              <w:rPr>
                <w:rFonts w:ascii="Arial" w:cs="Arial" w:eastAsia="Arial" w:hAnsi="Arial"/>
                <w:sz w:val="15"/>
                <w:szCs w:val="15"/>
                <w:color w:val="auto"/>
              </w:rPr>
              <w:t>Executive Equity Incentive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10.5</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(6)</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Amended and Restated 1999 Director Option Plan as of April 17, 2001, and form of agreement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10.6</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1999</w:t>
            </w:r>
          </w:p>
        </w:tc>
        <w:tc>
          <w:tcPr>
            <w:tcW w:w="8360" w:type="dxa"/>
            <w:vAlign w:val="bottom"/>
          </w:tcPr>
          <w:p>
            <w:pPr>
              <w:ind w:left="20"/>
              <w:spacing w:after="0"/>
              <w:rPr>
                <w:sz w:val="20"/>
                <w:szCs w:val="20"/>
                <w:color w:val="auto"/>
              </w:rPr>
            </w:pPr>
            <w:r>
              <w:rPr>
                <w:rFonts w:ascii="Arial" w:cs="Arial" w:eastAsia="Arial" w:hAnsi="Arial"/>
                <w:sz w:val="15"/>
                <w:szCs w:val="15"/>
                <w:color w:val="auto"/>
              </w:rPr>
              <w:t>Employee Stock Purchase Plan.</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10.7</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1999</w:t>
            </w:r>
          </w:p>
        </w:tc>
        <w:tc>
          <w:tcPr>
            <w:tcW w:w="8360" w:type="dxa"/>
            <w:vAlign w:val="bottom"/>
          </w:tcPr>
          <w:p>
            <w:pPr>
              <w:ind w:left="20"/>
              <w:spacing w:after="0"/>
              <w:rPr>
                <w:sz w:val="20"/>
                <w:szCs w:val="20"/>
                <w:color w:val="auto"/>
              </w:rPr>
            </w:pPr>
            <w:r>
              <w:rPr>
                <w:rFonts w:ascii="Arial" w:cs="Arial" w:eastAsia="Arial" w:hAnsi="Arial"/>
                <w:sz w:val="15"/>
                <w:szCs w:val="15"/>
                <w:color w:val="auto"/>
              </w:rPr>
              <w:t>Stock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10.8</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70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340"/>
              <w:spacing w:after="0"/>
              <w:rPr>
                <w:sz w:val="20"/>
                <w:szCs w:val="20"/>
                <w:color w:val="auto"/>
              </w:rPr>
            </w:pPr>
            <w:r>
              <w:rPr>
                <w:rFonts w:ascii="Arial" w:cs="Arial" w:eastAsia="Arial" w:hAnsi="Arial"/>
                <w:sz w:val="15"/>
                <w:szCs w:val="15"/>
                <w:color w:val="auto"/>
                <w:w w:val="89"/>
              </w:rPr>
              <w:t>1999</w:t>
            </w:r>
          </w:p>
        </w:tc>
        <w:tc>
          <w:tcPr>
            <w:tcW w:w="8360" w:type="dxa"/>
            <w:vAlign w:val="bottom"/>
          </w:tcPr>
          <w:p>
            <w:pPr>
              <w:ind w:left="20"/>
              <w:spacing w:after="0"/>
              <w:rPr>
                <w:sz w:val="20"/>
                <w:szCs w:val="20"/>
                <w:color w:val="auto"/>
              </w:rPr>
            </w:pPr>
            <w:r>
              <w:rPr>
                <w:rFonts w:ascii="Arial" w:cs="Arial" w:eastAsia="Arial" w:hAnsi="Arial"/>
                <w:sz w:val="15"/>
                <w:szCs w:val="15"/>
                <w:color w:val="auto"/>
              </w:rPr>
              <w:t>Nonstatutory Stock Option Plan and forms of agreements thereunder.</w:t>
            </w:r>
          </w:p>
        </w:tc>
        <w:tc>
          <w:tcPr>
            <w:tcW w:w="940" w:type="dxa"/>
            <w:vAlign w:val="bottom"/>
          </w:tcPr>
          <w:p>
            <w:pPr>
              <w:spacing w:after="0"/>
              <w:rPr>
                <w:sz w:val="16"/>
                <w:szCs w:val="16"/>
                <w:color w:val="auto"/>
              </w:rPr>
            </w:pPr>
          </w:p>
        </w:tc>
      </w:tr>
      <w:tr>
        <w:trPr>
          <w:trHeight w:val="186"/>
        </w:trPr>
        <w:tc>
          <w:tcPr>
            <w:tcW w:w="560" w:type="dxa"/>
            <w:vAlign w:val="bottom"/>
            <w:gridSpan w:val="3"/>
          </w:tcPr>
          <w:p>
            <w:pPr>
              <w:ind w:left="280"/>
              <w:spacing w:after="0"/>
              <w:rPr>
                <w:sz w:val="20"/>
                <w:szCs w:val="20"/>
                <w:color w:val="auto"/>
              </w:rPr>
            </w:pPr>
            <w:r>
              <w:rPr>
                <w:rFonts w:ascii="Arial" w:cs="Arial" w:eastAsia="Arial" w:hAnsi="Arial"/>
                <w:sz w:val="15"/>
                <w:szCs w:val="15"/>
                <w:color w:val="auto"/>
                <w:w w:val="88"/>
              </w:rPr>
              <w:t>10.9</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700" w:type="dxa"/>
            <w:vAlign w:val="bottom"/>
          </w:tcPr>
          <w:p>
            <w:pPr>
              <w:spacing w:after="0"/>
              <w:rPr>
                <w:sz w:val="16"/>
                <w:szCs w:val="16"/>
                <w:color w:val="auto"/>
              </w:rPr>
            </w:pP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Master Equipment Lease Agreement between Venture Lending &amp; Leasing, Inc. and Brocade, dated September 5, 1996.</w:t>
            </w:r>
          </w:p>
        </w:tc>
        <w:tc>
          <w:tcPr>
            <w:tcW w:w="940" w:type="dxa"/>
            <w:vAlign w:val="bottom"/>
          </w:tcPr>
          <w:p>
            <w:pPr>
              <w:spacing w:after="0"/>
              <w:rPr>
                <w:sz w:val="16"/>
                <w:szCs w:val="16"/>
                <w:color w:val="auto"/>
              </w:rPr>
            </w:pPr>
          </w:p>
        </w:tc>
      </w:tr>
      <w:tr>
        <w:trPr>
          <w:trHeight w:val="191"/>
        </w:trPr>
        <w:tc>
          <w:tcPr>
            <w:tcW w:w="1480" w:type="dxa"/>
            <w:vAlign w:val="bottom"/>
            <w:gridSpan w:val="5"/>
          </w:tcPr>
          <w:p>
            <w:pPr>
              <w:ind w:left="280"/>
              <w:spacing w:after="0"/>
              <w:rPr>
                <w:sz w:val="20"/>
                <w:szCs w:val="20"/>
                <w:color w:val="auto"/>
              </w:rPr>
            </w:pPr>
            <w:r>
              <w:rPr>
                <w:rFonts w:ascii="Arial" w:cs="Arial" w:eastAsia="Arial" w:hAnsi="Arial"/>
                <w:sz w:val="15"/>
                <w:szCs w:val="15"/>
                <w:color w:val="auto"/>
              </w:rPr>
              <w:t>10.10 (1) #</w:t>
            </w:r>
          </w:p>
        </w:tc>
        <w:tc>
          <w:tcPr>
            <w:tcW w:w="9020" w:type="dxa"/>
            <w:vAlign w:val="bottom"/>
            <w:gridSpan w:val="3"/>
          </w:tcPr>
          <w:p>
            <w:pPr>
              <w:ind w:left="340"/>
              <w:spacing w:after="0"/>
              <w:rPr>
                <w:sz w:val="20"/>
                <w:szCs w:val="20"/>
                <w:color w:val="auto"/>
              </w:rPr>
            </w:pPr>
            <w:r>
              <w:rPr>
                <w:rFonts w:ascii="Arial" w:cs="Arial" w:eastAsia="Arial" w:hAnsi="Arial"/>
                <w:sz w:val="15"/>
                <w:szCs w:val="15"/>
                <w:color w:val="auto"/>
              </w:rPr>
              <w:t>Acknowledgement between Wind River Systems, Inc. and Brocade, dated April 22, 1999.</w:t>
            </w:r>
          </w:p>
        </w:tc>
        <w:tc>
          <w:tcPr>
            <w:tcW w:w="940" w:type="dxa"/>
            <w:vAlign w:val="bottom"/>
          </w:tcPr>
          <w:p>
            <w:pPr>
              <w:spacing w:after="0"/>
              <w:rPr>
                <w:sz w:val="16"/>
                <w:szCs w:val="16"/>
                <w:color w:val="auto"/>
              </w:rPr>
            </w:pPr>
          </w:p>
        </w:tc>
      </w:tr>
      <w:tr>
        <w:trPr>
          <w:trHeight w:val="197"/>
        </w:trPr>
        <w:tc>
          <w:tcPr>
            <w:tcW w:w="2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83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ind w:left="80"/>
              <w:spacing w:after="0"/>
              <w:rPr>
                <w:sz w:val="20"/>
                <w:szCs w:val="20"/>
                <w:color w:val="auto"/>
              </w:rPr>
            </w:pPr>
            <w:r>
              <w:rPr>
                <w:rFonts w:ascii="Arial" w:cs="Arial" w:eastAsia="Arial" w:hAnsi="Arial"/>
                <w:sz w:val="12"/>
                <w:szCs w:val="12"/>
                <w:color w:val="auto"/>
              </w:rPr>
              <w:t>Exhibit</w:t>
            </w:r>
          </w:p>
        </w:tc>
        <w:tc>
          <w:tcPr>
            <w:tcW w:w="34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color w:val="auto"/>
              </w:rPr>
              <w:t>Number</w:t>
            </w:r>
          </w:p>
        </w:tc>
        <w:tc>
          <w:tcPr>
            <w:tcW w:w="340" w:type="dxa"/>
            <w:vAlign w:val="bottom"/>
          </w:tcPr>
          <w:p>
            <w:pPr>
              <w:spacing w:after="0"/>
              <w:rPr>
                <w:sz w:val="12"/>
                <w:szCs w:val="12"/>
                <w:color w:val="auto"/>
              </w:rPr>
            </w:pPr>
          </w:p>
        </w:tc>
        <w:tc>
          <w:tcPr>
            <w:tcW w:w="8680" w:type="dxa"/>
            <w:vAlign w:val="bottom"/>
          </w:tcPr>
          <w:p>
            <w:pPr>
              <w:ind w:left="3740"/>
              <w:spacing w:after="0"/>
              <w:rPr>
                <w:sz w:val="20"/>
                <w:szCs w:val="20"/>
                <w:color w:val="auto"/>
              </w:rPr>
            </w:pPr>
            <w:r>
              <w:rPr>
                <w:rFonts w:ascii="Arial" w:cs="Arial" w:eastAsia="Arial" w:hAnsi="Arial"/>
                <w:sz w:val="12"/>
                <w:szCs w:val="12"/>
                <w:color w:val="auto"/>
              </w:rPr>
              <w:t>Description of Document</w:t>
            </w:r>
          </w:p>
        </w:tc>
        <w:tc>
          <w:tcPr>
            <w:tcW w:w="940" w:type="dxa"/>
            <w:vAlign w:val="bottom"/>
          </w:tcPr>
          <w:p>
            <w:pPr>
              <w:spacing w:after="0"/>
              <w:rPr>
                <w:sz w:val="12"/>
                <w:szCs w:val="12"/>
                <w:color w:val="auto"/>
              </w:rPr>
            </w:pPr>
          </w:p>
        </w:tc>
      </w:tr>
      <w:tr>
        <w:trPr>
          <w:trHeight w:val="83"/>
        </w:trPr>
        <w:tc>
          <w:tcPr>
            <w:tcW w:w="280" w:type="dxa"/>
            <w:vAlign w:val="bottom"/>
          </w:tcPr>
          <w:p>
            <w:pPr>
              <w:spacing w:after="0"/>
              <w:rPr>
                <w:sz w:val="7"/>
                <w:szCs w:val="7"/>
                <w:color w:val="auto"/>
              </w:rPr>
            </w:pPr>
          </w:p>
        </w:tc>
        <w:tc>
          <w:tcPr>
            <w:tcW w:w="1200" w:type="dxa"/>
            <w:vAlign w:val="bottom"/>
            <w:tcBorders>
              <w:bottom w:val="single" w:sz="8" w:color="808080"/>
            </w:tcBorders>
            <w:gridSpan w:val="2"/>
          </w:tcPr>
          <w:p>
            <w:pPr>
              <w:spacing w:after="0"/>
              <w:rPr>
                <w:sz w:val="7"/>
                <w:szCs w:val="7"/>
                <w:color w:val="auto"/>
              </w:rPr>
            </w:pPr>
          </w:p>
        </w:tc>
        <w:tc>
          <w:tcPr>
            <w:tcW w:w="340" w:type="dxa"/>
            <w:vAlign w:val="bottom"/>
          </w:tcPr>
          <w:p>
            <w:pPr>
              <w:spacing w:after="0"/>
              <w:rPr>
                <w:sz w:val="7"/>
                <w:szCs w:val="7"/>
                <w:color w:val="auto"/>
              </w:rPr>
            </w:pPr>
          </w:p>
        </w:tc>
        <w:tc>
          <w:tcPr>
            <w:tcW w:w="8680" w:type="dxa"/>
            <w:vAlign w:val="bottom"/>
            <w:tcBorders>
              <w:bottom w:val="single" w:sz="8" w:color="808080"/>
            </w:tcBorders>
          </w:tcPr>
          <w:p>
            <w:pPr>
              <w:spacing w:after="0"/>
              <w:rPr>
                <w:sz w:val="7"/>
                <w:szCs w:val="7"/>
                <w:color w:val="auto"/>
              </w:rPr>
            </w:pPr>
          </w:p>
        </w:tc>
        <w:tc>
          <w:tcPr>
            <w:tcW w:w="940" w:type="dxa"/>
            <w:vAlign w:val="bottom"/>
          </w:tcPr>
          <w:p>
            <w:pPr>
              <w:spacing w:after="0"/>
              <w:rPr>
                <w:sz w:val="7"/>
                <w:szCs w:val="7"/>
                <w:color w:val="auto"/>
              </w:rPr>
            </w:pPr>
          </w:p>
        </w:tc>
      </w:tr>
      <w:tr>
        <w:trPr>
          <w:trHeight w:val="264"/>
        </w:trPr>
        <w:tc>
          <w:tcPr>
            <w:tcW w:w="1480" w:type="dxa"/>
            <w:vAlign w:val="bottom"/>
            <w:gridSpan w:val="3"/>
          </w:tcPr>
          <w:p>
            <w:pPr>
              <w:ind w:left="280"/>
              <w:spacing w:after="0"/>
              <w:rPr>
                <w:sz w:val="20"/>
                <w:szCs w:val="20"/>
                <w:color w:val="auto"/>
              </w:rPr>
            </w:pPr>
            <w:r>
              <w:rPr>
                <w:rFonts w:ascii="Arial" w:cs="Arial" w:eastAsia="Arial" w:hAnsi="Arial"/>
                <w:sz w:val="15"/>
                <w:szCs w:val="15"/>
                <w:color w:val="auto"/>
              </w:rPr>
              <w:t>10.11 (1)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Letter Agreement with Michael J. Byrd, dated April 5, 1999.</w:t>
            </w:r>
          </w:p>
        </w:tc>
        <w:tc>
          <w:tcPr>
            <w:tcW w:w="940" w:type="dxa"/>
            <w:vAlign w:val="bottom"/>
          </w:tcPr>
          <w:p>
            <w:pPr>
              <w:spacing w:after="0"/>
              <w:rPr>
                <w:sz w:val="22"/>
                <w:szCs w:val="22"/>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10.12</w:t>
            </w:r>
          </w:p>
        </w:tc>
        <w:tc>
          <w:tcPr>
            <w:tcW w:w="840" w:type="dxa"/>
            <w:vAlign w:val="bottom"/>
          </w:tcPr>
          <w:p>
            <w:pPr>
              <w:ind w:left="20"/>
              <w:spacing w:after="0"/>
              <w:rPr>
                <w:sz w:val="20"/>
                <w:szCs w:val="20"/>
                <w:color w:val="auto"/>
              </w:rPr>
            </w:pPr>
            <w:r>
              <w:rPr>
                <w:rFonts w:ascii="Arial" w:cs="Arial" w:eastAsia="Arial" w:hAnsi="Arial"/>
                <w:sz w:val="15"/>
                <w:szCs w:val="15"/>
                <w:color w:val="auto"/>
              </w:rPr>
              <w:t>(3)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Manufacturing Agreement between Solectron California Corporation and Brocade, dated July 30, 1999.</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10.13</w:t>
            </w:r>
          </w:p>
        </w:tc>
        <w:tc>
          <w:tcPr>
            <w:tcW w:w="840" w:type="dxa"/>
            <w:vAlign w:val="bottom"/>
          </w:tcPr>
          <w:p>
            <w:pPr>
              <w:ind w:left="20"/>
              <w:spacing w:after="0"/>
              <w:rPr>
                <w:sz w:val="20"/>
                <w:szCs w:val="20"/>
                <w:color w:val="auto"/>
              </w:rPr>
            </w:pPr>
            <w:r>
              <w:rPr>
                <w:rFonts w:ascii="Arial" w:cs="Arial" w:eastAsia="Arial" w:hAnsi="Arial"/>
                <w:sz w:val="15"/>
                <w:szCs w:val="15"/>
                <w:color w:val="auto"/>
              </w:rPr>
              <w:t>(3)</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Master Lease Agreement between Spieker Properties and Brocade, dated December 17, 1999.</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10.14</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First Amendment to Lease between Spieker Properties and Brocade, dated February 16,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10.15</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Second Amendment to Lease between Spieker Properties and Brocade, dated August 11,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10.16</w:t>
            </w:r>
          </w:p>
        </w:tc>
        <w:tc>
          <w:tcPr>
            <w:tcW w:w="840" w:type="dxa"/>
            <w:vAlign w:val="bottom"/>
          </w:tcPr>
          <w:p>
            <w:pPr>
              <w:ind w:left="20"/>
              <w:spacing w:after="0"/>
              <w:rPr>
                <w:sz w:val="20"/>
                <w:szCs w:val="20"/>
                <w:color w:val="auto"/>
              </w:rPr>
            </w:pPr>
            <w:r>
              <w:rPr>
                <w:rFonts w:ascii="Arial" w:cs="Arial" w:eastAsia="Arial" w:hAnsi="Arial"/>
                <w:sz w:val="15"/>
                <w:szCs w:val="15"/>
                <w:color w:val="auto"/>
              </w:rPr>
              <w:t>(4)</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Credit Agreement between Comerica Bank-California and Brocade, dated January 5,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10.17</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First Amendment to Credit Agreement between Comerica Bank-California and Brocade, dated March 21,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10.18</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Second Amendment to Credit Agreement between Comerica Bank-California and Brocade, dated September 20,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10.19</w:t>
            </w:r>
          </w:p>
        </w:tc>
        <w:tc>
          <w:tcPr>
            <w:tcW w:w="840" w:type="dxa"/>
            <w:vAlign w:val="bottom"/>
          </w:tcPr>
          <w:p>
            <w:pPr>
              <w:ind w:left="20"/>
              <w:spacing w:after="0"/>
              <w:rPr>
                <w:sz w:val="20"/>
                <w:szCs w:val="20"/>
                <w:color w:val="auto"/>
              </w:rPr>
            </w:pPr>
            <w:r>
              <w:rPr>
                <w:rFonts w:ascii="Arial" w:cs="Arial" w:eastAsia="Arial" w:hAnsi="Arial"/>
                <w:sz w:val="15"/>
                <w:szCs w:val="15"/>
                <w:color w:val="auto"/>
              </w:rPr>
              <w:t>(7)</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Master Lease Agreement between Spieker Properties and Brocade, dated July 26,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10.20</w:t>
            </w:r>
          </w:p>
        </w:tc>
        <w:tc>
          <w:tcPr>
            <w:tcW w:w="840" w:type="dxa"/>
            <w:vAlign w:val="bottom"/>
          </w:tcPr>
          <w:p>
            <w:pPr>
              <w:ind w:left="20"/>
              <w:spacing w:after="0"/>
              <w:rPr>
                <w:sz w:val="20"/>
                <w:szCs w:val="20"/>
                <w:color w:val="auto"/>
              </w:rPr>
            </w:pPr>
            <w:r>
              <w:rPr>
                <w:rFonts w:ascii="Arial" w:cs="Arial" w:eastAsia="Arial" w:hAnsi="Arial"/>
                <w:sz w:val="15"/>
                <w:szCs w:val="15"/>
                <w:color w:val="auto"/>
              </w:rPr>
              <w:t>(7)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Purchase Agreement between Compaq Computer Corporation and Brocade, dated February 1,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10.21</w:t>
            </w:r>
          </w:p>
        </w:tc>
        <w:tc>
          <w:tcPr>
            <w:tcW w:w="840" w:type="dxa"/>
            <w:vAlign w:val="bottom"/>
          </w:tcPr>
          <w:p>
            <w:pPr>
              <w:ind w:left="20"/>
              <w:spacing w:after="0"/>
              <w:rPr>
                <w:sz w:val="20"/>
                <w:szCs w:val="20"/>
                <w:color w:val="auto"/>
              </w:rPr>
            </w:pPr>
            <w:r>
              <w:rPr>
                <w:rFonts w:ascii="Arial" w:cs="Arial" w:eastAsia="Arial" w:hAnsi="Arial"/>
                <w:sz w:val="15"/>
                <w:szCs w:val="15"/>
                <w:color w:val="auto"/>
              </w:rPr>
              <w:t>(7)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Purchase Agreement between EMC Corporation and Brocade, dated January 25,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10.22</w:t>
            </w:r>
          </w:p>
        </w:tc>
        <w:tc>
          <w:tcPr>
            <w:tcW w:w="840" w:type="dxa"/>
            <w:vAlign w:val="bottom"/>
          </w:tcPr>
          <w:p>
            <w:pPr>
              <w:ind w:left="20"/>
              <w:spacing w:after="0"/>
              <w:rPr>
                <w:sz w:val="20"/>
                <w:szCs w:val="20"/>
                <w:color w:val="auto"/>
              </w:rPr>
            </w:pPr>
            <w:r>
              <w:rPr>
                <w:rFonts w:ascii="Arial" w:cs="Arial" w:eastAsia="Arial" w:hAnsi="Arial"/>
                <w:sz w:val="15"/>
                <w:szCs w:val="15"/>
                <w:color w:val="auto"/>
              </w:rPr>
              <w:t>(7)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Promissory Note between David A. Smith and Brocade, dated April 27,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10.23</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Extension Agreement between EMC Corporation and Brocade, dated December 18,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10.24</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Goods Agreement between International Business Machines Corporation and Brocade, dated April 15, 1999.</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10.25</w:t>
            </w:r>
          </w:p>
        </w:tc>
        <w:tc>
          <w:tcPr>
            <w:tcW w:w="840" w:type="dxa"/>
            <w:vAlign w:val="bottom"/>
          </w:tcPr>
          <w:p>
            <w:pPr>
              <w:ind w:left="20"/>
              <w:spacing w:after="0"/>
              <w:rPr>
                <w:sz w:val="20"/>
                <w:szCs w:val="20"/>
                <w:color w:val="auto"/>
              </w:rPr>
            </w:pPr>
            <w:r>
              <w:rPr>
                <w:rFonts w:ascii="Arial" w:cs="Arial" w:eastAsia="Arial" w:hAnsi="Arial"/>
                <w:sz w:val="15"/>
                <w:szCs w:val="15"/>
                <w:color w:val="auto"/>
              </w:rPr>
              <w:t>(8)</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#1 to the Goods Agreement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10.26</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Statement of Work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10.27</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#3 to Statement of Work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10.28</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#4 to Statement of Work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10.29</w:t>
            </w:r>
          </w:p>
        </w:tc>
        <w:tc>
          <w:tcPr>
            <w:tcW w:w="840" w:type="dxa"/>
            <w:vAlign w:val="bottom"/>
          </w:tcPr>
          <w:p>
            <w:pPr>
              <w:ind w:left="20"/>
              <w:spacing w:after="0"/>
              <w:rPr>
                <w:sz w:val="20"/>
                <w:szCs w:val="20"/>
                <w:color w:val="auto"/>
              </w:rPr>
            </w:pPr>
            <w:r>
              <w:rPr>
                <w:rFonts w:ascii="Arial" w:cs="Arial" w:eastAsia="Arial" w:hAnsi="Arial"/>
                <w:sz w:val="15"/>
                <w:szCs w:val="15"/>
                <w:color w:val="auto"/>
              </w:rPr>
              <w:t>(8)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Statement of Work #2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10.30</w:t>
            </w:r>
          </w:p>
        </w:tc>
        <w:tc>
          <w:tcPr>
            <w:tcW w:w="840" w:type="dxa"/>
            <w:vAlign w:val="bottom"/>
          </w:tcPr>
          <w:p>
            <w:pPr>
              <w:ind w:left="20"/>
              <w:spacing w:after="0"/>
              <w:rPr>
                <w:sz w:val="20"/>
                <w:szCs w:val="20"/>
                <w:color w:val="auto"/>
              </w:rPr>
            </w:pPr>
            <w:r>
              <w:rPr>
                <w:rFonts w:ascii="Arial" w:cs="Arial" w:eastAsia="Arial" w:hAnsi="Arial"/>
                <w:sz w:val="15"/>
                <w:szCs w:val="15"/>
                <w:color w:val="auto"/>
              </w:rPr>
              <w:t>(5)</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Third Amendment to Credit Agreement between Comerica Bank-California and Brocade, dated January 22, 2001.</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10.31</w:t>
            </w:r>
          </w:p>
        </w:tc>
        <w:tc>
          <w:tcPr>
            <w:tcW w:w="840" w:type="dxa"/>
            <w:vAlign w:val="bottom"/>
          </w:tcPr>
          <w:p>
            <w:pPr>
              <w:ind w:left="20"/>
              <w:spacing w:after="0"/>
              <w:rPr>
                <w:sz w:val="20"/>
                <w:szCs w:val="20"/>
                <w:color w:val="auto"/>
              </w:rPr>
            </w:pPr>
            <w:r>
              <w:rPr>
                <w:rFonts w:ascii="Arial" w:cs="Arial" w:eastAsia="Arial" w:hAnsi="Arial"/>
                <w:sz w:val="15"/>
                <w:szCs w:val="15"/>
                <w:color w:val="auto"/>
              </w:rPr>
              <w:t>(5)</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Lease Agreement between MV Golden State San Jose, LLC and Brocade, dated December 1, 2000.</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10.32</w:t>
            </w:r>
          </w:p>
        </w:tc>
        <w:tc>
          <w:tcPr>
            <w:tcW w:w="840" w:type="dxa"/>
            <w:vAlign w:val="bottom"/>
          </w:tcPr>
          <w:p>
            <w:pPr>
              <w:ind w:left="20"/>
              <w:spacing w:after="0"/>
              <w:rPr>
                <w:sz w:val="20"/>
                <w:szCs w:val="20"/>
                <w:color w:val="auto"/>
              </w:rPr>
            </w:pPr>
            <w:r>
              <w:rPr>
                <w:rFonts w:ascii="Arial" w:cs="Arial" w:eastAsia="Arial" w:hAnsi="Arial"/>
                <w:sz w:val="15"/>
                <w:szCs w:val="15"/>
                <w:color w:val="auto"/>
              </w:rPr>
              <w:t>(11)</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w w:val="92"/>
              </w:rPr>
              <w:t>Preferred Stock Rights Agreement, dated as of February 7, 2002, between Brocade and Wells Fargo Bank, MN N.A., including the Certificate</w:t>
            </w:r>
          </w:p>
        </w:tc>
        <w:tc>
          <w:tcPr>
            <w:tcW w:w="94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of Designation, the form of Rights Certificate and the Summary of Rights attached thereto as Exhibits A, B, and C, respectively.</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10.33</w:t>
            </w:r>
          </w:p>
        </w:tc>
        <w:tc>
          <w:tcPr>
            <w:tcW w:w="840" w:type="dxa"/>
            <w:vAlign w:val="bottom"/>
          </w:tcPr>
          <w:p>
            <w:pPr>
              <w:ind w:left="20"/>
              <w:spacing w:after="0"/>
              <w:rPr>
                <w:sz w:val="20"/>
                <w:szCs w:val="20"/>
                <w:color w:val="auto"/>
              </w:rPr>
            </w:pPr>
            <w:r>
              <w:rPr>
                <w:rFonts w:ascii="Arial" w:cs="Arial" w:eastAsia="Arial" w:hAnsi="Arial"/>
                <w:sz w:val="15"/>
                <w:szCs w:val="15"/>
                <w:color w:val="auto"/>
              </w:rPr>
              <w:t>(10)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5 to Statement of Work No.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10.34</w:t>
            </w:r>
          </w:p>
        </w:tc>
        <w:tc>
          <w:tcPr>
            <w:tcW w:w="840" w:type="dxa"/>
            <w:vAlign w:val="bottom"/>
          </w:tcPr>
          <w:p>
            <w:pPr>
              <w:ind w:left="20"/>
              <w:spacing w:after="0"/>
              <w:rPr>
                <w:sz w:val="20"/>
                <w:szCs w:val="20"/>
                <w:color w:val="auto"/>
              </w:rPr>
            </w:pPr>
            <w:r>
              <w:rPr>
                <w:rFonts w:ascii="Arial" w:cs="Arial" w:eastAsia="Arial" w:hAnsi="Arial"/>
                <w:sz w:val="15"/>
                <w:szCs w:val="15"/>
                <w:color w:val="auto"/>
              </w:rPr>
              <w:t>(10)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6 to Statement of Work No.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10.35</w:t>
            </w:r>
          </w:p>
        </w:tc>
        <w:tc>
          <w:tcPr>
            <w:tcW w:w="840" w:type="dxa"/>
            <w:vAlign w:val="bottom"/>
          </w:tcPr>
          <w:p>
            <w:pPr>
              <w:ind w:left="20"/>
              <w:spacing w:after="0"/>
              <w:rPr>
                <w:sz w:val="20"/>
                <w:szCs w:val="20"/>
                <w:color w:val="auto"/>
              </w:rPr>
            </w:pPr>
            <w:r>
              <w:rPr>
                <w:rFonts w:ascii="Arial" w:cs="Arial" w:eastAsia="Arial" w:hAnsi="Arial"/>
                <w:sz w:val="15"/>
                <w:szCs w:val="15"/>
                <w:color w:val="auto"/>
              </w:rPr>
              <w:t>(10) #</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1 to Statement of Work No. 2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10.36</w:t>
            </w:r>
          </w:p>
        </w:tc>
        <w:tc>
          <w:tcPr>
            <w:tcW w:w="840" w:type="dxa"/>
            <w:vAlign w:val="bottom"/>
          </w:tcPr>
          <w:p>
            <w:pPr>
              <w:ind w:left="20"/>
              <w:spacing w:after="0"/>
              <w:rPr>
                <w:sz w:val="20"/>
                <w:szCs w:val="20"/>
                <w:color w:val="auto"/>
              </w:rPr>
            </w:pPr>
            <w:r>
              <w:rPr>
                <w:rFonts w:ascii="Arial" w:cs="Arial" w:eastAsia="Arial" w:hAnsi="Arial"/>
                <w:sz w:val="15"/>
                <w:szCs w:val="15"/>
                <w:color w:val="auto"/>
              </w:rPr>
              <w:t>(10)</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2 to Statement of Work No. 2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10.37</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7 to Statement of Work No. 1 between International Business Machines Corporation and Brocade.</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10.38</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w w:val="94"/>
              </w:rPr>
              <w:t>OEM Purchase Agreement between Brocade and Hewlett-Packard Company, dated January 28, 2000 (2000 OEM Purchase Agreement).</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10.39</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to 2000 OEM Purchase Agreement between Brocade and Hewlett-Packard Company, dated April 20, 2001.</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10.40</w:t>
            </w:r>
          </w:p>
        </w:tc>
        <w:tc>
          <w:tcPr>
            <w:tcW w:w="840" w:type="dxa"/>
            <w:vAlign w:val="bottom"/>
          </w:tcPr>
          <w:p>
            <w:pPr>
              <w:spacing w:after="0"/>
              <w:rPr>
                <w:sz w:val="16"/>
                <w:szCs w:val="16"/>
                <w:color w:val="auto"/>
              </w:rPr>
            </w:pP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Letter Amendment to 2000 OEM Purchase Agreement between Brocade and Hewlett-Packard Company, dated January 25, 2002.</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10.41</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w w:val="97"/>
              </w:rPr>
              <w:t>OEM Purchase Agreement between Brocade and Hewlett-Packard Company, dated April 20, 2001 (2001 OEM Purchase Agreement).</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10.42</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1 to 2001 OEM Purchase Agreement between Brocade and Hewlett-Packard Company, dated July 1, 2001.</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10.43</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w w:val="99"/>
              </w:rPr>
              <w:t>Amendment No. 2 to 2001 OEM Purchase Agreement between Brocade and Hewlett-Packard Company, dated November 6, 2001.</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10.44</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3 to 2001 OEM Purchase Agreement between Brocade and Hewlett-Packard Company, dated February 1, 2002.</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w w:val="90"/>
              </w:rPr>
              <w:t>10.45</w:t>
            </w:r>
          </w:p>
        </w:tc>
        <w:tc>
          <w:tcPr>
            <w:tcW w:w="840" w:type="dxa"/>
            <w:vAlign w:val="bottom"/>
          </w:tcPr>
          <w:p>
            <w:pPr>
              <w:ind w:left="20"/>
              <w:spacing w:after="0"/>
              <w:rPr>
                <w:sz w:val="20"/>
                <w:szCs w:val="20"/>
                <w:color w:val="auto"/>
              </w:rPr>
            </w:pPr>
            <w:r>
              <w:rPr>
                <w:rFonts w:ascii="Arial" w:cs="Arial" w:eastAsia="Arial" w:hAnsi="Arial"/>
                <w:sz w:val="15"/>
                <w:szCs w:val="15"/>
                <w:color w:val="auto"/>
              </w:rPr>
              <w:t>+</w:t>
            </w: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Amendment No. 4 to 2001 OEM Purchase Agreement between Brocade and Hewlett-Packard Company, dated June 5, 2002.</w:t>
            </w:r>
          </w:p>
        </w:tc>
        <w:tc>
          <w:tcPr>
            <w:tcW w:w="940" w:type="dxa"/>
            <w:vAlign w:val="bottom"/>
          </w:tcPr>
          <w:p>
            <w:pPr>
              <w:spacing w:after="0"/>
              <w:rPr>
                <w:sz w:val="16"/>
                <w:szCs w:val="16"/>
                <w:color w:val="auto"/>
              </w:rPr>
            </w:pPr>
          </w:p>
        </w:tc>
      </w:tr>
      <w:tr>
        <w:trPr>
          <w:trHeight w:val="186"/>
        </w:trPr>
        <w:tc>
          <w:tcPr>
            <w:tcW w:w="640" w:type="dxa"/>
            <w:vAlign w:val="bottom"/>
            <w:gridSpan w:val="2"/>
          </w:tcPr>
          <w:p>
            <w:pPr>
              <w:ind w:left="280"/>
              <w:spacing w:after="0"/>
              <w:rPr>
                <w:sz w:val="20"/>
                <w:szCs w:val="20"/>
                <w:color w:val="auto"/>
              </w:rPr>
            </w:pPr>
            <w:r>
              <w:rPr>
                <w:rFonts w:ascii="Arial" w:cs="Arial" w:eastAsia="Arial" w:hAnsi="Arial"/>
                <w:sz w:val="15"/>
                <w:szCs w:val="15"/>
                <w:color w:val="auto"/>
              </w:rPr>
              <w:t>12.1</w:t>
            </w:r>
          </w:p>
        </w:tc>
        <w:tc>
          <w:tcPr>
            <w:tcW w:w="840" w:type="dxa"/>
            <w:vAlign w:val="bottom"/>
          </w:tcPr>
          <w:p>
            <w:pPr>
              <w:spacing w:after="0"/>
              <w:rPr>
                <w:sz w:val="16"/>
                <w:szCs w:val="16"/>
                <w:color w:val="auto"/>
              </w:rPr>
            </w:pP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Statement of Computation of Ratio of Earnings to Fixed Charges</w:t>
            </w:r>
          </w:p>
        </w:tc>
        <w:tc>
          <w:tcPr>
            <w:tcW w:w="940" w:type="dxa"/>
            <w:vAlign w:val="bottom"/>
          </w:tcPr>
          <w:p>
            <w:pPr>
              <w:spacing w:after="0"/>
              <w:rPr>
                <w:sz w:val="16"/>
                <w:szCs w:val="16"/>
                <w:color w:val="auto"/>
              </w:rPr>
            </w:pPr>
          </w:p>
        </w:tc>
      </w:tr>
      <w:tr>
        <w:trPr>
          <w:trHeight w:val="191"/>
        </w:trPr>
        <w:tc>
          <w:tcPr>
            <w:tcW w:w="640" w:type="dxa"/>
            <w:vAlign w:val="bottom"/>
            <w:gridSpan w:val="2"/>
          </w:tcPr>
          <w:p>
            <w:pPr>
              <w:ind w:left="280"/>
              <w:spacing w:after="0"/>
              <w:rPr>
                <w:sz w:val="20"/>
                <w:szCs w:val="20"/>
                <w:color w:val="auto"/>
              </w:rPr>
            </w:pPr>
            <w:r>
              <w:rPr>
                <w:rFonts w:ascii="Arial" w:cs="Arial" w:eastAsia="Arial" w:hAnsi="Arial"/>
                <w:sz w:val="15"/>
                <w:szCs w:val="15"/>
                <w:color w:val="auto"/>
              </w:rPr>
              <w:t>99.1</w:t>
            </w:r>
          </w:p>
        </w:tc>
        <w:tc>
          <w:tcPr>
            <w:tcW w:w="840" w:type="dxa"/>
            <w:vAlign w:val="bottom"/>
          </w:tcPr>
          <w:p>
            <w:pPr>
              <w:spacing w:after="0"/>
              <w:rPr>
                <w:sz w:val="16"/>
                <w:szCs w:val="16"/>
                <w:color w:val="auto"/>
              </w:rPr>
            </w:pPr>
          </w:p>
        </w:tc>
        <w:tc>
          <w:tcPr>
            <w:tcW w:w="9020" w:type="dxa"/>
            <w:vAlign w:val="bottom"/>
            <w:gridSpan w:val="2"/>
          </w:tcPr>
          <w:p>
            <w:pPr>
              <w:ind w:left="340"/>
              <w:spacing w:after="0"/>
              <w:rPr>
                <w:sz w:val="20"/>
                <w:szCs w:val="20"/>
                <w:color w:val="auto"/>
              </w:rPr>
            </w:pPr>
            <w:r>
              <w:rPr>
                <w:rFonts w:ascii="Arial" w:cs="Arial" w:eastAsia="Arial" w:hAnsi="Arial"/>
                <w:sz w:val="15"/>
                <w:szCs w:val="15"/>
                <w:color w:val="auto"/>
              </w:rPr>
              <w:t>Certification Pursuant to 18 U.S.C Section 1350, as adopted pursuant to Section 906 of the Sarbanes-Oxley Act of 2002</w:t>
            </w:r>
          </w:p>
        </w:tc>
        <w:tc>
          <w:tcPr>
            <w:tcW w:w="940" w:type="dxa"/>
            <w:vAlign w:val="bottom"/>
          </w:tcPr>
          <w:p>
            <w:pPr>
              <w:spacing w:after="0"/>
              <w:rPr>
                <w:sz w:val="16"/>
                <w:szCs w:val="16"/>
                <w:color w:val="auto"/>
              </w:rPr>
            </w:pPr>
          </w:p>
        </w:tc>
      </w:tr>
      <w:tr>
        <w:trPr>
          <w:trHeight w:val="197"/>
        </w:trPr>
        <w:tc>
          <w:tcPr>
            <w:tcW w:w="2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68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0" w:right="219" w:bottom="1440" w:gutter="0" w:footer="0" w:header="0"/>
        </w:sectPr>
      </w:pPr>
    </w:p>
    <w:bookmarkStart w:id="35" w:name="page36"/>
    <w:bookmarkEnd w:id="35"/>
    <w:p>
      <w:pPr>
        <w:ind w:left="7"/>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13246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24610" cy="7620"/>
                    </a:xfrm>
                    <a:prstGeom prst="rect">
                      <a:avLst/>
                    </a:prstGeom>
                    <a:noFill/>
                  </pic:spPr>
                </pic:pic>
              </a:graphicData>
            </a:graphic>
          </wp:anchor>
        </w:drawing>
      </w:r>
    </w:p>
    <w:p>
      <w:pPr>
        <w:spacing w:after="0" w:line="364" w:lineRule="exact"/>
        <w:rPr>
          <w:sz w:val="20"/>
          <w:szCs w:val="20"/>
          <w:color w:val="auto"/>
        </w:rPr>
      </w:pPr>
    </w:p>
    <w:p>
      <w:pPr>
        <w:ind w:left="587" w:hanging="587"/>
        <w:spacing w:after="0"/>
        <w:tabs>
          <w:tab w:leader="none" w:pos="587"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 required to be filed as an exhibit pursuant to Item 14(c) of Form 10-K.</w:t>
      </w:r>
    </w:p>
    <w:p>
      <w:pPr>
        <w:spacing w:after="0" w:line="30" w:lineRule="exact"/>
        <w:rPr>
          <w:sz w:val="20"/>
          <w:szCs w:val="20"/>
          <w:color w:val="auto"/>
        </w:rPr>
      </w:pPr>
    </w:p>
    <w:p>
      <w:pPr>
        <w:ind w:left="587" w:hanging="587"/>
        <w:spacing w:after="0"/>
        <w:tabs>
          <w:tab w:leader="none" w:pos="587"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Confidential treatment granted as to certain portions, which portions were omitted and filed separately with the Securities and Exchange Commission.</w:t>
      </w:r>
    </w:p>
    <w:p>
      <w:pPr>
        <w:spacing w:after="0" w:line="37" w:lineRule="exact"/>
        <w:rPr>
          <w:sz w:val="20"/>
          <w:szCs w:val="20"/>
          <w:color w:val="auto"/>
        </w:rPr>
      </w:pPr>
    </w:p>
    <w:p>
      <w:pPr>
        <w:ind w:left="587" w:hanging="587"/>
        <w:spacing w:after="0"/>
        <w:tabs>
          <w:tab w:leader="none" w:pos="587"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which portions are omitted and filed separately with the Securities and Exchange Commission.</w:t>
      </w:r>
    </w:p>
    <w:p>
      <w:pPr>
        <w:spacing w:after="0" w:line="37" w:lineRule="exact"/>
        <w:rPr>
          <w:sz w:val="20"/>
          <w:szCs w:val="20"/>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Registration Statement on Form S-1 (Reg. No. 333-74711), as amended.</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Registration Statement on Form S-8 (Reg. No. 333-95653) filed on January 28, 2000.</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Annual Report on Form 10-K for the fiscal year ended October 31, 1999, as amended.</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January 29, 2000.</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January 27, 2001.</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July 28, 2001.</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Annual Report on Form 10-K for the fiscal year ended October 28, 2000.</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Annual Report on Form 10-K for the fiscal year ended October 27, 2001.</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January 26, 2002.</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Quarterly Report on Form 10-Q for the fiscal quarter ended April 27, 2002.</w:t>
      </w:r>
    </w:p>
    <w:p>
      <w:pPr>
        <w:spacing w:after="0" w:line="13" w:lineRule="exact"/>
        <w:rPr>
          <w:rFonts w:ascii="Arial" w:cs="Arial" w:eastAsia="Arial" w:hAnsi="Arial"/>
          <w:sz w:val="15"/>
          <w:szCs w:val="15"/>
          <w:color w:val="auto"/>
        </w:rPr>
      </w:pPr>
    </w:p>
    <w:p>
      <w:pPr>
        <w:ind w:left="587" w:hanging="587"/>
        <w:spacing w:after="0"/>
        <w:tabs>
          <w:tab w:leader="none" w:pos="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Incorporated by reference from Brocade’s Registration Statement on Form 8-A filed on February 11, 2002.</w:t>
      </w:r>
    </w:p>
    <w:p>
      <w:pPr>
        <w:sectPr>
          <w:pgSz w:w="11900" w:h="16838" w:orient="portrait"/>
          <w:cols w:equalWidth="0" w:num="1">
            <w:col w:w="10226"/>
          </w:cols>
          <w:pgMar w:left="233" w:top="380" w:right="1440" w:bottom="1440" w:gutter="0" w:footer="0" w:header="0"/>
        </w:sectPr>
      </w:pPr>
    </w:p>
    <w:bookmarkStart w:id="36" w:name="page37"/>
    <w:bookmarkEnd w:id="36"/>
    <w:p>
      <w:pPr>
        <w:ind w:left="6087"/>
        <w:spacing w:after="0"/>
        <w:rPr>
          <w:sz w:val="20"/>
          <w:szCs w:val="20"/>
          <w:color w:val="auto"/>
        </w:rPr>
      </w:pPr>
      <w:r>
        <w:rPr>
          <w:rFonts w:ascii="Courier New" w:cs="Courier New" w:eastAsia="Courier New" w:hAnsi="Courier New"/>
          <w:sz w:val="15"/>
          <w:szCs w:val="15"/>
          <w:color w:val="auto"/>
        </w:rPr>
        <w:t>Exhibit 10.37</w:t>
      </w:r>
    </w:p>
    <w:p>
      <w:pPr>
        <w:spacing w:after="0" w:line="200" w:lineRule="exact"/>
        <w:rPr>
          <w:sz w:val="20"/>
          <w:szCs w:val="20"/>
          <w:color w:val="auto"/>
        </w:rPr>
      </w:pPr>
    </w:p>
    <w:p>
      <w:pPr>
        <w:spacing w:after="0" w:line="329" w:lineRule="exact"/>
        <w:rPr>
          <w:sz w:val="20"/>
          <w:szCs w:val="20"/>
          <w:color w:val="auto"/>
        </w:rPr>
      </w:pPr>
    </w:p>
    <w:p>
      <w:pPr>
        <w:ind w:left="5807"/>
        <w:spacing w:after="0"/>
        <w:rPr>
          <w:sz w:val="20"/>
          <w:szCs w:val="20"/>
          <w:color w:val="auto"/>
        </w:rPr>
      </w:pPr>
      <w:r>
        <w:rPr>
          <w:rFonts w:ascii="Courier New" w:cs="Courier New" w:eastAsia="Courier New" w:hAnsi="Courier New"/>
          <w:sz w:val="15"/>
          <w:szCs w:val="15"/>
          <w:color w:val="auto"/>
        </w:rPr>
        <w:t>5600 Cottle Road</w:t>
      </w:r>
    </w:p>
    <w:p>
      <w:pPr>
        <w:spacing w:after="0" w:line="5" w:lineRule="exact"/>
        <w:rPr>
          <w:sz w:val="20"/>
          <w:szCs w:val="20"/>
          <w:color w:val="auto"/>
        </w:rPr>
      </w:pPr>
    </w:p>
    <w:p>
      <w:pPr>
        <w:ind w:left="5007"/>
        <w:spacing w:after="0"/>
        <w:tabs>
          <w:tab w:leader="none" w:pos="6346" w:val="left"/>
        </w:tabs>
        <w:rPr>
          <w:sz w:val="20"/>
          <w:szCs w:val="20"/>
          <w:color w:val="auto"/>
        </w:rPr>
      </w:pPr>
      <w:r>
        <w:rPr>
          <w:rFonts w:ascii="Courier New" w:cs="Courier New" w:eastAsia="Courier New" w:hAnsi="Courier New"/>
          <w:sz w:val="15"/>
          <w:szCs w:val="15"/>
          <w:color w:val="auto"/>
        </w:rPr>
        <w:t>San Jose, CA</w:t>
      </w:r>
      <w:r>
        <w:rPr>
          <w:sz w:val="20"/>
          <w:szCs w:val="20"/>
          <w:color w:val="auto"/>
        </w:rPr>
        <w:tab/>
      </w:r>
      <w:r>
        <w:rPr>
          <w:rFonts w:ascii="Courier New" w:cs="Courier New" w:eastAsia="Courier New" w:hAnsi="Courier New"/>
          <w:sz w:val="14"/>
          <w:szCs w:val="14"/>
          <w:color w:val="auto"/>
        </w:rPr>
        <w:t>95193 0001</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June 6, 2002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Communications Systems,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1901 Guadalupe Parkway</w:t>
      </w:r>
    </w:p>
    <w:p>
      <w:pPr>
        <w:spacing w:after="0" w:line="5" w:lineRule="exact"/>
        <w:rPr>
          <w:sz w:val="20"/>
          <w:szCs w:val="20"/>
          <w:color w:val="auto"/>
        </w:rPr>
      </w:pPr>
    </w:p>
    <w:p>
      <w:pPr>
        <w:ind w:left="7"/>
        <w:spacing w:after="0"/>
        <w:tabs>
          <w:tab w:leader="none" w:pos="1246" w:val="left"/>
        </w:tabs>
        <w:rPr>
          <w:sz w:val="20"/>
          <w:szCs w:val="20"/>
          <w:color w:val="auto"/>
        </w:rPr>
      </w:pPr>
      <w:r>
        <w:rPr>
          <w:rFonts w:ascii="Courier New" w:cs="Courier New" w:eastAsia="Courier New" w:hAnsi="Courier New"/>
          <w:sz w:val="15"/>
          <w:szCs w:val="15"/>
          <w:color w:val="auto"/>
        </w:rPr>
        <w:t>San Jose, CA</w:t>
        <w:tab/>
        <w:t>95131</w:t>
      </w:r>
    </w:p>
    <w:p>
      <w:pPr>
        <w:spacing w:after="0" w:line="180" w:lineRule="exact"/>
        <w:rPr>
          <w:sz w:val="20"/>
          <w:szCs w:val="20"/>
          <w:color w:val="auto"/>
        </w:rPr>
      </w:pPr>
    </w:p>
    <w:p>
      <w:pPr>
        <w:ind w:left="7"/>
        <w:spacing w:after="0"/>
        <w:tabs>
          <w:tab w:leader="none" w:pos="1066" w:val="left"/>
        </w:tabs>
        <w:rPr>
          <w:sz w:val="20"/>
          <w:szCs w:val="20"/>
          <w:color w:val="auto"/>
        </w:rPr>
      </w:pPr>
      <w:r>
        <w:rPr>
          <w:rFonts w:ascii="Courier New" w:cs="Courier New" w:eastAsia="Courier New" w:hAnsi="Courier New"/>
          <w:sz w:val="15"/>
          <w:szCs w:val="15"/>
          <w:color w:val="auto"/>
        </w:rPr>
        <w:t>Attention:</w:t>
        <w:tab/>
        <w:t>Mr. Patrick Johnston</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Subject:</w:t>
        <w:tab/>
        <w:t>Amendment 7 to SOW#1 of the IBM/Brocade Goods Agreement ROC-P-68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Dear Patrick:</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This letter (the "Amendment") serves as Amendment Number 7 to SOW#1, including all amendments thereto ("SOW#1") of the Goods Agreement ROC-P-68, including all amendments thereto (the "Goods Agreement") which the parties hereto do mutually agree to amend as follows:</w:t>
      </w:r>
    </w:p>
    <w:p>
      <w:pPr>
        <w:spacing w:after="0" w:line="3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Delete the table in Section 1.1, "Specifications," and replace as follows:</w:t>
      </w:r>
    </w:p>
    <w:p>
      <w:pPr>
        <w:sectPr>
          <w:pgSz w:w="11900" w:h="16838" w:orient="portrait"/>
          <w:cols w:equalWidth="0" w:num="1">
            <w:col w:w="10226"/>
          </w:cols>
          <w:pgMar w:left="233" w:top="316" w:right="1440" w:bottom="1107"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IBM SPECIFICATION/ATTACHMENTS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ENGINEERING CHANGE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ectPr>
          <w:pgSz w:w="11900" w:h="16838" w:orient="portrait"/>
          <w:cols w:equalWidth="0" w:num="3">
            <w:col w:w="2627" w:space="460"/>
            <w:col w:w="2180" w:space="640"/>
            <w:col w:w="4319"/>
          </w:cols>
          <w:pgMar w:left="233" w:top="316" w:right="1440" w:bottom="1107"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(IF APPLICABLE)</w:t>
      </w:r>
    </w:p>
    <w:p>
      <w:pPr>
        <w:sectPr>
          <w:pgSz w:w="11900" w:h="16838" w:orient="portrait"/>
          <w:cols w:equalWidth="0" w:num="1">
            <w:col w:w="10226"/>
          </w:cols>
          <w:pgMar w:left="233" w:top="316" w:right="1440" w:bottom="1107" w:gutter="0" w:footer="0" w:header="0"/>
          <w:type w:val="continuous"/>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8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88"/>
              </w:rPr>
              <w:t>[*]</w:t>
            </w: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1.0</w:t>
            </w: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SilkWorm 2000</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Family Product</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Specification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90-0000001-01</w:t>
            </w:r>
          </w:p>
        </w:tc>
      </w:tr>
      <w:tr>
        <w:trPr>
          <w:trHeight w:val="350"/>
        </w:trPr>
        <w:tc>
          <w:tcPr>
            <w:tcW w:w="168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88"/>
              </w:rPr>
              <w:t>[*]</w:t>
            </w: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Dated 8/06/2001</w:t>
            </w: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Supplier Quality Attachment</w:t>
            </w:r>
          </w:p>
        </w:tc>
      </w:tr>
      <w:tr>
        <w:trPr>
          <w:trHeight w:val="350"/>
        </w:trPr>
        <w:tc>
          <w:tcPr>
            <w:tcW w:w="168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88"/>
              </w:rPr>
              <w:t>[*]</w:t>
            </w: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10</w:t>
            </w: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Packaging and</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Materials</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Handling Specification</w:t>
            </w:r>
          </w:p>
        </w:tc>
      </w:tr>
      <w:tr>
        <w:trPr>
          <w:trHeight w:val="350"/>
        </w:trPr>
        <w:tc>
          <w:tcPr>
            <w:tcW w:w="168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88"/>
              </w:rPr>
              <w:t>[*]</w:t>
            </w: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Dated 10/17/00</w:t>
            </w: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IBM CSP Requirements</w:t>
            </w:r>
          </w:p>
        </w:tc>
      </w:tr>
      <w:tr>
        <w:trPr>
          <w:trHeight w:val="350"/>
        </w:trPr>
        <w:tc>
          <w:tcPr>
            <w:tcW w:w="168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88"/>
              </w:rPr>
              <w:t>[*]</w:t>
            </w: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2.0</w:t>
            </w: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Brocade Fabric OS</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Publication 53-0001487-03</w:t>
            </w:r>
          </w:p>
        </w:tc>
      </w:tr>
      <w:tr>
        <w:trPr>
          <w:trHeight w:val="350"/>
        </w:trPr>
        <w:tc>
          <w:tcPr>
            <w:tcW w:w="168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88"/>
              </w:rPr>
              <w:t>[*]</w:t>
            </w: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2.1</w:t>
            </w: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Brocade WebTools Reference</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Manual Publication</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53-0001490-02</w:t>
            </w:r>
          </w:p>
        </w:tc>
        <w:tc>
          <w:tcPr>
            <w:tcW w:w="1320" w:type="dxa"/>
            <w:vAlign w:val="bottom"/>
          </w:tcPr>
          <w:p>
            <w:pPr>
              <w:spacing w:after="0"/>
              <w:rPr>
                <w:sz w:val="15"/>
                <w:szCs w:val="15"/>
                <w:color w:val="auto"/>
              </w:rPr>
            </w:pPr>
          </w:p>
        </w:tc>
      </w:tr>
      <w:tr>
        <w:trPr>
          <w:trHeight w:val="350"/>
        </w:trPr>
        <w:tc>
          <w:tcPr>
            <w:tcW w:w="168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88"/>
              </w:rPr>
              <w:t>[*]</w:t>
            </w: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2.0</w:t>
            </w: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Brocade Zoning Reference</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Manual Publication</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53-0001488-02</w:t>
            </w:r>
          </w:p>
        </w:tc>
        <w:tc>
          <w:tcPr>
            <w:tcW w:w="1320" w:type="dxa"/>
            <w:vAlign w:val="bottom"/>
          </w:tcPr>
          <w:p>
            <w:pPr>
              <w:spacing w:after="0"/>
              <w:rPr>
                <w:sz w:val="15"/>
                <w:szCs w:val="15"/>
                <w:color w:val="auto"/>
              </w:rPr>
            </w:pPr>
          </w:p>
        </w:tc>
      </w:tr>
      <w:tr>
        <w:trPr>
          <w:trHeight w:val="350"/>
        </w:trPr>
        <w:tc>
          <w:tcPr>
            <w:tcW w:w="1680" w:type="dxa"/>
            <w:vAlign w:val="bottom"/>
          </w:tcPr>
          <w:p>
            <w:pPr>
              <w:jc w:val="right"/>
              <w:ind w:right="1344"/>
              <w:spacing w:after="0"/>
              <w:rPr>
                <w:sz w:val="20"/>
                <w:szCs w:val="20"/>
                <w:color w:val="auto"/>
              </w:rPr>
            </w:pPr>
            <w:r>
              <w:rPr>
                <w:rFonts w:ascii="Courier New" w:cs="Courier New" w:eastAsia="Courier New" w:hAnsi="Courier New"/>
                <w:sz w:val="15"/>
                <w:szCs w:val="15"/>
                <w:color w:val="auto"/>
                <w:w w:val="88"/>
              </w:rPr>
              <w:t>[*]</w:t>
            </w: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1.0</w:t>
            </w: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SilkWorm 3800</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Product</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Specification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90-0000077-01</w:t>
            </w:r>
          </w:p>
        </w:tc>
        <w:tc>
          <w:tcPr>
            <w:tcW w:w="1320" w:type="dxa"/>
            <w:vAlign w:val="bottom"/>
          </w:tcPr>
          <w:p>
            <w:pPr>
              <w:spacing w:after="0"/>
              <w:rPr>
                <w:sz w:val="15"/>
                <w:szCs w:val="15"/>
                <w:color w:val="auto"/>
              </w:rPr>
            </w:pPr>
          </w:p>
        </w:tc>
      </w:tr>
      <w:tr>
        <w:trPr>
          <w:trHeight w:val="350"/>
        </w:trPr>
        <w:tc>
          <w:tcPr>
            <w:tcW w:w="1680" w:type="dxa"/>
            <w:vAlign w:val="bottom"/>
          </w:tcPr>
          <w:p>
            <w:pPr>
              <w:spacing w:after="0"/>
              <w:rPr>
                <w:sz w:val="24"/>
                <w:szCs w:val="24"/>
                <w:color w:val="auto"/>
              </w:rPr>
            </w:pP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TBD</w:t>
            </w: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SilkWorm 3900</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Product</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Specification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 TBD</w:t>
            </w:r>
          </w:p>
        </w:tc>
      </w:tr>
      <w:tr>
        <w:trPr>
          <w:trHeight w:val="350"/>
        </w:trPr>
        <w:tc>
          <w:tcPr>
            <w:tcW w:w="1680" w:type="dxa"/>
            <w:vAlign w:val="bottom"/>
          </w:tcPr>
          <w:p>
            <w:pPr>
              <w:spacing w:after="0"/>
              <w:rPr>
                <w:sz w:val="24"/>
                <w:szCs w:val="24"/>
                <w:color w:val="auto"/>
              </w:rPr>
            </w:pP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1.0</w:t>
            </w: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SilkWorm 3200</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Product</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Specification</w:t>
            </w:r>
          </w:p>
        </w:tc>
        <w:tc>
          <w:tcPr>
            <w:tcW w:w="132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Reference 90-0000077-01</w:t>
            </w:r>
          </w:p>
        </w:tc>
      </w:tr>
      <w:tr>
        <w:trPr>
          <w:trHeight w:val="350"/>
        </w:trPr>
        <w:tc>
          <w:tcPr>
            <w:tcW w:w="1680" w:type="dxa"/>
            <w:vAlign w:val="bottom"/>
          </w:tcPr>
          <w:p>
            <w:pPr>
              <w:spacing w:after="0"/>
              <w:rPr>
                <w:sz w:val="24"/>
                <w:szCs w:val="24"/>
                <w:color w:val="auto"/>
              </w:rPr>
            </w:pP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Version A</w:t>
            </w: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SilkWorm 12000 Product</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Specification</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w w:val="99"/>
              </w:rPr>
              <w:t>79-0000001-01</w:t>
            </w:r>
          </w:p>
        </w:tc>
      </w:tr>
      <w:tr>
        <w:trPr>
          <w:trHeight w:val="350"/>
        </w:trPr>
        <w:tc>
          <w:tcPr>
            <w:tcW w:w="1680" w:type="dxa"/>
            <w:vAlign w:val="bottom"/>
          </w:tcPr>
          <w:p>
            <w:pPr>
              <w:spacing w:after="0"/>
              <w:rPr>
                <w:sz w:val="24"/>
                <w:szCs w:val="24"/>
                <w:color w:val="auto"/>
              </w:rPr>
            </w:pP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Dated 05/01/02</w:t>
            </w: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2109-M12, CTO</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Training</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40" w:type="dxa"/>
            <w:vAlign w:val="bottom"/>
          </w:tcPr>
          <w:p>
            <w:pPr>
              <w:ind w:left="720"/>
              <w:spacing w:after="0"/>
              <w:rPr>
                <w:sz w:val="20"/>
                <w:szCs w:val="20"/>
                <w:color w:val="auto"/>
              </w:rPr>
            </w:pPr>
            <w:r>
              <w:rPr>
                <w:rFonts w:ascii="Courier New" w:cs="Courier New" w:eastAsia="Courier New" w:hAnsi="Courier New"/>
                <w:sz w:val="15"/>
                <w:szCs w:val="15"/>
                <w:color w:val="auto"/>
              </w:rPr>
              <w:t>Workbook</w:t>
            </w:r>
          </w:p>
        </w:tc>
        <w:tc>
          <w:tcPr>
            <w:tcW w:w="1320" w:type="dxa"/>
            <w:vAlign w:val="bottom"/>
          </w:tcPr>
          <w:p>
            <w:pPr>
              <w:spacing w:after="0"/>
              <w:rPr>
                <w:sz w:val="15"/>
                <w:szCs w:val="15"/>
                <w:color w:val="auto"/>
              </w:rPr>
            </w:pPr>
          </w:p>
        </w:tc>
      </w:tr>
      <w:tr>
        <w:trPr>
          <w:trHeight w:val="350"/>
        </w:trPr>
        <w:tc>
          <w:tcPr>
            <w:tcW w:w="1680" w:type="dxa"/>
            <w:vAlign w:val="bottom"/>
          </w:tcPr>
          <w:p>
            <w:pPr>
              <w:spacing w:after="0"/>
              <w:rPr>
                <w:sz w:val="24"/>
                <w:szCs w:val="24"/>
                <w:color w:val="auto"/>
              </w:rPr>
            </w:pPr>
          </w:p>
        </w:tc>
        <w:tc>
          <w:tcPr>
            <w:tcW w:w="3500" w:type="dxa"/>
            <w:vAlign w:val="bottom"/>
          </w:tcPr>
          <w:p>
            <w:pPr>
              <w:ind w:left="1400"/>
              <w:spacing w:after="0"/>
              <w:rPr>
                <w:sz w:val="20"/>
                <w:szCs w:val="20"/>
                <w:color w:val="auto"/>
              </w:rPr>
            </w:pPr>
            <w:r>
              <w:rPr>
                <w:rFonts w:ascii="Courier New" w:cs="Courier New" w:eastAsia="Courier New" w:hAnsi="Courier New"/>
                <w:sz w:val="15"/>
                <w:szCs w:val="15"/>
                <w:color w:val="auto"/>
              </w:rPr>
              <w:t>V. 4-09-02</w:t>
            </w: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"SW12000" Port Card</w:t>
            </w:r>
          </w:p>
        </w:tc>
      </w:tr>
      <w:tr>
        <w:trPr>
          <w:trHeight w:val="175"/>
        </w:trPr>
        <w:tc>
          <w:tcPr>
            <w:tcW w:w="1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Installation Guidelines</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7" w:right="3039" w:hanging="367"/>
        <w:spacing w:after="0" w:line="247" w:lineRule="auto"/>
        <w:tabs>
          <w:tab w:leader="none" w:pos="3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316" w:right="1440" w:bottom="1107" w:gutter="0" w:footer="0" w:header="0"/>
          <w:type w:val="continuous"/>
        </w:sectPr>
      </w:pPr>
    </w:p>
    <w:bookmarkStart w:id="37" w:name="page38"/>
    <w:bookmarkEnd w:id="37"/>
    <w:p>
      <w:pPr>
        <w:ind w:left="267" w:right="3219" w:hanging="267"/>
        <w:spacing w:after="0" w:line="247" w:lineRule="auto"/>
        <w:tabs>
          <w:tab w:leader="none" w:pos="2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pricing table in its entirety in Section 2.1, "Pricing" and replace with the following:</w:t>
      </w:r>
    </w:p>
    <w:p>
      <w:pPr>
        <w:sectPr>
          <w:pgSz w:w="11900" w:h="16838" w:orient="portrait"/>
          <w:cols w:equalWidth="0" w:num="1">
            <w:col w:w="10226"/>
          </w:cols>
          <w:pgMar w:left="233" w:top="642" w:right="1440" w:bottom="256" w:gutter="0" w:footer="0" w:header="0"/>
        </w:sectPr>
      </w:pPr>
    </w:p>
    <w:p>
      <w:pPr>
        <w:spacing w:after="0" w:line="200" w:lineRule="exact"/>
        <w:rPr>
          <w:sz w:val="20"/>
          <w:szCs w:val="20"/>
          <w:color w:val="auto"/>
        </w:rPr>
      </w:pPr>
    </w:p>
    <w:p>
      <w:pPr>
        <w:spacing w:after="0" w:line="324"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IBM P/N / NUMA-Q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P/N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PRICE</w:t>
      </w:r>
    </w:p>
    <w:p>
      <w:pPr>
        <w:spacing w:after="0" w:line="16" w:lineRule="exact"/>
        <w:rPr>
          <w:sz w:val="20"/>
          <w:szCs w:val="20"/>
          <w:color w:val="auto"/>
        </w:rPr>
      </w:pPr>
    </w:p>
    <w:p>
      <w:pPr>
        <w:sectPr>
          <w:pgSz w:w="11900" w:h="16838" w:orient="portrait"/>
          <w:cols w:equalWidth="0" w:num="4">
            <w:col w:w="2187" w:space="720"/>
            <w:col w:w="1640" w:space="720"/>
            <w:col w:w="1560" w:space="720"/>
            <w:col w:w="2679"/>
          </w:cols>
          <w:pgMar w:left="233" w:top="642" w:right="1440" w:bottom="256" w:gutter="0" w:footer="0" w:header="0"/>
          <w:type w:val="continuous"/>
        </w:sectPr>
      </w:pPr>
    </w:p>
    <w:p>
      <w:pPr>
        <w:ind w:left="1087"/>
        <w:spacing w:after="0"/>
        <w:rPr>
          <w:sz w:val="20"/>
          <w:szCs w:val="20"/>
          <w:color w:val="auto"/>
        </w:rPr>
      </w:pPr>
      <w:r>
        <w:rPr>
          <w:rFonts w:ascii="Courier New" w:cs="Courier New" w:eastAsia="Courier New" w:hAnsi="Courier New"/>
          <w:sz w:val="15"/>
          <w:szCs w:val="15"/>
          <w:color w:val="auto"/>
        </w:rPr>
        <w:t>P/N</w:t>
      </w:r>
    </w:p>
    <w:p>
      <w:pPr>
        <w:sectPr>
          <w:pgSz w:w="11900" w:h="16838" w:orient="portrait"/>
          <w:cols w:equalWidth="0" w:num="1">
            <w:col w:w="10226"/>
          </w:cols>
          <w:pgMar w:left="233" w:top="642" w:right="1440" w:bottom="256" w:gutter="0" w:footer="0" w:header="0"/>
          <w:type w:val="continuous"/>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8-Port Fibre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Channel Switch</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Single Power</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Supply (SW2400) Includes SES, Web</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tools, Zoning and Fabric Watch --</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whole unit switch Product</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16 Port Fibre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w w:val="98"/>
              </w:rPr>
              <w:t>Channel</w:t>
            </w: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Switch Single</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Power Supply</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(SW2800) Includes SES, Web tools,</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Zoning and Fabric Watch -- whole</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unit switch Product</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Silkworm 2000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Power Supply</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Mainboard, SW</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2400 (8-port)</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Fan Tray, SW 2400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(8-port)</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Chassis, SW</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rPr>
              <w:t>2400</w:t>
            </w: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(8-port)</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Mainboard, SW 2800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(16-port)</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Fan Tray, SW 2800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(16-port)</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Chassis, SW 2800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(16-port) with</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operator panel/</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rPr>
              <w:t>LCD</w:t>
            </w: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Quick Loop License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Fabric Watch</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w w:val="98"/>
              </w:rPr>
              <w:t>License</w:t>
            </w: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Extended Fabrics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Remote Switch</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16 Port Fibre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w w:val="98"/>
              </w:rPr>
              <w:t>Channel</w:t>
            </w: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Switch Single</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rPr>
              <w:t>Power</w:t>
            </w: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Supply (SW3800)</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Includes Web</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tools, Zoning and</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Fabric Watch --</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whole unit switch</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w w:val="98"/>
              </w:rPr>
              <w:t>Product</w:t>
            </w: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0"/>
        </w:trPr>
        <w:tc>
          <w:tcPr>
            <w:tcW w:w="1440" w:type="dxa"/>
            <w:vAlign w:val="bottom"/>
          </w:tcPr>
          <w:p>
            <w:pPr>
              <w:spacing w:after="0"/>
              <w:rPr>
                <w:sz w:val="24"/>
                <w:szCs w:val="24"/>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32 Port Fibre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w w:val="98"/>
              </w:rPr>
              <w:t>Channel</w:t>
            </w: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Switch Single</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Power Supply</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(SW3900) Includes SES, Webtools,</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Zoning and Fabric Watch -- whole</w:t>
            </w:r>
          </w:p>
        </w:tc>
        <w:tc>
          <w:tcPr>
            <w:tcW w:w="78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unit switch Product</w:t>
            </w:r>
          </w:p>
        </w:tc>
        <w:tc>
          <w:tcPr>
            <w:tcW w:w="78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8 Port Fibre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5"/>
                <w:szCs w:val="15"/>
                <w:color w:val="auto"/>
                <w:w w:val="98"/>
              </w:rPr>
              <w:t>Channel</w:t>
            </w: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7" w:right="3039" w:hanging="367"/>
        <w:spacing w:after="0" w:line="247" w:lineRule="auto"/>
        <w:tabs>
          <w:tab w:leader="none" w:pos="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2" w:right="1440" w:bottom="256" w:gutter="0" w:footer="0" w:header="0"/>
          <w:type w:val="continuous"/>
        </w:sectPr>
      </w:pPr>
    </w:p>
    <w:bookmarkStart w:id="38" w:name="page39"/>
    <w:bookmarkEnd w:id="38"/>
    <w:p>
      <w:pPr>
        <w:ind w:left="4267"/>
        <w:spacing w:after="0"/>
        <w:rPr>
          <w:sz w:val="20"/>
          <w:szCs w:val="20"/>
          <w:color w:val="auto"/>
        </w:rPr>
      </w:pPr>
      <w:r>
        <w:rPr>
          <w:rFonts w:ascii="Courier New" w:cs="Courier New" w:eastAsia="Courier New" w:hAnsi="Courier New"/>
          <w:sz w:val="15"/>
          <w:szCs w:val="15"/>
          <w:color w:val="auto"/>
        </w:rPr>
        <w:t>Switch Single</w:t>
      </w:r>
    </w:p>
    <w:p>
      <w:pPr>
        <w:spacing w:after="0" w:line="5" w:lineRule="exact"/>
        <w:rPr>
          <w:sz w:val="20"/>
          <w:szCs w:val="20"/>
          <w:color w:val="auto"/>
        </w:rPr>
      </w:pPr>
    </w:p>
    <w:p>
      <w:pPr>
        <w:ind w:left="4267"/>
        <w:spacing w:after="0"/>
        <w:rPr>
          <w:sz w:val="20"/>
          <w:szCs w:val="20"/>
          <w:color w:val="auto"/>
        </w:rPr>
      </w:pPr>
      <w:r>
        <w:rPr>
          <w:rFonts w:ascii="Courier New" w:cs="Courier New" w:eastAsia="Courier New" w:hAnsi="Courier New"/>
          <w:sz w:val="15"/>
          <w:szCs w:val="15"/>
          <w:color w:val="auto"/>
        </w:rPr>
        <w:t>Power Supply</w:t>
      </w:r>
    </w:p>
    <w:p>
      <w:pPr>
        <w:spacing w:after="0" w:line="5" w:lineRule="exact"/>
        <w:rPr>
          <w:sz w:val="20"/>
          <w:szCs w:val="20"/>
          <w:color w:val="auto"/>
        </w:rPr>
      </w:pPr>
    </w:p>
    <w:p>
      <w:pPr>
        <w:ind w:left="4267"/>
        <w:spacing w:after="0"/>
        <w:rPr>
          <w:sz w:val="20"/>
          <w:szCs w:val="20"/>
          <w:color w:val="auto"/>
        </w:rPr>
      </w:pPr>
      <w:r>
        <w:rPr>
          <w:rFonts w:ascii="Courier New" w:cs="Courier New" w:eastAsia="Courier New" w:hAnsi="Courier New"/>
          <w:sz w:val="15"/>
          <w:szCs w:val="15"/>
          <w:color w:val="auto"/>
        </w:rPr>
        <w:t>(SW3200)</w:t>
      </w:r>
    </w:p>
    <w:p>
      <w:pPr>
        <w:spacing w:after="0" w:line="5"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Includes Web Tools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Full Fabric</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Upgrade Includes</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Zoning and Fabric</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5"/>
                <w:szCs w:val="15"/>
                <w:color w:val="auto"/>
              </w:rPr>
              <w:t>Watch</w:t>
            </w:r>
          </w:p>
        </w:tc>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Fan (SW3800)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Power Supply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5"/>
                <w:szCs w:val="15"/>
                <w:color w:val="auto"/>
                <w:w w:val="99"/>
              </w:rPr>
              <w:t>(SW3800)</w:t>
            </w:r>
          </w:p>
        </w:tc>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Mainboard FRU</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5"/>
                <w:szCs w:val="15"/>
                <w:color w:val="auto"/>
                <w:w w:val="99"/>
              </w:rPr>
              <w:t>(SW3800)</w:t>
            </w:r>
          </w:p>
        </w:tc>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Fan (SW3900)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Power Supply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5"/>
                <w:szCs w:val="15"/>
                <w:color w:val="auto"/>
                <w:w w:val="99"/>
              </w:rPr>
              <w:t>(SW3900)</w:t>
            </w:r>
          </w:p>
        </w:tc>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Mainboard FRU</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5"/>
                <w:szCs w:val="15"/>
                <w:color w:val="auto"/>
                <w:w w:val="99"/>
              </w:rPr>
              <w:t>(SW3900)</w:t>
            </w:r>
          </w:p>
        </w:tc>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LUN Zoning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LUN Zoning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LUN Zoning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Advanced Security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Advanced Security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Advanced Security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Performance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5"/>
                <w:szCs w:val="15"/>
                <w:color w:val="auto"/>
              </w:rPr>
              <w:t>Bundle</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(Trunking</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and Performance</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Monitoring)</w:t>
            </w:r>
          </w:p>
        </w:tc>
        <w:tc>
          <w:tcPr>
            <w:tcW w:w="8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Performance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5"/>
                <w:szCs w:val="15"/>
                <w:color w:val="auto"/>
              </w:rPr>
              <w:t>Bundle</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(Trunking</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and Performance</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Monitoring)</w:t>
            </w:r>
          </w:p>
        </w:tc>
        <w:tc>
          <w:tcPr>
            <w:tcW w:w="8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Performance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5"/>
                <w:szCs w:val="15"/>
                <w:color w:val="auto"/>
              </w:rPr>
              <w:t>Bundle</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(Trunking</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and Performance</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Monitoring)</w:t>
            </w:r>
          </w:p>
        </w:tc>
        <w:tc>
          <w:tcPr>
            <w:tcW w:w="860" w:type="dxa"/>
            <w:vAlign w:val="bottom"/>
          </w:tcPr>
          <w:p>
            <w:pPr>
              <w:spacing w:after="0"/>
              <w:rPr>
                <w:sz w:val="15"/>
                <w:szCs w:val="15"/>
                <w:color w:val="auto"/>
              </w:rPr>
            </w:pPr>
          </w:p>
        </w:tc>
      </w:tr>
      <w:tr>
        <w:trPr>
          <w:trHeight w:val="524"/>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32 Port Fibre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Channel Core</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Switch (SW12000) Includes 2</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Stiletto Port Blades, 2 CP</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Blades, 4 Power Supplies, 3</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Blowers, 6 Port Blade Filler</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Panels, 1 Cable Management</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Pillar, Fabric OS, Advanced Web</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Tools, Advanced Zoning, Fabric</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Watch, Performance Monitoring,</w:t>
            </w:r>
          </w:p>
        </w:tc>
        <w:tc>
          <w:tcPr>
            <w:tcW w:w="8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Trunking.</w:t>
            </w:r>
          </w:p>
        </w:tc>
        <w:tc>
          <w:tcPr>
            <w:tcW w:w="8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41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Rack Mounting Kit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7" w:right="3039" w:hanging="367"/>
        <w:spacing w:after="0" w:line="247" w:lineRule="auto"/>
        <w:tabs>
          <w:tab w:leader="none" w:pos="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992" w:right="1440" w:bottom="1440" w:gutter="0" w:footer="0" w:header="0"/>
        </w:sectPr>
      </w:pPr>
    </w:p>
    <w:bookmarkStart w:id="39" w:name="page40"/>
    <w:bookmarkEnd w:id="39"/>
    <w:tbl>
      <w:tblPr>
        <w:tblLayout w:type="fixed"/>
        <w:tblInd w:w="7"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14U, FRU</w:t>
            </w:r>
          </w:p>
        </w:tc>
        <w:tc>
          <w:tcPr>
            <w:tcW w:w="1460" w:type="dxa"/>
            <w:vAlign w:val="bottom"/>
          </w:tcPr>
          <w:p>
            <w:pPr>
              <w:spacing w:after="0"/>
              <w:rPr>
                <w:sz w:val="14"/>
                <w:szCs w:val="14"/>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Switch Blade 16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port, 2GB</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Chassis Door,</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Includes Plastic</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and Metal door</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Components and</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IBM Front Badge</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Control Processor</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Blade</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Stiletto Port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Blade Slot Filler</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Panel, SW12000,</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FRU</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Power Supply,</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180-264VAC,</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1000W, FRU</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Blower Assembly,</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FRU</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Cable Management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Pillar, FRU</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WWN Card</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Power Plug,</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Switch and</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Distribution Panel</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Chassis FRU,</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includes</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backplane, blower</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and power supply</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backplane, AC and</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blower harness.</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Rear WWN Bezel</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Assy</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Cable Management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Tray</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AC Power Cord, FRU</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AC Power Cord,</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UK/Ireland, 250V,</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FRU</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AC Power Cord,</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Cont. Europe</w:t>
            </w:r>
          </w:p>
        </w:tc>
        <w:tc>
          <w:tcPr>
            <w:tcW w:w="146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CEE7/7, FRU</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AC Power Cord,</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AUST/INZ, 250V</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AC Power Cord,</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Intl IEC</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Remote Switch</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software</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Extended Fabric</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software</w:t>
            </w:r>
          </w:p>
        </w:tc>
        <w:tc>
          <w:tcPr>
            <w:tcW w:w="1460" w:type="dxa"/>
            <w:vAlign w:val="bottom"/>
          </w:tcPr>
          <w:p>
            <w:pPr>
              <w:spacing w:after="0"/>
              <w:rPr>
                <w:sz w:val="15"/>
                <w:szCs w:val="15"/>
                <w:color w:val="auto"/>
              </w:rPr>
            </w:pPr>
          </w:p>
        </w:tc>
      </w:tr>
      <w:tr>
        <w:trPr>
          <w:trHeight w:val="350"/>
        </w:trPr>
        <w:tc>
          <w:tcPr>
            <w:tcW w:w="144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80"/>
              <w:spacing w:after="0"/>
              <w:rPr>
                <w:sz w:val="20"/>
                <w:szCs w:val="20"/>
                <w:color w:val="auto"/>
              </w:rPr>
            </w:pPr>
            <w:r>
              <w:rPr>
                <w:rFonts w:ascii="Courier New" w:cs="Courier New" w:eastAsia="Courier New" w:hAnsi="Courier New"/>
                <w:sz w:val="15"/>
                <w:szCs w:val="15"/>
                <w:color w:val="auto"/>
              </w:rPr>
              <w:t>Fabric Manager 3.x</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All prices are in U.S. dollars.</w:t>
      </w:r>
    </w:p>
    <w:p>
      <w:pPr>
        <w:spacing w:after="0" w:line="200" w:lineRule="exact"/>
        <w:rPr>
          <w:sz w:val="20"/>
          <w:szCs w:val="20"/>
          <w:color w:val="auto"/>
        </w:rPr>
      </w:pPr>
    </w:p>
    <w:p>
      <w:pPr>
        <w:spacing w:after="0" w:line="329" w:lineRule="exact"/>
        <w:rPr>
          <w:sz w:val="20"/>
          <w:szCs w:val="20"/>
          <w:color w:val="auto"/>
        </w:rPr>
      </w:pPr>
    </w:p>
    <w:p>
      <w:pPr>
        <w:ind w:left="367" w:right="3039" w:hanging="367"/>
        <w:spacing w:after="0" w:line="247" w:lineRule="auto"/>
        <w:tabs>
          <w:tab w:leader="none" w:pos="36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992" w:right="1440" w:bottom="431" w:gutter="0" w:footer="0" w:header="0"/>
        </w:sectPr>
      </w:pPr>
    </w:p>
    <w:bookmarkStart w:id="40" w:name="page41"/>
    <w:bookmarkEnd w:id="40"/>
    <w:p>
      <w:pPr>
        <w:ind w:left="267" w:right="3599" w:hanging="267"/>
        <w:spacing w:after="0" w:line="247" w:lineRule="auto"/>
        <w:tabs>
          <w:tab w:leader="none" w:pos="2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the following sentence prior to the first sentence in Section 3.0, "Rescheduling and Cancellation":</w:t>
      </w:r>
    </w:p>
    <w:p>
      <w:pPr>
        <w:spacing w:after="0" w:line="174" w:lineRule="exact"/>
        <w:rPr>
          <w:rFonts w:ascii="Courier New" w:cs="Courier New" w:eastAsia="Courier New" w:hAnsi="Courier New"/>
          <w:sz w:val="15"/>
          <w:szCs w:val="15"/>
          <w:color w:val="auto"/>
        </w:rPr>
      </w:pPr>
    </w:p>
    <w:p>
      <w:pPr>
        <w:ind w:left="26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Products identified in Section 4.0 "Replenishment Logistics Attachment", Products will be subject to the terms herein stated in Section 3.0."</w:t>
      </w:r>
    </w:p>
    <w:p>
      <w:pPr>
        <w:spacing w:after="0" w:line="174" w:lineRule="exact"/>
        <w:rPr>
          <w:rFonts w:ascii="Courier New" w:cs="Courier New" w:eastAsia="Courier New" w:hAnsi="Courier New"/>
          <w:sz w:val="15"/>
          <w:szCs w:val="15"/>
          <w:color w:val="auto"/>
        </w:rPr>
      </w:pPr>
    </w:p>
    <w:p>
      <w:pPr>
        <w:ind w:left="267" w:right="3039" w:hanging="267"/>
        <w:spacing w:after="0" w:line="247" w:lineRule="auto"/>
        <w:tabs>
          <w:tab w:leader="none" w:pos="2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4.0, "Replenishment Logistics Attachment" delete in its entirety and replace with the following:</w:t>
      </w:r>
    </w:p>
    <w:p>
      <w:pPr>
        <w:spacing w:after="0" w:line="17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"4.0 REPLENISHMENT LOGISTICS ATTACHMENT</w:t>
      </w:r>
    </w:p>
    <w:p>
      <w:pPr>
        <w:spacing w:after="0" w:line="179"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PULL DEFINITIONS</w:t>
      </w:r>
    </w:p>
    <w:p>
      <w:pPr>
        <w:spacing w:after="0" w:line="4" w:lineRule="exact"/>
        <w:rPr>
          <w:rFonts w:ascii="Courier New" w:cs="Courier New" w:eastAsia="Courier New" w:hAnsi="Courier New"/>
          <w:sz w:val="15"/>
          <w:szCs w:val="15"/>
          <w:color w:val="auto"/>
        </w:rPr>
      </w:pPr>
    </w:p>
    <w:p>
      <w:pPr>
        <w:ind w:left="26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"Pull Products" means Products specified in the Pull Product Profile in Section 4.6 below. "Pull Product Profile" or "Pull Profile" or "MIRS Profile" means the table in Section 4.6 below, describing the Pull Products and process including, but not limited to, Product Type, Part Number, Replenishment Lead-Time and Packaging Specifications.</w:t>
      </w:r>
    </w:p>
    <w:p>
      <w:pPr>
        <w:spacing w:after="0" w:line="177" w:lineRule="exact"/>
        <w:rPr>
          <w:rFonts w:ascii="Courier New" w:cs="Courier New" w:eastAsia="Courier New" w:hAnsi="Courier New"/>
          <w:sz w:val="15"/>
          <w:szCs w:val="15"/>
          <w:color w:val="auto"/>
        </w:rPr>
      </w:pPr>
    </w:p>
    <w:p>
      <w:pPr>
        <w:ind w:left="26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"Pull Purchase Order" or "Pro forma Purchase Order" or "PPO" means a blanket PO used for invoicing, receiving and forecasting purposes and does not represent a firm offer by Buyer nor bind Buyer to any quantity or delivery date.</w:t>
      </w:r>
    </w:p>
    <w:p>
      <w:pPr>
        <w:spacing w:after="0" w:line="177" w:lineRule="exact"/>
        <w:rPr>
          <w:rFonts w:ascii="Courier New" w:cs="Courier New" w:eastAsia="Courier New" w:hAnsi="Courier New"/>
          <w:sz w:val="15"/>
          <w:szCs w:val="15"/>
          <w:color w:val="auto"/>
        </w:rPr>
      </w:pPr>
    </w:p>
    <w:p>
      <w:pPr>
        <w:ind w:left="26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"Upside Flexibility" means a percentage of Pull Products specified in the Pull Profile in excess of the Planning Schedule Quantity.</w:t>
      </w:r>
    </w:p>
    <w:p>
      <w:pPr>
        <w:spacing w:after="0" w:line="174" w:lineRule="exact"/>
        <w:rPr>
          <w:rFonts w:ascii="Courier New" w:cs="Courier New" w:eastAsia="Courier New" w:hAnsi="Courier New"/>
          <w:sz w:val="15"/>
          <w:szCs w:val="15"/>
          <w:color w:val="auto"/>
        </w:rPr>
      </w:pPr>
    </w:p>
    <w:p>
      <w:pPr>
        <w:ind w:left="26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"Buffer Inventory Replenishment Lead-time" means the time from Seller's receipt of Buyer's Planning Schedule for Supplier to replenish the Buffer Inventory.</w:t>
      </w:r>
    </w:p>
    <w:p>
      <w:pPr>
        <w:spacing w:after="0" w:line="17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"Planning Schedule" means Buyer's forecast of requirements for Pull Products.</w:t>
      </w:r>
    </w:p>
    <w:p>
      <w:pPr>
        <w:spacing w:after="0" w:line="179" w:lineRule="exact"/>
        <w:rPr>
          <w:rFonts w:ascii="Courier New" w:cs="Courier New" w:eastAsia="Courier New" w:hAnsi="Courier New"/>
          <w:sz w:val="15"/>
          <w:szCs w:val="15"/>
          <w:color w:val="auto"/>
        </w:rPr>
      </w:pPr>
    </w:p>
    <w:p>
      <w:pPr>
        <w:ind w:left="26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"Pull Notification" or "Shipping Schedule" means Buyer's only authorization (WA) for Supplier to deliver a specified quantity of Pull Products.</w:t>
      </w:r>
    </w:p>
    <w:p>
      <w:pPr>
        <w:spacing w:after="0" w:line="174" w:lineRule="exact"/>
        <w:rPr>
          <w:rFonts w:ascii="Courier New" w:cs="Courier New" w:eastAsia="Courier New" w:hAnsi="Courier New"/>
          <w:sz w:val="15"/>
          <w:szCs w:val="15"/>
          <w:color w:val="auto"/>
        </w:rPr>
      </w:pPr>
    </w:p>
    <w:p>
      <w:pPr>
        <w:ind w:left="26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"Pull Notification Lead-Time" means the time from Supplier's receipt of a Pull Notification to shipment of the Pull Products to Buyer's location.</w:t>
      </w:r>
    </w:p>
    <w:p>
      <w:pPr>
        <w:spacing w:after="0" w:line="174" w:lineRule="exact"/>
        <w:rPr>
          <w:rFonts w:ascii="Courier New" w:cs="Courier New" w:eastAsia="Courier New" w:hAnsi="Courier New"/>
          <w:sz w:val="15"/>
          <w:szCs w:val="15"/>
          <w:color w:val="auto"/>
        </w:rPr>
      </w:pPr>
    </w:p>
    <w:p>
      <w:pPr>
        <w:jc w:val="both"/>
        <w:ind w:left="26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"Pull Program Inventory" means the minimum inventory for which Supplier is responsible to maintain, to satisfy Buyer's quantities as specified in the Planning Schedule.</w:t>
      </w:r>
    </w:p>
    <w:p>
      <w:pPr>
        <w:spacing w:after="0" w:line="174" w:lineRule="exact"/>
        <w:rPr>
          <w:rFonts w:ascii="Courier New" w:cs="Courier New" w:eastAsia="Courier New" w:hAnsi="Courier New"/>
          <w:sz w:val="15"/>
          <w:szCs w:val="15"/>
          <w:color w:val="auto"/>
        </w:rPr>
      </w:pPr>
    </w:p>
    <w:p>
      <w:pPr>
        <w:ind w:left="26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"Buffer Inventory" means the additional inventory that Supplier keeps as a safety inventory.</w:t>
      </w:r>
    </w:p>
    <w:p>
      <w:pPr>
        <w:spacing w:after="0" w:line="17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 PLANNING</w:t>
      </w:r>
    </w:p>
    <w:p>
      <w:pPr>
        <w:spacing w:after="0" w:line="4" w:lineRule="exact"/>
        <w:rPr>
          <w:rFonts w:ascii="Courier New" w:cs="Courier New" w:eastAsia="Courier New" w:hAnsi="Courier New"/>
          <w:sz w:val="15"/>
          <w:szCs w:val="15"/>
          <w:color w:val="auto"/>
        </w:rPr>
      </w:pPr>
    </w:p>
    <w:p>
      <w:pPr>
        <w:ind w:left="26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issue a PPO to Supplier for all Pull Products. Buyer may issue a Planning Schedule at intervals as specified in the Pull Profile, the most recent Planning Schedule to supersede all previous Planning Schedules. The Planning Schedule provides a forecast of requirements for the Pull Products and establishes Upside Flexibility, if any, with the Supplier.</w:t>
      </w:r>
    </w:p>
    <w:p>
      <w:pPr>
        <w:spacing w:after="0" w:line="177"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 PULL DELIVERY</w:t>
      </w:r>
    </w:p>
    <w:p>
      <w:pPr>
        <w:spacing w:after="0" w:line="4" w:lineRule="exact"/>
        <w:rPr>
          <w:rFonts w:ascii="Courier New" w:cs="Courier New" w:eastAsia="Courier New" w:hAnsi="Courier New"/>
          <w:sz w:val="15"/>
          <w:szCs w:val="15"/>
          <w:color w:val="auto"/>
        </w:rPr>
      </w:pPr>
    </w:p>
    <w:p>
      <w:pPr>
        <w:ind w:left="26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will deliver to Buyer on the delivery date the Pull Products specified in the Pull Notifications issued by Buyer, provided such Pull Notifications do not exceed the Planning Schedule Quantity. To the extent practicable, Supplier will comply with Pull Notifications for quantities of Pull Products in excess of the Planning Schedule Quantity, but at a minimum in accordance with the Upside Flexibility.</w:t>
      </w:r>
    </w:p>
    <w:p>
      <w:pPr>
        <w:spacing w:after="0" w:line="178"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 PULL LIMITATION OF LIABILITY</w:t>
      </w:r>
    </w:p>
    <w:p>
      <w:pPr>
        <w:spacing w:after="0" w:line="4" w:lineRule="exact"/>
        <w:rPr>
          <w:rFonts w:ascii="Courier New" w:cs="Courier New" w:eastAsia="Courier New" w:hAnsi="Courier New"/>
          <w:sz w:val="15"/>
          <w:szCs w:val="15"/>
          <w:color w:val="auto"/>
        </w:rPr>
      </w:pPr>
    </w:p>
    <w:p>
      <w:pPr>
        <w:ind w:left="26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makes no representation or warranty and assumes no liability regarding the quantity of Pull Products that it will purchase.</w:t>
      </w:r>
    </w:p>
    <w:p>
      <w:pPr>
        <w:spacing w:after="0" w:line="17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4.5 END OF LIFE ORDER</w:t>
      </w:r>
    </w:p>
    <w:p>
      <w:pPr>
        <w:spacing w:after="0" w:line="4" w:lineRule="exact"/>
        <w:rPr>
          <w:rFonts w:ascii="Courier New" w:cs="Courier New" w:eastAsia="Courier New" w:hAnsi="Courier New"/>
          <w:sz w:val="15"/>
          <w:szCs w:val="15"/>
          <w:color w:val="auto"/>
        </w:rPr>
      </w:pPr>
    </w:p>
    <w:p>
      <w:pPr>
        <w:ind w:left="26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Pull Products that Supplier has provided a written End of Life notice to Buyer will not be subject to the terms contained in Section 4.0 Replenishment Logistics Attachment, effective when Buyer submits a EOL purchase order (WA) for such products pursuant with Section 2.10 "Notice of Product Withdrawal" of SOW#1.</w:t>
      </w:r>
    </w:p>
    <w:p>
      <w:pPr>
        <w:spacing w:after="0" w:line="200" w:lineRule="exact"/>
        <w:rPr>
          <w:sz w:val="20"/>
          <w:szCs w:val="20"/>
          <w:color w:val="auto"/>
        </w:rPr>
      </w:pPr>
    </w:p>
    <w:p>
      <w:pPr>
        <w:spacing w:after="0" w:line="32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42" w:right="1440" w:bottom="1440" w:gutter="0" w:footer="0" w:header="0"/>
        </w:sectPr>
      </w:pPr>
    </w:p>
    <w:bookmarkStart w:id="41" w:name="page42"/>
    <w:bookmarkEnd w:id="41"/>
    <w:p>
      <w:pPr>
        <w:ind w:left="267"/>
        <w:spacing w:after="0"/>
        <w:rPr>
          <w:sz w:val="20"/>
          <w:szCs w:val="20"/>
          <w:color w:val="auto"/>
        </w:rPr>
      </w:pPr>
      <w:r>
        <w:rPr>
          <w:rFonts w:ascii="Courier New" w:cs="Courier New" w:eastAsia="Courier New" w:hAnsi="Courier New"/>
          <w:sz w:val="15"/>
          <w:szCs w:val="15"/>
          <w:color w:val="auto"/>
        </w:rPr>
        <w:t>4.6 PULL PRODUCT PROFILE</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right="20"/>
        <w:spacing w:after="0" w:line="247" w:lineRule="auto"/>
        <w:rPr>
          <w:sz w:val="20"/>
          <w:szCs w:val="20"/>
          <w:color w:val="auto"/>
        </w:rPr>
      </w:pPr>
      <w:r>
        <w:rPr>
          <w:rFonts w:ascii="Courier New" w:cs="Courier New" w:eastAsia="Courier New" w:hAnsi="Courier New"/>
          <w:sz w:val="15"/>
          <w:szCs w:val="15"/>
          <w:color w:val="auto"/>
        </w:rPr>
        <w:t>PRODUCT PART NUMBER AND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6" w:lineRule="exact"/>
        <w:rPr>
          <w:sz w:val="20"/>
          <w:szCs w:val="20"/>
          <w:color w:val="auto"/>
        </w:rPr>
      </w:pPr>
    </w:p>
    <w:p>
      <w:pPr>
        <w:sectPr>
          <w:pgSz w:w="11900" w:h="16838" w:orient="portrait"/>
          <w:cols w:equalWidth="0" w:num="2">
            <w:col w:w="2107" w:space="72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PULL PROGRAM INVENTORY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Current week's Planning Schedule quantity.</w:t>
      </w:r>
    </w:p>
    <w:p>
      <w:pPr>
        <w:spacing w:after="0" w:line="180" w:lineRule="exact"/>
        <w:rPr>
          <w:sz w:val="20"/>
          <w:szCs w:val="20"/>
          <w:color w:val="auto"/>
        </w:rPr>
      </w:pPr>
    </w:p>
    <w:p>
      <w:pPr>
        <w:sectPr>
          <w:pgSz w:w="11900" w:h="16838" w:orient="portrait"/>
          <w:cols w:equalWidth="0" w:num="2">
            <w:col w:w="2107" w:space="72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BUFFER INVENTORY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(1) week inventory based on rolling weekly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planning schedule, that is in addition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Pull Program Inventory.</w:t>
      </w:r>
    </w:p>
    <w:p>
      <w:pPr>
        <w:spacing w:after="0" w:line="180" w:lineRule="exact"/>
        <w:rPr>
          <w:sz w:val="20"/>
          <w:szCs w:val="20"/>
          <w:color w:val="auto"/>
        </w:rPr>
      </w:pPr>
    </w:p>
    <w:p>
      <w:pPr>
        <w:sectPr>
          <w:pgSz w:w="11900" w:h="16838" w:orient="portrait"/>
          <w:cols w:equalWidth="0" w:num="2">
            <w:col w:w="2107" w:space="72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PULL PURCHASE ORDER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Quarterly</w:t>
      </w:r>
    </w:p>
    <w:p>
      <w:pPr>
        <w:spacing w:after="0" w:line="191" w:lineRule="exact"/>
        <w:rPr>
          <w:sz w:val="20"/>
          <w:szCs w:val="20"/>
          <w:color w:val="auto"/>
        </w:rPr>
      </w:pPr>
    </w:p>
    <w:p>
      <w:pPr>
        <w:sectPr>
          <w:pgSz w:w="11900" w:h="16838" w:orient="portrait"/>
          <w:cols w:equalWidth="0" w:num="2">
            <w:col w:w="2107" w:space="72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CANCELLATION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Unused quantities on PPO and Planning Schedule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cancelled. Pull Notification may not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cancelled.</w:t>
      </w:r>
    </w:p>
    <w:p>
      <w:pPr>
        <w:spacing w:after="0" w:line="180" w:lineRule="exact"/>
        <w:rPr>
          <w:sz w:val="20"/>
          <w:szCs w:val="20"/>
          <w:color w:val="auto"/>
        </w:rPr>
      </w:pPr>
    </w:p>
    <w:p>
      <w:pPr>
        <w:sectPr>
          <w:pgSz w:w="11900" w:h="16838" w:orient="portrait"/>
          <w:cols w:equalWidth="0" w:num="2">
            <w:col w:w="2107" w:space="72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RESCHEDULE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Via Planning Schedule</w:t>
      </w:r>
    </w:p>
    <w:p>
      <w:pPr>
        <w:spacing w:after="0" w:line="180" w:lineRule="exact"/>
        <w:rPr>
          <w:sz w:val="20"/>
          <w:szCs w:val="20"/>
          <w:color w:val="auto"/>
        </w:rPr>
      </w:pPr>
    </w:p>
    <w:p>
      <w:pPr>
        <w:sectPr>
          <w:pgSz w:w="11900" w:h="16838" w:orient="portrait"/>
          <w:cols w:equalWidth="0" w:num="2">
            <w:col w:w="2107" w:space="720"/>
            <w:col w:w="7399"/>
          </w:cols>
          <w:pgMar w:left="233" w:top="643" w:right="1440" w:bottom="1440" w:gutter="0" w:footer="0" w:header="0"/>
          <w:type w:val="continuous"/>
        </w:sectPr>
      </w:pPr>
    </w:p>
    <w:p>
      <w:pPr>
        <w:ind w:left="7" w:right="20"/>
        <w:spacing w:after="0" w:line="247" w:lineRule="auto"/>
        <w:rPr>
          <w:sz w:val="20"/>
          <w:szCs w:val="20"/>
          <w:color w:val="auto"/>
        </w:rPr>
      </w:pPr>
      <w:r>
        <w:rPr>
          <w:rFonts w:ascii="Courier New" w:cs="Courier New" w:eastAsia="Courier New" w:hAnsi="Courier New"/>
          <w:sz w:val="15"/>
          <w:szCs w:val="15"/>
          <w:color w:val="auto"/>
        </w:rPr>
        <w:t>BUFFER INVENTORY REPLENISHMENT LEAD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days</w:t>
      </w:r>
    </w:p>
    <w:p>
      <w:pPr>
        <w:spacing w:after="0" w:line="366" w:lineRule="exact"/>
        <w:rPr>
          <w:sz w:val="20"/>
          <w:szCs w:val="20"/>
          <w:color w:val="auto"/>
        </w:rPr>
      </w:pPr>
    </w:p>
    <w:p>
      <w:pPr>
        <w:sectPr>
          <w:pgSz w:w="11900" w:h="16838" w:orient="portrait"/>
          <w:cols w:equalWidth="0" w:num="2">
            <w:col w:w="2107" w:space="72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PULL NOTIFICATION LEAD-TIME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days</w:t>
      </w:r>
    </w:p>
    <w:p>
      <w:pPr>
        <w:spacing w:after="0" w:line="191" w:lineRule="exact"/>
        <w:rPr>
          <w:sz w:val="20"/>
          <w:szCs w:val="20"/>
          <w:color w:val="auto"/>
        </w:rPr>
      </w:pPr>
    </w:p>
    <w:p>
      <w:pPr>
        <w:sectPr>
          <w:pgSz w:w="11900" w:h="16838" w:orient="portrait"/>
          <w:cols w:equalWidth="0" w:num="2">
            <w:col w:w="2447" w:space="380"/>
            <w:col w:w="7399"/>
          </w:cols>
          <w:pgMar w:left="233" w:top="643" w:right="1440" w:bottom="1440" w:gutter="0" w:footer="0" w:header="0"/>
          <w:type w:val="continuous"/>
        </w:sectPr>
      </w:pPr>
    </w:p>
    <w:p>
      <w:pPr>
        <w:ind w:left="7" w:right="200"/>
        <w:spacing w:after="0" w:line="247" w:lineRule="auto"/>
        <w:rPr>
          <w:sz w:val="20"/>
          <w:szCs w:val="20"/>
          <w:color w:val="auto"/>
        </w:rPr>
      </w:pPr>
      <w:r>
        <w:rPr>
          <w:rFonts w:ascii="Courier New" w:cs="Courier New" w:eastAsia="Courier New" w:hAnsi="Courier New"/>
          <w:sz w:val="15"/>
          <w:szCs w:val="15"/>
          <w:color w:val="auto"/>
        </w:rPr>
        <w:t>PULL NOTIFICATION COMMUNICATION VEHICLE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Email</w:t>
      </w:r>
    </w:p>
    <w:p>
      <w:pPr>
        <w:spacing w:after="0" w:line="366" w:lineRule="exact"/>
        <w:rPr>
          <w:sz w:val="20"/>
          <w:szCs w:val="20"/>
          <w:color w:val="auto"/>
        </w:rPr>
      </w:pPr>
    </w:p>
    <w:p>
      <w:pPr>
        <w:sectPr>
          <w:pgSz w:w="11900" w:h="16838" w:orient="portrait"/>
          <w:cols w:equalWidth="0" w:num="2">
            <w:col w:w="2107" w:space="72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PULL NOTIFICATION FREQUENCY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Weekly or as required</w:t>
      </w:r>
    </w:p>
    <w:p>
      <w:pPr>
        <w:spacing w:after="0" w:line="180" w:lineRule="exact"/>
        <w:rPr>
          <w:sz w:val="20"/>
          <w:szCs w:val="20"/>
          <w:color w:val="auto"/>
        </w:rPr>
      </w:pPr>
    </w:p>
    <w:p>
      <w:pPr>
        <w:sectPr>
          <w:pgSz w:w="11900" w:h="16838" w:orient="portrait"/>
          <w:cols w:equalWidth="0" w:num="2">
            <w:col w:w="2447" w:space="38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PLANNING SCHEDULE (FORECAST)</w:t>
      </w:r>
    </w:p>
    <w:p>
      <w:pPr>
        <w:spacing w:after="0" w:line="20" w:lineRule="exact"/>
        <w:rPr>
          <w:sz w:val="20"/>
          <w:szCs w:val="20"/>
          <w:color w:val="auto"/>
        </w:rPr>
      </w:pPr>
      <w:r>
        <w:rPr>
          <w:sz w:val="20"/>
          <w:szCs w:val="20"/>
          <w:color w:val="auto"/>
        </w:rPr>
        <w:br w:type="column"/>
      </w:r>
    </w:p>
    <w:p>
      <w:pPr>
        <w:ind w:right="3499"/>
        <w:spacing w:after="0" w:line="247" w:lineRule="auto"/>
        <w:rPr>
          <w:sz w:val="20"/>
          <w:szCs w:val="20"/>
          <w:color w:val="auto"/>
        </w:rPr>
      </w:pPr>
      <w:r>
        <w:rPr>
          <w:rFonts w:ascii="Courier New" w:cs="Courier New" w:eastAsia="Courier New" w:hAnsi="Courier New"/>
          <w:sz w:val="15"/>
          <w:szCs w:val="15"/>
          <w:color w:val="auto"/>
        </w:rPr>
        <w:t>Six month rolling (first 13 weeks in weekly increments, balance monthly)</w:t>
      </w:r>
    </w:p>
    <w:p>
      <w:pPr>
        <w:spacing w:after="0" w:line="175" w:lineRule="exact"/>
        <w:rPr>
          <w:sz w:val="20"/>
          <w:szCs w:val="20"/>
          <w:color w:val="auto"/>
        </w:rPr>
      </w:pPr>
    </w:p>
    <w:p>
      <w:pPr>
        <w:sectPr>
          <w:pgSz w:w="11900" w:h="16838" w:orient="portrait"/>
          <w:cols w:equalWidth="0" w:num="2">
            <w:col w:w="2547" w:space="28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PLANNING SCHEDULE FREQUENCY</w:t>
      </w:r>
    </w:p>
    <w:p>
      <w:pPr>
        <w:spacing w:after="0" w:line="20" w:lineRule="exact"/>
        <w:rPr>
          <w:sz w:val="20"/>
          <w:szCs w:val="20"/>
          <w:color w:val="auto"/>
        </w:rPr>
      </w:pPr>
      <w:r>
        <w:rPr>
          <w:sz w:val="20"/>
          <w:szCs w:val="20"/>
          <w:color w:val="auto"/>
        </w:rPr>
        <w:br w:type="column"/>
      </w:r>
    </w:p>
    <w:p>
      <w:pPr>
        <w:jc w:val="both"/>
        <w:ind w:right="3319"/>
        <w:spacing w:after="0" w:line="247" w:lineRule="auto"/>
        <w:rPr>
          <w:sz w:val="20"/>
          <w:szCs w:val="20"/>
          <w:color w:val="auto"/>
        </w:rPr>
      </w:pPr>
      <w:r>
        <w:rPr>
          <w:rFonts w:ascii="Courier New" w:cs="Courier New" w:eastAsia="Courier New" w:hAnsi="Courier New"/>
          <w:sz w:val="15"/>
          <w:szCs w:val="15"/>
          <w:color w:val="auto"/>
        </w:rPr>
        <w:t>Minimum monthly (with weekly review, planning schedule updated as necessary to maximize the Upside Flexibility).</w:t>
      </w:r>
    </w:p>
    <w:p>
      <w:pPr>
        <w:spacing w:after="0" w:line="174" w:lineRule="exact"/>
        <w:rPr>
          <w:sz w:val="20"/>
          <w:szCs w:val="20"/>
          <w:color w:val="auto"/>
        </w:rPr>
      </w:pPr>
    </w:p>
    <w:p>
      <w:pPr>
        <w:sectPr>
          <w:pgSz w:w="11900" w:h="16838" w:orient="portrait"/>
          <w:cols w:equalWidth="0" w:num="2">
            <w:col w:w="2447" w:space="380"/>
            <w:col w:w="73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UPSIDE FLEXIBILITY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BASED ON AFFECTED 4 WEEK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FORECAST PLANNING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60" w:lineRule="exact"/>
        <w:rPr>
          <w:sz w:val="20"/>
          <w:szCs w:val="20"/>
          <w:color w:val="auto"/>
        </w:rPr>
      </w:pPr>
    </w:p>
    <w:p>
      <w:pPr>
        <w:sectPr>
          <w:pgSz w:w="11900" w:h="16838" w:orient="portrait"/>
          <w:cols w:equalWidth="0" w:num="2">
            <w:col w:w="2447" w:space="380"/>
            <w:col w:w="7399"/>
          </w:cols>
          <w:pgMar w:left="233" w:top="64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367" w:right="3039" w:hanging="367"/>
        <w:spacing w:after="0" w:line="247" w:lineRule="auto"/>
        <w:tabs>
          <w:tab w:leader="none" w:pos="36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43" w:right="1440" w:bottom="1440" w:gutter="0" w:footer="0" w:header="0"/>
          <w:type w:val="continuous"/>
        </w:sectPr>
      </w:pPr>
    </w:p>
    <w:bookmarkStart w:id="42" w:name="page43"/>
    <w:bookmarkEnd w:id="42"/>
    <w:p>
      <w:pPr>
        <w:ind w:left="267" w:right="3499" w:hanging="267"/>
        <w:spacing w:after="0" w:line="247" w:lineRule="auto"/>
        <w:tabs>
          <w:tab w:leader="none" w:pos="26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after the second sentence in Section 9.3, "Post Warranty Services," "Pricing" the following:</w:t>
      </w:r>
    </w:p>
    <w:p>
      <w:pPr>
        <w:spacing w:after="0" w:line="175" w:lineRule="exact"/>
        <w:rPr>
          <w:sz w:val="20"/>
          <w:szCs w:val="20"/>
          <w:color w:val="auto"/>
        </w:rPr>
      </w:pPr>
    </w:p>
    <w:p>
      <w:pPr>
        <w:ind w:left="267" w:right="3599"/>
        <w:spacing w:after="0" w:line="247" w:lineRule="auto"/>
        <w:rPr>
          <w:sz w:val="20"/>
          <w:szCs w:val="20"/>
          <w:color w:val="auto"/>
        </w:rPr>
      </w:pPr>
      <w:r>
        <w:rPr>
          <w:rFonts w:ascii="Courier New" w:cs="Courier New" w:eastAsia="Courier New" w:hAnsi="Courier New"/>
          <w:sz w:val="15"/>
          <w:szCs w:val="15"/>
          <w:color w:val="auto"/>
        </w:rPr>
        <w:t>"The post Warranty repair (CSP) pricing for FRU's used in the 2109-M12 (SW12000) shall be as follows.</w:t>
      </w:r>
    </w:p>
    <w:p>
      <w:pPr>
        <w:spacing w:after="0" w:line="175" w:lineRule="exact"/>
        <w:rPr>
          <w:sz w:val="20"/>
          <w:szCs w:val="20"/>
          <w:color w:val="auto"/>
        </w:rPr>
      </w:pPr>
    </w:p>
    <w:tbl>
      <w:tblPr>
        <w:tblLayout w:type="fixed"/>
        <w:tblInd w:w="727"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18P5017</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XIB-12000-0101</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Port Blade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18P5035</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XIB-12000-0103</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CP Blade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18P5128</w:t>
            </w:r>
          </w:p>
        </w:tc>
        <w:tc>
          <w:tcPr>
            <w:tcW w:w="1740" w:type="dxa"/>
            <w:vAlign w:val="bottom"/>
          </w:tcPr>
          <w:p>
            <w:pPr>
              <w:ind w:left="240"/>
              <w:spacing w:after="0"/>
              <w:rPr>
                <w:sz w:val="20"/>
                <w:szCs w:val="20"/>
                <w:color w:val="auto"/>
              </w:rPr>
            </w:pPr>
            <w:r>
              <w:rPr>
                <w:rFonts w:ascii="Courier New" w:cs="Courier New" w:eastAsia="Courier New" w:hAnsi="Courier New"/>
                <w:sz w:val="15"/>
                <w:szCs w:val="15"/>
                <w:color w:val="auto"/>
              </w:rPr>
              <w:t>XIB-12000-0010</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Chassis FRU</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267" w:right="3779" w:hanging="267"/>
        <w:spacing w:after="0" w:line="247" w:lineRule="auto"/>
        <w:tabs>
          <w:tab w:leader="none" w:pos="26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Section 2.6, "Delivery", in its entirety and replace with the following:</w:t>
      </w:r>
    </w:p>
    <w:p>
      <w:pPr>
        <w:spacing w:after="0" w:line="17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ExWorks (IncoTerms 2001, location Brocade Contract Manufacturer).</w:t>
      </w:r>
    </w:p>
    <w:p>
      <w:pPr>
        <w:spacing w:after="0" w:line="179" w:lineRule="exact"/>
        <w:rPr>
          <w:rFonts w:ascii="Courier New" w:cs="Courier New" w:eastAsia="Courier New" w:hAnsi="Courier New"/>
          <w:sz w:val="15"/>
          <w:szCs w:val="15"/>
          <w:color w:val="auto"/>
        </w:rPr>
      </w:pPr>
    </w:p>
    <w:p>
      <w:pPr>
        <w:ind w:left="267" w:right="3039" w:hanging="267"/>
        <w:spacing w:after="0" w:line="247" w:lineRule="auto"/>
        <w:tabs>
          <w:tab w:leader="none" w:pos="26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the last sentence in Section 9.3 "Post Warranty Services", "Packaging and Delivery" and replace with the following:</w:t>
      </w:r>
    </w:p>
    <w:p>
      <w:pPr>
        <w:spacing w:after="0" w:line="174" w:lineRule="exact"/>
        <w:rPr>
          <w:rFonts w:ascii="Courier New" w:cs="Courier New" w:eastAsia="Courier New" w:hAnsi="Courier New"/>
          <w:sz w:val="15"/>
          <w:szCs w:val="15"/>
          <w:color w:val="auto"/>
        </w:rPr>
      </w:pPr>
    </w:p>
    <w:p>
      <w:pPr>
        <w:ind w:left="26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TAT for Serviced Products will not be more than [*] days after receipt of said Products, unless specified otherwise. Seller will use commercially reasonable efforts to reduce the TAT days and make adjustment to Buyer accordingly."</w:t>
      </w:r>
    </w:p>
    <w:p>
      <w:pPr>
        <w:spacing w:after="0" w:line="200" w:lineRule="exact"/>
        <w:rPr>
          <w:sz w:val="20"/>
          <w:szCs w:val="20"/>
          <w:color w:val="auto"/>
        </w:rPr>
      </w:pPr>
    </w:p>
    <w:p>
      <w:pPr>
        <w:spacing w:after="0" w:line="327"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Please have your authorized representative indicate acceptance thereof by signing both copies of the Amendment and returning one copy to the attention of Karen Takahashi at 5600 Cottle Road, San Jose, California 95193.</w:t>
      </w:r>
    </w:p>
    <w:p>
      <w:pPr>
        <w:spacing w:after="0" w:line="174" w:lineRule="exact"/>
        <w:rPr>
          <w:sz w:val="20"/>
          <w:szCs w:val="20"/>
          <w:color w:val="auto"/>
        </w:rPr>
      </w:pPr>
    </w:p>
    <w:p>
      <w:pPr>
        <w:ind w:left="7" w:right="3599"/>
        <w:spacing w:after="0" w:line="247" w:lineRule="auto"/>
        <w:rPr>
          <w:sz w:val="20"/>
          <w:szCs w:val="20"/>
          <w:color w:val="auto"/>
        </w:rPr>
      </w:pPr>
      <w:r>
        <w:rPr>
          <w:rFonts w:ascii="Courier New" w:cs="Courier New" w:eastAsia="Courier New" w:hAnsi="Courier New"/>
          <w:sz w:val="15"/>
          <w:szCs w:val="15"/>
          <w:color w:val="auto"/>
        </w:rPr>
        <w:t>The effective date of this Amendment shall be the date on the top of this Amendment (the "Effective Date").</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parties acknowledge that they have read this Amendment, understand it, and agree to be bound by its terms and conditions. All capitalized terms not defined herein shall have the meaning set forth in the Goods Agreement or the SOW #1. All other terms and conditions of the Goods Agreement and SOW#1 that are unaffected by the revisions set forth in this Amendment shall remain in full force and effect. Further, the parties agree that this Amendment and the Goods Agreement and SOW#1 are the complete and exclusive statement of the agreement between the parties, superseding all proposals or other prior agreement, oral or written, and all other communications between the parties relating to this subject.</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ACCEPTED AND AGREED TO:</w:t>
            </w:r>
          </w:p>
        </w:tc>
        <w:tc>
          <w:tcPr>
            <w:tcW w:w="820" w:type="dxa"/>
            <w:vAlign w:val="bottom"/>
          </w:tcPr>
          <w:p>
            <w:pPr>
              <w:spacing w:after="0"/>
              <w:rPr>
                <w:sz w:val="14"/>
                <w:szCs w:val="14"/>
                <w:color w:val="auto"/>
              </w:rPr>
            </w:pPr>
          </w:p>
        </w:tc>
        <w:tc>
          <w:tcPr>
            <w:tcW w:w="2820" w:type="dxa"/>
            <w:vAlign w:val="bottom"/>
          </w:tcPr>
          <w:p>
            <w:pPr>
              <w:ind w:left="460"/>
              <w:spacing w:after="0"/>
              <w:rPr>
                <w:sz w:val="20"/>
                <w:szCs w:val="20"/>
                <w:color w:val="auto"/>
              </w:rPr>
            </w:pPr>
            <w:r>
              <w:rPr>
                <w:rFonts w:ascii="Courier New" w:cs="Courier New" w:eastAsia="Courier New" w:hAnsi="Courier New"/>
                <w:sz w:val="15"/>
                <w:szCs w:val="15"/>
                <w:color w:val="auto"/>
              </w:rPr>
              <w:t>ACCEPTED AND AGREED TO:</w:t>
            </w:r>
          </w:p>
        </w:tc>
        <w:tc>
          <w:tcPr>
            <w:tcW w:w="1180" w:type="dxa"/>
            <w:vAlign w:val="bottom"/>
          </w:tcPr>
          <w:p>
            <w:pPr>
              <w:spacing w:after="0"/>
              <w:rPr>
                <w:sz w:val="14"/>
                <w:szCs w:val="14"/>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BUSINESS MACHINES</w:t>
            </w:r>
          </w:p>
        </w:tc>
        <w:tc>
          <w:tcPr>
            <w:tcW w:w="4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BROCADE COMMUNICATIONS SYSTEMS, INC.</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8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0"/>
        </w:trPr>
        <w:tc>
          <w:tcPr>
            <w:tcW w:w="26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820" w:type="dxa"/>
            <w:vAlign w:val="bottom"/>
          </w:tcPr>
          <w:p>
            <w:pPr>
              <w:spacing w:after="0"/>
              <w:rPr>
                <w:sz w:val="24"/>
                <w:szCs w:val="24"/>
                <w:color w:val="auto"/>
              </w:rPr>
            </w:pPr>
          </w:p>
        </w:tc>
        <w:tc>
          <w:tcPr>
            <w:tcW w:w="2820" w:type="dxa"/>
            <w:vAlign w:val="bottom"/>
          </w:tcPr>
          <w:p>
            <w:pPr>
              <w:ind w:left="460"/>
              <w:spacing w:after="0"/>
              <w:rPr>
                <w:sz w:val="20"/>
                <w:szCs w:val="20"/>
                <w:color w:val="auto"/>
              </w:rPr>
            </w:pPr>
            <w:r>
              <w:rPr>
                <w:rFonts w:ascii="Courier New" w:cs="Courier New" w:eastAsia="Courier New" w:hAnsi="Courier New"/>
                <w:sz w:val="15"/>
                <w:szCs w:val="15"/>
                <w:color w:val="auto"/>
              </w:rPr>
              <w:t>By:</w:t>
            </w:r>
          </w:p>
        </w:tc>
        <w:tc>
          <w:tcPr>
            <w:tcW w:w="1180" w:type="dxa"/>
            <w:vAlign w:val="bottom"/>
          </w:tcPr>
          <w:p>
            <w:pPr>
              <w:spacing w:after="0"/>
              <w:rPr>
                <w:sz w:val="24"/>
                <w:szCs w:val="24"/>
                <w:color w:val="auto"/>
              </w:rPr>
            </w:pPr>
          </w:p>
        </w:tc>
      </w:tr>
      <w:tr>
        <w:trPr>
          <w:trHeight w:val="175"/>
        </w:trPr>
        <w:tc>
          <w:tcPr>
            <w:tcW w:w="3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400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Authorized Signature</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820" w:type="dxa"/>
            <w:vAlign w:val="bottom"/>
          </w:tcPr>
          <w:p>
            <w:pPr>
              <w:ind w:left="460"/>
              <w:spacing w:after="0"/>
              <w:rPr>
                <w:sz w:val="20"/>
                <w:szCs w:val="20"/>
                <w:color w:val="auto"/>
              </w:rPr>
            </w:pPr>
            <w:r>
              <w:rPr>
                <w:rFonts w:ascii="Courier New" w:cs="Courier New" w:eastAsia="Courier New" w:hAnsi="Courier New"/>
                <w:sz w:val="15"/>
                <w:szCs w:val="15"/>
                <w:color w:val="auto"/>
              </w:rPr>
              <w:t>Authorized Signature</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Date</w:t>
            </w:r>
          </w:p>
        </w:tc>
      </w:tr>
      <w:tr>
        <w:trPr>
          <w:trHeight w:val="699"/>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w w:val="97"/>
              </w:rPr>
              <w:t>- -------------------------------------</w:t>
            </w:r>
          </w:p>
        </w:tc>
        <w:tc>
          <w:tcPr>
            <w:tcW w:w="40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Type or Print Name</w:t>
            </w:r>
          </w:p>
        </w:tc>
        <w:tc>
          <w:tcPr>
            <w:tcW w:w="820" w:type="dxa"/>
            <w:vAlign w:val="bottom"/>
          </w:tcPr>
          <w:p>
            <w:pPr>
              <w:spacing w:after="0"/>
              <w:rPr>
                <w:sz w:val="15"/>
                <w:szCs w:val="15"/>
                <w:color w:val="auto"/>
              </w:rPr>
            </w:pPr>
          </w:p>
        </w:tc>
        <w:tc>
          <w:tcPr>
            <w:tcW w:w="2820" w:type="dxa"/>
            <w:vAlign w:val="bottom"/>
          </w:tcPr>
          <w:p>
            <w:pPr>
              <w:ind w:left="460"/>
              <w:spacing w:after="0"/>
              <w:rPr>
                <w:sz w:val="20"/>
                <w:szCs w:val="20"/>
                <w:color w:val="auto"/>
              </w:rPr>
            </w:pPr>
            <w:r>
              <w:rPr>
                <w:rFonts w:ascii="Courier New" w:cs="Courier New" w:eastAsia="Courier New" w:hAnsi="Courier New"/>
                <w:sz w:val="15"/>
                <w:szCs w:val="15"/>
                <w:color w:val="auto"/>
              </w:rPr>
              <w:t>Type or Print Name</w:t>
            </w:r>
          </w:p>
        </w:tc>
        <w:tc>
          <w:tcPr>
            <w:tcW w:w="1180" w:type="dxa"/>
            <w:vAlign w:val="bottom"/>
          </w:tcPr>
          <w:p>
            <w:pPr>
              <w:spacing w:after="0"/>
              <w:rPr>
                <w:sz w:val="15"/>
                <w:szCs w:val="15"/>
                <w:color w:val="auto"/>
              </w:rPr>
            </w:pPr>
          </w:p>
        </w:tc>
      </w:tr>
      <w:tr>
        <w:trPr>
          <w:trHeight w:val="699"/>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w w:val="97"/>
              </w:rPr>
              <w:t>- -------------------------------------</w:t>
            </w:r>
          </w:p>
        </w:tc>
        <w:tc>
          <w:tcPr>
            <w:tcW w:w="40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rPr>
              <w:t>Title &amp; Organization</w:t>
            </w:r>
          </w:p>
        </w:tc>
        <w:tc>
          <w:tcPr>
            <w:tcW w:w="820" w:type="dxa"/>
            <w:vAlign w:val="bottom"/>
          </w:tcPr>
          <w:p>
            <w:pPr>
              <w:spacing w:after="0"/>
              <w:rPr>
                <w:sz w:val="15"/>
                <w:szCs w:val="15"/>
                <w:color w:val="auto"/>
              </w:rPr>
            </w:pPr>
          </w:p>
        </w:tc>
        <w:tc>
          <w:tcPr>
            <w:tcW w:w="2820" w:type="dxa"/>
            <w:vAlign w:val="bottom"/>
          </w:tcPr>
          <w:p>
            <w:pPr>
              <w:ind w:left="460"/>
              <w:spacing w:after="0"/>
              <w:rPr>
                <w:sz w:val="20"/>
                <w:szCs w:val="20"/>
                <w:color w:val="auto"/>
              </w:rPr>
            </w:pPr>
            <w:r>
              <w:rPr>
                <w:rFonts w:ascii="Courier New" w:cs="Courier New" w:eastAsia="Courier New" w:hAnsi="Courier New"/>
                <w:sz w:val="15"/>
                <w:szCs w:val="15"/>
                <w:color w:val="auto"/>
              </w:rPr>
              <w:t>Title &amp; Organization</w:t>
            </w:r>
          </w:p>
        </w:tc>
        <w:tc>
          <w:tcPr>
            <w:tcW w:w="118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p>
      <w:pPr>
        <w:ind w:left="367" w:right="3039" w:hanging="367"/>
        <w:spacing w:after="0" w:line="247" w:lineRule="auto"/>
        <w:tabs>
          <w:tab w:leader="none" w:pos="36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3" w:right="1440" w:bottom="1440" w:gutter="0" w:footer="0" w:header="0"/>
        </w:sectPr>
      </w:pPr>
    </w:p>
    <w:bookmarkStart w:id="43" w:name="page44"/>
    <w:bookmarkEnd w:id="43"/>
    <w:p>
      <w:pPr>
        <w:jc w:val="right"/>
        <w:ind w:right="2959"/>
        <w:spacing w:after="0"/>
        <w:rPr>
          <w:sz w:val="20"/>
          <w:szCs w:val="20"/>
          <w:color w:val="auto"/>
        </w:rPr>
      </w:pPr>
      <w:r>
        <w:rPr>
          <w:rFonts w:ascii="Courier New" w:cs="Courier New" w:eastAsia="Courier New" w:hAnsi="Courier New"/>
          <w:sz w:val="15"/>
          <w:szCs w:val="15"/>
          <w:color w:val="auto"/>
        </w:rPr>
        <w:t>EXHIBIT 10.38</w:t>
      </w:r>
    </w:p>
    <w:p>
      <w:pPr>
        <w:spacing w:after="0" w:line="200" w:lineRule="exact"/>
        <w:rPr>
          <w:sz w:val="20"/>
          <w:szCs w:val="20"/>
          <w:color w:val="auto"/>
        </w:rPr>
      </w:pPr>
    </w:p>
    <w:p>
      <w:pPr>
        <w:spacing w:after="0" w:line="329"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BROCADE/HP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5"/>
          <w:szCs w:val="15"/>
          <w:color w:val="auto"/>
        </w:rPr>
        <w:t>OEM PURCHASE AGREEMENT</w:t>
      </w:r>
    </w:p>
    <w:p>
      <w:pPr>
        <w:spacing w:after="0" w:line="18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AND BETWEEN</w:t>
      </w:r>
    </w:p>
    <w:p>
      <w:pPr>
        <w:spacing w:after="0" w:line="180"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HEWLETT-PACKARD COMPANY</w:t>
      </w:r>
    </w:p>
    <w:p>
      <w:pPr>
        <w:spacing w:after="0" w:line="180"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BROCADE COMMUNICATIONS SYSTEMS, INC.</w:t>
      </w:r>
    </w:p>
    <w:p>
      <w:pPr>
        <w:sectPr>
          <w:pgSz w:w="11900" w:h="16838" w:orient="portrait"/>
          <w:cols w:equalWidth="0" w:num="1">
            <w:col w:w="9019"/>
          </w:cols>
          <w:pgMar w:left="1440" w:top="316" w:right="1440" w:bottom="1440" w:gutter="0" w:footer="0" w:header="0"/>
        </w:sectPr>
      </w:pPr>
    </w:p>
    <w:bookmarkStart w:id="44" w:name="page45"/>
    <w:bookmarkEnd w:id="44"/>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OEM AGREEMENT</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88"/>
              </w:rPr>
              <w:t>1.</w:t>
            </w:r>
          </w:p>
        </w:tc>
        <w:tc>
          <w:tcPr>
            <w:tcW w:w="8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SCOPE OF AGREEMENT.......................................................................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1.1</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General...........................................................................</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Eligible Purchasers...............................................................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Term Of Agreement.................................................................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r>
      <w:tr>
        <w:trPr>
          <w:trHeight w:val="350"/>
        </w:trPr>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88"/>
              </w:rPr>
              <w:t>2.</w:t>
            </w:r>
          </w:p>
        </w:tc>
        <w:tc>
          <w:tcPr>
            <w:tcW w:w="8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DEFINITIONS..............................................................................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r>
      <w:tr>
        <w:trPr>
          <w:trHeight w:val="350"/>
        </w:trPr>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88"/>
              </w:rPr>
              <w:t>3.</w:t>
            </w:r>
          </w:p>
        </w:tc>
        <w:tc>
          <w:tcPr>
            <w:tcW w:w="8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ORDER AND SHIPMENT OF OEM PRODUCTS.......................................................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3.1</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Orders............................................................................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3.2</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Order Acknowledgment..............................................................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3.3</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Emergency Orders..................................................................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3.4</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Forecasts.........................................................................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3.5</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Lead Time.........................................................................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3.6</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Inventory Requirement.............................................................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3.7</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Order Changes.....................................................................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3.8</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Shipment Requirements.............................................................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3.9</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HP Option To Accept Overshipments.................................................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3.10</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Meeting Shipment Dates............................................................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3.11</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No Advance Shipment...............................................................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3.12</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Title And Risk Of Loss............................................................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3.13</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Packing List......................................................................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3.14</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Packaging.........................................................................</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3.15</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Responsibility For Damage.........................................................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350"/>
        </w:trPr>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88"/>
              </w:rPr>
              <w:t>4.</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PRICES</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AND PAYMENT TERMS.................................................................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4.1</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OEM Product Prices................................................................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4.2</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Changed Prices....................................................................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4.3</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Payment Procedure.................................................................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4.4</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 Warranty......................................................................</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4.5</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Sales Taxes And Duties............................................................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350"/>
        </w:trPr>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88"/>
              </w:rPr>
              <w:t>5.</w:t>
            </w:r>
          </w:p>
        </w:tc>
        <w:tc>
          <w:tcPr>
            <w:tcW w:w="8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NONCOMPLYING PRODUCTS....................................................................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5.1</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Repair or Replacement.............................................................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5.2</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Replacement and Repair Period.....................................................</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350"/>
        </w:trPr>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88"/>
              </w:rPr>
              <w:t>6.</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RETURN</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OF PRODUCTS.......................................................................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6.1</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Return Materials Authorization....................................................</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6.2</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Return Charges....................................................................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6.3</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Duty To Remove Marks Or Destroy Noncomplying Products.............................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r>
        <w:trPr>
          <w:trHeight w:val="350"/>
        </w:trPr>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88"/>
              </w:rPr>
              <w:t>7.</w:t>
            </w:r>
          </w:p>
        </w:tc>
        <w:tc>
          <w:tcPr>
            <w:tcW w:w="8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ENGINEERING PROCESS OR DESIGN CHANGES....................................................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7.1</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Supplier Proposed Changes.........................................................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r>
        <w:trPr>
          <w:trHeight w:val="175"/>
        </w:trPr>
        <w:tc>
          <w:tcPr>
            <w:tcW w:w="4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7.2</w:t>
            </w:r>
          </w:p>
        </w:tc>
        <w:tc>
          <w:tcPr>
            <w:tcW w:w="7480" w:type="dxa"/>
            <w:vAlign w:val="bottom"/>
          </w:tcPr>
          <w:p>
            <w:pPr>
              <w:jc w:val="right"/>
              <w:spacing w:after="0"/>
              <w:rPr>
                <w:sz w:val="20"/>
                <w:szCs w:val="20"/>
                <w:color w:val="auto"/>
              </w:rPr>
            </w:pPr>
            <w:r>
              <w:rPr>
                <w:rFonts w:ascii="Courier New" w:cs="Courier New" w:eastAsia="Courier New" w:hAnsi="Courier New"/>
                <w:sz w:val="15"/>
                <w:szCs w:val="15"/>
                <w:color w:val="auto"/>
              </w:rPr>
              <w:t>Request for Enhancement...........................................................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Page i</w:t>
      </w:r>
    </w:p>
    <w:p>
      <w:pPr>
        <w:sectPr>
          <w:pgSz w:w="11900" w:h="16838" w:orient="portrait"/>
          <w:cols w:equalWidth="0" w:num="1">
            <w:col w:w="10226"/>
          </w:cols>
          <w:pgMar w:left="233" w:top="643" w:right="1440" w:bottom="1440" w:gutter="0" w:footer="0" w:header="0"/>
        </w:sectPr>
      </w:pPr>
    </w:p>
    <w:bookmarkStart w:id="45" w:name="page46"/>
    <w:bookmarkEnd w:id="45"/>
    <w:tbl>
      <w:tblPr>
        <w:tblLayout w:type="fixed"/>
        <w:tblInd w:w="7"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360" w:type="dxa"/>
            <w:vAlign w:val="bottom"/>
          </w:tcPr>
          <w:p>
            <w:pPr>
              <w:jc w:val="right"/>
              <w:ind w:right="3924"/>
              <w:spacing w:after="0"/>
              <w:rPr>
                <w:sz w:val="20"/>
                <w:szCs w:val="20"/>
                <w:color w:val="auto"/>
              </w:rPr>
            </w:pPr>
            <w:r>
              <w:rPr>
                <w:rFonts w:ascii="Courier New" w:cs="Courier New" w:eastAsia="Courier New" w:hAnsi="Courier New"/>
                <w:sz w:val="15"/>
                <w:szCs w:val="15"/>
                <w:color w:val="auto"/>
              </w:rPr>
              <w:t>BROCADE/HP CONFIDENTIAL</w:t>
            </w:r>
          </w:p>
        </w:tc>
        <w:tc>
          <w:tcPr>
            <w:tcW w:w="180" w:type="dxa"/>
            <w:vAlign w:val="bottom"/>
          </w:tcPr>
          <w:p>
            <w:pPr>
              <w:spacing w:after="0"/>
              <w:rPr>
                <w:sz w:val="14"/>
                <w:szCs w:val="14"/>
                <w:color w:val="auto"/>
              </w:rPr>
            </w:pPr>
          </w:p>
        </w:tc>
      </w:tr>
      <w:tr>
        <w:trPr>
          <w:trHeight w:val="874"/>
        </w:trPr>
        <w:tc>
          <w:tcPr>
            <w:tcW w:w="5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7.3</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w w:val="99"/>
              </w:rPr>
              <w:t>HP Proposed Changes...............................................................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7.4</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w w:val="99"/>
              </w:rPr>
              <w:t>[*] to Proposed Changes...........................................................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7.5</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w w:val="99"/>
              </w:rPr>
              <w:t>Safety Standard Changes...........................................................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7.6</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w w:val="99"/>
              </w:rPr>
              <w:t>Technical Cooperation.............................................................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w w:val="98"/>
              </w:rPr>
              <w:t>QUALITY</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8.1</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w w:val="99"/>
              </w:rPr>
              <w:t>Quality Program...................................................................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8.2</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w w:val="99"/>
              </w:rPr>
              <w:t>HP's Right To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8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9.1</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w w:val="99"/>
              </w:rPr>
              <w:t>Hardware Product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9.2</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Product Software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9.3</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Survival Of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9.4</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Epidemic Failure Warranty........................................................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9.5</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DISCLAIMER.......................................................................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8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SUPPORT SERVICES........................................................................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10.1</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General..........................................................................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10.2</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New HP Products..................................................................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10.3</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HP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10.4</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Substitute Products..............................................................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10.5</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Failure 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10.6</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Class Failure 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10.7</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Survival Of Support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8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OBSOLESCENCE AND MANUFACTURING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11.1</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Lifetime Buy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11.2</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Consulting Services..............................................................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8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TRAINING................................................................................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12.1</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Technical Training...............................................................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12.2</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Presales Training................................................................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12.3</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HP's Rights in Training Classes and Materials....................................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8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MARKETING AND LICENSING.................................................................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13.1</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Marketing and Distribution.......................................................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13.2</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Distribution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13.3</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No Rights In Marks...............................................................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13.4</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Private Labeling.................................................................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13.5</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HP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13.6</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Software License.................................................................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13.7</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Documentation License............................................................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8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INTELLECTUAL PROPERTY PROTECTION........................................................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14.1</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Supplier's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14.2</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HP's Duty To Notify..............................................................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5"/>
        </w:trPr>
        <w:tc>
          <w:tcPr>
            <w:tcW w:w="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14.3</w:t>
            </w:r>
          </w:p>
        </w:tc>
        <w:tc>
          <w:tcPr>
            <w:tcW w:w="7360" w:type="dxa"/>
            <w:vAlign w:val="bottom"/>
          </w:tcPr>
          <w:p>
            <w:pPr>
              <w:jc w:val="right"/>
              <w:spacing w:after="0"/>
              <w:rPr>
                <w:sz w:val="20"/>
                <w:szCs w:val="20"/>
                <w:color w:val="auto"/>
              </w:rPr>
            </w:pPr>
            <w:r>
              <w:rPr>
                <w:rFonts w:ascii="Courier New" w:cs="Courier New" w:eastAsia="Courier New" w:hAnsi="Courier New"/>
                <w:sz w:val="15"/>
                <w:szCs w:val="15"/>
                <w:color w:val="auto"/>
              </w:rPr>
              <w:t>Remedies For Infringing Products.................................................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Page ii</w:t>
      </w:r>
    </w:p>
    <w:p>
      <w:pPr>
        <w:sectPr>
          <w:pgSz w:w="11900" w:h="16838" w:orient="portrait"/>
          <w:cols w:equalWidth="0" w:num="1">
            <w:col w:w="10226"/>
          </w:cols>
          <w:pgMar w:left="233" w:top="643" w:right="1440" w:bottom="1440" w:gutter="0" w:footer="0" w:header="0"/>
        </w:sectPr>
      </w:pPr>
    </w:p>
    <w:bookmarkStart w:id="46" w:name="page47"/>
    <w:bookmarkEnd w:id="46"/>
    <w:tbl>
      <w:tblPr>
        <w:tblLayout w:type="fixed"/>
        <w:tblInd w:w="7"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0" w:type="dxa"/>
            <w:vAlign w:val="bottom"/>
          </w:tcPr>
          <w:p>
            <w:pPr>
              <w:ind w:left="1300"/>
              <w:spacing w:after="0"/>
              <w:rPr>
                <w:sz w:val="20"/>
                <w:szCs w:val="20"/>
                <w:color w:val="auto"/>
              </w:rPr>
            </w:pPr>
            <w:r>
              <w:rPr>
                <w:rFonts w:ascii="Courier New" w:cs="Courier New" w:eastAsia="Courier New" w:hAnsi="Courier New"/>
                <w:sz w:val="15"/>
                <w:szCs w:val="15"/>
                <w:color w:val="auto"/>
              </w:rPr>
              <w:t>BROCADE/HP CONFIDENTIAL</w:t>
            </w:r>
          </w:p>
        </w:tc>
        <w:tc>
          <w:tcPr>
            <w:tcW w:w="180" w:type="dxa"/>
            <w:vAlign w:val="bottom"/>
          </w:tcPr>
          <w:p>
            <w:pPr>
              <w:spacing w:after="0"/>
              <w:rPr>
                <w:sz w:val="14"/>
                <w:szCs w:val="14"/>
                <w:color w:val="auto"/>
              </w:rPr>
            </w:pPr>
          </w:p>
        </w:tc>
      </w:tr>
      <w:tr>
        <w:trPr>
          <w:trHeight w:val="874"/>
        </w:trPr>
        <w:tc>
          <w:tcPr>
            <w:tcW w:w="5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14.4</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Limitations......................................................................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15.</w:t>
            </w:r>
          </w:p>
        </w:tc>
        <w:tc>
          <w:tcPr>
            <w:tcW w:w="8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COUNTRY OF MANUFACTURE AND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15.1</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Country Of Origin Certification..................................................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15.2</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Country Of Origin Marking........................................................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15.3</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16.</w:t>
            </w:r>
          </w:p>
        </w:tc>
        <w:tc>
          <w:tcPr>
            <w:tcW w:w="8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GOVERNMENTAL COMPLIANCE.................................................................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16.1</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Duty to Comply...................................................................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16.2</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Procurement Regulations..........................................................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16.3</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Ozone Depleting Substances.......................................................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17.</w:t>
            </w:r>
          </w:p>
        </w:tc>
        <w:tc>
          <w:tcPr>
            <w:tcW w:w="8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FORCE MAJEURE EVENTS....................................................................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17.1</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Delaying Causes..................................................................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17.2</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HP Option........................................................................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17.3</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 Of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18.</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EVENTS</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18.1</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Notice Of Breach.................................................................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18.2</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Causes Of Breach.................................................................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18.3</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 Rights Upon Breach...........................................................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18.4</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18.5</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Escalated Resolution Process.....................................................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19.</w:t>
            </w:r>
          </w:p>
        </w:tc>
        <w:tc>
          <w:tcPr>
            <w:tcW w:w="8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CONFIDENTIAL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19.1</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Confidential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19.2</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Exclusions.......................................................................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20.</w:t>
            </w:r>
          </w:p>
        </w:tc>
        <w:tc>
          <w:tcPr>
            <w:tcW w:w="8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INSURANCE REQUIREMENTS..................................................................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20.1</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Insurance Coverage...............................................................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20.2</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Claims Made Coverage.............................................................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20.3</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Additional Requirements..........................................................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21.</w:t>
            </w:r>
          </w:p>
        </w:tc>
        <w:tc>
          <w:tcPr>
            <w:tcW w:w="8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LIMITATION OF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22.</w:t>
            </w:r>
          </w:p>
        </w:tc>
        <w:tc>
          <w:tcPr>
            <w:tcW w:w="8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22.1</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Outstanding Orders...............................................................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22.2</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Return Of HP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22.3</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Surviving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350"/>
        </w:trPr>
        <w:tc>
          <w:tcPr>
            <w:tcW w:w="5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23.</w:t>
            </w:r>
          </w:p>
        </w:tc>
        <w:tc>
          <w:tcPr>
            <w:tcW w:w="8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23.1</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23.2</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Exhibits.........................................................................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23.3</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Independent Contractors..........................................................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23.4</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Assignment.......................................................................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23.5</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No 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23.6</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Reference To Days................................................................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5"/>
        </w:trPr>
        <w:tc>
          <w:tcPr>
            <w:tcW w:w="50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23.7</w:t>
            </w:r>
          </w:p>
        </w:tc>
        <w:tc>
          <w:tcPr>
            <w:tcW w:w="7400" w:type="dxa"/>
            <w:vAlign w:val="bottom"/>
          </w:tcPr>
          <w:p>
            <w:pPr>
              <w:ind w:left="40"/>
              <w:spacing w:after="0"/>
              <w:rPr>
                <w:sz w:val="20"/>
                <w:szCs w:val="20"/>
                <w:color w:val="auto"/>
              </w:rPr>
            </w:pPr>
            <w:r>
              <w:rPr>
                <w:rFonts w:ascii="Courier New" w:cs="Courier New" w:eastAsia="Courier New" w:hAnsi="Courier New"/>
                <w:sz w:val="15"/>
                <w:szCs w:val="15"/>
                <w:color w:val="auto"/>
              </w:rPr>
              <w:t>Headings.........................................................................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Page iii</w:t>
      </w:r>
    </w:p>
    <w:p>
      <w:pPr>
        <w:sectPr>
          <w:pgSz w:w="11900" w:h="16838" w:orient="portrait"/>
          <w:cols w:equalWidth="0" w:num="1">
            <w:col w:w="10226"/>
          </w:cols>
          <w:pgMar w:left="233" w:top="643" w:right="1440" w:bottom="1440" w:gutter="0" w:footer="0" w:header="0"/>
        </w:sectPr>
      </w:pPr>
    </w:p>
    <w:bookmarkStart w:id="47" w:name="page48"/>
    <w:bookmarkEnd w:id="47"/>
    <w:p>
      <w:pPr>
        <w:ind w:left="1900"/>
        <w:spacing w:after="0"/>
        <w:rPr>
          <w:sz w:val="20"/>
          <w:szCs w:val="20"/>
          <w:color w:val="auto"/>
        </w:rPr>
      </w:pPr>
      <w:r>
        <w:rPr>
          <w:rFonts w:ascii="Courier New" w:cs="Courier New" w:eastAsia="Courier New" w:hAnsi="Courier New"/>
          <w:sz w:val="15"/>
          <w:szCs w:val="15"/>
          <w:color w:val="auto"/>
        </w:rPr>
        <w:t>BROCADE/HP CONFIDENTIAL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0" w:val="left"/>
          <w:tab w:leader="dot" w:pos="7980"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5"/>
          <w:szCs w:val="15"/>
          <w:color w:val="auto"/>
        </w:rPr>
        <w:t>Publicity</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spacing w:after="0"/>
        <w:tabs>
          <w:tab w:leader="none" w:pos="620" w:val="left"/>
          <w:tab w:leader="dot" w:pos="7980" w:val="left"/>
        </w:tabs>
        <w:rPr>
          <w:sz w:val="20"/>
          <w:szCs w:val="20"/>
          <w:color w:val="auto"/>
        </w:rPr>
      </w:pPr>
      <w:r>
        <w:rPr>
          <w:rFonts w:ascii="Courier New" w:cs="Courier New" w:eastAsia="Courier New" w:hAnsi="Courier New"/>
          <w:sz w:val="15"/>
          <w:szCs w:val="15"/>
          <w:color w:val="auto"/>
        </w:rPr>
        <w:t>23.9</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620" w:val="left"/>
          <w:tab w:leader="dot" w:pos="7980" w:val="left"/>
        </w:tabs>
        <w:rPr>
          <w:sz w:val="20"/>
          <w:szCs w:val="20"/>
          <w:color w:val="auto"/>
        </w:rPr>
      </w:pPr>
      <w:r>
        <w:rPr>
          <w:rFonts w:ascii="Courier New" w:cs="Courier New" w:eastAsia="Courier New" w:hAnsi="Courier New"/>
          <w:sz w:val="15"/>
          <w:szCs w:val="15"/>
          <w:color w:val="auto"/>
        </w:rPr>
        <w:t>23.10</w:t>
        <w:tab/>
        <w:t>Subcontractors and Subsidiaries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620" w:val="left"/>
          <w:tab w:leader="dot" w:pos="7980" w:val="left"/>
        </w:tabs>
        <w:rPr>
          <w:sz w:val="20"/>
          <w:szCs w:val="20"/>
          <w:color w:val="auto"/>
        </w:rPr>
      </w:pPr>
      <w:r>
        <w:rPr>
          <w:rFonts w:ascii="Courier New" w:cs="Courier New" w:eastAsia="Courier New" w:hAnsi="Courier New"/>
          <w:sz w:val="15"/>
          <w:szCs w:val="15"/>
          <w:color w:val="auto"/>
        </w:rPr>
        <w:t>23.11</w:t>
        <w:tab/>
        <w:t>Entire Agreement</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620" w:val="left"/>
          <w:tab w:leader="dot" w:pos="7980" w:val="left"/>
        </w:tabs>
        <w:rPr>
          <w:sz w:val="20"/>
          <w:szCs w:val="20"/>
          <w:color w:val="auto"/>
        </w:rPr>
      </w:pPr>
      <w:r>
        <w:rPr>
          <w:rFonts w:ascii="Courier New" w:cs="Courier New" w:eastAsia="Courier New" w:hAnsi="Courier New"/>
          <w:sz w:val="15"/>
          <w:szCs w:val="15"/>
          <w:color w:val="auto"/>
        </w:rPr>
        <w:t>23.12</w:t>
        <w:tab/>
        <w:t>Governing Law</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620" w:val="left"/>
          <w:tab w:leader="dot" w:pos="7980" w:val="left"/>
        </w:tabs>
        <w:rPr>
          <w:sz w:val="20"/>
          <w:szCs w:val="20"/>
          <w:color w:val="auto"/>
        </w:rPr>
      </w:pPr>
      <w:r>
        <w:rPr>
          <w:rFonts w:ascii="Courier New" w:cs="Courier New" w:eastAsia="Courier New" w:hAnsi="Courier New"/>
          <w:sz w:val="15"/>
          <w:szCs w:val="15"/>
          <w:color w:val="auto"/>
        </w:rPr>
        <w:t>23.13</w:t>
        <w:tab/>
        <w:t>Exhibits</w:t>
      </w:r>
      <w:r>
        <w:rPr>
          <w:sz w:val="20"/>
          <w:szCs w:val="20"/>
          <w:color w:val="auto"/>
        </w:rPr>
        <w:tab/>
      </w: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Page iv</w:t>
      </w:r>
    </w:p>
    <w:p>
      <w:pPr>
        <w:sectPr>
          <w:pgSz w:w="11900" w:h="16838" w:orient="portrait"/>
          <w:cols w:equalWidth="0" w:num="1">
            <w:col w:w="9499"/>
          </w:cols>
          <w:pgMar w:left="960" w:top="643" w:right="1440" w:bottom="1440" w:gutter="0" w:footer="0" w:header="0"/>
        </w:sectPr>
      </w:pPr>
    </w:p>
    <w:bookmarkStart w:id="48" w:name="page49"/>
    <w:bookmarkEnd w:id="48"/>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OEM PURCHASE AGREEMENT</w:t>
      </w:r>
    </w:p>
    <w:p>
      <w:pPr>
        <w:spacing w:after="0" w:line="354" w:lineRule="exact"/>
        <w:rPr>
          <w:sz w:val="20"/>
          <w:szCs w:val="20"/>
          <w:color w:val="auto"/>
        </w:rPr>
      </w:pPr>
    </w:p>
    <w:p>
      <w:pPr>
        <w:ind w:left="7" w:right="3419"/>
        <w:spacing w:after="0" w:line="246" w:lineRule="auto"/>
        <w:rPr>
          <w:sz w:val="20"/>
          <w:szCs w:val="20"/>
          <w:color w:val="auto"/>
        </w:rPr>
      </w:pPr>
      <w:r>
        <w:rPr>
          <w:rFonts w:ascii="Courier New" w:cs="Courier New" w:eastAsia="Courier New" w:hAnsi="Courier New"/>
          <w:sz w:val="15"/>
          <w:szCs w:val="15"/>
          <w:color w:val="auto"/>
        </w:rPr>
        <w:t>THIS AGREEMENT is entered into between HEWLETT-PACKARD COMPANY, a Delaware corporation ("HP") and BROCADE COMMUNICATIONS SYSTEMS, INC., a Delaware corporation ("Supplier"), effective as of January 28, 2000, (the "Effective Date"). The parties hereby agree as follows:</w:t>
      </w:r>
    </w:p>
    <w:p>
      <w:pPr>
        <w:spacing w:after="0" w:line="177" w:lineRule="exact"/>
        <w:rPr>
          <w:sz w:val="20"/>
          <w:szCs w:val="20"/>
          <w:color w:val="auto"/>
        </w:rPr>
      </w:pPr>
    </w:p>
    <w:p>
      <w:pPr>
        <w:ind w:left="727" w:hanging="727"/>
        <w:spacing w:after="0"/>
        <w:tabs>
          <w:tab w:leader="none" w:pos="72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AGREEMENT</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1.1General. This Agreement specifies the terms and conditions under which Supplier will sell, license, and support the OEM Products listed in Exhibit A to this Agreement. The OEM Products are regarded as "Original Equipment Manufacturer" products that will either be sold separately or incorporated into HP Products for resale worldwide under the Supplier's label or under HP's private label. The OEM Products and the HP Products will be marketed, serviced, and supported by HP's field organization and channel partners, subject to the marketing, service, and support obligations of Supplier pursuant to this Agreement.</w:t>
      </w:r>
    </w:p>
    <w:p>
      <w:pPr>
        <w:spacing w:after="0" w:line="180"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1.2Eligible Purchasers. This Agreement enables HP, HP Subsidiaries, and [*] to purchase OEM Products from Supplier under the terms of this Agreement or any subsequent Product Addendum. The terms and conditions of this Agreement will control and take precedence over any conflicting terms in a Product Addendum unless a Product Addendum specifically refers to and amends a term of this Agreement.</w:t>
      </w:r>
    </w:p>
    <w:p>
      <w:pPr>
        <w:spacing w:after="0" w:line="179" w:lineRule="exact"/>
        <w:rPr>
          <w:rFonts w:ascii="Courier New" w:cs="Courier New" w:eastAsia="Courier New" w:hAnsi="Courier New"/>
          <w:sz w:val="15"/>
          <w:szCs w:val="15"/>
          <w:color w:val="auto"/>
        </w:rPr>
      </w:pPr>
    </w:p>
    <w:p>
      <w:pPr>
        <w:ind w:left="1447" w:right="303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1.3Term Of Agreement. This Agreement will commence as of the Effective Date and continue for a two-year period (the "Term"), unless terminated earlier under the terms of this Agreement.</w:t>
      </w:r>
    </w:p>
    <w:p>
      <w:pPr>
        <w:spacing w:after="0" w:line="17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following capitalized terms will have these meanings throughout this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jc w:val="both"/>
        <w:ind w:left="1447" w:right="31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"Documentation" means the user and technical manuals and other documentation that Supplier will make generally available with the OEM Products.</w:t>
      </w:r>
    </w:p>
    <w:p>
      <w:pPr>
        <w:spacing w:after="0" w:line="174" w:lineRule="exact"/>
        <w:rPr>
          <w:sz w:val="20"/>
          <w:szCs w:val="20"/>
          <w:color w:val="auto"/>
        </w:rPr>
      </w:pPr>
    </w:p>
    <w:p>
      <w:pPr>
        <w:ind w:left="1447" w:right="30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"Eligible Purchasers" mean those parties authorized to purchase OEM Products under this Agreement as listed in Exhibit B attached hereto.</w:t>
      </w:r>
    </w:p>
    <w:p>
      <w:pPr>
        <w:spacing w:after="0" w:line="174"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"Failure" means an instance where the product does not conform</w:t>
      </w:r>
    </w:p>
    <w:p>
      <w:pPr>
        <w:spacing w:after="0" w:line="5" w:lineRule="exact"/>
        <w:rPr>
          <w:sz w:val="20"/>
          <w:szCs w:val="20"/>
          <w:color w:val="auto"/>
        </w:rPr>
      </w:pPr>
    </w:p>
    <w:p>
      <w:pPr>
        <w:ind w:left="1447" w:right="3039"/>
        <w:spacing w:after="0" w:line="247" w:lineRule="auto"/>
        <w:rPr>
          <w:sz w:val="20"/>
          <w:szCs w:val="20"/>
          <w:color w:val="auto"/>
        </w:rPr>
      </w:pPr>
      <w:r>
        <w:rPr>
          <w:rFonts w:ascii="Courier New" w:cs="Courier New" w:eastAsia="Courier New" w:hAnsi="Courier New"/>
          <w:sz w:val="15"/>
          <w:szCs w:val="15"/>
          <w:color w:val="auto"/>
        </w:rPr>
        <w:t>to specifications in Exhibit A or contains a defect in workmanship, materials, or design that prevents the OEM Product from fully performing as set forth in Exhibit A.</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"Forecast" means HP's estimate, submitted to Supplier in writing, of its purchase requirements over a [*] period, or such other period designated by the parties.</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1 of 24</w:t>
      </w:r>
    </w:p>
    <w:p>
      <w:pPr>
        <w:sectPr>
          <w:pgSz w:w="11900" w:h="16838" w:orient="portrait"/>
          <w:cols w:equalWidth="0" w:num="1">
            <w:col w:w="10226"/>
          </w:cols>
          <w:pgMar w:left="233" w:top="643" w:right="1440" w:bottom="1440" w:gutter="0" w:footer="0" w:header="0"/>
        </w:sectPr>
      </w:pPr>
    </w:p>
    <w:bookmarkStart w:id="49" w:name="page50"/>
    <w:bookmarkEnd w:id="49"/>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30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"HP Products" means the HP products or systems that will incorporate the OEM Products and that will be marketed and sold to end-user customers by HP and its distributors.</w:t>
      </w:r>
    </w:p>
    <w:p>
      <w:pPr>
        <w:spacing w:after="0" w:line="174"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"HP Property" means all property, including without limitation, models, tools, equipment, copies of designs and documentation and other materials that may be furnished to Supplier by HP or on HP's behalf or separately paid for by HP for use by Supplier in connection with this Agreement.</w:t>
      </w:r>
    </w:p>
    <w:p>
      <w:pPr>
        <w:spacing w:after="0" w:line="178" w:lineRule="exact"/>
        <w:rPr>
          <w:sz w:val="20"/>
          <w:szCs w:val="20"/>
          <w:color w:val="auto"/>
        </w:rPr>
      </w:pPr>
    </w:p>
    <w:p>
      <w:pPr>
        <w:ind w:left="1447" w:right="30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"Intellectual Property Rights" means all rights in patents, copyrights, moral rights, trade secrets, mask works, Marks, and other similar rights.</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"Lead Time" means the time between the date an Order is received by Supplier and the Shipment Date.</w:t>
      </w:r>
    </w:p>
    <w:p>
      <w:pPr>
        <w:spacing w:after="0" w:line="175"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"Marks" means the trademarks, service marks, trademark and service mark applications, trade dress, trade names, logos, insignia, symbols, designs or other marks identifying a party or its products.</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"Noncomplying Product" means any OEM Product received by HP that does not comply with the [*] as set forth in Exhibit A of this Agreement. Noncomplying Products include, without limitation, dead-on-arrival products, overshipments, and early shipments.</w:t>
      </w:r>
    </w:p>
    <w:p>
      <w:pPr>
        <w:spacing w:after="0" w:line="177" w:lineRule="exact"/>
        <w:rPr>
          <w:sz w:val="20"/>
          <w:szCs w:val="20"/>
          <w:color w:val="auto"/>
        </w:rPr>
      </w:pPr>
    </w:p>
    <w:p>
      <w:pPr>
        <w:ind w:left="1447" w:right="3039" w:hanging="720"/>
        <w:spacing w:after="0" w:line="246" w:lineRule="auto"/>
        <w:tabs>
          <w:tab w:leader="none" w:pos="144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"OEM Products" means the products listed in Exhibit A, all related Documentation, Parts, and other deliverables provided pursuant to this Agreement. For purposes of this Agreement, OEM Products shall not include any [*]</w:t>
      </w:r>
    </w:p>
    <w:p>
      <w:pPr>
        <w:spacing w:after="0" w:line="177"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"Orders" means a written or electronic purchase order or release issued by HP to Supplier for purchase of the OEM Products.</w:t>
      </w:r>
    </w:p>
    <w:p>
      <w:pPr>
        <w:spacing w:after="0" w:line="175" w:lineRule="exact"/>
        <w:rPr>
          <w:sz w:val="20"/>
          <w:szCs w:val="20"/>
          <w:color w:val="auto"/>
        </w:rPr>
      </w:pPr>
    </w:p>
    <w:p>
      <w:pPr>
        <w:ind w:left="1447" w:right="30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"Parts" means the replacement parts, components, consumables or other products that may be supplied in conjunction with or as additions to the OEM Products.</w:t>
      </w:r>
    </w:p>
    <w:p>
      <w:pPr>
        <w:spacing w:after="0" w:line="174"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"Product Addendum" means an addendum to this Agreement entered</w:t>
      </w:r>
    </w:p>
    <w:p>
      <w:pPr>
        <w:spacing w:after="0" w:line="5" w:lineRule="exact"/>
        <w:rPr>
          <w:sz w:val="20"/>
          <w:szCs w:val="20"/>
          <w:color w:val="auto"/>
        </w:rPr>
      </w:pPr>
    </w:p>
    <w:p>
      <w:pPr>
        <w:ind w:left="1447" w:right="3319"/>
        <w:spacing w:after="0" w:line="247" w:lineRule="auto"/>
        <w:rPr>
          <w:sz w:val="20"/>
          <w:szCs w:val="20"/>
          <w:color w:val="auto"/>
        </w:rPr>
      </w:pPr>
      <w:r>
        <w:rPr>
          <w:rFonts w:ascii="Courier New" w:cs="Courier New" w:eastAsia="Courier New" w:hAnsi="Courier New"/>
          <w:sz w:val="15"/>
          <w:szCs w:val="15"/>
          <w:color w:val="auto"/>
        </w:rPr>
        <w:t>into between Supplier and an Eligible Purchaser naming additional OEM Products and product specific requirements in addition to those requirements specified in this Agreement.</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5"/>
          <w:szCs w:val="15"/>
          <w:color w:val="auto"/>
        </w:rPr>
        <w:t>"Shipment Date" means the date confirmed to HP by Supplier regarding a particular Order for the shipment of OEM products by Supplier to the destination required under the Order.</w:t>
      </w:r>
    </w:p>
    <w:p>
      <w:pPr>
        <w:spacing w:after="0" w:line="174" w:lineRule="exact"/>
        <w:rPr>
          <w:sz w:val="20"/>
          <w:szCs w:val="20"/>
          <w:color w:val="auto"/>
        </w:rPr>
      </w:pPr>
    </w:p>
    <w:p>
      <w:pPr>
        <w:jc w:val="both"/>
        <w:ind w:left="1447" w:right="31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5"/>
          <w:szCs w:val="15"/>
          <w:color w:val="auto"/>
        </w:rPr>
        <w:t>"Software" means any software or firmware included or bundled with the OEM Products, as designated in the description of OEM Products in Exhibit A.</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2 of 24</w:t>
      </w:r>
    </w:p>
    <w:p>
      <w:pPr>
        <w:sectPr>
          <w:pgSz w:w="11900" w:h="16838" w:orient="portrait"/>
          <w:cols w:equalWidth="0" w:num="1">
            <w:col w:w="10226"/>
          </w:cols>
          <w:pgMar w:left="233" w:top="643" w:right="1440" w:bottom="1440" w:gutter="0" w:footer="0" w:header="0"/>
        </w:sectPr>
      </w:pPr>
    </w:p>
    <w:bookmarkStart w:id="50" w:name="page51"/>
    <w:bookmarkEnd w:id="50"/>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jc w:val="both"/>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2.17</w:t>
      </w:r>
      <w:r>
        <w:rPr>
          <w:sz w:val="20"/>
          <w:szCs w:val="20"/>
          <w:color w:val="auto"/>
        </w:rPr>
        <w:tab/>
      </w:r>
      <w:r>
        <w:rPr>
          <w:rFonts w:ascii="Courier New" w:cs="Courier New" w:eastAsia="Courier New" w:hAnsi="Courier New"/>
          <w:sz w:val="15"/>
          <w:szCs w:val="15"/>
          <w:color w:val="auto"/>
        </w:rPr>
        <w:t>"Specifications" means the technical and functional requirements for the OEM Products as specified or referenced in Exhibit A or as agreed to in writing by the parties.</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5"/>
          <w:szCs w:val="15"/>
          <w:color w:val="auto"/>
        </w:rPr>
        <w:t>"Subcontractor" means a third party listed in Exhibit B that may purchase OEM Products under the terms of this Agreement on behalf of HP.</w:t>
      </w:r>
    </w:p>
    <w:p>
      <w:pPr>
        <w:spacing w:after="0" w:line="174"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2.19</w:t>
      </w:r>
      <w:r>
        <w:rPr>
          <w:sz w:val="20"/>
          <w:szCs w:val="20"/>
          <w:color w:val="auto"/>
        </w:rPr>
        <w:tab/>
      </w:r>
      <w:r>
        <w:rPr>
          <w:rFonts w:ascii="Courier New" w:cs="Courier New" w:eastAsia="Courier New" w:hAnsi="Courier New"/>
          <w:sz w:val="15"/>
          <w:szCs w:val="15"/>
          <w:color w:val="auto"/>
        </w:rPr>
        <w:t>"Subsidiary" means an entity controlled by or under common control with a party to this Agreement, through ownership or control of more than 50% of the voting power of the shares or other means of ownership or control, provided that such control continues to exist.</w:t>
      </w:r>
    </w:p>
    <w:p>
      <w:pPr>
        <w:spacing w:after="0" w:line="178" w:lineRule="exact"/>
        <w:rPr>
          <w:sz w:val="20"/>
          <w:szCs w:val="20"/>
          <w:color w:val="auto"/>
        </w:rPr>
      </w:pPr>
    </w:p>
    <w:p>
      <w:pPr>
        <w:ind w:left="1447" w:right="321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2.20</w:t>
      </w:r>
      <w:r>
        <w:rPr>
          <w:sz w:val="20"/>
          <w:szCs w:val="20"/>
          <w:color w:val="auto"/>
        </w:rPr>
        <w:tab/>
      </w:r>
      <w:r>
        <w:rPr>
          <w:rFonts w:ascii="Courier New" w:cs="Courier New" w:eastAsia="Courier New" w:hAnsi="Courier New"/>
          <w:sz w:val="15"/>
          <w:szCs w:val="15"/>
          <w:color w:val="auto"/>
        </w:rPr>
        <w:t>"Support" means ongoing maintenance and technical support for the OEM Products provided by Supplier to HP as more fully described in Exhibit D.</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5"/>
          <w:szCs w:val="15"/>
          <w:color w:val="auto"/>
        </w:rPr>
        <w:t>"Technical Information" means Supplier's information and technology necessary to support OEM Products and to exercise any other rights provided under this Agreement.</w:t>
      </w:r>
    </w:p>
    <w:p>
      <w:pPr>
        <w:spacing w:after="0" w:line="174" w:lineRule="exact"/>
        <w:rPr>
          <w:sz w:val="20"/>
          <w:szCs w:val="20"/>
          <w:color w:val="auto"/>
        </w:rPr>
      </w:pPr>
    </w:p>
    <w:p>
      <w:pPr>
        <w:ind w:left="727" w:hanging="727"/>
        <w:spacing w:after="0"/>
        <w:tabs>
          <w:tab w:leader="none" w:pos="72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AND SHIPMENT OF OEM PRODUCTS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3.1Orders. Each delivery of OEM Products will be initiated by an Order issued to Supplier by HP. Each Order will include: (i) unit quantity; (ii) unit price; (iii) shipping destination; (iv) Shipment Date; and (v) other instructions or requirements pertinent to the Order. HP may schedule regular intervals for deliveries by an appropriate Order setting forth the intervals. To the extent of any inconsistency between the terms of an Order and the terms of this Agreement, the terms specified in this Agreement will control and take precedence. Any additional terms contained in Orders or Supplier's Order acknowledgements shall not be binding unless accepted by the other party in writing.</w:t>
      </w:r>
    </w:p>
    <w:p>
      <w:pPr>
        <w:spacing w:after="0" w:line="181"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3.2Order Acknowledgment. An Order will be deemed to have been placed as of the date of receipt of the Order by Supplier. Supplier will promptly confirm the receipt of an Order electronically or through facsimile to HP within [*]. Orders within Forecasts and Lead Time requirements of this Agreement will be deemed accepted upon receipt by Supplier. For Orders exceeding Forecast, Supplier will have [*] in which to reject the order with respect to the excess. If an HP Order exceeds the Forecast or shortens the Lead Time, Supplier will use commercially reasonable efforts to fill such excess or accommodate such shorter Lead Time.</w:t>
      </w:r>
    </w:p>
    <w:p>
      <w:pPr>
        <w:spacing w:after="0" w:line="181"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3.3Emergency Orders. If HP deems it necessary, HP may order OEM Products by facsimile on an emergency basis ("Emergency Order") subject to the availability of such OEM Products in Supplier's inventory. Supplier will use all reasonable efforts to ship the Emergency Order to HP's designated Eligible Purchaser(s) immediately upon receipt of such Emergency Order by Supplier. Subject to HP's approval, HP will pay any additional expenses related to such Emergency Orders.</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3 of 24</w:t>
      </w:r>
    </w:p>
    <w:p>
      <w:pPr>
        <w:sectPr>
          <w:pgSz w:w="11900" w:h="16838" w:orient="portrait"/>
          <w:cols w:equalWidth="0" w:num="1">
            <w:col w:w="10226"/>
          </w:cols>
          <w:pgMar w:left="233" w:top="643" w:right="1440" w:bottom="1440" w:gutter="0" w:footer="0" w:header="0"/>
        </w:sectPr>
      </w:pPr>
    </w:p>
    <w:bookmarkStart w:id="51" w:name="page52"/>
    <w:bookmarkEnd w:id="51"/>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Forecasts. HP will provide a [*] rolling Forecast [*] of its projected Orders. Any quantities listed in any Forecast or other correspondence between the parties are only estimates made as an accommodation for planning purposes and do not constitute a commitment on HP's part to purchase such quantity. HP may, [*] revise any such Forecasts, provided that such revisions (i) occur at least [*] prior to the projected Order Shipment Date, and (ii) shall not result in an increase of its projected Orders greater than [*] of the amount of Orders in the immediately preceding Forecast. Quantities and Shipment Dates in Forecasts and revisions thereof which are not provided to Supplier in accordance with this Section 3.4 shall not be binding upon Supplier for the purposes of Section 3.2 above.</w:t>
      </w:r>
    </w:p>
    <w:p>
      <w:pPr>
        <w:spacing w:after="0" w:line="183" w:lineRule="exact"/>
        <w:rPr>
          <w:sz w:val="20"/>
          <w:szCs w:val="20"/>
          <w:color w:val="auto"/>
        </w:rPr>
      </w:pPr>
    </w:p>
    <w:p>
      <w:pPr>
        <w:jc w:val="both"/>
        <w:ind w:left="1447" w:right="31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Lead Time. Lead time for each OEM Product and FRU product will be no more than [*] for forecasted demand and [*] unforecasted demand [*].</w:t>
      </w:r>
    </w:p>
    <w:p>
      <w:pPr>
        <w:spacing w:after="0" w:line="174" w:lineRule="exact"/>
        <w:rPr>
          <w:sz w:val="20"/>
          <w:szCs w:val="20"/>
          <w:color w:val="auto"/>
        </w:rPr>
      </w:pPr>
    </w:p>
    <w:p>
      <w:pPr>
        <w:jc w:val="both"/>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Inventory Requirement. Supplier will maintain a [*] equal to [*] to support Order changes for each OEM Product. If this inventory is [*], Supplier will [*] as soon as reasonably possible after</w:t>
      </w:r>
    </w:p>
    <w:p>
      <w:pPr>
        <w:spacing w:after="0" w:line="2" w:lineRule="exact"/>
        <w:rPr>
          <w:sz w:val="20"/>
          <w:szCs w:val="20"/>
          <w:color w:val="auto"/>
        </w:rPr>
      </w:pPr>
    </w:p>
    <w:p>
      <w:pPr>
        <w:ind w:left="1827" w:hanging="373"/>
        <w:spacing w:after="0"/>
        <w:tabs>
          <w:tab w:leader="none" w:pos="182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Supplier will [*] of OEM Products in inventory</w:t>
      </w:r>
    </w:p>
    <w:p>
      <w:pPr>
        <w:spacing w:after="0" w:line="4" w:lineRule="exact"/>
        <w:rPr>
          <w:rFonts w:ascii="Courier New" w:cs="Courier New" w:eastAsia="Courier New" w:hAnsi="Courier New"/>
          <w:sz w:val="15"/>
          <w:szCs w:val="15"/>
          <w:color w:val="auto"/>
        </w:rPr>
      </w:pPr>
    </w:p>
    <w:p>
      <w:pPr>
        <w:ind w:left="1827" w:hanging="373"/>
        <w:spacing w:after="0"/>
        <w:tabs>
          <w:tab w:leader="none" w:pos="182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inventory.</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Order Changes. HP may [*], postpone, decrease, or reschedule any Order subject to the [*] set forth immediately below. In the event HP increases any Order, Supplier will use [*] reasonable [*] to fulfill such Order for the Shipment Date requested by HP.</w:t>
      </w:r>
    </w:p>
    <w:p>
      <w:pPr>
        <w:spacing w:after="0" w:line="200" w:lineRule="exact"/>
        <w:rPr>
          <w:sz w:val="20"/>
          <w:szCs w:val="20"/>
          <w:color w:val="auto"/>
        </w:rPr>
      </w:pPr>
    </w:p>
    <w:p>
      <w:pPr>
        <w:spacing w:after="0" w:line="327"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447" w:hanging="1084"/>
        <w:spacing w:after="0"/>
        <w:tabs>
          <w:tab w:leader="none" w:pos="244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PERMISSIBLE [*]PERMISSIBLE [*] PERMISSIBLE [*]</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2426" w:val="left"/>
          <w:tab w:leader="none" w:pos="4346" w:val="left"/>
          <w:tab w:leader="none" w:pos="57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tabs>
          <w:tab w:leader="none" w:pos="2426" w:val="left"/>
          <w:tab w:leader="none" w:pos="4346" w:val="left"/>
          <w:tab w:leader="none" w:pos="57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tabs>
          <w:tab w:leader="none" w:pos="2426" w:val="left"/>
          <w:tab w:leader="none" w:pos="4346" w:val="left"/>
          <w:tab w:leader="none" w:pos="57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tabs>
          <w:tab w:leader="none" w:pos="2426" w:val="left"/>
          <w:tab w:leader="none" w:pos="4346" w:val="left"/>
          <w:tab w:leader="none" w:pos="57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5"/>
          <w:szCs w:val="15"/>
          <w:color w:val="auto"/>
        </w:rPr>
        <w:t>Shipment Requirements. All Order are required to be shipped complete. Supplier will give HP [*] notice if it knows that it cannot meet a Shipment Date or that only a portion of the OEM Products will be available for shipment to meet a Shipment Date. For partial shipments, Supplier will ship the available OEM Products unless directed by HP to reschedule shipment. If Supplier ships any OEM Product by a method other than as specified in the corresponding Order, [*] any [*] in the [*] of freight.</w:t>
      </w:r>
    </w:p>
    <w:p>
      <w:pPr>
        <w:spacing w:after="0" w:line="180" w:lineRule="exact"/>
        <w:rPr>
          <w:sz w:val="20"/>
          <w:szCs w:val="20"/>
          <w:color w:val="auto"/>
        </w:rPr>
      </w:pPr>
    </w:p>
    <w:p>
      <w:pPr>
        <w:jc w:val="right"/>
        <w:ind w:left="727" w:right="3219"/>
        <w:spacing w:after="0" w:line="247" w:lineRule="auto"/>
        <w:rPr>
          <w:sz w:val="20"/>
          <w:szCs w:val="20"/>
          <w:color w:val="auto"/>
        </w:rPr>
      </w:pPr>
      <w:r>
        <w:rPr>
          <w:rFonts w:ascii="Courier New" w:cs="Courier New" w:eastAsia="Courier New" w:hAnsi="Courier New"/>
          <w:sz w:val="15"/>
          <w:szCs w:val="15"/>
          <w:color w:val="auto"/>
        </w:rPr>
        <w:t>3.9     HP Option To Accept Overshipments. If Supplier ships more OEM Products than ordered, the amount of the overshipment may [*]</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4 of 24</w:t>
      </w:r>
    </w:p>
    <w:p>
      <w:pPr>
        <w:sectPr>
          <w:pgSz w:w="11900" w:h="16838" w:orient="portrait"/>
          <w:cols w:equalWidth="0" w:num="1">
            <w:col w:w="10226"/>
          </w:cols>
          <w:pgMar w:left="233" w:top="643" w:right="1440" w:bottom="1440" w:gutter="0" w:footer="0" w:header="0"/>
        </w:sectPr>
      </w:pPr>
    </w:p>
    <w:bookmarkStart w:id="52" w:name="page53"/>
    <w:bookmarkEnd w:id="52"/>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3039" w:firstLine="7"/>
        <w:spacing w:after="0" w:line="247" w:lineRule="auto"/>
        <w:tabs>
          <w:tab w:leader="none" w:pos="181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Supplier pursuant to Article 6 below, [*] subject to the payment procedures in Section 4.3.</w:t>
      </w:r>
    </w:p>
    <w:p>
      <w:pPr>
        <w:spacing w:after="0" w:line="175"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5"/>
          <w:szCs w:val="15"/>
          <w:color w:val="auto"/>
        </w:rPr>
        <w:t>Meeting Shipment Dates. If due to Supplier's failure to make a timely shipment, the specified method of transportation would not permit Supplier to meet the Shipment Date, the OEM Products affected will be shipped by air transportation or other expedient means acceptable to HP. [*] for any [*] in the freight</w:t>
      </w:r>
    </w:p>
    <w:p>
      <w:pPr>
        <w:spacing w:after="0" w:line="3" w:lineRule="exact"/>
        <w:rPr>
          <w:sz w:val="20"/>
          <w:szCs w:val="20"/>
          <w:color w:val="auto"/>
        </w:rPr>
      </w:pPr>
    </w:p>
    <w:p>
      <w:pPr>
        <w:ind w:left="1447" w:right="4219" w:firstLine="7"/>
        <w:spacing w:after="0" w:line="247" w:lineRule="auto"/>
        <w:tabs>
          <w:tab w:leader="none" w:pos="18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that which [*] by the specified method of transportation.</w:t>
      </w:r>
    </w:p>
    <w:p>
      <w:pPr>
        <w:spacing w:after="0" w:line="175"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No Advance Shipment. If OEM Products are shipped more than [*] in advance of the Shipment Date, HP may [*] the OEM Products pursuant to Article 6 below [*] with payment due as provided in Section 4.3 below.</w:t>
      </w:r>
    </w:p>
    <w:p>
      <w:pPr>
        <w:spacing w:after="0" w:line="177"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Title And Risk Of Loss. Shipments will be [*] point. Title to OEM Product hardware and media ordered under this Agreement and risk of loss or damage will pass from Supplier to HP [*], subject to the provisions in Sections 3.12, 3.13, and 3.14 below.</w:t>
      </w:r>
    </w:p>
    <w:p>
      <w:pPr>
        <w:spacing w:after="0" w:line="178"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5"/>
          <w:szCs w:val="15"/>
          <w:color w:val="auto"/>
        </w:rPr>
        <w:t>Packing List. Each delivery of OEM Products to HP must include a packing list that contains at least:</w:t>
      </w:r>
    </w:p>
    <w:p>
      <w:pPr>
        <w:spacing w:after="0" w:line="175" w:lineRule="exact"/>
        <w:rPr>
          <w:sz w:val="20"/>
          <w:szCs w:val="20"/>
          <w:color w:val="auto"/>
        </w:rPr>
      </w:pPr>
    </w:p>
    <w:p>
      <w:pPr>
        <w:ind w:left="2187" w:hanging="733"/>
        <w:spacing w:after="0"/>
        <w:tabs>
          <w:tab w:leader="none" w:pos="218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Order number and the HP part number;</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quantity of OEM Products or Parts shipped; and,</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shipment.</w:t>
      </w:r>
    </w:p>
    <w:p>
      <w:pPr>
        <w:spacing w:after="0" w:line="180"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5"/>
          <w:szCs w:val="15"/>
          <w:color w:val="auto"/>
        </w:rPr>
        <w:t>Packaging. Supplier must preserve, package, handle, and pack all OEM Products as specified in Exhibit A.</w:t>
      </w:r>
    </w:p>
    <w:p>
      <w:pPr>
        <w:spacing w:after="0" w:line="175"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5"/>
          <w:szCs w:val="15"/>
          <w:color w:val="auto"/>
        </w:rPr>
        <w:t>Responsibility For Damage. [*] will be [*] for [*] due to its</w:t>
      </w:r>
    </w:p>
    <w:p>
      <w:pPr>
        <w:spacing w:after="0" w:line="5" w:lineRule="exact"/>
        <w:rPr>
          <w:sz w:val="20"/>
          <w:szCs w:val="20"/>
          <w:color w:val="auto"/>
        </w:rPr>
      </w:pPr>
    </w:p>
    <w:p>
      <w:pPr>
        <w:jc w:val="both"/>
        <w:ind w:left="1447" w:right="3219" w:firstLine="7"/>
        <w:spacing w:after="0" w:line="246" w:lineRule="auto"/>
        <w:tabs>
          <w:tab w:leader="none" w:pos="181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 preserve, package, handle, or pack OEM Products in accordance with Exhibit A. In order to assert a claim against</w:t>
      </w:r>
    </w:p>
    <w:p>
      <w:pPr>
        <w:spacing w:after="0" w:line="1" w:lineRule="exact"/>
        <w:rPr>
          <w:rFonts w:ascii="Courier New" w:cs="Courier New" w:eastAsia="Courier New" w:hAnsi="Courier New"/>
          <w:sz w:val="15"/>
          <w:szCs w:val="15"/>
          <w:color w:val="auto"/>
        </w:rPr>
      </w:pPr>
    </w:p>
    <w:p>
      <w:pPr>
        <w:ind w:left="1447" w:right="3039" w:firstLine="7"/>
        <w:spacing w:after="0" w:line="246" w:lineRule="auto"/>
        <w:tabs>
          <w:tab w:leader="none" w:pos="181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provisions of this Section 3.15, [*] be required to first assert any claims for such loss or damage against the common carrier involved. Further, [*] be [*] for [*] due to a release of chemicals or other hazardous materials to the environment [*] release of the corresponding OEM Product to the designated carrier.</w:t>
      </w:r>
    </w:p>
    <w:p>
      <w:pPr>
        <w:spacing w:after="0" w:line="178"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AND PAYMENT TERMS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4.1OEM Product Prices. Supplier's prices for the OEM Products and Parts are listed in Exhibit C, payable in U.S. currency unless otherwise agreed, and may not be increased without HP's consent. Supplier and HP agree to review OEM Product prices [*].</w:t>
      </w:r>
    </w:p>
    <w:p>
      <w:pPr>
        <w:spacing w:after="0" w:line="200" w:lineRule="exact"/>
        <w:rPr>
          <w:sz w:val="20"/>
          <w:szCs w:val="20"/>
          <w:color w:val="auto"/>
        </w:rPr>
      </w:pPr>
    </w:p>
    <w:p>
      <w:pPr>
        <w:spacing w:after="0" w:line="327" w:lineRule="exact"/>
        <w:rPr>
          <w:sz w:val="20"/>
          <w:szCs w:val="20"/>
          <w:color w:val="auto"/>
        </w:rPr>
      </w:pPr>
    </w:p>
    <w:p>
      <w:pPr>
        <w:ind w:left="447" w:right="2959" w:hanging="447"/>
        <w:spacing w:after="0" w:line="247" w:lineRule="auto"/>
        <w:tabs>
          <w:tab w:leader="none" w:pos="44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5 of 24</w:t>
      </w:r>
    </w:p>
    <w:p>
      <w:pPr>
        <w:sectPr>
          <w:pgSz w:w="11900" w:h="16838" w:orient="portrait"/>
          <w:cols w:equalWidth="0" w:num="1">
            <w:col w:w="10226"/>
          </w:cols>
          <w:pgMar w:left="233" w:top="643" w:right="1440" w:bottom="1440" w:gutter="0" w:footer="0" w:header="0"/>
        </w:sectPr>
      </w:pPr>
    </w:p>
    <w:bookmarkStart w:id="53" w:name="page54"/>
    <w:bookmarkEnd w:id="53"/>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Changed Prices. If during the Term changed prices or price formulas are put in effect by mutual agreement of HP and Supplier, [*] or price formulas are otherwise put in effect by Supplier, such prices or price formulas (if resulting in [*] than the [*] will apply to all Orders accepted by Supplier after the effective date of such prices or price formulas and to all unshipped Orders.</w:t>
      </w:r>
    </w:p>
    <w:p>
      <w:pPr>
        <w:spacing w:after="0" w:line="179"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Payment Procedure. Payment for OEM Products will be [*] of the applicable invoice from Supplier. Except as otherwise provided in this Agreement, associated freight expenses and duties will be paid directly by [*] related to or payments for unordered or Nonconforming Products, provided that HP does not retain such unordered or Nonconforming Products.</w:t>
      </w:r>
    </w:p>
    <w:p>
      <w:pPr>
        <w:spacing w:after="0" w:line="178"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 Warranty. If during the term, Supplier provides [*] of OEM Products [*], then Supplier agrees to [*] to HP [*] provided to the [*]. Supplier agrees to fulfill its obligations in this Section in good faith. In addition, HP may [*] due under this Agreement [*] upon Supplier's [*] issued to HP, which such Supplier [*] shall not be [*].</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Sales Taxes And Duties. Prices are [*] of all [*] after delivery to the designated destination (other than taxes levied on Supplier's income) that Supplier may be required to collect or pay upon shipment of the OEM Products. Any such [*] must appear as a separate item on Supplier's invoice. [*] agrees [*] unless</w:t>
      </w:r>
    </w:p>
    <w:p>
      <w:pPr>
        <w:spacing w:after="0" w:line="3" w:lineRule="exact"/>
        <w:rPr>
          <w:sz w:val="20"/>
          <w:szCs w:val="20"/>
          <w:color w:val="auto"/>
        </w:rPr>
      </w:pPr>
    </w:p>
    <w:p>
      <w:pPr>
        <w:ind w:left="1907" w:hanging="453"/>
        <w:spacing w:after="0"/>
        <w:tabs>
          <w:tab w:leader="none" w:pos="190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applicable, [*]</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NONCOMPLYING PRODUCTS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5.1Repair or Replacement. HP may elect [*], subject to the provisions of Article 18 below, return a Noncomplying Product for replacement or repair [*] In addition, HP may return for repair or replacement an entire lot of OEM Products if more than [*] of that lot consists of Noncomplying Products. In the event of an overshipment, HP may elect to keep the additional units, subject to the payment procedures in Section 4.3.</w:t>
      </w:r>
    </w:p>
    <w:p>
      <w:pPr>
        <w:spacing w:after="0" w:line="179"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5.2Replacement and Repair Period. Supplier will return the replacement or repaired OEM Products as soon as possible but in no event later than [*] after receipt of the Noncomplying Product from HP. Supplier's opportunity to cure any failure to meet such deadline, pursuant to Article 18 below, will apply to [*] during the Term.</w:t>
      </w:r>
    </w:p>
    <w:p>
      <w:pPr>
        <w:spacing w:after="0" w:line="178"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PRODUCTS</w:t>
      </w:r>
    </w:p>
    <w:p>
      <w:pPr>
        <w:spacing w:after="0" w:line="179" w:lineRule="exact"/>
        <w:rPr>
          <w:rFonts w:ascii="Courier New" w:cs="Courier New" w:eastAsia="Courier New" w:hAnsi="Courier New"/>
          <w:sz w:val="15"/>
          <w:szCs w:val="15"/>
          <w:color w:val="auto"/>
        </w:rPr>
      </w:pPr>
    </w:p>
    <w:p>
      <w:pPr>
        <w:ind w:left="1447" w:right="303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6.1Return Materials Authorization. All OEM Products returned by HP to Supplier must be accompanied by a Return Materials Authorization ("RMA"). Supplier will issue</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6 of 24</w:t>
      </w:r>
    </w:p>
    <w:p>
      <w:pPr>
        <w:sectPr>
          <w:pgSz w:w="11900" w:h="16838" w:orient="portrait"/>
          <w:cols w:equalWidth="0" w:num="1">
            <w:col w:w="10226"/>
          </w:cols>
          <w:pgMar w:left="233" w:top="643" w:right="1440" w:bottom="1440" w:gutter="0" w:footer="0" w:header="0"/>
        </w:sectPr>
      </w:pPr>
    </w:p>
    <w:bookmarkStart w:id="54" w:name="page55"/>
    <w:bookmarkEnd w:id="54"/>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3039"/>
        <w:spacing w:after="0" w:line="247" w:lineRule="auto"/>
        <w:rPr>
          <w:sz w:val="20"/>
          <w:szCs w:val="20"/>
          <w:color w:val="auto"/>
        </w:rPr>
      </w:pPr>
      <w:r>
        <w:rPr>
          <w:rFonts w:ascii="Courier New" w:cs="Courier New" w:eastAsia="Courier New" w:hAnsi="Courier New"/>
          <w:sz w:val="15"/>
          <w:szCs w:val="15"/>
          <w:color w:val="auto"/>
        </w:rPr>
        <w:t>an RMA for OEM Products which HP has verified Failure. Supplier will supply an RMA [*] of HP's request.</w:t>
      </w:r>
    </w:p>
    <w:p>
      <w:pPr>
        <w:spacing w:after="0" w:line="175"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Return Charges. All Noncomplying Products returned by HP to Supplier within the respective warranty period for each OEM Product, and all replacement or repaired OEM Products shipped by Supplier to HP to replace Noncomplying Products, will [*].</w:t>
      </w:r>
    </w:p>
    <w:p>
      <w:pPr>
        <w:spacing w:after="0" w:line="177"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Duty To Remove Marks Or Destroy Noncomplying Products. Supplier agrees not to sell, transfer distribute or otherwise convey any part, component, product or service bearing or incorporating HP Marks, part numbers or other identifiers, including any HP packaging, copyrights or code, to any party other than to Eligible Purchasers. Supplier will remove from all rejected, returned or unpurchased OEM Products any such HP Marks or identifiers, even if such removal would require destruction of the OEM Products. Supplier further agrees not to represent that such OEM Products are built for HP or to HP specifications. Supplier will defend and indemnify HP against any claims, losses, liabilities, costs or expenses that HP may incur as a result of Supplier's breach of this obligation.</w:t>
      </w:r>
    </w:p>
    <w:p>
      <w:pPr>
        <w:spacing w:after="0" w:line="183" w:lineRule="exact"/>
        <w:rPr>
          <w:sz w:val="20"/>
          <w:szCs w:val="20"/>
          <w:color w:val="auto"/>
        </w:rPr>
      </w:pPr>
    </w:p>
    <w:p>
      <w:pPr>
        <w:ind w:left="727" w:hanging="727"/>
        <w:spacing w:after="0"/>
        <w:tabs>
          <w:tab w:leader="none" w:pos="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ENGINEERING PROCESS OR DESIGN CHANGES</w:t>
      </w:r>
    </w:p>
    <w:p>
      <w:pPr>
        <w:spacing w:after="0" w:line="179" w:lineRule="exact"/>
        <w:rPr>
          <w:rFonts w:ascii="Courier New" w:cs="Courier New" w:eastAsia="Courier New" w:hAnsi="Courier New"/>
          <w:sz w:val="15"/>
          <w:szCs w:val="15"/>
          <w:color w:val="auto"/>
        </w:rPr>
      </w:pPr>
    </w:p>
    <w:p>
      <w:pPr>
        <w:ind w:left="1447" w:right="341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7.1Supplier Proposed Changes. Supplier will not, other than in accordance with this Article 7, make or incorporate in OEM Products any [*].</w:t>
      </w:r>
    </w:p>
    <w:p>
      <w:pPr>
        <w:spacing w:after="0" w:line="174"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7.2Request for Enhancement. HP proposed changes and enhancement requests will be reviewed, as appropriate, by the Software Steering Committee and/or the Hardware Engineering core teams of Supplier. Where feasible and mutually agreed by HP and Supplier, such changes will be implemented in the [*] or as otherwise specifically agreed.</w:t>
      </w:r>
    </w:p>
    <w:p>
      <w:pPr>
        <w:spacing w:after="0" w:line="178"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7.3HP Proposed Changes. HP may change HP-supplied drawings, designs, or Specifications at any time prior to manufacture of corresponding released OEM Products. Any such change will be [*] If any such change reasonably and directly [*] of OEM Products, an [*] will be made provided that Supplier makes a written claim for an [*] within [*] from the date HP gives notice to Supplier of the change and HP agrees in writing to the [*].</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7.4[*] Proposed Changes. In the event that HP [*] in writing to an</w:t>
      </w:r>
    </w:p>
    <w:p>
      <w:pPr>
        <w:spacing w:after="0" w:line="4" w:lineRule="exact"/>
        <w:rPr>
          <w:rFonts w:ascii="Courier New" w:cs="Courier New" w:eastAsia="Courier New" w:hAnsi="Courier New"/>
          <w:sz w:val="15"/>
          <w:szCs w:val="15"/>
          <w:color w:val="auto"/>
        </w:rPr>
      </w:pPr>
    </w:p>
    <w:p>
      <w:pPr>
        <w:ind w:left="1447" w:right="3039" w:firstLine="7"/>
        <w:spacing w:after="0" w:line="246" w:lineRule="auto"/>
        <w:tabs>
          <w:tab w:leader="none" w:pos="181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stated time period on the basis that such [*] materially affects its ability to timely deliver the OEM Products or to fill outstanding orders, then HP may provide Supplier with written [*] and shall be entitled to (in addition to placing orders for the [*] submit purchase orders for the unchanged OEM Product(s) prior to the effective date of the implementation of the [*], for delivery no more</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7 of 24</w:t>
      </w:r>
    </w:p>
    <w:p>
      <w:pPr>
        <w:sectPr>
          <w:pgSz w:w="11900" w:h="16838" w:orient="portrait"/>
          <w:cols w:equalWidth="0" w:num="1">
            <w:col w:w="10226"/>
          </w:cols>
          <w:pgMar w:left="233" w:top="643" w:right="1440" w:bottom="1440" w:gutter="0" w:footer="0" w:header="0"/>
        </w:sectPr>
      </w:pPr>
    </w:p>
    <w:bookmarkStart w:id="55" w:name="page56"/>
    <w:bookmarkEnd w:id="55"/>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3039"/>
        <w:spacing w:after="0" w:line="246" w:lineRule="auto"/>
        <w:rPr>
          <w:sz w:val="20"/>
          <w:szCs w:val="20"/>
          <w:color w:val="auto"/>
        </w:rPr>
      </w:pPr>
      <w:r>
        <w:rPr>
          <w:rFonts w:ascii="Courier New" w:cs="Courier New" w:eastAsia="Courier New" w:hAnsi="Courier New"/>
          <w:sz w:val="15"/>
          <w:szCs w:val="15"/>
          <w:color w:val="auto"/>
        </w:rPr>
        <w:t>than [*] after the effective date of such implementation and in quantities which do not exceed the total quantity of OEM Product(s) ordered by HP in the [*] immediately preceding the date of [*].</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Safety Standard Changes. Supplier will promptly give notice to HP if any upgrade, substitution, or other change to an OEM Product is required to make that product meet applicable safety standards or other governmental statutes, rules, orders, or regulations, even those that are not defined as Engineering Changes in Section 7.1 above. All affected OEM Products already purchased by HP may [*] either be returned to Supplier for upgrade to current revisions or upgraded by Supplier or HP in the field pursuant to the procedures outlined in Section 10.4 below. If an OEM Product meets applicable safety standards and other governmental requirements at the time of manufacture, HP and Supplier will [*] the [*] of any subsequent upgrade, substitution, or other required change required in an [*] based on good faith discussions between the parties. If such discussions render no [*], the parties may either mutually agree to escalate the matter to their respective vice presidents or general managers, as applicable, or in the alternative, [*] the [*].</w:t>
      </w:r>
    </w:p>
    <w:p>
      <w:pPr>
        <w:spacing w:after="0" w:line="186"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Technical Cooperation. Subject to the confidentiality provisions in Article 19 below, during the term of the Agreement, the parties will discuss architecture and explore the possibilities for technically [*] Supplier and HP products. Each party will designate a technical representative to lead these discussions as well as to address other technical issues relating to the product enhancements and [*]. Supplier agrees to [*] with HP engineers the following for [*] (which such information [*]</w:t>
      </w:r>
    </w:p>
    <w:p>
      <w:pPr>
        <w:spacing w:after="0" w:line="180" w:lineRule="exact"/>
        <w:rPr>
          <w:sz w:val="20"/>
          <w:szCs w:val="20"/>
          <w:color w:val="auto"/>
        </w:rPr>
      </w:pPr>
    </w:p>
    <w:p>
      <w:pPr>
        <w:ind w:left="1827" w:hanging="373"/>
        <w:spacing w:after="0"/>
        <w:tabs>
          <w:tab w:leader="none" w:pos="18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7" w:right="3039" w:firstLine="7"/>
        <w:spacing w:after="0" w:line="246" w:lineRule="auto"/>
        <w:tabs>
          <w:tab w:leader="none" w:pos="18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information sufficient for HP to (i) understand the related architecture and to develop test suites for resolution of potential problems, and (ii) to understand the implications of such potential problems with the ability to implement meshed configurations efficiently;</w:t>
      </w:r>
    </w:p>
    <w:p>
      <w:pPr>
        <w:spacing w:after="0" w:line="177" w:lineRule="exact"/>
        <w:rPr>
          <w:rFonts w:ascii="Courier New" w:cs="Courier New" w:eastAsia="Courier New" w:hAnsi="Courier New"/>
          <w:sz w:val="15"/>
          <w:szCs w:val="15"/>
          <w:color w:val="auto"/>
        </w:rPr>
      </w:pPr>
    </w:p>
    <w:p>
      <w:pPr>
        <w:jc w:val="both"/>
        <w:ind w:left="1447" w:right="3039" w:firstLine="7"/>
        <w:spacing w:after="0" w:line="247" w:lineRule="auto"/>
        <w:tabs>
          <w:tab w:leader="none" w:pos="18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information on flow control/buffer allocation necessary for HP to implement efficient meshed configurations free of any significant performance problems;</w:t>
      </w:r>
    </w:p>
    <w:p>
      <w:pPr>
        <w:spacing w:after="0" w:line="174" w:lineRule="exact"/>
        <w:rPr>
          <w:rFonts w:ascii="Courier New" w:cs="Courier New" w:eastAsia="Courier New" w:hAnsi="Courier New"/>
          <w:sz w:val="15"/>
          <w:szCs w:val="15"/>
          <w:color w:val="auto"/>
        </w:rPr>
      </w:pPr>
    </w:p>
    <w:p>
      <w:pPr>
        <w:ind w:left="1827" w:hanging="373"/>
        <w:spacing w:after="0"/>
        <w:tabs>
          <w:tab w:leader="none" w:pos="18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 for such items; and,</w:t>
      </w:r>
    </w:p>
    <w:p>
      <w:pPr>
        <w:spacing w:after="0" w:line="179" w:lineRule="exact"/>
        <w:rPr>
          <w:rFonts w:ascii="Courier New" w:cs="Courier New" w:eastAsia="Courier New" w:hAnsi="Courier New"/>
          <w:sz w:val="15"/>
          <w:szCs w:val="15"/>
          <w:color w:val="auto"/>
        </w:rPr>
      </w:pPr>
    </w:p>
    <w:p>
      <w:pPr>
        <w:ind w:left="1827" w:hanging="373"/>
        <w:spacing w:after="0"/>
        <w:tabs>
          <w:tab w:leader="none" w:pos="18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w:t>
      </w:r>
    </w:p>
    <w:p>
      <w:pPr>
        <w:spacing w:after="0" w:line="180" w:lineRule="exact"/>
        <w:rPr>
          <w:sz w:val="20"/>
          <w:szCs w:val="20"/>
          <w:color w:val="auto"/>
        </w:rPr>
      </w:pPr>
    </w:p>
    <w:p>
      <w:pPr>
        <w:ind w:left="727" w:hanging="727"/>
        <w:spacing w:after="0"/>
        <w:tabs>
          <w:tab w:leader="none" w:pos="72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w:t>
      </w:r>
    </w:p>
    <w:p>
      <w:pPr>
        <w:spacing w:after="0" w:line="179" w:lineRule="exact"/>
        <w:rPr>
          <w:rFonts w:ascii="Courier New" w:cs="Courier New" w:eastAsia="Courier New" w:hAnsi="Courier New"/>
          <w:sz w:val="15"/>
          <w:szCs w:val="15"/>
          <w:color w:val="auto"/>
        </w:rPr>
      </w:pPr>
    </w:p>
    <w:p>
      <w:pPr>
        <w:ind w:left="1447" w:right="295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8.1Quality Program. Supplier agrees to maintain an objective quality program for all OEM Products. Supplier's program will be in accordance with the current version of</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8 of 24</w:t>
      </w:r>
    </w:p>
    <w:p>
      <w:pPr>
        <w:sectPr>
          <w:pgSz w:w="11900" w:h="16838" w:orient="portrait"/>
          <w:cols w:equalWidth="0" w:num="1">
            <w:col w:w="10226"/>
          </w:cols>
          <w:pgMar w:left="233" w:top="643" w:right="1440" w:bottom="1440" w:gutter="0" w:footer="0" w:header="0"/>
        </w:sectPr>
      </w:pPr>
    </w:p>
    <w:bookmarkStart w:id="56" w:name="page57"/>
    <w:bookmarkEnd w:id="56"/>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3219"/>
        <w:spacing w:after="0" w:line="246" w:lineRule="auto"/>
        <w:rPr>
          <w:sz w:val="20"/>
          <w:szCs w:val="20"/>
          <w:color w:val="auto"/>
        </w:rPr>
      </w:pPr>
      <w:r>
        <w:rPr>
          <w:rFonts w:ascii="Courier New" w:cs="Courier New" w:eastAsia="Courier New" w:hAnsi="Courier New"/>
          <w:sz w:val="15"/>
          <w:szCs w:val="15"/>
          <w:color w:val="auto"/>
        </w:rPr>
        <w:t>HP's Supplier Quality System as specified in Exhibit H and if applicable, any additional or substitute quality requirements agreed to by the parties in writing. Supplier will, upon HP's request, provide to HP copies of Supplier's program and supporting test documentation.</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HP's Right To [*]. HP has the right to [*] at Supplier's [*] the OEM Products and [*] may be [*] at any time during the Term. HP's [*] may be for any reason [*] related to this Agreement, including to [*] with HP's [*], HP's right of [*] will apply as well to any [*] of Supplier. Supplier will inform [*] of HP's right to [*], and, if necessary, use all [*] such rights for HP.</w:t>
      </w:r>
    </w:p>
    <w:p>
      <w:pPr>
        <w:spacing w:after="0" w:line="178" w:lineRule="exact"/>
        <w:rPr>
          <w:sz w:val="20"/>
          <w:szCs w:val="20"/>
          <w:color w:val="auto"/>
        </w:rPr>
      </w:pPr>
    </w:p>
    <w:p>
      <w:pPr>
        <w:ind w:left="727" w:hanging="727"/>
        <w:spacing w:after="0"/>
        <w:tabs>
          <w:tab w:leader="none" w:pos="72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w:t>
      </w:r>
    </w:p>
    <w:p>
      <w:pPr>
        <w:spacing w:after="0" w:line="179" w:lineRule="exact"/>
        <w:rPr>
          <w:rFonts w:ascii="Courier New" w:cs="Courier New" w:eastAsia="Courier New" w:hAnsi="Courier New"/>
          <w:sz w:val="15"/>
          <w:szCs w:val="15"/>
          <w:color w:val="auto"/>
        </w:rPr>
      </w:pPr>
    </w:p>
    <w:p>
      <w:pPr>
        <w:ind w:left="1447" w:right="331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9.1Hardware Product Warranties. Supplier warrants that, for a period of [*] from the [*] for each OEM Product that all hardware components of the OEM Products under this Agreement will:</w:t>
      </w:r>
    </w:p>
    <w:p>
      <w:pPr>
        <w:spacing w:after="0" w:line="177" w:lineRule="exact"/>
        <w:rPr>
          <w:sz w:val="20"/>
          <w:szCs w:val="20"/>
          <w:color w:val="auto"/>
        </w:rPr>
      </w:pPr>
    </w:p>
    <w:p>
      <w:pPr>
        <w:ind w:left="2187" w:right="2959" w:hanging="733"/>
        <w:spacing w:after="0" w:line="247" w:lineRule="auto"/>
        <w:tabs>
          <w:tab w:leader="none" w:pos="218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manufactured, processed, and assembled by Supplier or by companies under Supplier's direction, including, without limitation, [*]</w:t>
      </w:r>
    </w:p>
    <w:p>
      <w:pPr>
        <w:spacing w:after="0" w:line="174" w:lineRule="exact"/>
        <w:rPr>
          <w:sz w:val="20"/>
          <w:szCs w:val="20"/>
          <w:color w:val="auto"/>
        </w:rPr>
      </w:pPr>
    </w:p>
    <w:p>
      <w:pPr>
        <w:ind w:left="2187" w:right="3139" w:hanging="733"/>
        <w:spacing w:after="0" w:line="247" w:lineRule="auto"/>
        <w:tabs>
          <w:tab w:leader="none" w:pos="21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Conform to the [*], and other criteria referred to in this Agreement or agreed to by the parties in writing;</w:t>
      </w:r>
    </w:p>
    <w:p>
      <w:pPr>
        <w:spacing w:after="0" w:line="174" w:lineRule="exact"/>
        <w:rPr>
          <w:rFonts w:ascii="Courier New" w:cs="Courier New" w:eastAsia="Courier New" w:hAnsi="Courier New"/>
          <w:sz w:val="15"/>
          <w:szCs w:val="15"/>
          <w:color w:val="auto"/>
        </w:rPr>
      </w:pPr>
    </w:p>
    <w:p>
      <w:pPr>
        <w:ind w:left="2187" w:hanging="733"/>
        <w:spacing w:after="0"/>
        <w:tabs>
          <w:tab w:leader="none" w:pos="21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new, except as otherwise provided by the parties;</w:t>
      </w:r>
    </w:p>
    <w:p>
      <w:pPr>
        <w:spacing w:after="0" w:line="179" w:lineRule="exact"/>
        <w:rPr>
          <w:rFonts w:ascii="Courier New" w:cs="Courier New" w:eastAsia="Courier New" w:hAnsi="Courier New"/>
          <w:sz w:val="15"/>
          <w:szCs w:val="15"/>
          <w:color w:val="auto"/>
        </w:rPr>
      </w:pPr>
    </w:p>
    <w:p>
      <w:pPr>
        <w:ind w:left="2187" w:right="3039" w:hanging="733"/>
        <w:spacing w:after="0" w:line="247" w:lineRule="auto"/>
        <w:tabs>
          <w:tab w:leader="none" w:pos="21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Conform strictly to the requirements as set forth under the terms and conditions of this Agreement;</w:t>
      </w:r>
    </w:p>
    <w:p>
      <w:pPr>
        <w:spacing w:after="0" w:line="174" w:lineRule="exact"/>
        <w:rPr>
          <w:rFonts w:ascii="Courier New" w:cs="Courier New" w:eastAsia="Courier New" w:hAnsi="Courier New"/>
          <w:sz w:val="15"/>
          <w:szCs w:val="15"/>
          <w:color w:val="auto"/>
        </w:rPr>
      </w:pPr>
    </w:p>
    <w:p>
      <w:pPr>
        <w:ind w:left="2187" w:right="4039" w:hanging="733"/>
        <w:spacing w:after="0" w:line="247" w:lineRule="auto"/>
        <w:tabs>
          <w:tab w:leader="none" w:pos="21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free from defects in design, material and workmanship;</w:t>
      </w:r>
    </w:p>
    <w:p>
      <w:pPr>
        <w:spacing w:after="0" w:line="174" w:lineRule="exact"/>
        <w:rPr>
          <w:rFonts w:ascii="Courier New" w:cs="Courier New" w:eastAsia="Courier New" w:hAnsi="Courier New"/>
          <w:sz w:val="15"/>
          <w:szCs w:val="15"/>
          <w:color w:val="auto"/>
        </w:rPr>
      </w:pPr>
    </w:p>
    <w:p>
      <w:pPr>
        <w:ind w:left="2187" w:right="3779" w:hanging="733"/>
        <w:spacing w:after="0" w:line="247" w:lineRule="auto"/>
        <w:tabs>
          <w:tab w:leader="none" w:pos="21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free and clear of all liens, encumbrances, restrictions, and other claims against title or ownership;</w:t>
      </w:r>
    </w:p>
    <w:p>
      <w:pPr>
        <w:spacing w:after="0" w:line="174" w:lineRule="exact"/>
        <w:rPr>
          <w:rFonts w:ascii="Courier New" w:cs="Courier New" w:eastAsia="Courier New" w:hAnsi="Courier New"/>
          <w:sz w:val="15"/>
          <w:szCs w:val="15"/>
          <w:color w:val="auto"/>
        </w:rPr>
      </w:pPr>
    </w:p>
    <w:p>
      <w:pPr>
        <w:ind w:left="2187" w:right="3039" w:hanging="733"/>
        <w:spacing w:after="0" w:line="246" w:lineRule="auto"/>
        <w:tabs>
          <w:tab w:leader="none" w:pos="21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"Year 2000 Compliant." Year 2000 Compliant products will perform without error, loss of data or loss of functionality arising from any failure to process, calculate, compare or sequence date data accurately. In addition, Year 2000 Compliant products will not cause any associated products or systems in which they may be used to fail in any of the ways described above. This Year 2000 Compliance Warranty will remain in effect through December 31, 2000, notwithstanding any other warranty period specified in this Agreement;</w:t>
      </w:r>
    </w:p>
    <w:p>
      <w:pPr>
        <w:spacing w:after="0" w:line="180" w:lineRule="exact"/>
        <w:rPr>
          <w:rFonts w:ascii="Courier New" w:cs="Courier New" w:eastAsia="Courier New" w:hAnsi="Courier New"/>
          <w:sz w:val="15"/>
          <w:szCs w:val="15"/>
          <w:color w:val="auto"/>
        </w:rPr>
      </w:pPr>
    </w:p>
    <w:p>
      <w:pPr>
        <w:ind w:left="2187" w:right="2959" w:hanging="733"/>
        <w:spacing w:after="0" w:line="247" w:lineRule="auto"/>
        <w:tabs>
          <w:tab w:leader="none" w:pos="21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terms and conditions of Article 14 herein, not, to Supplier's reasonable knowledge, violate or infringe any third party</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9 of 24</w:t>
      </w:r>
    </w:p>
    <w:p>
      <w:pPr>
        <w:sectPr>
          <w:pgSz w:w="11900" w:h="16838" w:orient="portrait"/>
          <w:cols w:equalWidth="0" w:num="1">
            <w:col w:w="10226"/>
          </w:cols>
          <w:pgMar w:left="233" w:top="643" w:right="1440" w:bottom="1440" w:gutter="0" w:footer="0" w:header="0"/>
        </w:sectPr>
      </w:pPr>
    </w:p>
    <w:bookmarkStart w:id="57" w:name="page58"/>
    <w:bookmarkEnd w:id="57"/>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Intellectual Property Rights and Supplier warrants that</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it is not aware of any facts upon which such claim could</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be made. If Supplier learns of any claim or any facts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upon which claim could be made, it will [*] notify HP of</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this information.</w:t>
      </w:r>
    </w:p>
    <w:p>
      <w:pPr>
        <w:spacing w:after="0" w:line="180"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Product Software Warranties. Supplier warrants that, for a period of [*] from the [*] for each OEM Product, all software elements of the OEM Products under this Agreement will conform to the Specifications and other criteria referred to in this Agreement or agreed to by the parties in writing.</w:t>
      </w:r>
    </w:p>
    <w:p>
      <w:pPr>
        <w:spacing w:after="0" w:line="178"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Survival Of Warranties. All warranties specified above will survive any inspection, delivery, acceptance, or payment by HP and be in effect for the longer of Supplier's normal warranty period.</w:t>
      </w:r>
    </w:p>
    <w:p>
      <w:pPr>
        <w:spacing w:after="0" w:line="177"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Epidemic Failure Warranty. In addition to the warranties specified above, Supplier warrants all OEM Products against epidemic failure for a period of [*] after the [*] of that OEM Product. An epidemic failure means:</w:t>
      </w:r>
    </w:p>
    <w:p>
      <w:pPr>
        <w:spacing w:after="0" w:line="177" w:lineRule="exact"/>
        <w:rPr>
          <w:sz w:val="20"/>
          <w:szCs w:val="20"/>
          <w:color w:val="auto"/>
        </w:rPr>
      </w:pPr>
    </w:p>
    <w:p>
      <w:pPr>
        <w:ind w:left="1447" w:right="3039" w:firstLine="7"/>
        <w:spacing w:after="0" w:line="246" w:lineRule="auto"/>
        <w:tabs>
          <w:tab w:leader="none" w:pos="217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 failures that (i) are caused by the same component failure or defect, provided that such failure or defect is attributable to Supplier, and (ii) occur at a rate equal to or less than [*] over a [*], or;</w:t>
      </w:r>
    </w:p>
    <w:p>
      <w:pPr>
        <w:spacing w:after="0" w:line="177" w:lineRule="exact"/>
        <w:rPr>
          <w:rFonts w:ascii="Courier New" w:cs="Courier New" w:eastAsia="Courier New" w:hAnsi="Courier New"/>
          <w:sz w:val="15"/>
          <w:szCs w:val="15"/>
          <w:color w:val="auto"/>
        </w:rPr>
      </w:pPr>
    </w:p>
    <w:p>
      <w:pPr>
        <w:ind w:left="1447" w:right="2959" w:firstLine="7"/>
        <w:spacing w:after="0" w:line="246" w:lineRule="auto"/>
        <w:tabs>
          <w:tab w:leader="none" w:pos="217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more than [*] classified as a [*] or higher safety incident defined as (i) a marginal condition that is likely to produce only minor bodily injury or property damage and is likely to occur after a [*] event, or (ii) a noncompliance event involving a safety-related standard, license, or testing agency evaluation, or;</w:t>
      </w:r>
    </w:p>
    <w:p>
      <w:pPr>
        <w:spacing w:after="0" w:line="178" w:lineRule="exact"/>
        <w:rPr>
          <w:rFonts w:ascii="Courier New" w:cs="Courier New" w:eastAsia="Courier New" w:hAnsi="Courier New"/>
          <w:sz w:val="15"/>
          <w:szCs w:val="15"/>
          <w:color w:val="auto"/>
        </w:rPr>
      </w:pPr>
    </w:p>
    <w:p>
      <w:pPr>
        <w:ind w:left="1447" w:right="2959" w:firstLine="7"/>
        <w:spacing w:after="0" w:line="246" w:lineRule="auto"/>
        <w:tabs>
          <w:tab w:leader="none" w:pos="217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known problem which, in HP's reasonable opinion subject to Supplier's concurrence (which such concurrence shall not be unreasonably withheld or delayed) creates a significant risk to the health or safety of individuals who operate the OEM product or to the continuous business operations of companies or organizations that employ the OEM product for an intended or reasonably foreseeable use.</w:t>
      </w:r>
    </w:p>
    <w:p>
      <w:pPr>
        <w:spacing w:after="0" w:line="179"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DISCLAIMER. EXCEPT AS EXPRESSLY PROVIDED IN THIS AGREEMENT, SUPPLIER EXPRESSLY DISCLAIMS ALL OTHER REPRESENTATIONS, WARRANTIES, OR CONDITIONS, EITHER EXPRESS, IMPLIED, STATUTORY, OR OTHERWISE, INCLUDING WITHOUT LIMITATION THE IMPLIED WARRANTIES OF MERCHANTABILITY, FITNESS FOR A PARTICULAR PURPOSE, AND NONINFRINGEMENT OF THIRD PARTY INTELLECTUAL PROPERTY RIGHTS.</w:t>
      </w:r>
    </w:p>
    <w:p>
      <w:pPr>
        <w:spacing w:after="0" w:line="178" w:lineRule="exact"/>
        <w:rPr>
          <w:sz w:val="20"/>
          <w:szCs w:val="20"/>
          <w:color w:val="auto"/>
        </w:rPr>
      </w:pPr>
    </w:p>
    <w:p>
      <w:pPr>
        <w:ind w:left="727" w:hanging="727"/>
        <w:spacing w:after="0"/>
        <w:tabs>
          <w:tab w:leader="none" w:pos="72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SERVICES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10.1General. Supplier will provide trained HP support personnel with Support for the OEM Products as specified in Exhibit D. Supplier will maintain such number of qualified personnel as is necessary to provide timely and knowledgeable maintenance and support service in accordance with the terms and conditions of Exhibit D.</w:t>
      </w:r>
    </w:p>
    <w:p>
      <w:pPr>
        <w:spacing w:after="0" w:line="200" w:lineRule="exact"/>
        <w:rPr>
          <w:sz w:val="20"/>
          <w:szCs w:val="20"/>
          <w:color w:val="auto"/>
        </w:rPr>
      </w:pPr>
    </w:p>
    <w:p>
      <w:pPr>
        <w:spacing w:after="0" w:line="328" w:lineRule="exact"/>
        <w:rPr>
          <w:sz w:val="20"/>
          <w:szCs w:val="20"/>
          <w:color w:val="auto"/>
        </w:rPr>
      </w:pPr>
    </w:p>
    <w:p>
      <w:pPr>
        <w:ind w:left="447" w:right="2959" w:hanging="447"/>
        <w:spacing w:after="0" w:line="247" w:lineRule="auto"/>
        <w:tabs>
          <w:tab w:leader="none" w:pos="44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10 of 24</w:t>
      </w:r>
    </w:p>
    <w:p>
      <w:pPr>
        <w:sectPr>
          <w:pgSz w:w="11900" w:h="16838" w:orient="portrait"/>
          <w:cols w:equalWidth="0" w:num="1">
            <w:col w:w="10226"/>
          </w:cols>
          <w:pgMar w:left="233" w:top="643" w:right="1440" w:bottom="1440" w:gutter="0" w:footer="0" w:header="0"/>
        </w:sectPr>
      </w:pPr>
    </w:p>
    <w:bookmarkStart w:id="58" w:name="page59"/>
    <w:bookmarkEnd w:id="58"/>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2959"/>
        <w:spacing w:after="0" w:line="246" w:lineRule="auto"/>
        <w:rPr>
          <w:sz w:val="20"/>
          <w:szCs w:val="20"/>
          <w:color w:val="auto"/>
        </w:rPr>
      </w:pPr>
      <w:r>
        <w:rPr>
          <w:rFonts w:ascii="Courier New" w:cs="Courier New" w:eastAsia="Courier New" w:hAnsi="Courier New"/>
          <w:sz w:val="15"/>
          <w:szCs w:val="15"/>
          <w:color w:val="auto"/>
        </w:rPr>
        <w:t>Supplier warrants that all Support will be provided in a professional and workmanlike manner. HP will provide direct maintenance and support to HP's customers with respect to the use of the OEM product as distributed with HP Products. Supplier and HP will maintain and support each OEM product distributed by HP for at least [*] after the date of last shipment by Supplier to HP of that OEM Product or end-of-life, whichever occurs first. HP acknowledges that Supplier may independently offer and provide support services to OEM Product customers. However, in no event may Supplier use HP Confidential Information or HP Property to direct or provide such support without HP's prior consent. Response times and problem classification for the OEM Products will be as set forth in Exhibit (D).</w:t>
      </w:r>
    </w:p>
    <w:p>
      <w:pPr>
        <w:spacing w:after="0" w:line="183"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New HP Products. Upon request by HP, Supplier will use its commercially reasonable efforts to provide HP with the OEM Products adapted for use with new releases of HP Products [*] and [*], if any, to be negotiated by the parties, provided that HP makes available to Supplier such HP Property as may be reasonably necessary for Supplier to develop any adaptation.</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HP Property. HP may provide to Supplier HP Property under the terms of an HP Equipment Loan Agreement attached as Exhibit E to this Agreement, solely for use in Supplier's manufacturing, testing, adapting and supporting the OEM Products. All HP Property will be clearly segregated from Supplier's property and identified as the sole property of HP. HP Property may not be transferred, assigned, loaned or otherwise encumbered in any way. HP Property may be provided to third parties for fulfillment of Supplier's obligations hereunder only upon HP's prior written consent. HP property will be returned to HP [*], upon termination of this Agreement.</w:t>
      </w:r>
    </w:p>
    <w:p>
      <w:pPr>
        <w:spacing w:after="0" w:line="181"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Substitute Products. If Supplier develops any generally available products that are to replace the OEM Product(s) or that are the same or substantially similar to the OEM Products available under this Agreement, HP will have the right to substitute the newer products at [*] as the substantially similar OEM Products for all subsequent purchases under this Agreement. Such substitute products must be compatible with the current version of the OEM Products.</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Failure Rate. Notwithstanding that the warranties given in Section 9.1 above apply to [*] of the hardware components of OEM Products, Supplier and HP acknowledge that a failure rate of [*] per [*] units delivered over a [*] is expected. If the actual failure rate for OEM Products exceeds this expected rate, Supplier will provide additional engineering and technical support needed to bring the actual failure rate within the specified failure rate.</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Class Failure Remedies. Upon the occurrence of any of the following events: (i) a failure rate exceeding the rate specified in Section 10.5 above; (ii) an epidemic failure as described in Section 9.3; or (iii) a safety standard change under Section 7.5 above (each referred to as a "Class Failure"), HP will have the following additional remedies for a [*] period commencing upon shipment by Supplier to HP of the OEM Product or the corresponding HP Product:</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11 of 24</w:t>
      </w:r>
    </w:p>
    <w:p>
      <w:pPr>
        <w:sectPr>
          <w:pgSz w:w="11900" w:h="16838" w:orient="portrait"/>
          <w:cols w:equalWidth="0" w:num="1">
            <w:col w:w="10226"/>
          </w:cols>
          <w:pgMar w:left="233" w:top="643" w:right="1440" w:bottom="1440" w:gutter="0" w:footer="0" w:header="0"/>
        </w:sectPr>
      </w:pPr>
    </w:p>
    <w:bookmarkStart w:id="59" w:name="page60"/>
    <w:bookmarkEnd w:id="59"/>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2007" w:right="2959" w:hanging="644"/>
        <w:spacing w:after="0" w:line="246" w:lineRule="auto"/>
        <w:tabs>
          <w:tab w:leader="none" w:pos="200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Class Failure, Supplier will use its commercially reasonable efforts to provide an initial root cause analysis, failure analysis, and [*] plan to HP no later than [*] following the receipt of the Class Failure part. HP will make available such information and assistance as reasonably required to allow Supplier to conduct its root cause analysis and provide its corrective action plan.</w:t>
      </w:r>
    </w:p>
    <w:p>
      <w:pPr>
        <w:spacing w:after="0" w:line="179" w:lineRule="exact"/>
        <w:rPr>
          <w:rFonts w:ascii="Courier New" w:cs="Courier New" w:eastAsia="Courier New" w:hAnsi="Courier New"/>
          <w:sz w:val="15"/>
          <w:szCs w:val="15"/>
          <w:color w:val="auto"/>
        </w:rPr>
      </w:pPr>
    </w:p>
    <w:p>
      <w:pPr>
        <w:ind w:left="2007" w:right="2959" w:hanging="644"/>
        <w:spacing w:after="0" w:line="246" w:lineRule="auto"/>
        <w:tabs>
          <w:tab w:leader="none" w:pos="200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review of the root cause analysis and [*] plan, HP determines in its reasonable opinion that the Class Failure necessitates a field stocking recall or customer based recall or retrofit, then HP will notify Supplier of its determination for such remedy. Supplier shall have [*] from time of notice from HP to object to HP's determination. In the event that Supplier either agrees with or fails to notify HP of its objection, HP may then elect to have the OEM products: (i) returned to Supplier for repair or replacement; (ii) repaired or replaced by Supplier in the field; or (iii) repaired or replaced by HP in the field, including products in distributor inventory and HP's installed base. If HP chooses to perform a field repair, Supplier will provide the appropriate replacement OEM products, spares, or upgrades [*] to HP and will, within [*] after completion of the recalls or retrofits, reimburse HP for [*] in performing such field repair. Supplier will give such OEM products, spares, or upgrades the [*].</w:t>
      </w:r>
    </w:p>
    <w:p>
      <w:pPr>
        <w:spacing w:after="0" w:line="186" w:lineRule="exact"/>
        <w:rPr>
          <w:rFonts w:ascii="Courier New" w:cs="Courier New" w:eastAsia="Courier New" w:hAnsi="Courier New"/>
          <w:sz w:val="15"/>
          <w:szCs w:val="15"/>
          <w:color w:val="auto"/>
        </w:rPr>
      </w:pPr>
    </w:p>
    <w:p>
      <w:pPr>
        <w:ind w:left="2007" w:right="3139" w:hanging="644"/>
        <w:spacing w:after="0" w:line="246" w:lineRule="auto"/>
        <w:tabs>
          <w:tab w:leader="none" w:pos="200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7.5 above regarding safety standard changes, Supplier will, within [*] after completion of the recalls or retrofits, reimburse HP [*] in performing such services.</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Survival Of Support Obligations. Supplier's maintenance and support obligations specified in this Article 10, and in the Support Terms in Exhibit D will run for the Term and any additional periods under Section 1.3 above and will continue for a period of [*] after the date of Supplier's last shipment of the applicable OEM Product to HP, or [*], whichever occurs first. This obligation includes, without limitation, making necessary Parts available to HP as further provided in the Support Terms.</w:t>
      </w:r>
    </w:p>
    <w:p>
      <w:pPr>
        <w:spacing w:after="0" w:line="180" w:lineRule="exact"/>
        <w:rPr>
          <w:sz w:val="20"/>
          <w:szCs w:val="20"/>
          <w:color w:val="auto"/>
        </w:rPr>
      </w:pPr>
    </w:p>
    <w:p>
      <w:pPr>
        <w:ind w:left="727" w:hanging="727"/>
        <w:spacing w:after="0"/>
        <w:tabs>
          <w:tab w:leader="none" w:pos="72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OBSOLESCENCE AND MANUFACTURING RIGHTS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11.1Lifetime Buy Rights. Supplier acknowledges its obligation to manufacture, supply and support the OEM Products without interruption for the Term. If, however, after the [*] of shipment of such products, Supplier seeks to discontinue the supply or support of any OEM Product (a " Discontinued Product"), Supplier will give notice to HP no less than [*] in advance of the last date the Discontinued Product can be ordered. After receipt of notice of discontinuance, HP may place orders for any demand during the [*] of such notice for delivery of Discontinued Products prior to the end of the notice period. To the extent that such orders exceed HP's previous Forecast for such Discontinued Products, the orders shall be [*]. Supplier shall accept only forecasted orders in the [*]</w:t>
      </w:r>
    </w:p>
    <w:p>
      <w:pPr>
        <w:spacing w:after="0" w:line="200" w:lineRule="exact"/>
        <w:rPr>
          <w:sz w:val="20"/>
          <w:szCs w:val="20"/>
          <w:color w:val="auto"/>
        </w:rPr>
      </w:pPr>
    </w:p>
    <w:p>
      <w:pPr>
        <w:spacing w:after="0" w:line="332" w:lineRule="exact"/>
        <w:rPr>
          <w:sz w:val="20"/>
          <w:szCs w:val="20"/>
          <w:color w:val="auto"/>
        </w:rPr>
      </w:pPr>
    </w:p>
    <w:p>
      <w:pPr>
        <w:ind w:left="447" w:right="2959" w:hanging="447"/>
        <w:spacing w:after="0" w:line="247" w:lineRule="auto"/>
        <w:tabs>
          <w:tab w:leader="none" w:pos="44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12 of 24</w:t>
      </w:r>
    </w:p>
    <w:p>
      <w:pPr>
        <w:sectPr>
          <w:pgSz w:w="11900" w:h="16838" w:orient="portrait"/>
          <w:cols w:equalWidth="0" w:num="1">
            <w:col w:w="10226"/>
          </w:cols>
          <w:pgMar w:left="233" w:top="642" w:right="1440" w:bottom="1440" w:gutter="0" w:footer="0" w:header="0"/>
        </w:sectPr>
      </w:pPr>
    </w:p>
    <w:bookmarkStart w:id="60" w:name="page61"/>
    <w:bookmarkEnd w:id="60"/>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3219"/>
        <w:spacing w:after="0" w:line="246" w:lineRule="auto"/>
        <w:rPr>
          <w:sz w:val="20"/>
          <w:szCs w:val="20"/>
          <w:color w:val="auto"/>
        </w:rPr>
      </w:pPr>
      <w:r>
        <w:rPr>
          <w:rFonts w:ascii="Courier New" w:cs="Courier New" w:eastAsia="Courier New" w:hAnsi="Courier New"/>
          <w:sz w:val="15"/>
          <w:szCs w:val="15"/>
          <w:color w:val="auto"/>
        </w:rPr>
        <w:t>of the stated notice period, and such orders shall be [*]. In addition, during such notice period, Supplier shall have the right [*] to [*] for OEM Products from HP at the time such Orders are submitted.</w:t>
      </w:r>
    </w:p>
    <w:p>
      <w:pPr>
        <w:spacing w:after="0" w:line="177" w:lineRule="exact"/>
        <w:rPr>
          <w:sz w:val="20"/>
          <w:szCs w:val="20"/>
          <w:color w:val="auto"/>
        </w:rPr>
      </w:pPr>
    </w:p>
    <w:p>
      <w:pPr>
        <w:ind w:left="1447" w:right="367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Consulting Services. In support of Technical Information conveyed to HP, Supplier will provide:</w:t>
      </w:r>
    </w:p>
    <w:p>
      <w:pPr>
        <w:spacing w:after="0" w:line="175" w:lineRule="exact"/>
        <w:rPr>
          <w:sz w:val="20"/>
          <w:szCs w:val="20"/>
          <w:color w:val="auto"/>
        </w:rPr>
      </w:pPr>
    </w:p>
    <w:p>
      <w:pPr>
        <w:ind w:left="2187" w:right="3319" w:hanging="733"/>
        <w:spacing w:after="0" w:line="247" w:lineRule="auto"/>
        <w:tabs>
          <w:tab w:leader="none" w:pos="21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 of consulting services, as required by HP, provided that HP bears the cost of [*]; and</w:t>
      </w:r>
    </w:p>
    <w:p>
      <w:pPr>
        <w:spacing w:after="0" w:line="174" w:lineRule="exact"/>
        <w:rPr>
          <w:rFonts w:ascii="Courier New" w:cs="Courier New" w:eastAsia="Courier New" w:hAnsi="Courier New"/>
          <w:sz w:val="15"/>
          <w:szCs w:val="15"/>
          <w:color w:val="auto"/>
        </w:rPr>
      </w:pPr>
    </w:p>
    <w:p>
      <w:pPr>
        <w:ind w:left="2187" w:right="3319" w:hanging="733"/>
        <w:spacing w:after="0" w:line="247" w:lineRule="auto"/>
        <w:tabs>
          <w:tab w:leader="none" w:pos="21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consulting services at the rate of [*] of those so engaged.</w:t>
      </w:r>
    </w:p>
    <w:p>
      <w:pPr>
        <w:spacing w:after="0" w:line="175" w:lineRule="exact"/>
        <w:rPr>
          <w:sz w:val="20"/>
          <w:szCs w:val="20"/>
          <w:color w:val="auto"/>
        </w:rPr>
      </w:pPr>
    </w:p>
    <w:p>
      <w:pPr>
        <w:ind w:left="727" w:hanging="727"/>
        <w:spacing w:after="0"/>
        <w:tabs>
          <w:tab w:leader="none" w:pos="72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TRAINING</w:t>
      </w:r>
    </w:p>
    <w:p>
      <w:pPr>
        <w:spacing w:after="0" w:line="179"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12.1Technical Training. Supplier will provide to HP, no later than April 1, 2000 as provided in a schedule mutually agreed upon in writing by the parties, Brocade [*] training for a minimum of</w:t>
      </w:r>
    </w:p>
    <w:p>
      <w:pPr>
        <w:spacing w:after="0" w:line="1" w:lineRule="exact"/>
        <w:rPr>
          <w:rFonts w:ascii="Courier New" w:cs="Courier New" w:eastAsia="Courier New" w:hAnsi="Courier New"/>
          <w:sz w:val="15"/>
          <w:szCs w:val="15"/>
          <w:color w:val="auto"/>
        </w:rPr>
      </w:pPr>
    </w:p>
    <w:p>
      <w:pPr>
        <w:ind w:left="1447" w:right="3139" w:firstLine="7"/>
        <w:spacing w:after="0" w:line="246" w:lineRule="auto"/>
        <w:tabs>
          <w:tab w:leader="none" w:pos="181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technical personnel, such training to be made available and completed before the scheduled HP ship-date of the OEM Product. Such training will be provided to HP for a mutually agreed upon [*] for the Term of the Agreement and Supplier's support obligations. HP may further request and Supplier will provide, for up to [*] HP technical personnel, additional training [*] as reasonably necessary to inform HP personnel of upgraded, enhanced or new versions of the OEM Products. Other training will be provided upon mutually agreeable terms and conditions.</w:t>
      </w:r>
    </w:p>
    <w:p>
      <w:pPr>
        <w:spacing w:after="0" w:line="181"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Presales Training. Supplier will provide to HP presales training sufficient to allow HP to become fully familiar with the OEM Product and its market. Such training will be provided to HP for a mutually agreed [*]. HP may further request and Supplier will provide additional training as [*] to inform HP personnel of upgraded, enhanced, or new versions of the OEM Products.</w:t>
      </w:r>
    </w:p>
    <w:p>
      <w:pPr>
        <w:spacing w:after="0" w:line="178"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HP's Rights in Training Classes and Materials. HP may [*] solely to internal trainees in training courses offered by HP solely in conjunction with HP or HP's authorized resellers' sale, service, and support of the OEM Products, all presales training classes, methods, and materials supplied or developed by Supplier under the Agreement. HP shall have [*] for the use of or [*] this material. HP may [*] such materials provided written authorization from Supplier is granted prior to distribution or use. Such approval from Supplier shall not be unreasonably withheld.</w:t>
      </w:r>
    </w:p>
    <w:p>
      <w:pPr>
        <w:spacing w:after="0" w:line="181" w:lineRule="exact"/>
        <w:rPr>
          <w:sz w:val="20"/>
          <w:szCs w:val="20"/>
          <w:color w:val="auto"/>
        </w:rPr>
      </w:pPr>
    </w:p>
    <w:p>
      <w:pPr>
        <w:ind w:left="727" w:hanging="727"/>
        <w:spacing w:after="0"/>
        <w:tabs>
          <w:tab w:leader="none" w:pos="72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LICENSING</w:t>
      </w:r>
    </w:p>
    <w:p>
      <w:pPr>
        <w:spacing w:after="0" w:line="179" w:lineRule="exact"/>
        <w:rPr>
          <w:rFonts w:ascii="Courier New" w:cs="Courier New" w:eastAsia="Courier New" w:hAnsi="Courier New"/>
          <w:sz w:val="15"/>
          <w:szCs w:val="15"/>
          <w:color w:val="auto"/>
        </w:rPr>
      </w:pPr>
    </w:p>
    <w:p>
      <w:pPr>
        <w:ind w:left="1447" w:right="295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13.1Marketing and Distribution. HP will have the authority to market the OEM Products and the HP Products containing the OEM Products to the extent it deems appropriate,</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13 of 24</w:t>
      </w:r>
    </w:p>
    <w:p>
      <w:pPr>
        <w:sectPr>
          <w:pgSz w:w="11900" w:h="16838" w:orient="portrait"/>
          <w:cols w:equalWidth="0" w:num="1">
            <w:col w:w="10226"/>
          </w:cols>
          <w:pgMar w:left="233" w:top="643" w:right="1440" w:bottom="1440" w:gutter="0" w:footer="0" w:header="0"/>
        </w:sectPr>
      </w:pPr>
    </w:p>
    <w:bookmarkStart w:id="61" w:name="page62"/>
    <w:bookmarkEnd w:id="61"/>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2959" w:firstLine="7"/>
        <w:spacing w:after="0" w:line="246" w:lineRule="auto"/>
        <w:tabs>
          <w:tab w:leader="none" w:pos="190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sentence, nothing in this Agreement will be construed or interpreted to place a [*] obligation upon HP with respect to marketing or distributing the HP Products or OEM Products or preclude HP from [*] any product which performs the same or similar function as the OEM Products. HP will have the right to use its own business and license terms for all marketing and distribution of the OEM Products and HP Products.</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Distribution Rights. For [*] from the Effective Date, Supplier hereby agrees [*] the OEM Products [*], provided that nothing in this Section 13.2 shall be construed to [*] Supplier from [*] Supplier's current and future indirect channels of distribution that are (i) resellers, service bureaus, third party distributors and third party OEMs which in turn sell or distribute the OEM Products [*], and (ii) any [*] to whom Supplier has [*] any of its products [*] the Effective Date and</w:t>
      </w:r>
    </w:p>
    <w:p>
      <w:pPr>
        <w:spacing w:after="0" w:line="5" w:lineRule="exact"/>
        <w:rPr>
          <w:sz w:val="20"/>
          <w:szCs w:val="20"/>
          <w:color w:val="auto"/>
        </w:rPr>
      </w:pPr>
    </w:p>
    <w:p>
      <w:pPr>
        <w:ind w:left="1447" w:right="2959" w:firstLine="7"/>
        <w:spacing w:after="0" w:line="246" w:lineRule="auto"/>
        <w:tabs>
          <w:tab w:leader="none" w:pos="199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controlled by or under common control with Supplier or its permitted successive assignees or transferees, or (iv) formed in connection with a merger, reorganization, transfer, sale of assets or product lines, or change of control or ownership of Supplier or its permitted successive assignees or transferees. For purposes of this Section 13.2, an "[*].</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No Rights In Marks. Except as otherwise specified in the private labeling section below, nothing in this Agreement should be construed to grant either party any rights in the Marks of the other party. Supplier [*], that HP [*] the [*] and the [*] OEM Products in [*] the OEM Products or the HP Products. The OEM Products will be affixed with copyright notices sufficient to give notice as to the rights of the parties in their respective products.</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Private Labeling. If HP elects during the Term to create HP private label versions of the OEM Products, it is the intent of the parties that the terms and conditions of this Agreement will govern such private label version of the OEM Product. Notwithstanding the above, the parties recognize the necessity of renegotiating and amending the following sections of the Agreement: Article 3, Article 4, Article 7, Section 10.5, Exhibit A, Exhibit C, Exhibit D(6), and Exhibit H. The parties agree that such renegotiation of the preceding sections shall be in good faith and shall not be unreasonably delayed.</w:t>
      </w:r>
    </w:p>
    <w:p>
      <w:pPr>
        <w:spacing w:after="0" w:line="181"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5"/>
          <w:szCs w:val="15"/>
          <w:color w:val="auto"/>
        </w:rPr>
        <w:t>HP [*]. Supplier will ensure that the OEM Products [*] serial number, format, and packaging [*] HP and [*] to the HP [*] as set forth in Exhibit A (which will not require any material change in form or dimensions of the OEM Products or require commercially unreasonable actions). Except as provided herein, Supplier will have [*].</w:t>
      </w:r>
    </w:p>
    <w:p>
      <w:pPr>
        <w:spacing w:after="0" w:line="200" w:lineRule="exact"/>
        <w:rPr>
          <w:sz w:val="20"/>
          <w:szCs w:val="20"/>
          <w:color w:val="auto"/>
        </w:rPr>
      </w:pPr>
    </w:p>
    <w:p>
      <w:pPr>
        <w:spacing w:after="0" w:line="328" w:lineRule="exact"/>
        <w:rPr>
          <w:sz w:val="20"/>
          <w:szCs w:val="20"/>
          <w:color w:val="auto"/>
        </w:rPr>
      </w:pPr>
    </w:p>
    <w:p>
      <w:pPr>
        <w:ind w:left="447" w:right="2959" w:hanging="447"/>
        <w:spacing w:after="0" w:line="247" w:lineRule="auto"/>
        <w:tabs>
          <w:tab w:leader="none" w:pos="44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14 of 24</w:t>
      </w:r>
    </w:p>
    <w:p>
      <w:pPr>
        <w:sectPr>
          <w:pgSz w:w="11900" w:h="16838" w:orient="portrait"/>
          <w:cols w:equalWidth="0" w:num="1">
            <w:col w:w="10226"/>
          </w:cols>
          <w:pgMar w:left="233" w:top="643" w:right="1440" w:bottom="1440" w:gutter="0" w:footer="0" w:header="0"/>
        </w:sectPr>
      </w:pPr>
    </w:p>
    <w:bookmarkStart w:id="62" w:name="page63"/>
    <w:bookmarkEnd w:id="62"/>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Software License.</w:t>
      </w:r>
    </w:p>
    <w:p>
      <w:pPr>
        <w:spacing w:after="0" w:line="180" w:lineRule="exact"/>
        <w:rPr>
          <w:sz w:val="20"/>
          <w:szCs w:val="20"/>
          <w:color w:val="auto"/>
        </w:rPr>
      </w:pPr>
    </w:p>
    <w:p>
      <w:pPr>
        <w:ind w:left="1827" w:hanging="373"/>
        <w:spacing w:after="0"/>
        <w:tabs>
          <w:tab w:leader="none" w:pos="182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hereby grants to HP a nonexclusive, worldwide,</w:t>
      </w:r>
    </w:p>
    <w:p>
      <w:pPr>
        <w:spacing w:after="0" w:line="4" w:lineRule="exact"/>
        <w:rPr>
          <w:rFonts w:ascii="Courier New" w:cs="Courier New" w:eastAsia="Courier New" w:hAnsi="Courier New"/>
          <w:sz w:val="15"/>
          <w:szCs w:val="15"/>
          <w:color w:val="auto"/>
        </w:rPr>
      </w:pPr>
    </w:p>
    <w:p>
      <w:pPr>
        <w:ind w:left="1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revocable (except as expressly provided in Section 13.6(d), [*] right and license, under all copyrights, patents, patent applications, trade secrets and other necessary Intellectual Property Rights of Supplier, to: (i) use, execute, and display the Software, in object code form, in conjunction with, or for use with OEM Products; (ii) distribute or license the Software, in object code form, as part of, in conjunction with, or for use with OEM Products sold or leased by HP to end user customers; and, (iii) authorize, license and sublicense third parties to do any, some or all of the foregoing. HP shall distribute the Software to end user customers pursuant to HP's end user license agreement, attached hereto as Exhibit I, as updated by HP from time to time.</w:t>
      </w:r>
    </w:p>
    <w:p>
      <w:pPr>
        <w:spacing w:after="0" w:line="182" w:lineRule="exact"/>
        <w:rPr>
          <w:rFonts w:ascii="Courier New" w:cs="Courier New" w:eastAsia="Courier New" w:hAnsi="Courier New"/>
          <w:sz w:val="15"/>
          <w:szCs w:val="15"/>
          <w:color w:val="auto"/>
        </w:rPr>
      </w:pPr>
    </w:p>
    <w:p>
      <w:pPr>
        <w:jc w:val="both"/>
        <w:ind w:left="1447" w:right="3139" w:firstLine="7"/>
        <w:spacing w:after="0" w:line="246" w:lineRule="auto"/>
        <w:tabs>
          <w:tab w:leader="none" w:pos="181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shall have no right to (i) modify or adapt the Software for other products or create derivative works of the Software,</w:t>
      </w:r>
    </w:p>
    <w:p>
      <w:pPr>
        <w:spacing w:after="0" w:line="1" w:lineRule="exact"/>
        <w:rPr>
          <w:rFonts w:ascii="Courier New" w:cs="Courier New" w:eastAsia="Courier New" w:hAnsi="Courier New"/>
          <w:sz w:val="15"/>
          <w:szCs w:val="15"/>
          <w:color w:val="auto"/>
        </w:rPr>
      </w:pPr>
    </w:p>
    <w:p>
      <w:pPr>
        <w:ind w:left="1447" w:right="2959" w:firstLine="7"/>
        <w:spacing w:after="0" w:line="246" w:lineRule="auto"/>
        <w:tabs>
          <w:tab w:leader="none" w:pos="190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decompile, reverse engineer, or disassemble the Software for purposes of designing similar products, or (iii) use or distribute the Software other than in connection with the use or distribution of the OEM Products.</w:t>
      </w:r>
    </w:p>
    <w:p>
      <w:pPr>
        <w:spacing w:after="0" w:line="177" w:lineRule="exact"/>
        <w:rPr>
          <w:rFonts w:ascii="Courier New" w:cs="Courier New" w:eastAsia="Courier New" w:hAnsi="Courier New"/>
          <w:sz w:val="15"/>
          <w:szCs w:val="15"/>
          <w:color w:val="auto"/>
        </w:rPr>
      </w:pPr>
    </w:p>
    <w:p>
      <w:pPr>
        <w:ind w:left="1447" w:right="2959" w:firstLine="7"/>
        <w:spacing w:after="0" w:line="246" w:lineRule="auto"/>
        <w:tabs>
          <w:tab w:leader="none" w:pos="18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agrees that the foregoing licenses do not grant any title or other right of ownership to the Software and that Supplier owns and shall continue to own all right, title and interest in and to the Software.</w:t>
      </w:r>
    </w:p>
    <w:p>
      <w:pPr>
        <w:spacing w:after="0" w:line="177" w:lineRule="exact"/>
        <w:rPr>
          <w:rFonts w:ascii="Courier New" w:cs="Courier New" w:eastAsia="Courier New" w:hAnsi="Courier New"/>
          <w:sz w:val="15"/>
          <w:szCs w:val="15"/>
          <w:color w:val="auto"/>
        </w:rPr>
      </w:pPr>
    </w:p>
    <w:p>
      <w:pPr>
        <w:ind w:left="1447" w:right="2959" w:firstLine="7"/>
        <w:spacing w:after="0" w:line="246" w:lineRule="auto"/>
        <w:tabs>
          <w:tab w:leader="none" w:pos="18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termination or expiration of this Agreement, HP's rights set forth in this Section 13.6 shall terminate except as follows: (i) end user customers shall be permitted continued use of the Software in conjunction with the operation of the OEM Products so long as they are not in breach of HP's end user license agreement attached hereto as Exhibit J, and (ii) HP shall retain a nonexclusive, worldwide license to use and execute the then-current version of the Software internally (in object code form only) for the sole purpose of assisting end user customers with the maintenance of the OEM Products purchased from HP.</w:t>
      </w:r>
    </w:p>
    <w:p>
      <w:pPr>
        <w:spacing w:after="0" w:line="181"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Documentation License. Supplier hereby grants HP a nonexclusive, nontransferable, worldwide, [*] license to [*] in HP's [*]</w:t>
      </w:r>
    </w:p>
    <w:p>
      <w:pPr>
        <w:spacing w:after="0" w:line="1" w:lineRule="exact"/>
        <w:rPr>
          <w:sz w:val="20"/>
          <w:szCs w:val="20"/>
          <w:color w:val="auto"/>
        </w:rPr>
      </w:pPr>
    </w:p>
    <w:p>
      <w:pPr>
        <w:ind w:left="1447" w:right="2959"/>
        <w:spacing w:after="0" w:line="246" w:lineRule="auto"/>
        <w:rPr>
          <w:sz w:val="20"/>
          <w:szCs w:val="20"/>
          <w:color w:val="auto"/>
        </w:rPr>
      </w:pPr>
      <w:r>
        <w:rPr>
          <w:rFonts w:ascii="Courier New" w:cs="Courier New" w:eastAsia="Courier New" w:hAnsi="Courier New"/>
          <w:sz w:val="15"/>
          <w:szCs w:val="15"/>
          <w:color w:val="auto"/>
        </w:rPr>
        <w:t>all Documentation, and other information other than confidential information furnished by Supplier under this Agreement. HP may</w:t>
      </w:r>
    </w:p>
    <w:p>
      <w:pPr>
        <w:spacing w:after="0" w:line="1" w:lineRule="exact"/>
        <w:rPr>
          <w:sz w:val="20"/>
          <w:szCs w:val="20"/>
          <w:color w:val="auto"/>
        </w:rPr>
      </w:pPr>
    </w:p>
    <w:p>
      <w:pPr>
        <w:ind w:left="1447" w:right="2959" w:firstLine="7"/>
        <w:spacing w:after="0" w:line="246" w:lineRule="auto"/>
        <w:tabs>
          <w:tab w:leader="none" w:pos="181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Documentation [*] of source, subject to affixing copyright notices to all copies of Documentation. These rights with respect to the Documentation will extend to HP Subsidiaries and third party channels of distribution. Supplier shall have</w:t>
      </w:r>
    </w:p>
    <w:p>
      <w:pPr>
        <w:spacing w:after="0" w:line="2" w:lineRule="exact"/>
        <w:rPr>
          <w:rFonts w:ascii="Courier New" w:cs="Courier New" w:eastAsia="Courier New" w:hAnsi="Courier New"/>
          <w:sz w:val="15"/>
          <w:szCs w:val="15"/>
          <w:color w:val="auto"/>
        </w:rPr>
      </w:pPr>
    </w:p>
    <w:p>
      <w:pPr>
        <w:ind w:left="1827" w:hanging="373"/>
        <w:spacing w:after="0"/>
        <w:tabs>
          <w:tab w:leader="none" w:pos="1827"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 into the [*] due to [*].</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PROTECTION</w:t>
      </w:r>
    </w:p>
    <w:p>
      <w:pPr>
        <w:spacing w:after="0" w:line="179" w:lineRule="exact"/>
        <w:rPr>
          <w:rFonts w:ascii="Courier New" w:cs="Courier New" w:eastAsia="Courier New" w:hAnsi="Courier New"/>
          <w:sz w:val="15"/>
          <w:szCs w:val="15"/>
          <w:color w:val="auto"/>
        </w:rPr>
      </w:pPr>
    </w:p>
    <w:p>
      <w:pPr>
        <w:ind w:left="1447" w:right="331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14.1Supplier's [*]. Except as provided in Section 14.4 below and provided that HP has complied with the provisions of Section 14.2 below, Supplier will [*] from any</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15 of 24</w:t>
      </w:r>
    </w:p>
    <w:p>
      <w:pPr>
        <w:sectPr>
          <w:pgSz w:w="11900" w:h="16838" w:orient="portrait"/>
          <w:cols w:equalWidth="0" w:num="1">
            <w:col w:w="10226"/>
          </w:cols>
          <w:pgMar w:left="233" w:top="643" w:right="1440" w:bottom="1440" w:gutter="0" w:footer="0" w:header="0"/>
        </w:sectPr>
      </w:pPr>
    </w:p>
    <w:bookmarkStart w:id="63" w:name="page64"/>
    <w:bookmarkEnd w:id="63"/>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2959"/>
        <w:spacing w:after="0" w:line="246" w:lineRule="auto"/>
        <w:rPr>
          <w:sz w:val="20"/>
          <w:szCs w:val="20"/>
          <w:color w:val="auto"/>
        </w:rPr>
      </w:pPr>
      <w:r>
        <w:rPr>
          <w:rFonts w:ascii="Courier New" w:cs="Courier New" w:eastAsia="Courier New" w:hAnsi="Courier New"/>
          <w:sz w:val="15"/>
          <w:szCs w:val="15"/>
          <w:color w:val="auto"/>
        </w:rPr>
        <w:t>[*], any combination of an OEM Product with an HP Product (to the [*] any Software, Documentation, or a Supplier Mark, or any product provided as part of Supplier's Support services constitutes an unauthorized use or infringement of any patent (domestic or foreign) or a copyright, trademark, or trade secret of any third party. Supplier will [*] with respect to any such [*].</w:t>
      </w:r>
    </w:p>
    <w:p>
      <w:pPr>
        <w:spacing w:after="0" w:line="179"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HP's Duty To Notify. HP will give Supplier prompt notice of any</w:t>
      </w:r>
    </w:p>
    <w:p>
      <w:pPr>
        <w:spacing w:after="0" w:line="5" w:lineRule="exact"/>
        <w:rPr>
          <w:sz w:val="20"/>
          <w:szCs w:val="20"/>
          <w:color w:val="auto"/>
        </w:rPr>
      </w:pPr>
    </w:p>
    <w:p>
      <w:pPr>
        <w:ind w:left="1827" w:hanging="373"/>
        <w:spacing w:after="0"/>
        <w:tabs>
          <w:tab w:leader="none" w:pos="182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give Supplier the [*]. If Supplier does not [*] of the</w:t>
      </w:r>
    </w:p>
    <w:p>
      <w:pPr>
        <w:spacing w:after="0" w:line="4" w:lineRule="exact"/>
        <w:rPr>
          <w:rFonts w:ascii="Courier New" w:cs="Courier New" w:eastAsia="Courier New" w:hAnsi="Courier New"/>
          <w:sz w:val="15"/>
          <w:szCs w:val="15"/>
          <w:color w:val="auto"/>
        </w:rPr>
      </w:pPr>
    </w:p>
    <w:p>
      <w:pPr>
        <w:ind w:left="1447" w:right="3499" w:firstLine="7"/>
        <w:spacing w:after="0" w:line="247" w:lineRule="auto"/>
        <w:tabs>
          <w:tab w:leader="none" w:pos="181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 provide HP with [*] that it will [*], then HP may, without in any way [*].</w:t>
      </w:r>
    </w:p>
    <w:p>
      <w:pPr>
        <w:spacing w:after="0" w:line="175" w:lineRule="exact"/>
        <w:rPr>
          <w:sz w:val="20"/>
          <w:szCs w:val="20"/>
          <w:color w:val="auto"/>
        </w:rPr>
      </w:pPr>
    </w:p>
    <w:p>
      <w:pPr>
        <w:ind w:left="1447" w:right="31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5"/>
          <w:szCs w:val="15"/>
          <w:color w:val="auto"/>
        </w:rPr>
        <w:t>Remedies For Infringing Products. If the use or combination of any product provided hereunder is enjoined (the "Infringing Product"), Supplier will, [*], either:</w:t>
      </w:r>
    </w:p>
    <w:p>
      <w:pPr>
        <w:spacing w:after="0" w:line="174"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187" w:hanging="733"/>
        <w:spacing w:after="0"/>
        <w:tabs>
          <w:tab w:leader="none" w:pos="21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Limitations. Supplier will be relieved of its [*] under this Article 14 to the extent that the [*] from Supplier's [*] with an HP [*] provided that all implementations of that</w:t>
      </w:r>
    </w:p>
    <w:p>
      <w:pPr>
        <w:spacing w:after="0" w:line="2" w:lineRule="exact"/>
        <w:rPr>
          <w:sz w:val="20"/>
          <w:szCs w:val="20"/>
          <w:color w:val="auto"/>
        </w:rPr>
      </w:pPr>
    </w:p>
    <w:p>
      <w:pPr>
        <w:ind w:left="1827" w:hanging="373"/>
        <w:spacing w:after="0"/>
        <w:tabs>
          <w:tab w:leader="none" w:pos="182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 an [*] of a third party [*].</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COUNTRY OF MANUFACTURE AND [*]</w:t>
      </w:r>
    </w:p>
    <w:p>
      <w:pPr>
        <w:spacing w:after="0" w:line="179" w:lineRule="exact"/>
        <w:rPr>
          <w:rFonts w:ascii="Courier New" w:cs="Courier New" w:eastAsia="Courier New" w:hAnsi="Courier New"/>
          <w:sz w:val="15"/>
          <w:szCs w:val="15"/>
          <w:color w:val="auto"/>
        </w:rPr>
      </w:pPr>
    </w:p>
    <w:p>
      <w:pPr>
        <w:ind w:left="1447" w:right="321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15.1Country Of Origin Certification. Upon HP's request, Supplier will provide HP with an appropriate certification stating the country of origin for OEM Products, sufficient to satisfy the requirements of the customs authorities of the country of receipt and any applicable export licensing regulations, including those of the United States.</w:t>
      </w:r>
    </w:p>
    <w:p>
      <w:pPr>
        <w:spacing w:after="0" w:line="178"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15.2Country Of Origin Marking. Supplier will mark each OEM Product, or the container if there is no room on the OEM Product, with the country of origin. Supplier will, in marking OEM Products, comply with the requirements of the customs authorities of the country of receipt.</w:t>
      </w:r>
    </w:p>
    <w:p>
      <w:pPr>
        <w:spacing w:after="0" w:line="200" w:lineRule="exact"/>
        <w:rPr>
          <w:sz w:val="20"/>
          <w:szCs w:val="20"/>
          <w:color w:val="auto"/>
        </w:rPr>
      </w:pPr>
    </w:p>
    <w:p>
      <w:pPr>
        <w:spacing w:after="0" w:line="327" w:lineRule="exact"/>
        <w:rPr>
          <w:sz w:val="20"/>
          <w:szCs w:val="20"/>
          <w:color w:val="auto"/>
        </w:rPr>
      </w:pPr>
    </w:p>
    <w:p>
      <w:pPr>
        <w:ind w:left="447" w:right="2959" w:hanging="447"/>
        <w:spacing w:after="0" w:line="247" w:lineRule="auto"/>
        <w:tabs>
          <w:tab w:leader="none" w:pos="4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16 of 24</w:t>
      </w:r>
    </w:p>
    <w:p>
      <w:pPr>
        <w:sectPr>
          <w:pgSz w:w="11900" w:h="16838" w:orient="portrait"/>
          <w:cols w:equalWidth="0" w:num="1">
            <w:col w:w="10226"/>
          </w:cols>
          <w:pgMar w:left="233" w:top="643" w:right="1440" w:bottom="1440" w:gutter="0" w:footer="0" w:header="0"/>
        </w:sectPr>
      </w:pPr>
    </w:p>
    <w:bookmarkStart w:id="64" w:name="page65"/>
    <w:bookmarkEnd w:id="64"/>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5"/>
          <w:szCs w:val="15"/>
          <w:color w:val="auto"/>
        </w:rPr>
        <w:t>[*]. If OEM Products delivered under this Agreement are imported, Supplier will when possible allow HP to be the [*]. If HP is not the [*] and Supplier obtains [*] rights to OEM Products, Supplier will, upon HP's request, provide HP with documents required by the [*] of the [*] of receipt to prove [*] and to transfer [*] rights to HP.</w:t>
      </w:r>
    </w:p>
    <w:p>
      <w:pPr>
        <w:spacing w:after="0" w:line="178" w:lineRule="exact"/>
        <w:rPr>
          <w:sz w:val="20"/>
          <w:szCs w:val="20"/>
          <w:color w:val="auto"/>
        </w:rPr>
      </w:pPr>
    </w:p>
    <w:p>
      <w:pPr>
        <w:ind w:left="727" w:hanging="727"/>
        <w:spacing w:after="0"/>
        <w:tabs>
          <w:tab w:leader="none" w:pos="72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COMPLIANCE</w:t>
      </w:r>
    </w:p>
    <w:p>
      <w:pPr>
        <w:spacing w:after="0" w:line="179"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16.1Duty to Comply. The parties shall in the performance of this Agreement comply with all applicable laws, executive orders, regulations, ordinances, rules, proclamations, demands, and requisitions of all applicable state, local, national, or other governmental authority which may now or hereafter govern performance hereunder including, without limitation, all laws, executive orders, regulations, ordinances, rules, and proclamations regarding Equal Employment Opportunity, the exporting of technology, and withholding for income taxes.</w:t>
      </w:r>
    </w:p>
    <w:p>
      <w:pPr>
        <w:spacing w:after="0" w:line="180"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16.2Procurement Regulations. The Software is "commercial computer software" as defined in the applicable provisions of the Federal Acquisition Regulation (the "FAR") and supplements thereto, including the Department of Defense ("DoD") FAR Supplements (the "DFARS"). The parties acknowledge that the Software was developed entirely at private expense and that no part of the Software was first produced in the performance of a Government contract. If HP supplies the Software to a U.S. Government agency, in accordance with FAR 12.212 and its successors or DFARS 227.7202 and its successors, as applicable, HP shall license the Software to the Government subject to the terms of this Agreement.</w:t>
      </w:r>
    </w:p>
    <w:p>
      <w:pPr>
        <w:spacing w:after="0" w:line="182" w:lineRule="exact"/>
        <w:rPr>
          <w:rFonts w:ascii="Courier New" w:cs="Courier New" w:eastAsia="Courier New" w:hAnsi="Courier New"/>
          <w:sz w:val="15"/>
          <w:szCs w:val="15"/>
          <w:color w:val="auto"/>
        </w:rPr>
      </w:pPr>
    </w:p>
    <w:p>
      <w:pPr>
        <w:ind w:left="1447" w:right="321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16.3Ozone Depleting Substances. Supplier hereby certifies that no OEM Product nor any component of any OEM Product:</w:t>
      </w:r>
    </w:p>
    <w:p>
      <w:pPr>
        <w:spacing w:after="0" w:line="174" w:lineRule="exact"/>
        <w:rPr>
          <w:rFonts w:ascii="Courier New" w:cs="Courier New" w:eastAsia="Courier New" w:hAnsi="Courier New"/>
          <w:sz w:val="15"/>
          <w:szCs w:val="15"/>
          <w:color w:val="auto"/>
        </w:rPr>
      </w:pPr>
    </w:p>
    <w:p>
      <w:pPr>
        <w:ind w:left="2187" w:right="2959" w:hanging="733"/>
        <w:spacing w:after="0" w:line="246" w:lineRule="auto"/>
        <w:tabs>
          <w:tab w:leader="none" w:pos="2187"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any "Class 1 Substance" or "Class 2 Substance", as those term are defined in 42 USC Section 7671 and implementing regulations of the United States Environmental Protection Agency at 40 CFR Part 82, as now in existence or hereafter amended; or,</w:t>
      </w:r>
    </w:p>
    <w:p>
      <w:pPr>
        <w:spacing w:after="0" w:line="177" w:lineRule="exact"/>
        <w:rPr>
          <w:rFonts w:ascii="Courier New" w:cs="Courier New" w:eastAsia="Courier New" w:hAnsi="Courier New"/>
          <w:sz w:val="15"/>
          <w:szCs w:val="15"/>
          <w:color w:val="auto"/>
        </w:rPr>
      </w:pPr>
    </w:p>
    <w:p>
      <w:pPr>
        <w:ind w:left="2187" w:right="2959" w:hanging="733"/>
        <w:spacing w:after="0" w:line="246" w:lineRule="auto"/>
        <w:tabs>
          <w:tab w:leader="none" w:pos="2187"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manufactured with a process that uses any Class 1 or Class 2 Substance within the meaning of 42 USC Section 7671 and implementing regulations of the United States Environmental Protection Agency at 40 CFR Part 82, as now in existence or hereafter amended.</w:t>
      </w:r>
    </w:p>
    <w:p>
      <w:pPr>
        <w:spacing w:after="0" w:line="177"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 EVENTS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17.1Delaying Causes. Subject to the provisions of this Article 17, Supplier will not be liable for any delay in performance under this Agreement caused by any "act of God" or other cause beyond Supplier's control and without Supplier's fault or negligence (a "delaying cause"). Notwithstanding the above, Supplier will not be relieved of any liability for any delay or failure to perform its defense obligations with respect to</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17 of 24</w:t>
      </w:r>
    </w:p>
    <w:p>
      <w:pPr>
        <w:sectPr>
          <w:pgSz w:w="11900" w:h="16838" w:orient="portrait"/>
          <w:cols w:equalWidth="0" w:num="1">
            <w:col w:w="10226"/>
          </w:cols>
          <w:pgMar w:left="233" w:top="643" w:right="1440" w:bottom="1440" w:gutter="0" w:footer="0" w:header="0"/>
        </w:sectPr>
      </w:pPr>
    </w:p>
    <w:bookmarkStart w:id="65" w:name="page66"/>
    <w:bookmarkEnd w:id="65"/>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2959"/>
        <w:spacing w:after="0" w:line="247" w:lineRule="auto"/>
        <w:rPr>
          <w:sz w:val="20"/>
          <w:szCs w:val="20"/>
          <w:color w:val="auto"/>
        </w:rPr>
      </w:pPr>
      <w:r>
        <w:rPr>
          <w:rFonts w:ascii="Courier New" w:cs="Courier New" w:eastAsia="Courier New" w:hAnsi="Courier New"/>
          <w:sz w:val="15"/>
          <w:szCs w:val="15"/>
          <w:color w:val="auto"/>
        </w:rPr>
        <w:t>third party Intellectual Property Rights or furnish remedies for Infringing Products as described in Article 14 above.</w:t>
      </w:r>
    </w:p>
    <w:p>
      <w:pPr>
        <w:spacing w:after="0" w:line="175"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5"/>
          <w:szCs w:val="15"/>
          <w:color w:val="auto"/>
        </w:rPr>
        <w:t>HP Option. Supplier will [*] give HP notice of any [*] and its</w:t>
      </w:r>
    </w:p>
    <w:p>
      <w:pPr>
        <w:spacing w:after="0" w:line="5" w:lineRule="exact"/>
        <w:rPr>
          <w:sz w:val="20"/>
          <w:szCs w:val="20"/>
          <w:color w:val="auto"/>
        </w:rPr>
      </w:pPr>
    </w:p>
    <w:p>
      <w:pPr>
        <w:ind w:left="1827" w:hanging="373"/>
        <w:spacing w:after="0"/>
        <w:tabs>
          <w:tab w:leader="none" w:pos="182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expected duration of such cause. In the event of a</w:t>
      </w:r>
    </w:p>
    <w:p>
      <w:pPr>
        <w:spacing w:after="0" w:line="4" w:lineRule="exact"/>
        <w:rPr>
          <w:rFonts w:ascii="Courier New" w:cs="Courier New" w:eastAsia="Courier New" w:hAnsi="Courier New"/>
          <w:sz w:val="15"/>
          <w:szCs w:val="15"/>
          <w:color w:val="auto"/>
        </w:rPr>
      </w:pPr>
    </w:p>
    <w:p>
      <w:pPr>
        <w:ind w:left="1827" w:hanging="373"/>
        <w:spacing w:after="0"/>
        <w:tabs>
          <w:tab w:leader="none" w:pos="182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continues for a period of [*] HP may act in [*] to:</w:t>
      </w:r>
    </w:p>
    <w:p>
      <w:pPr>
        <w:spacing w:after="0" w:line="180"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17.3</w:t>
      </w:r>
      <w:r>
        <w:rPr>
          <w:sz w:val="20"/>
          <w:szCs w:val="20"/>
          <w:color w:val="auto"/>
        </w:rPr>
        <w:tab/>
      </w:r>
      <w:r>
        <w:rPr>
          <w:rFonts w:ascii="Courier New" w:cs="Courier New" w:eastAsia="Courier New" w:hAnsi="Courier New"/>
          <w:sz w:val="15"/>
          <w:szCs w:val="15"/>
          <w:color w:val="auto"/>
        </w:rPr>
        <w:t>[*] Of Agreement. if HP elects to purchase other similar products in the event of a [*] HP may [*] under this Agreement once the [*] ceases and extend the [*] up to the length of time the [*]. Unless HP gives [*] as provided above within [*] after notice from supplier of the [*], HP will be deemed to have elected to [*] this Agreement for the duration of the [*].</w:t>
      </w:r>
    </w:p>
    <w:p>
      <w:pPr>
        <w:spacing w:after="0" w:line="178" w:lineRule="exact"/>
        <w:rPr>
          <w:sz w:val="20"/>
          <w:szCs w:val="20"/>
          <w:color w:val="auto"/>
        </w:rPr>
      </w:pPr>
    </w:p>
    <w:p>
      <w:pPr>
        <w:ind w:left="727" w:hanging="727"/>
        <w:spacing w:after="0"/>
        <w:tabs>
          <w:tab w:leader="none" w:pos="72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18.1Notice Of Breach. If either party is in breach of any provision of this Agreement, the nonbreaching party may, by written notice to the breaching party, except as otherwise prohibited by the United States bankruptcy laws, terminate the whole or any part of this Agreement or any Order, unless the breaching party cures the breach within [*] after receipt of such written notice.</w:t>
      </w:r>
    </w:p>
    <w:p>
      <w:pPr>
        <w:spacing w:after="0" w:line="178" w:lineRule="exact"/>
        <w:rPr>
          <w:rFonts w:ascii="Courier New" w:cs="Courier New" w:eastAsia="Courier New" w:hAnsi="Courier New"/>
          <w:sz w:val="15"/>
          <w:szCs w:val="15"/>
          <w:color w:val="auto"/>
        </w:rPr>
      </w:pPr>
    </w:p>
    <w:p>
      <w:pPr>
        <w:ind w:left="1447" w:right="313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18.2Causes Of Breach. For purposes of Section 18.1 above, the term "breach" includes without limitation any:</w:t>
      </w:r>
    </w:p>
    <w:p>
      <w:pPr>
        <w:spacing w:after="0" w:line="174" w:lineRule="exact"/>
        <w:rPr>
          <w:rFonts w:ascii="Courier New" w:cs="Courier New" w:eastAsia="Courier New" w:hAnsi="Courier New"/>
          <w:sz w:val="15"/>
          <w:szCs w:val="15"/>
          <w:color w:val="auto"/>
        </w:rPr>
      </w:pPr>
    </w:p>
    <w:p>
      <w:pPr>
        <w:ind w:left="2187" w:right="3679" w:hanging="733"/>
        <w:spacing w:after="0" w:line="247" w:lineRule="auto"/>
        <w:tabs>
          <w:tab w:leader="none" w:pos="218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 whether voluntary or involuntary, in bankruptcy or insolvency by or against a party;</w:t>
      </w:r>
    </w:p>
    <w:p>
      <w:pPr>
        <w:spacing w:after="0" w:line="174" w:lineRule="exact"/>
        <w:rPr>
          <w:rFonts w:ascii="Courier New" w:cs="Courier New" w:eastAsia="Courier New" w:hAnsi="Courier New"/>
          <w:sz w:val="15"/>
          <w:szCs w:val="15"/>
          <w:color w:val="auto"/>
        </w:rPr>
      </w:pPr>
    </w:p>
    <w:p>
      <w:pPr>
        <w:ind w:left="2187" w:right="3219" w:hanging="733"/>
        <w:spacing w:after="0" w:line="247" w:lineRule="auto"/>
        <w:tabs>
          <w:tab w:leader="none" w:pos="218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with or without a party's consent, of a receiver or an assignee for the benefit of creditors;</w:t>
      </w:r>
    </w:p>
    <w:p>
      <w:pPr>
        <w:spacing w:after="0" w:line="174" w:lineRule="exact"/>
        <w:rPr>
          <w:rFonts w:ascii="Courier New" w:cs="Courier New" w:eastAsia="Courier New" w:hAnsi="Courier New"/>
          <w:sz w:val="15"/>
          <w:szCs w:val="15"/>
          <w:color w:val="auto"/>
        </w:rPr>
      </w:pPr>
    </w:p>
    <w:p>
      <w:pPr>
        <w:ind w:left="2187" w:right="2959" w:hanging="733"/>
        <w:spacing w:after="0" w:line="247" w:lineRule="auto"/>
        <w:tabs>
          <w:tab w:leader="none" w:pos="218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Supplier to make a delivery of OEM Products in accordance with the requirements of this Agreement or any Order;</w:t>
      </w:r>
    </w:p>
    <w:p>
      <w:pPr>
        <w:spacing w:after="0" w:line="174" w:lineRule="exact"/>
        <w:rPr>
          <w:rFonts w:ascii="Courier New" w:cs="Courier New" w:eastAsia="Courier New" w:hAnsi="Courier New"/>
          <w:sz w:val="15"/>
          <w:szCs w:val="15"/>
          <w:color w:val="auto"/>
        </w:rPr>
      </w:pPr>
    </w:p>
    <w:p>
      <w:pPr>
        <w:ind w:left="2187" w:right="3219" w:hanging="733"/>
        <w:spacing w:after="0" w:line="247" w:lineRule="auto"/>
        <w:tabs>
          <w:tab w:leader="none" w:pos="218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Supplier to replace or repair Noncomplying Products in a timely manner as required by Article 5 above; or</w:t>
      </w:r>
    </w:p>
    <w:p>
      <w:pPr>
        <w:spacing w:after="0" w:line="174" w:lineRule="exact"/>
        <w:rPr>
          <w:rFonts w:ascii="Courier New" w:cs="Courier New" w:eastAsia="Courier New" w:hAnsi="Courier New"/>
          <w:sz w:val="15"/>
          <w:szCs w:val="15"/>
          <w:color w:val="auto"/>
        </w:rPr>
      </w:pPr>
    </w:p>
    <w:p>
      <w:pPr>
        <w:ind w:left="2187" w:right="3139" w:hanging="733"/>
        <w:spacing w:after="0" w:line="246" w:lineRule="auto"/>
        <w:tabs>
          <w:tab w:leader="none" w:pos="218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failure by a party to comply with any material provision of this Agreement with additional failure to provide the nonbreaching party, upon written request, with reasonable assurances of future performance.</w:t>
      </w:r>
    </w:p>
    <w:p>
      <w:pPr>
        <w:spacing w:after="0" w:line="200" w:lineRule="exact"/>
        <w:rPr>
          <w:sz w:val="20"/>
          <w:szCs w:val="20"/>
          <w:color w:val="auto"/>
        </w:rPr>
      </w:pPr>
    </w:p>
    <w:p>
      <w:pPr>
        <w:spacing w:after="0" w:line="327" w:lineRule="exact"/>
        <w:rPr>
          <w:sz w:val="20"/>
          <w:szCs w:val="20"/>
          <w:color w:val="auto"/>
        </w:rPr>
      </w:pPr>
    </w:p>
    <w:p>
      <w:pPr>
        <w:ind w:left="447" w:right="2959" w:hanging="447"/>
        <w:spacing w:after="0" w:line="247" w:lineRule="auto"/>
        <w:tabs>
          <w:tab w:leader="none" w:pos="44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18 of 24</w:t>
      </w:r>
    </w:p>
    <w:p>
      <w:pPr>
        <w:sectPr>
          <w:pgSz w:w="11900" w:h="16838" w:orient="portrait"/>
          <w:cols w:equalWidth="0" w:num="1">
            <w:col w:w="10226"/>
          </w:cols>
          <w:pgMar w:left="233" w:top="643" w:right="1440" w:bottom="1440" w:gutter="0" w:footer="0" w:header="0"/>
        </w:sectPr>
      </w:pPr>
    </w:p>
    <w:bookmarkStart w:id="66" w:name="page67"/>
    <w:bookmarkEnd w:id="66"/>
    <w:tbl>
      <w:tblPr>
        <w:tblLayout w:type="fixed"/>
        <w:tblInd w:w="727"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BROCADE/HP</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CONFIDENTIAL</w:t>
            </w:r>
          </w:p>
        </w:tc>
      </w:tr>
      <w:tr>
        <w:trPr>
          <w:trHeight w:val="524"/>
        </w:trPr>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18.3</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 Rights</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Upon Breach.</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In the event HP terminates this</w:t>
            </w:r>
          </w:p>
        </w:tc>
      </w:tr>
      <w:tr>
        <w:trPr>
          <w:trHeight w:val="175"/>
        </w:trPr>
        <w:tc>
          <w:tcPr>
            <w:tcW w:w="540" w:type="dxa"/>
            <w:vAlign w:val="bottom"/>
          </w:tcPr>
          <w:p>
            <w:pPr>
              <w:spacing w:after="0"/>
              <w:rPr>
                <w:sz w:val="15"/>
                <w:szCs w:val="15"/>
                <w:color w:val="auto"/>
              </w:rPr>
            </w:pPr>
          </w:p>
        </w:tc>
        <w:tc>
          <w:tcPr>
            <w:tcW w:w="2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Agreement in whole or in</w:t>
            </w:r>
          </w:p>
        </w:tc>
        <w:tc>
          <w:tcPr>
            <w:tcW w:w="3640" w:type="dxa"/>
            <w:vAlign w:val="bottom"/>
          </w:tcPr>
          <w:p>
            <w:pPr>
              <w:ind w:left="100"/>
              <w:spacing w:after="0"/>
              <w:rPr>
                <w:sz w:val="20"/>
                <w:szCs w:val="20"/>
                <w:color w:val="auto"/>
              </w:rPr>
            </w:pPr>
            <w:r>
              <w:rPr>
                <w:rFonts w:ascii="Courier New" w:cs="Courier New" w:eastAsia="Courier New" w:hAnsi="Courier New"/>
                <w:sz w:val="15"/>
                <w:szCs w:val="15"/>
                <w:color w:val="auto"/>
              </w:rPr>
              <w:t>part as provided above, [*] provided HP</w:t>
            </w:r>
          </w:p>
        </w:tc>
      </w:tr>
      <w:tr>
        <w:trPr>
          <w:trHeight w:val="175"/>
        </w:trPr>
        <w:tc>
          <w:tcPr>
            <w:tcW w:w="54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under this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Agreement, HP</w:t>
            </w:r>
          </w:p>
        </w:tc>
        <w:tc>
          <w:tcPr>
            <w:tcW w:w="3640" w:type="dxa"/>
            <w:vAlign w:val="bottom"/>
          </w:tcPr>
          <w:p>
            <w:pPr>
              <w:ind w:left="100"/>
              <w:spacing w:after="0"/>
              <w:rPr>
                <w:sz w:val="20"/>
                <w:szCs w:val="20"/>
                <w:color w:val="auto"/>
              </w:rPr>
            </w:pPr>
            <w:r>
              <w:rPr>
                <w:rFonts w:ascii="Courier New" w:cs="Courier New" w:eastAsia="Courier New" w:hAnsi="Courier New"/>
                <w:sz w:val="15"/>
                <w:szCs w:val="15"/>
                <w:color w:val="auto"/>
              </w:rPr>
              <w:t>may [*], upon [*] and in such [*] as</w:t>
            </w:r>
          </w:p>
        </w:tc>
      </w:tr>
    </w:tbl>
    <w:p>
      <w:pPr>
        <w:spacing w:after="0" w:line="5" w:lineRule="exact"/>
        <w:rPr>
          <w:sz w:val="20"/>
          <w:szCs w:val="20"/>
          <w:color w:val="auto"/>
        </w:rPr>
      </w:pPr>
    </w:p>
    <w:p>
      <w:pPr>
        <w:ind w:left="1447" w:right="3039" w:firstLine="7"/>
        <w:spacing w:after="0" w:line="247" w:lineRule="auto"/>
        <w:tabs>
          <w:tab w:leader="none" w:pos="181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deems [*] to the [*] as to which this Agreement is terminated. Supplier agrees to [*] the [*] of this Agreement to the [*] under the provisions of this Section.</w:t>
      </w:r>
    </w:p>
    <w:p>
      <w:pPr>
        <w:spacing w:after="0" w:line="17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18.4</w:t>
      </w:r>
      <w:r>
        <w:rPr>
          <w:sz w:val="20"/>
          <w:szCs w:val="20"/>
          <w:color w:val="auto"/>
        </w:rPr>
        <w:tab/>
      </w:r>
      <w:r>
        <w:rPr>
          <w:rFonts w:ascii="Courier New" w:cs="Courier New" w:eastAsia="Courier New" w:hAnsi="Courier New"/>
          <w:sz w:val="15"/>
          <w:szCs w:val="15"/>
          <w:color w:val="auto"/>
        </w:rPr>
        <w:t>[*]. If any Eligible Purchaser having the right to purchase an OEM Product under this Agreement or under any other agreement with Supplier [*] that an OEM Product is [*], then, irrespective of any other rights provided HP hereunder, HP may implement a</w:t>
      </w:r>
    </w:p>
    <w:p>
      <w:pPr>
        <w:spacing w:after="0" w:line="2" w:lineRule="exact"/>
        <w:rPr>
          <w:sz w:val="20"/>
          <w:szCs w:val="20"/>
          <w:color w:val="auto"/>
        </w:rPr>
      </w:pPr>
    </w:p>
    <w:p>
      <w:pPr>
        <w:ind w:left="1827" w:hanging="373"/>
        <w:spacing w:after="0"/>
        <w:tabs>
          <w:tab w:leader="none" w:pos="182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 of such OEM Products [*]. Such [*] may be [*] if HP</w:t>
      </w:r>
    </w:p>
    <w:p>
      <w:pPr>
        <w:spacing w:after="0" w:line="4" w:lineRule="exact"/>
        <w:rPr>
          <w:rFonts w:ascii="Courier New" w:cs="Courier New" w:eastAsia="Courier New" w:hAnsi="Courier New"/>
          <w:sz w:val="15"/>
          <w:szCs w:val="15"/>
          <w:color w:val="auto"/>
        </w:rPr>
      </w:pPr>
    </w:p>
    <w:p>
      <w:pPr>
        <w:ind w:left="1447" w:right="3419" w:firstLine="7"/>
        <w:spacing w:after="0" w:line="247" w:lineRule="auto"/>
        <w:tabs>
          <w:tab w:leader="none" w:pos="181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Supplier has taken [*] the [*] or given sufficient assurances that such [*] will be [*] within a [*].</w:t>
      </w:r>
    </w:p>
    <w:p>
      <w:pPr>
        <w:spacing w:after="0" w:line="175"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18.5</w:t>
      </w:r>
      <w:r>
        <w:rPr>
          <w:sz w:val="20"/>
          <w:szCs w:val="20"/>
          <w:color w:val="auto"/>
        </w:rPr>
        <w:tab/>
      </w:r>
      <w:r>
        <w:rPr>
          <w:rFonts w:ascii="Courier New" w:cs="Courier New" w:eastAsia="Courier New" w:hAnsi="Courier New"/>
          <w:sz w:val="15"/>
          <w:szCs w:val="15"/>
          <w:color w:val="auto"/>
        </w:rPr>
        <w:t>Escalated Resolution Process. In the event of any dispute arising from or regarding the subject matter of this Agreement, the parties agree to negotiate in good faith an equitable resolution of the disputed matter. If the parties are not able to resolve the dispute within [*] of first written communication of the dispute, then the parties agree to [*] process [*] as designated in Exhibit G. The [*] shall meet within [*] of escalation to resolve the disputed matter. If the dispute is not resolved within an additional [*] period from the end of [*] period set forth above, then either HP or Supplier may commence legal, equitable, or other action upon providing the other party not less than [*] prior written notice of such intent.</w:t>
      </w:r>
    </w:p>
    <w:p>
      <w:pPr>
        <w:spacing w:after="0" w:line="182" w:lineRule="exact"/>
        <w:rPr>
          <w:sz w:val="20"/>
          <w:szCs w:val="20"/>
          <w:color w:val="auto"/>
        </w:rPr>
      </w:pPr>
    </w:p>
    <w:p>
      <w:pPr>
        <w:ind w:left="727" w:hanging="727"/>
        <w:spacing w:after="0"/>
        <w:tabs>
          <w:tab w:leader="none" w:pos="72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19.1Confidential Information. During the Term, a party (the "Recipient") may receive or have access to certain information of the other party (the "Discloser") that is marked as "Confidential Information," including, though not limited to, information or data concerning the Discloser's products or product plans, business operations, strategies, customers and related business information. The Recipient will protect the confidentiality of Confidential Information with the same degree of care as the Recipient uses for its own similar information, but no less than a reasonable degree of care, under the terms of the Confidential Disclosure Agreement attached as Exhibit F (the "CDA"). To the extent any term of this Agreement conflicts with any term in the CDA, the terms of this Agreement will control and take precedence. Confidential Information may only be used by those employees of the Recipient who have a need to know such information for the purposes related to this Agreement. The parties acknowledge that all Technical Information and Forecasts are deemed Confidential Information to be protected for a term of [*] from the date of disclosure.</w:t>
      </w:r>
    </w:p>
    <w:p>
      <w:pPr>
        <w:spacing w:after="0" w:line="186" w:lineRule="exact"/>
        <w:rPr>
          <w:rFonts w:ascii="Courier New" w:cs="Courier New" w:eastAsia="Courier New" w:hAnsi="Courier New"/>
          <w:sz w:val="15"/>
          <w:szCs w:val="15"/>
          <w:color w:val="auto"/>
        </w:rPr>
      </w:pPr>
    </w:p>
    <w:p>
      <w:pPr>
        <w:ind w:left="1447" w:right="313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19.2Exclusions. The foregoing confidentiality obligations will not apply to any information that is (a) already known by the Recipient prior to disclosure,</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19 of 24</w:t>
      </w:r>
    </w:p>
    <w:p>
      <w:pPr>
        <w:sectPr>
          <w:pgSz w:w="11900" w:h="16838" w:orient="portrait"/>
          <w:cols w:equalWidth="0" w:num="1">
            <w:col w:w="10226"/>
          </w:cols>
          <w:pgMar w:left="233" w:top="643" w:right="1440" w:bottom="1440" w:gutter="0" w:footer="0" w:header="0"/>
        </w:sectPr>
      </w:pPr>
    </w:p>
    <w:bookmarkStart w:id="67" w:name="page68"/>
    <w:bookmarkEnd w:id="67"/>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2959" w:firstLine="7"/>
        <w:spacing w:after="0" w:line="246" w:lineRule="auto"/>
        <w:tabs>
          <w:tab w:leader="none" w:pos="181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independently developed by the Recipient prior to or independent of the disclosure, (c) publicly available through no fault of the Recipient, (d) rightfully received from a third party with no duty of confidentiality, (e) disclosed by the Recipient with the Discloser's prior written approval, or (f) disclosed under operation of law. In the event that a party becomes aware that disclosure is likely to be required by operation of law, the party having knowledge of such possible disclosure will provide the other with ample notice and opportunity to seek a protective order.</w:t>
      </w:r>
    </w:p>
    <w:p>
      <w:pPr>
        <w:spacing w:after="0" w:line="180"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REQUIREMENTS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20.1Insurance Coverage. Supplier will maintain Comprehensive or Commercial General Liability Insurance (including but not limited to products and completed operations, broad form contractual liability, broad form property damage and personal injury liability) with a minimum limit of [*] combined single limit per occurrence and [*] in the aggregate, for claims of bodily injury, including death, and property damage that may arise from use of the OEM Products or acts or omissions of Supplier under this Agreement. Each policy obtained by Supplier will name [*] in performing [*] herein) as additional insureds. Such insurance will apply as [*] and no other insurance will be called upon to contribute to a [*] thereunder. In addition, such policies will permit Supplier to waive, on its own behalf and on behalf of its insurers, any rights of subrogation against HP. Such insurance policies will be written with appropriately licensed and financially responsible insurer, and Supplier will provide for a minimum of [*] written notice to HP of any cancellation or reduction in coverage. Certificates of insurance evidencing the required coverage and limits will be furnished to HP before any work is commenced hereunder, and Supplier will deliver copies of policies or certificates to the HP contact listed in Exhibit G.</w:t>
      </w:r>
    </w:p>
    <w:p>
      <w:pPr>
        <w:spacing w:after="0" w:line="188"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20.2Claims Made Coverage. If any applicable Comprehensive or General Liability policies have "claims made" coverage, Supplier will maintain such coverage with [*] as an [*] for a minimum of three years after termination of this Agreement. Any such coverage must have a retroactive date no later than the date upon which work commenced under this Agreement.</w:t>
      </w:r>
    </w:p>
    <w:p>
      <w:pPr>
        <w:spacing w:after="0" w:line="178"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20.3Additional Requirements. All deductibles on policies providing coverage will be paid by Supplier. In the event Supplier is self insured for matters described in Section 20.1, Supplier agrees to respond to any claims or losses made against or incurred [*] had been purchased with the [*] than what is generally available to similar suppliers. In no event will the coverages or limits of any insurance required under this Article, or the lack or unavailability of any other insurance, be deemed to [*] Supplier's [*] to HP under this Agreement.</w:t>
      </w:r>
    </w:p>
    <w:p>
      <w:pPr>
        <w:spacing w:after="0" w:line="200" w:lineRule="exact"/>
        <w:rPr>
          <w:sz w:val="20"/>
          <w:szCs w:val="20"/>
          <w:color w:val="auto"/>
        </w:rPr>
      </w:pPr>
    </w:p>
    <w:p>
      <w:pPr>
        <w:spacing w:after="0" w:line="330" w:lineRule="exact"/>
        <w:rPr>
          <w:sz w:val="20"/>
          <w:szCs w:val="20"/>
          <w:color w:val="auto"/>
        </w:rPr>
      </w:pPr>
    </w:p>
    <w:p>
      <w:pPr>
        <w:ind w:left="447" w:right="2959" w:hanging="447"/>
        <w:spacing w:after="0" w:line="247" w:lineRule="auto"/>
        <w:tabs>
          <w:tab w:leader="none" w:pos="44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20 of 24</w:t>
      </w:r>
    </w:p>
    <w:p>
      <w:pPr>
        <w:sectPr>
          <w:pgSz w:w="11900" w:h="16838" w:orient="portrait"/>
          <w:cols w:equalWidth="0" w:num="1">
            <w:col w:w="10226"/>
          </w:cols>
          <w:pgMar w:left="233" w:top="643" w:right="1440" w:bottom="1440" w:gutter="0" w:footer="0" w:header="0"/>
        </w:sectPr>
      </w:pPr>
    </w:p>
    <w:bookmarkStart w:id="68" w:name="page69"/>
    <w:bookmarkEnd w:id="68"/>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727" w:hanging="727"/>
        <w:spacing w:after="0"/>
        <w:tabs>
          <w:tab w:leader="none" w:pos="7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179" w:lineRule="exact"/>
        <w:rPr>
          <w:rFonts w:ascii="Courier New" w:cs="Courier New" w:eastAsia="Courier New" w:hAnsi="Courier New"/>
          <w:sz w:val="15"/>
          <w:szCs w:val="15"/>
          <w:color w:val="auto"/>
        </w:rPr>
      </w:pPr>
    </w:p>
    <w:p>
      <w:pPr>
        <w:ind w:left="72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STATED HEREIN, EXCEPT AS TO BREACHES IN SECTION 19 ABOVE, NEITHER PARTY WILL BE LIABLE FOR ANY INDIRECT, SPECIAL, INCIDENTAL, OR CONSEQUENTIAL DAMAGES (INCLUDING LOST PROFITS) OF THE OTHER ARISING OUT OF ANY PERFORMANCE OF THIS AGREEMENT OR IN FURTHERANCE OF THE PROVISIONS OR OBJECTIVES OF THIS AGREEMENT, REGARDLESS OF WHETHER SUCH DAMAGES ARE BASED ON TORT, WARRANTY, CONTRACT OR ANY OTHER LEGAL THEORY, EVEN IF ADVISED OF THE POSSIBILITY OF SUCH DAMAGES. NOTWITHSTANDING THE ABOVE, SUPPLIER WILL BE RESPONSIBLE FOR ANY DAMAGES OF ANY KIND INCLUDED IN AN AWARD OR SETTLEMENT OF A THIRD PARTY CLAIM UNDER ARTICLE 14 ABOVE.</w:t>
      </w:r>
    </w:p>
    <w:p>
      <w:pPr>
        <w:spacing w:after="0" w:line="180" w:lineRule="exact"/>
        <w:rPr>
          <w:rFonts w:ascii="Courier New" w:cs="Courier New" w:eastAsia="Courier New" w:hAnsi="Courier New"/>
          <w:sz w:val="15"/>
          <w:szCs w:val="15"/>
          <w:color w:val="auto"/>
        </w:rPr>
      </w:pPr>
    </w:p>
    <w:p>
      <w:pPr>
        <w:ind w:left="72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OBLIGATIONS ARISING UNDER ARTICLES 9, 14, AND 19 HEREIN, IN NO EVENT SHALL EITHER PARTY'S TOTAL LIABILITY UNDER THIS AGREEMENT EXCEED THE GREATER OF (I) [*], OR (II) AN AMOUNT EQUAL TO THE</w:t>
      </w:r>
    </w:p>
    <w:p>
      <w:pPr>
        <w:spacing w:after="0" w:line="1" w:lineRule="exact"/>
        <w:rPr>
          <w:rFonts w:ascii="Courier New" w:cs="Courier New" w:eastAsia="Courier New" w:hAnsi="Courier New"/>
          <w:sz w:val="15"/>
          <w:szCs w:val="15"/>
          <w:color w:val="auto"/>
        </w:rPr>
      </w:pPr>
    </w:p>
    <w:p>
      <w:pPr>
        <w:ind w:left="727" w:right="3039"/>
        <w:spacing w:after="0" w:line="247" w:lineRule="auto"/>
        <w:tabs>
          <w:tab w:leader="none" w:pos="109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SUPPLIER FROM HP DURING THE [*] IMMEDIATELY PRECEDING THE EVENTS GIVING RISE TO THE IMPOSITION OF LIABILITY.</w:t>
      </w:r>
    </w:p>
    <w:p>
      <w:pPr>
        <w:spacing w:after="0" w:line="17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9"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22.1Outstanding Orders. All accepted Orders issued prior to the expiration of this Agreement must be fulfilled pursuant to and subject to the terms of this Agreement, even if the Shipment Dates are after expiration. Upon termination of this Agreement for Supplier's breach, HP may cancel any outstanding Order or require Orders to be fulfilled even if a Shipment Date is after the date of termination.</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22.2Return Of HP Property. Supplier must return all HP Property to HP upon expiration or termination. All such property must be in good condition, normal wear and tear excepted. HP will determine the [*] for [*] HP will [*] Otherwise, Supplier will [*].</w:t>
      </w:r>
    </w:p>
    <w:p>
      <w:pPr>
        <w:spacing w:after="0" w:line="177"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22.3Surviving Provisions. Notwithstanding the expiration or early termination of this Agreement, the provisions regarding Warranties in Article 9, Support in Article 10, Marketing and Licensing in Article 13, Intellectual Property in Article 14, Confidentiality in Article 19, Insurance Requirements in Article</w:t>
      </w:r>
    </w:p>
    <w:p>
      <w:pPr>
        <w:spacing w:after="0" w:line="3" w:lineRule="exact"/>
        <w:rPr>
          <w:rFonts w:ascii="Courier New" w:cs="Courier New" w:eastAsia="Courier New" w:hAnsi="Courier New"/>
          <w:sz w:val="15"/>
          <w:szCs w:val="15"/>
          <w:color w:val="auto"/>
        </w:rPr>
      </w:pPr>
    </w:p>
    <w:p>
      <w:pPr>
        <w:ind w:left="1447" w:right="2959" w:firstLine="7"/>
        <w:spacing w:after="0" w:line="247" w:lineRule="auto"/>
        <w:tabs>
          <w:tab w:leader="none" w:pos="1810"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 in Article 21, and the Miscellaneous provisions below will each survive in accordance with their terms.</w:t>
      </w:r>
    </w:p>
    <w:p>
      <w:pPr>
        <w:spacing w:after="0" w:line="17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left="1367" w:right="3039" w:hanging="636"/>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23.1 Notices. All notices to be given under this Agreement must be in writing addressed to the receiving party's designated recipient specified in Exhibit G. Notices are validly given upon the earlier of confirmed receipt by the receiving party or three</w:t>
      </w:r>
    </w:p>
    <w:p>
      <w:pPr>
        <w:spacing w:after="0" w:line="200" w:lineRule="exact"/>
        <w:rPr>
          <w:sz w:val="20"/>
          <w:szCs w:val="20"/>
          <w:color w:val="auto"/>
        </w:rPr>
      </w:pPr>
    </w:p>
    <w:p>
      <w:pPr>
        <w:spacing w:after="0" w:line="327" w:lineRule="exact"/>
        <w:rPr>
          <w:sz w:val="20"/>
          <w:szCs w:val="20"/>
          <w:color w:val="auto"/>
        </w:rPr>
      </w:pPr>
    </w:p>
    <w:p>
      <w:pPr>
        <w:ind w:left="447" w:right="2959" w:hanging="447"/>
        <w:spacing w:after="0" w:line="247" w:lineRule="auto"/>
        <w:tabs>
          <w:tab w:leader="none" w:pos="44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21 of 24</w:t>
      </w:r>
    </w:p>
    <w:p>
      <w:pPr>
        <w:sectPr>
          <w:pgSz w:w="11900" w:h="16838" w:orient="portrait"/>
          <w:cols w:equalWidth="0" w:num="1">
            <w:col w:w="10226"/>
          </w:cols>
          <w:pgMar w:left="233" w:top="643" w:right="1440" w:bottom="1440" w:gutter="0" w:footer="0" w:header="0"/>
        </w:sectPr>
      </w:pPr>
    </w:p>
    <w:bookmarkStart w:id="69" w:name="page70"/>
    <w:bookmarkEnd w:id="69"/>
    <w:p>
      <w:pPr>
        <w:ind w:left="1900"/>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720" w:right="2959"/>
        <w:spacing w:after="0" w:line="246" w:lineRule="auto"/>
        <w:rPr>
          <w:sz w:val="20"/>
          <w:szCs w:val="20"/>
          <w:color w:val="auto"/>
        </w:rPr>
      </w:pPr>
      <w:r>
        <w:rPr>
          <w:rFonts w:ascii="Courier New" w:cs="Courier New" w:eastAsia="Courier New" w:hAnsi="Courier New"/>
          <w:sz w:val="15"/>
          <w:szCs w:val="15"/>
          <w:color w:val="auto"/>
        </w:rPr>
        <w:t>days after dispatch by courier or certified mail, postage prepaid, properly addressed to the receiving party. Notices may also be delivered by telefax and will be validly given upon oral or written confirmation of receipt. Either party may change its address for purposes of notice by giving notice to the other party in accordance with these provisions.</w:t>
      </w:r>
    </w:p>
    <w:p>
      <w:pPr>
        <w:spacing w:after="0" w:line="178" w:lineRule="exact"/>
        <w:rPr>
          <w:sz w:val="20"/>
          <w:szCs w:val="20"/>
          <w:color w:val="auto"/>
        </w:rPr>
      </w:pPr>
    </w:p>
    <w:p>
      <w:pPr>
        <w:ind w:left="720" w:right="3219" w:hanging="726"/>
        <w:spacing w:after="0" w:line="247" w:lineRule="auto"/>
        <w:tabs>
          <w:tab w:leader="none" w:pos="70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Exhibits. Each Exhibit attached to this Agreement is deemed a part of this Agreement and incorporated herein wherever reference to it is made.</w:t>
      </w:r>
    </w:p>
    <w:p>
      <w:pPr>
        <w:spacing w:after="0" w:line="174" w:lineRule="exact"/>
        <w:rPr>
          <w:sz w:val="20"/>
          <w:szCs w:val="20"/>
          <w:color w:val="auto"/>
        </w:rPr>
      </w:pPr>
    </w:p>
    <w:p>
      <w:pPr>
        <w:ind w:left="720" w:right="2959" w:hanging="726"/>
        <w:spacing w:after="0" w:line="246" w:lineRule="auto"/>
        <w:tabs>
          <w:tab w:leader="none" w:pos="70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Independent Contractors. The relationship of the parties established under this Agreement is that of independent contractors and neither party is a partner, employee, agent or joint-venturer of or with the other. Nothing in this Agreement precludes either party from independently developing, manufacturing, selling or supporting products similar to the OEM Products.</w:t>
      </w:r>
    </w:p>
    <w:p>
      <w:pPr>
        <w:spacing w:after="0" w:line="179" w:lineRule="exact"/>
        <w:rPr>
          <w:sz w:val="20"/>
          <w:szCs w:val="20"/>
          <w:color w:val="auto"/>
        </w:rPr>
      </w:pPr>
    </w:p>
    <w:p>
      <w:pPr>
        <w:ind w:left="720" w:right="2959" w:hanging="726"/>
        <w:spacing w:after="0" w:line="246" w:lineRule="auto"/>
        <w:tabs>
          <w:tab w:leader="none" w:pos="70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Assignment. Neither party may, directly or indirectly, in whole or in part, either by operation of law or otherwise, assign or transfer this Agreement or delegate any of its obligations under this Agreement without the other party's written consent. Any attempted assignment, transfer, or delegation without such prior written consent will be void. Notwithstanding the foregoing, HP or its permitted successive assignees or transferees may assign or transfer this Agreement or delegate any rights or obligations hereunder without consent: (1) to any entity controlled by, or under common control with, HP, or its permitted successive assignees or transferees; or (2) in connection with a merger, reorganization, transfer, sale of assets or product lines, or change of control or ownership of HP, or its permitted successive assignees or transferees. Without limiting the foregoing, this agreement will be binding upon and inure to the benefit of the parties and their permitted successors and assigns.</w:t>
      </w:r>
    </w:p>
    <w:p>
      <w:pPr>
        <w:spacing w:after="0" w:line="185" w:lineRule="exact"/>
        <w:rPr>
          <w:sz w:val="20"/>
          <w:szCs w:val="20"/>
          <w:color w:val="auto"/>
        </w:rPr>
      </w:pPr>
    </w:p>
    <w:p>
      <w:pPr>
        <w:ind w:left="720" w:right="2959" w:hanging="726"/>
        <w:spacing w:after="0" w:line="246" w:lineRule="auto"/>
        <w:tabs>
          <w:tab w:leader="none" w:pos="70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No Waiver. The waiver of any term, condition, or provision of this Agreement must be in writing and signed by an authorized representative of the waiving party. Any such waiver will not be construed as a waiver of any other term, condition, or provision except as provided in writing, nor as a waiver of any subsequent breach of the same term, condition, or provision.</w:t>
      </w:r>
    </w:p>
    <w:p>
      <w:pPr>
        <w:spacing w:after="0" w:line="178"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5"/>
          <w:szCs w:val="15"/>
          <w:color w:val="auto"/>
        </w:rPr>
        <w:t>Reference To Days. All references in this Agreement to "days"</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will, unless otherwise specified herein, mean calendar days.</w:t>
      </w:r>
    </w:p>
    <w:p>
      <w:pPr>
        <w:spacing w:after="0" w:line="180" w:lineRule="exact"/>
        <w:rPr>
          <w:sz w:val="20"/>
          <w:szCs w:val="20"/>
          <w:color w:val="auto"/>
        </w:rPr>
      </w:pPr>
    </w:p>
    <w:p>
      <w:pPr>
        <w:ind w:left="720" w:right="2959" w:hanging="726"/>
        <w:spacing w:after="0" w:line="246" w:lineRule="auto"/>
        <w:tabs>
          <w:tab w:leader="none" w:pos="70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Headings. The Section headings used in this Agreement are for convenience of reference only. They will not limit or extend the meaning of any provision of this Agreement, and will not be relevant in interpreting any provision of this Agreement.</w:t>
      </w:r>
    </w:p>
    <w:p>
      <w:pPr>
        <w:spacing w:after="0" w:line="177" w:lineRule="exact"/>
        <w:rPr>
          <w:sz w:val="20"/>
          <w:szCs w:val="20"/>
          <w:color w:val="auto"/>
        </w:rPr>
      </w:pPr>
    </w:p>
    <w:p>
      <w:pPr>
        <w:ind w:left="720" w:right="2959" w:hanging="726"/>
        <w:spacing w:after="0" w:line="246" w:lineRule="auto"/>
        <w:tabs>
          <w:tab w:leader="none" w:pos="700"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5"/>
          <w:szCs w:val="15"/>
          <w:color w:val="auto"/>
        </w:rPr>
        <w:t>Publicity. Subject to the terms and conditions of Article 19 above, neither party may publicize or disclose to any third party, without the written consent of the other party, the terms of this Agreement. Without limiting the generality of the foregoing sentence, no press releases may be made without the mutual written consent of each party.</w:t>
      </w:r>
    </w:p>
    <w:p>
      <w:pPr>
        <w:spacing w:after="0" w:line="200" w:lineRule="exact"/>
        <w:rPr>
          <w:sz w:val="20"/>
          <w:szCs w:val="20"/>
          <w:color w:val="auto"/>
        </w:rPr>
      </w:pPr>
    </w:p>
    <w:p>
      <w:pPr>
        <w:spacing w:after="0" w:line="32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Page 22 of 24</w:t>
      </w:r>
    </w:p>
    <w:p>
      <w:pPr>
        <w:sectPr>
          <w:pgSz w:w="11900" w:h="16838" w:orient="portrait"/>
          <w:cols w:equalWidth="0" w:num="1">
            <w:col w:w="9499"/>
          </w:cols>
          <w:pgMar w:left="960" w:top="643" w:right="1440" w:bottom="1440" w:gutter="0" w:footer="0" w:header="0"/>
        </w:sectPr>
      </w:pPr>
    </w:p>
    <w:bookmarkStart w:id="70" w:name="page71"/>
    <w:bookmarkEnd w:id="70"/>
    <w:p>
      <w:pPr>
        <w:ind w:left="1420"/>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23.9</w:t>
      </w:r>
      <w:r>
        <w:rPr>
          <w:sz w:val="20"/>
          <w:szCs w:val="20"/>
          <w:color w:val="auto"/>
        </w:rPr>
        <w:tab/>
      </w:r>
      <w:r>
        <w:rPr>
          <w:rFonts w:ascii="Courier New" w:cs="Courier New" w:eastAsia="Courier New" w:hAnsi="Courier New"/>
          <w:sz w:val="15"/>
          <w:szCs w:val="15"/>
          <w:color w:val="auto"/>
        </w:rPr>
        <w:t>Severability. If any provision in this Agreement is held invalid or unenforceable by a body of competent jurisdiction, such provision will be construed, limited or, if necessary, severed to the extent necessary to eliminate such invalidity or unenforceability. The parties agree to negotiate in good faith a valid, enforceable substitute provision that most nearly effects the parties' original intent in entering into this Agreement or to provide an equitable adjustment in the event no such provision can be added. The other provisions of this Agreement will remain in full force and effect.</w:t>
      </w:r>
    </w:p>
    <w:p>
      <w:pPr>
        <w:spacing w:after="0" w:line="181"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23.10</w:t>
        <w:tab/>
        <w:t>Subcontractors and Subsidiaries. Each party unconditionally guarantees to the other party the performance of all obligations by any of its Subcontractors and Subsidiaries under the Agreement (including, without limitation, payment obligations), as amended from time to time, or any other obligation of any Subcontractors or Subsidiary to the other party, now existing or hereafter arising. If either party's Subcontractors or Subsidiary does not perform such obligation, such party shall immediately perform such obligation.</w:t>
      </w:r>
    </w:p>
    <w:p>
      <w:pPr>
        <w:spacing w:after="0" w:line="180"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23.11</w:t>
        <w:tab/>
        <w:t>Entire Agreement. This Agreement comprises the entire understanding between the parties with respect to its subject matters and supersedes any previous or contemporaneous communications, representations, or agreements, whether oral or written. For purposes of construction, this Agreement will be deemed to have been drafted by both parties. No modification of this Agreement will be binding on either party unless in writing and signed by an authorized representative of each party.</w:t>
      </w:r>
    </w:p>
    <w:p>
      <w:pPr>
        <w:spacing w:after="0" w:line="180"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23.12</w:t>
        <w:tab/>
        <w:t>Governing Law. This Agreement shall be governed and interpreted according to the laws of the State of California, exclusive of its choice-of-law provisions, and the parties hereby personally consent to the exclusive jurisdiction of the courts of the State of California or the United States District Court for the District of Northern California.</w:t>
      </w:r>
    </w:p>
    <w:p>
      <w:pPr>
        <w:spacing w:after="0" w:line="178" w:lineRule="exact"/>
        <w:rPr>
          <w:sz w:val="20"/>
          <w:szCs w:val="20"/>
          <w:color w:val="auto"/>
        </w:rPr>
      </w:pPr>
    </w:p>
    <w:p>
      <w:pPr>
        <w:jc w:val="both"/>
        <w:ind w:left="240" w:right="3319" w:hanging="726"/>
        <w:spacing w:after="0" w:line="247" w:lineRule="auto"/>
        <w:tabs>
          <w:tab w:leader="none" w:pos="220" w:val="left"/>
        </w:tabs>
        <w:rPr>
          <w:sz w:val="20"/>
          <w:szCs w:val="20"/>
          <w:color w:val="auto"/>
        </w:rPr>
      </w:pPr>
      <w:r>
        <w:rPr>
          <w:rFonts w:ascii="Courier New" w:cs="Courier New" w:eastAsia="Courier New" w:hAnsi="Courier New"/>
          <w:sz w:val="15"/>
          <w:szCs w:val="15"/>
          <w:color w:val="auto"/>
        </w:rPr>
        <w:t>23.13</w:t>
        <w:tab/>
        <w:t>Exhibits. Each of the following Exhibits referred to in this Agreement is incorporated in full in this Agreement wherever reference to it is made: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(A) OEM PRODUCTS AND SPECIFICATIONS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(B) ELIGIBLE PURCHASERS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(C) PRICING AND FEES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(D) MAINTENANCE AND SUPPORT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(E) HP EQUIPMENT LOAN AGREEMENT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(F) CONFIDENTIAL DISCLOSURE AGREEMENT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(G) RECIPIENTS FOR RECEIPT OF NOTICES</w:t>
      </w:r>
    </w:p>
    <w:p>
      <w:pPr>
        <w:spacing w:after="0" w:line="200" w:lineRule="exact"/>
        <w:rPr>
          <w:sz w:val="20"/>
          <w:szCs w:val="20"/>
          <w:color w:val="auto"/>
        </w:rPr>
      </w:pPr>
    </w:p>
    <w:p>
      <w:pPr>
        <w:spacing w:after="0" w:line="329"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Page 23 of 24</w:t>
      </w:r>
    </w:p>
    <w:p>
      <w:pPr>
        <w:sectPr>
          <w:pgSz w:w="11900" w:h="16838" w:orient="portrait"/>
          <w:cols w:equalWidth="0" w:num="1">
            <w:col w:w="9019"/>
          </w:cols>
          <w:pgMar w:left="1440" w:top="643" w:right="1440" w:bottom="1440" w:gutter="0" w:footer="0" w:header="0"/>
        </w:sectPr>
      </w:pPr>
    </w:p>
    <w:bookmarkStart w:id="71" w:name="page72"/>
    <w:bookmarkEnd w:id="71"/>
    <w:p>
      <w:pPr>
        <w:ind w:left="2620"/>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EXHIBIT (H) HP SUPPLIER QUALITY SYSTEM REQUIREMENTS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EXHIBIT (I) HP END USER SOFTWARE LICENSE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354"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640" w:space="720"/>
            <w:col w:w="585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820" w:space="720"/>
            <w:col w:w="567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900" w:space="720"/>
            <w:col w:w="5599"/>
          </w:cols>
          <w:pgMar w:left="240" w:top="642"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24 of 24</w:t>
      </w:r>
    </w:p>
    <w:p>
      <w:pPr>
        <w:sectPr>
          <w:pgSz w:w="11900" w:h="16838" w:orient="portrait"/>
          <w:cols w:equalWidth="0" w:num="1">
            <w:col w:w="10219"/>
          </w:cols>
          <w:pgMar w:left="240" w:top="642" w:right="1440" w:bottom="1440" w:gutter="0" w:footer="0" w:header="0"/>
          <w:type w:val="continuous"/>
        </w:sectPr>
      </w:pPr>
    </w:p>
    <w:bookmarkStart w:id="72" w:name="page73"/>
    <w:bookmarkEnd w:id="72"/>
    <w:p>
      <w:pPr>
        <w:ind w:left="2620"/>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OEM PRODUCTS AND SPECIFICATIONS</w:t>
      </w:r>
    </w:p>
    <w:p>
      <w:pPr>
        <w:spacing w:after="0" w:line="200" w:lineRule="exact"/>
        <w:rPr>
          <w:sz w:val="20"/>
          <w:szCs w:val="20"/>
          <w:color w:val="auto"/>
        </w:rPr>
      </w:pPr>
    </w:p>
    <w:p>
      <w:pPr>
        <w:spacing w:after="0" w:line="329"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SILKWORM 2400-2800 PRODUCT SPECIFICATION</w:t>
      </w:r>
    </w:p>
    <w:p>
      <w:pPr>
        <w:spacing w:after="0" w:line="18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CUSTOMER SPECIAL DEFINITION (CSD) PROCEDURE</w:t>
      </w:r>
    </w:p>
    <w:p>
      <w:pPr>
        <w:spacing w:after="0" w:line="18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FIBRE CHANNEL GIGABIT SWITCH CONFIGURATION SPECIFICATIONS DOCUMENT</w:t>
      </w:r>
    </w:p>
    <w:p>
      <w:pPr>
        <w:sectPr>
          <w:pgSz w:w="11900" w:h="16838" w:orient="portrait"/>
          <w:cols w:equalWidth="0" w:num="1">
            <w:col w:w="10219"/>
          </w:cols>
          <w:pgMar w:left="240" w:top="643" w:right="1440" w:bottom="1440" w:gutter="0" w:footer="0" w:header="0"/>
        </w:sectPr>
      </w:pPr>
    </w:p>
    <w:bookmarkStart w:id="73" w:name="page74"/>
    <w:bookmarkEnd w:id="73"/>
    <w:p>
      <w:pPr>
        <w:ind w:left="2620"/>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(A-1)</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SILKWORM 2400-2800 PRODUCT SPECIFICATION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This page is left intentionally blank; Exhibit (A-1) follows immediately after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(A-1)</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19"/>
          </w:cols>
          <w:pgMar w:left="240" w:top="643" w:right="1440" w:bottom="1440" w:gutter="0" w:footer="0" w:header="0"/>
        </w:sectPr>
      </w:pPr>
    </w:p>
    <w:bookmarkStart w:id="74" w:name="page75"/>
    <w:bookmarkEnd w:id="74"/>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SILKWORM(R) 2400 AND 2800</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FIBRE CHANNEL FABRIC SWITCHES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BROCADE fabric switches create the core infrastructure for constructing a Storage or Server Area Network (SAN). The switches provide full fabric support, true line-speed switching, and modular components to build a wide range of SAN solutions.</w:t>
      </w:r>
    </w:p>
    <w:p>
      <w:pPr>
        <w:spacing w:after="0" w:line="17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SilkWorm 2400 and SilkWorm 2800 create an intelligent connectivity infrastructure, or Fabric, to support connectivity of a wide range of host and storage types. Users share these resources efficiently in a SAN. Fabric services are deployed automatically and transparently throughout the Fabric to assure it is resilient to failures. The Fabric is scalable, expanding rapidly to increasing demands by users for highly available, heterogeneous access to growing storage pools.</w:t>
      </w:r>
    </w:p>
    <w:p>
      <w:pPr>
        <w:spacing w:after="0" w:line="179"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SilkWorm switches provide the cornerstone for a wide range of SAN configurations--from NT-based workgroups to large enterprise solutions. Fabric switches have the capability to cascade, further increasing a Fabric's scalability and resiliency. A multiple-switch Fabric can connect thousands of Fibre Channel ports. SilkWorm switches meet the needs of a broad range of SAN applications, including storage consolidation, enterprise backup, and clustering environments.</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Best-of-class products conforming to industry standards</w:t>
      </w:r>
    </w:p>
    <w:p>
      <w:pPr>
        <w:spacing w:after="0" w:line="180" w:lineRule="exact"/>
        <w:rPr>
          <w:sz w:val="20"/>
          <w:szCs w:val="20"/>
          <w:color w:val="auto"/>
        </w:rPr>
      </w:pPr>
    </w:p>
    <w:p>
      <w:pPr>
        <w:ind w:left="727" w:right="3139" w:hanging="727"/>
        <w:spacing w:after="0" w:line="246" w:lineRule="auto"/>
        <w:tabs>
          <w:tab w:leader="none" w:pos="18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port (B for the SilkWorm 2400 and 16 for the SilkWorm 2800) delivers 100 megabytes-per-second (MB/sec) line-speed. Universal ports automatically determine the port type for a loop, point-to-point devices, or an Inter-Switch Link (ISL).</w:t>
      </w:r>
    </w:p>
    <w:p>
      <w:pPr>
        <w:spacing w:after="0" w:line="177" w:lineRule="exact"/>
        <w:rPr>
          <w:rFonts w:ascii="Courier New" w:cs="Courier New" w:eastAsia="Courier New" w:hAnsi="Courier New"/>
          <w:sz w:val="15"/>
          <w:szCs w:val="15"/>
          <w:color w:val="auto"/>
        </w:rPr>
      </w:pPr>
    </w:p>
    <w:p>
      <w:pPr>
        <w:ind w:left="727" w:right="3499" w:hanging="727"/>
        <w:spacing w:after="0" w:line="247" w:lineRule="auto"/>
        <w:tabs>
          <w:tab w:leader="none" w:pos="18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-Non-blocking architecture guarantees full-speed data delivery irrespective of traffic conditions. Cut-through routing guarantees maximum latency of 2 microseconds across a switch.</w:t>
      </w:r>
    </w:p>
    <w:p>
      <w:pPr>
        <w:spacing w:after="0" w:line="174" w:lineRule="exact"/>
        <w:rPr>
          <w:rFonts w:ascii="Courier New" w:cs="Courier New" w:eastAsia="Courier New" w:hAnsi="Courier New"/>
          <w:sz w:val="15"/>
          <w:szCs w:val="15"/>
          <w:color w:val="auto"/>
        </w:rPr>
      </w:pPr>
    </w:p>
    <w:p>
      <w:pPr>
        <w:ind w:left="727" w:right="2779" w:hanging="727"/>
        <w:spacing w:after="0" w:line="247" w:lineRule="auto"/>
        <w:tabs>
          <w:tab w:leader="none" w:pos="18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-Buffer-pool management and use of mini-buffers for small frames optimize overall performance.</w:t>
      </w:r>
    </w:p>
    <w:p>
      <w:pPr>
        <w:spacing w:after="0" w:line="174" w:lineRule="exact"/>
        <w:rPr>
          <w:rFonts w:ascii="Courier New" w:cs="Courier New" w:eastAsia="Courier New" w:hAnsi="Courier New"/>
          <w:sz w:val="15"/>
          <w:szCs w:val="15"/>
          <w:color w:val="auto"/>
        </w:rPr>
      </w:pPr>
    </w:p>
    <w:p>
      <w:pPr>
        <w:ind w:left="727" w:right="2959" w:hanging="727"/>
        <w:spacing w:after="0" w:line="247" w:lineRule="auto"/>
        <w:tabs>
          <w:tab w:leader="none" w:pos="18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-GBIC (Gigabit Interface Converter) -based modular design makes it easy to hot-swap connections quickly. Copper and short-or long-wave-length fiber cabling may be mixed on the same switch in any combination.</w:t>
      </w:r>
    </w:p>
    <w:p>
      <w:pPr>
        <w:spacing w:after="0" w:line="174" w:lineRule="exact"/>
        <w:rPr>
          <w:rFonts w:ascii="Courier New" w:cs="Courier New" w:eastAsia="Courier New" w:hAnsi="Courier New"/>
          <w:sz w:val="15"/>
          <w:szCs w:val="15"/>
          <w:color w:val="auto"/>
        </w:rPr>
      </w:pPr>
    </w:p>
    <w:p>
      <w:pPr>
        <w:ind w:left="727" w:right="2959" w:hanging="727"/>
        <w:spacing w:after="0" w:line="247" w:lineRule="auto"/>
        <w:tabs>
          <w:tab w:leader="none" w:pos="18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-Self-learning allows the Fabric to automatically discover and register host and storage devices.</w:t>
      </w:r>
    </w:p>
    <w:p>
      <w:pPr>
        <w:spacing w:after="0" w:line="175" w:lineRule="exact"/>
        <w:rPr>
          <w:sz w:val="20"/>
          <w:szCs w:val="20"/>
          <w:color w:val="auto"/>
        </w:rPr>
      </w:pPr>
    </w:p>
    <w:p>
      <w:pPr>
        <w:ind w:left="727" w:right="3039"/>
        <w:spacing w:after="0" w:line="247" w:lineRule="auto"/>
        <w:rPr>
          <w:sz w:val="20"/>
          <w:szCs w:val="20"/>
          <w:color w:val="auto"/>
        </w:rPr>
      </w:pPr>
      <w:r>
        <w:rPr>
          <w:rFonts w:ascii="Courier New" w:cs="Courier New" w:eastAsia="Courier New" w:hAnsi="Courier New"/>
          <w:sz w:val="15"/>
          <w:szCs w:val="15"/>
          <w:color w:val="auto"/>
        </w:rPr>
        <w:t>BROCADE's translative mode automatically registers private-loop devices for Fabric-wide access.</w:t>
      </w:r>
    </w:p>
    <w:p>
      <w:pPr>
        <w:spacing w:after="0" w:line="17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727" w:right="3039" w:hanging="727"/>
        <w:spacing w:after="0" w:line="247" w:lineRule="auto"/>
        <w:tabs>
          <w:tab w:leader="none" w:pos="18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-Self-healing enables the Fabric to isolate a problem port and reroute traffic onto alternate paths.</w:t>
      </w:r>
    </w:p>
    <w:p>
      <w:pPr>
        <w:spacing w:after="0" w:line="174" w:lineRule="exact"/>
        <w:rPr>
          <w:rFonts w:ascii="Courier New" w:cs="Courier New" w:eastAsia="Courier New" w:hAnsi="Courier New"/>
          <w:sz w:val="15"/>
          <w:szCs w:val="15"/>
          <w:color w:val="auto"/>
        </w:rPr>
      </w:pPr>
    </w:p>
    <w:p>
      <w:pPr>
        <w:ind w:left="727" w:right="3319" w:hanging="727"/>
        <w:spacing w:after="0" w:line="247" w:lineRule="auto"/>
        <w:tabs>
          <w:tab w:leader="none" w:pos="18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hardware-enforced Zoning secures data access among switch ports.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MAXIMUM SCALABILITY TO PROTECT INVESTMENTS</w:t>
      </w:r>
    </w:p>
    <w:p>
      <w:pPr>
        <w:spacing w:after="0" w:line="180" w:lineRule="exact"/>
        <w:rPr>
          <w:sz w:val="20"/>
          <w:szCs w:val="20"/>
          <w:color w:val="auto"/>
        </w:rPr>
      </w:pPr>
    </w:p>
    <w:p>
      <w:pPr>
        <w:ind w:left="727" w:right="3219" w:hanging="727"/>
        <w:spacing w:after="0" w:line="247" w:lineRule="auto"/>
        <w:tabs>
          <w:tab w:leader="none" w:pos="18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simultaneous conversations are supported, achieving higher bandwidth than possible on a hub-based Fibre Channel loop.</w:t>
      </w:r>
    </w:p>
    <w:p>
      <w:pPr>
        <w:spacing w:after="0" w:line="174" w:lineRule="exact"/>
        <w:rPr>
          <w:rFonts w:ascii="Courier New" w:cs="Courier New" w:eastAsia="Courier New" w:hAnsi="Courier New"/>
          <w:sz w:val="15"/>
          <w:szCs w:val="15"/>
          <w:color w:val="auto"/>
        </w:rPr>
      </w:pPr>
    </w:p>
    <w:p>
      <w:pPr>
        <w:ind w:left="727" w:right="3139" w:hanging="727"/>
        <w:spacing w:after="0" w:line="247" w:lineRule="auto"/>
        <w:tabs>
          <w:tab w:leader="none" w:pos="18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SAN expands seamlessly to include thousands of ports by adding new switches to the Fabric. ISLs are automatically detected. Fabric information is updated to newly updated switches.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FABRIC OS(TM) TO SAFEGUARD MISSION-CRITICAL BUSINESS</w:t>
      </w:r>
    </w:p>
    <w:p>
      <w:pPr>
        <w:spacing w:after="0" w:line="180" w:lineRule="exact"/>
        <w:rPr>
          <w:sz w:val="20"/>
          <w:szCs w:val="20"/>
          <w:color w:val="auto"/>
        </w:rPr>
      </w:pPr>
    </w:p>
    <w:p>
      <w:pPr>
        <w:ind w:left="727" w:right="3039" w:hanging="727"/>
        <w:spacing w:after="0" w:line="247" w:lineRule="auto"/>
        <w:tabs>
          <w:tab w:leader="none" w:pos="18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-Simple Name Server registers information about the host and storage devices in the SAN. Registered State Change Notification (RSCN) informs the SAN when a device state changes.</w:t>
      </w:r>
    </w:p>
    <w:p>
      <w:pPr>
        <w:spacing w:after="0" w:line="174" w:lineRule="exact"/>
        <w:rPr>
          <w:rFonts w:ascii="Courier New" w:cs="Courier New" w:eastAsia="Courier New" w:hAnsi="Courier New"/>
          <w:sz w:val="15"/>
          <w:szCs w:val="15"/>
          <w:color w:val="auto"/>
        </w:rPr>
      </w:pPr>
    </w:p>
    <w:p>
      <w:pPr>
        <w:ind w:left="727" w:right="3039" w:hanging="727"/>
        <w:spacing w:after="0" w:line="247" w:lineRule="auto"/>
        <w:tabs>
          <w:tab w:leader="none" w:pos="18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-Alias Server supports the Multicast Service, which broadcasts data to all members of a group.</w:t>
      </w:r>
    </w:p>
    <w:p>
      <w:pPr>
        <w:spacing w:after="0" w:line="174" w:lineRule="exact"/>
        <w:rPr>
          <w:rFonts w:ascii="Courier New" w:cs="Courier New" w:eastAsia="Courier New" w:hAnsi="Courier New"/>
          <w:sz w:val="15"/>
          <w:szCs w:val="15"/>
          <w:color w:val="auto"/>
        </w:rPr>
      </w:pPr>
    </w:p>
    <w:p>
      <w:pPr>
        <w:ind w:left="727" w:right="3139" w:hanging="727"/>
        <w:spacing w:after="0" w:line="247" w:lineRule="auto"/>
        <w:tabs>
          <w:tab w:leader="none" w:pos="18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ZONING (optional) limits access to data by selected ports or devices.</w:t>
      </w:r>
    </w:p>
    <w:p>
      <w:pPr>
        <w:spacing w:after="0" w:line="174" w:lineRule="exact"/>
        <w:rPr>
          <w:rFonts w:ascii="Courier New" w:cs="Courier New" w:eastAsia="Courier New" w:hAnsi="Courier New"/>
          <w:sz w:val="15"/>
          <w:szCs w:val="15"/>
          <w:color w:val="auto"/>
        </w:rPr>
      </w:pPr>
    </w:p>
    <w:p>
      <w:pPr>
        <w:ind w:left="727" w:right="2859" w:hanging="727"/>
        <w:spacing w:after="0" w:line="247" w:lineRule="auto"/>
        <w:tabs>
          <w:tab w:leader="none" w:pos="18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are distributed and managed across the entire Fabric, ensuring simple management with no single point of failure.</w:t>
      </w:r>
    </w:p>
    <w:p>
      <w:pPr>
        <w:spacing w:after="0" w:line="174" w:lineRule="exact"/>
        <w:rPr>
          <w:rFonts w:ascii="Courier New" w:cs="Courier New" w:eastAsia="Courier New" w:hAnsi="Courier New"/>
          <w:sz w:val="15"/>
          <w:szCs w:val="15"/>
          <w:color w:val="auto"/>
        </w:rPr>
      </w:pPr>
    </w:p>
    <w:p>
      <w:pPr>
        <w:ind w:left="727" w:right="3219" w:hanging="727"/>
        <w:spacing w:after="0" w:line="247" w:lineRule="auto"/>
        <w:tabs>
          <w:tab w:leader="none" w:pos="18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-Routing software automatically configures the network, detects link failure, and reconfigures without operator interaction.</w:t>
      </w:r>
    </w:p>
    <w:p>
      <w:pPr>
        <w:sectPr>
          <w:pgSz w:w="11900" w:h="16838" w:orient="portrait"/>
          <w:cols w:equalWidth="0" w:num="1">
            <w:col w:w="10226"/>
          </w:cols>
          <w:pgMar w:left="233" w:top="643" w:right="1440" w:bottom="0" w:gutter="0" w:footer="0" w:header="0"/>
        </w:sectPr>
      </w:pPr>
    </w:p>
    <w:bookmarkStart w:id="75" w:name="page76"/>
    <w:bookmarkEnd w:id="75"/>
    <w:p>
      <w:pPr>
        <w:ind w:left="727" w:right="3319" w:hanging="727"/>
        <w:spacing w:after="0" w:line="247" w:lineRule="auto"/>
        <w:tabs>
          <w:tab w:leader="none" w:pos="18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is upgradable for additional features and enhancements by downloading the latest version of Fabric OS.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INDUSTRY-LEADING RELIABILITY AND SERVICEABILITY</w:t>
      </w:r>
    </w:p>
    <w:p>
      <w:pPr>
        <w:spacing w:after="0" w:line="180" w:lineRule="exact"/>
        <w:rPr>
          <w:sz w:val="20"/>
          <w:szCs w:val="20"/>
          <w:color w:val="auto"/>
        </w:rPr>
      </w:pPr>
    </w:p>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-Front control panel on the SilkWorm 2800 simplifies administration.</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-Power-On Self Test (POST) and online diagnostics allow monitoring and</w:t>
      </w:r>
    </w:p>
    <w:p>
      <w:pPr>
        <w:spacing w:after="0" w:line="4" w:lineRule="exact"/>
        <w:rPr>
          <w:rFonts w:ascii="Courier New" w:cs="Courier New" w:eastAsia="Courier New" w:hAnsi="Courier New"/>
          <w:sz w:val="15"/>
          <w:szCs w:val="15"/>
          <w:color w:val="auto"/>
        </w:rPr>
      </w:pPr>
    </w:p>
    <w:p>
      <w:pPr>
        <w:ind w:left="72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thorough port-level testing while the switch is running Extensive offline diagnostics assist in rapidly isolating a Field Replacable Unit (FRU).</w:t>
      </w:r>
    </w:p>
    <w:p>
      <w:pPr>
        <w:spacing w:after="0" w:line="174" w:lineRule="exact"/>
        <w:rPr>
          <w:rFonts w:ascii="Courier New" w:cs="Courier New" w:eastAsia="Courier New" w:hAnsi="Courier New"/>
          <w:sz w:val="15"/>
          <w:szCs w:val="15"/>
          <w:color w:val="auto"/>
        </w:rPr>
      </w:pPr>
    </w:p>
    <w:p>
      <w:pPr>
        <w:ind w:left="727" w:right="2859" w:hanging="727"/>
        <w:spacing w:after="0" w:line="247" w:lineRule="auto"/>
        <w:tabs>
          <w:tab w:leader="none" w:pos="18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-Embedded port-monitoring facilities automatically disable failing ports and restart them when the problem has cleared.</w:t>
      </w:r>
    </w:p>
    <w:p>
      <w:pPr>
        <w:spacing w:after="0" w:line="174" w:lineRule="exact"/>
        <w:rPr>
          <w:rFonts w:ascii="Courier New" w:cs="Courier New" w:eastAsia="Courier New" w:hAnsi="Courier New"/>
          <w:sz w:val="15"/>
          <w:szCs w:val="15"/>
          <w:color w:val="auto"/>
        </w:rPr>
      </w:pPr>
    </w:p>
    <w:p>
      <w:pPr>
        <w:ind w:left="727" w:right="2959" w:hanging="727"/>
        <w:spacing w:after="0" w:line="247" w:lineRule="auto"/>
        <w:tabs>
          <w:tab w:leader="none" w:pos="18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-Redundant cooling fans and an optional, redundant, hot swappable power supply increase switch availability.</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 parts count increases switch reliability.</w:t>
      </w:r>
    </w:p>
    <w:p>
      <w:pPr>
        <w:sectPr>
          <w:pgSz w:w="11900" w:h="16838" w:orient="portrait"/>
          <w:cols w:equalWidth="0" w:num="1">
            <w:col w:w="10226"/>
          </w:cols>
          <w:pgMar w:left="233" w:top="142" w:right="1440" w:bottom="1440" w:gutter="0" w:footer="0" w:header="0"/>
        </w:sectPr>
      </w:pPr>
    </w:p>
    <w:bookmarkStart w:id="76" w:name="page77"/>
    <w:bookmarkEnd w:id="76"/>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SIMPLE MANAGEABILITY</w:t>
      </w:r>
    </w:p>
    <w:p>
      <w:pPr>
        <w:spacing w:after="0" w:line="180" w:lineRule="exact"/>
        <w:rPr>
          <w:sz w:val="20"/>
          <w:szCs w:val="20"/>
          <w:color w:val="auto"/>
        </w:rPr>
      </w:pPr>
    </w:p>
    <w:p>
      <w:pPr>
        <w:ind w:left="727" w:right="2779" w:hanging="727"/>
        <w:spacing w:after="0" w:line="247" w:lineRule="auto"/>
        <w:tabs>
          <w:tab w:leader="none" w:pos="18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for industry-standard MIBs (Management Information Blocks) gives standardized SNMP (Simple Network Management Protocol) access to switch information</w:t>
      </w:r>
    </w:p>
    <w:p>
      <w:pPr>
        <w:spacing w:after="0" w:line="174" w:lineRule="exact"/>
        <w:rPr>
          <w:rFonts w:ascii="Courier New" w:cs="Courier New" w:eastAsia="Courier New" w:hAnsi="Courier New"/>
          <w:sz w:val="15"/>
          <w:szCs w:val="15"/>
          <w:color w:val="auto"/>
        </w:rPr>
      </w:pPr>
    </w:p>
    <w:p>
      <w:pPr>
        <w:ind w:left="727" w:right="3139" w:hanging="727"/>
        <w:spacing w:after="0" w:line="247" w:lineRule="auto"/>
        <w:tabs>
          <w:tab w:leader="none" w:pos="18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 set of interfaces (Telnet, SNMP, Web, or SES) provide flexible integration into the enterprise management infrastructure.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ADVANCED SAN CONFIGURATION CONTROL AND MANAGEMENT (OPTIONAL)</w:t>
      </w:r>
    </w:p>
    <w:p>
      <w:pPr>
        <w:spacing w:after="0" w:line="180" w:lineRule="exact"/>
        <w:rPr>
          <w:sz w:val="20"/>
          <w:szCs w:val="20"/>
          <w:color w:val="auto"/>
        </w:rPr>
      </w:pPr>
    </w:p>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WEB TOOLS for online SAN management and switch administration.</w:t>
      </w:r>
    </w:p>
    <w:p>
      <w:pPr>
        <w:spacing w:after="0" w:line="179" w:lineRule="exact"/>
        <w:rPr>
          <w:rFonts w:ascii="Courier New" w:cs="Courier New" w:eastAsia="Courier New" w:hAnsi="Courier New"/>
          <w:sz w:val="15"/>
          <w:szCs w:val="15"/>
          <w:color w:val="auto"/>
        </w:rPr>
      </w:pPr>
    </w:p>
    <w:p>
      <w:pPr>
        <w:ind w:left="727" w:right="3679" w:hanging="727"/>
        <w:spacing w:after="0" w:line="247" w:lineRule="auto"/>
        <w:tabs>
          <w:tab w:leader="none" w:pos="18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SES (SCSI-3 Enclosure Services) for management without implementing IP.</w:t>
      </w:r>
    </w:p>
    <w:p>
      <w:pPr>
        <w:spacing w:after="0" w:line="174" w:lineRule="exact"/>
        <w:rPr>
          <w:rFonts w:ascii="Courier New" w:cs="Courier New" w:eastAsia="Courier New" w:hAnsi="Courier New"/>
          <w:sz w:val="15"/>
          <w:szCs w:val="15"/>
          <w:color w:val="auto"/>
        </w:rPr>
      </w:pPr>
    </w:p>
    <w:p>
      <w:pPr>
        <w:ind w:left="727" w:right="2779" w:hanging="727"/>
        <w:spacing w:after="0" w:line="247" w:lineRule="auto"/>
        <w:tabs>
          <w:tab w:leader="none" w:pos="18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ZONING for finer segmentation of the Fabric to increase security and configuration possibilities.</w:t>
      </w:r>
    </w:p>
    <w:p>
      <w:pPr>
        <w:spacing w:after="0" w:line="174" w:lineRule="exact"/>
        <w:rPr>
          <w:rFonts w:ascii="Courier New" w:cs="Courier New" w:eastAsia="Courier New" w:hAnsi="Courier New"/>
          <w:sz w:val="15"/>
          <w:szCs w:val="15"/>
          <w:color w:val="auto"/>
        </w:rPr>
      </w:pPr>
    </w:p>
    <w:p>
      <w:pPr>
        <w:ind w:left="727" w:right="3219" w:hanging="727"/>
        <w:spacing w:after="0" w:line="247" w:lineRule="auto"/>
        <w:tabs>
          <w:tab w:leader="none" w:pos="18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-QuickLoop(TM) for configuration of one or more logical loops in the Fabric, and enhanced connectivity and management of private devices.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SILKWORM 2400 AND 2800 SWITCH SPECIFICATIONS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SYSTEM ARCHITECTURE</w:t>
      </w:r>
    </w:p>
    <w:p>
      <w:pPr>
        <w:sectPr>
          <w:pgSz w:w="11900" w:h="16838" w:orient="portrait"/>
          <w:cols w:equalWidth="0" w:num="1">
            <w:col w:w="10226"/>
          </w:cols>
          <w:pgMar w:left="233" w:top="6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Fibre Channel Standards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FC-AL Rev 4.5</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4187"/>
        <w:spacing w:after="0"/>
        <w:rPr>
          <w:sz w:val="20"/>
          <w:szCs w:val="20"/>
          <w:color w:val="auto"/>
        </w:rPr>
      </w:pPr>
      <w:r>
        <w:rPr>
          <w:rFonts w:ascii="Courier New" w:cs="Courier New" w:eastAsia="Courier New" w:hAnsi="Courier New"/>
          <w:sz w:val="15"/>
          <w:szCs w:val="15"/>
          <w:color w:val="auto"/>
        </w:rPr>
        <w:t>FC-AL-2 Rev 7.0 (Draft)</w:t>
      </w:r>
    </w:p>
    <w:p>
      <w:pPr>
        <w:spacing w:after="0" w:line="180"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FC-FLA Rev 2.7</w:t>
      </w:r>
    </w:p>
    <w:p>
      <w:pPr>
        <w:spacing w:after="0" w:line="180"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FC-GS-2 Rev 5.3 (Draft)</w:t>
      </w:r>
    </w:p>
    <w:p>
      <w:pPr>
        <w:spacing w:after="0" w:line="180"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FC-FG Rev 3.5</w:t>
      </w:r>
    </w:p>
    <w:p>
      <w:pPr>
        <w:spacing w:after="0" w:line="180"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FC-PH Rev 4.3</w:t>
      </w:r>
    </w:p>
    <w:p>
      <w:pPr>
        <w:spacing w:after="0" w:line="180"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FC-PH-2 Rev 7.4</w:t>
      </w:r>
    </w:p>
    <w:p>
      <w:pPr>
        <w:spacing w:after="0" w:line="180"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FC-PH-3 Rev 9.4</w:t>
      </w:r>
    </w:p>
    <w:p>
      <w:pPr>
        <w:spacing w:after="0" w:line="180"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FC-PLDA Rev 2.1</w:t>
      </w:r>
    </w:p>
    <w:p>
      <w:pPr>
        <w:spacing w:after="0" w:line="180"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FC-SW Rev 3.3</w:t>
      </w:r>
    </w:p>
    <w:p>
      <w:pPr>
        <w:spacing w:after="0" w:line="180" w:lineRule="exact"/>
        <w:rPr>
          <w:sz w:val="20"/>
          <w:szCs w:val="20"/>
          <w:color w:val="auto"/>
        </w:rPr>
      </w:pPr>
    </w:p>
    <w:p>
      <w:pPr>
        <w:jc w:val="center"/>
        <w:ind w:right="-47"/>
        <w:spacing w:after="0"/>
        <w:rPr>
          <w:sz w:val="20"/>
          <w:szCs w:val="20"/>
          <w:color w:val="auto"/>
        </w:rPr>
      </w:pPr>
      <w:r>
        <w:rPr>
          <w:rFonts w:ascii="Courier New" w:cs="Courier New" w:eastAsia="Courier New" w:hAnsi="Courier New"/>
          <w:sz w:val="15"/>
          <w:szCs w:val="15"/>
          <w:color w:val="auto"/>
        </w:rPr>
        <w:t>FC-VI Rev 1.0 (Draft)</w:t>
      </w:r>
    </w:p>
    <w:p>
      <w:pPr>
        <w:sectPr>
          <w:pgSz w:w="11900" w:h="16838" w:orient="portrait"/>
          <w:cols w:equalWidth="0" w:num="1">
            <w:col w:w="10226"/>
          </w:cols>
          <w:pgMar w:left="233" w:top="642" w:right="1440" w:bottom="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Fibre Channel ports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2400:</w:t>
        <w:tab/>
        <w:t>8 universal ports: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2800:16 universal ports</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Scalability</w:t>
      </w:r>
    </w:p>
    <w:p>
      <w:pPr>
        <w:spacing w:after="0" w:line="20" w:lineRule="exact"/>
        <w:rPr>
          <w:sz w:val="20"/>
          <w:szCs w:val="20"/>
          <w:color w:val="auto"/>
        </w:rPr>
      </w:pPr>
      <w:r>
        <w:rPr>
          <w:sz w:val="20"/>
          <w:szCs w:val="20"/>
          <w:color w:val="auto"/>
        </w:rPr>
        <w:br w:type="column"/>
      </w:r>
    </w:p>
    <w:p>
      <w:pPr>
        <w:jc w:val="center"/>
        <w:ind w:right="2959"/>
        <w:spacing w:after="0"/>
        <w:rPr>
          <w:sz w:val="20"/>
          <w:szCs w:val="20"/>
          <w:color w:val="auto"/>
        </w:rPr>
      </w:pPr>
      <w:r>
        <w:rPr>
          <w:rFonts w:ascii="Courier New" w:cs="Courier New" w:eastAsia="Courier New" w:hAnsi="Courier New"/>
          <w:sz w:val="15"/>
          <w:szCs w:val="15"/>
          <w:color w:val="auto"/>
        </w:rPr>
        <w:t>Architecture: 239 switches maximum</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Certified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 switches, 7 hops. Larger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Fabrics to be certified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Interoperability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SilkWorm II, SilkWorm Express,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SilkWorm 2000 Family Switch</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Full line-speed switching, 200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MB/sec per port, full-duplex</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Switch bandwidth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2400: 8 Gb/sec end-to-end;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2800: 16 Gb/sec</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Switch core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Non-blocking</w:t>
      </w:r>
    </w:p>
    <w:p>
      <w:pPr>
        <w:spacing w:after="0" w:line="191"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Fabric latency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&lt;2 [Greek mu]sec with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contention, cut-through routing</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Maximum frame 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2112-byte payload</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Frame buffers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2400: 224 dynamically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allocated; 2800: 448,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dynamically allocated</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Classes of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Class 2, Class 3, Class 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(Interswitch Frames)</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Port Types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F_Port, FL_Port,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E_Port. Self-discovery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connection type</w:t>
      </w:r>
    </w:p>
    <w:p>
      <w:pPr>
        <w:spacing w:after="0" w:line="180" w:lineRule="exact"/>
        <w:rPr>
          <w:sz w:val="20"/>
          <w:szCs w:val="20"/>
          <w:color w:val="auto"/>
        </w:rPr>
      </w:pPr>
    </w:p>
    <w:p>
      <w:pPr>
        <w:sectPr>
          <w:pgSz w:w="11900" w:h="16838" w:orient="portrait"/>
          <w:cols w:equalWidth="0" w:num="2">
            <w:col w:w="3467" w:space="720"/>
            <w:col w:w="603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Data traffic types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Unicast, multicast (256</w:t>
      </w:r>
    </w:p>
    <w:p>
      <w:pPr>
        <w:sectPr>
          <w:pgSz w:w="11900" w:h="16838" w:orient="portrait"/>
          <w:cols w:equalWidth="0" w:num="2">
            <w:col w:w="3467" w:space="720"/>
            <w:col w:w="6039"/>
          </w:cols>
          <w:pgMar w:left="233" w:top="642" w:right="1440"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groups), and broadcast</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Media Types</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Hot-pluggable,</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industry-standard GBICs</w:t>
            </w:r>
          </w:p>
        </w:tc>
      </w:tr>
      <w:tr>
        <w:trPr>
          <w:trHeight w:val="350"/>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Short-wave laser, up to 500</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m (1.640 ft)</w:t>
            </w:r>
          </w:p>
        </w:tc>
      </w:tr>
      <w:tr>
        <w:trPr>
          <w:trHeight w:val="350"/>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Long-wave laser, up to 10</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km (6.2 mi)</w:t>
            </w:r>
          </w:p>
        </w:tc>
      </w:tr>
      <w:tr>
        <w:trPr>
          <w:trHeight w:val="350"/>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Passive copper, up to 13 m</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(43 ft)</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Fabric Services</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Simple Name Server, Registered</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State Change Notification (RSCN),</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Alias Server (Multicast), BROCADE</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ZONING (optional), and</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QuickLoop(TM) (optional)</w:t>
            </w:r>
          </w:p>
        </w:tc>
      </w:tr>
      <w:tr>
        <w:trPr>
          <w:trHeight w:val="524"/>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[GRAPHIC IMAGE APPEARS HERE]</w:t>
            </w:r>
          </w:p>
        </w:tc>
        <w:tc>
          <w:tcPr>
            <w:tcW w:w="3640" w:type="dxa"/>
            <w:vAlign w:val="bottom"/>
          </w:tcPr>
          <w:p>
            <w:pPr>
              <w:spacing w:after="0"/>
              <w:rPr>
                <w:sz w:val="24"/>
                <w:szCs w:val="24"/>
                <w:color w:val="auto"/>
              </w:rPr>
            </w:pPr>
          </w:p>
        </w:tc>
      </w:tr>
      <w:tr>
        <w:trPr>
          <w:trHeight w:val="524"/>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w w:val="99"/>
              </w:rPr>
              <w:t>Redundant power supply, GBICs, and</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rack mount kit</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SNMP, Telnet, BROCADE SES</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(optional), and BROCADE WEB TOOLS</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(optional)</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Management access</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Ethernet [R]-45,10/100BaseTX</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(UTP)]. in-line over Fibre</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Channel link, and front control</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panel (2800)</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Diagnostics</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POST and embedded online/offline</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diagnostics</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MECHANICAL SPECIFICATIONS</w:t>
            </w:r>
          </w:p>
        </w:tc>
        <w:tc>
          <w:tcPr>
            <w:tcW w:w="13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Enclosure</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Back-to-front airflow, power out</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the front 2800: 20, 19-in-EIA</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compliant</w:t>
            </w:r>
          </w:p>
        </w:tc>
      </w:tr>
      <w:tr>
        <w:trPr>
          <w:trHeight w:val="350"/>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2400: 1u, 19-in.-EIA compliant</w:t>
            </w:r>
          </w:p>
        </w:tc>
        <w:tc>
          <w:tcPr>
            <w:tcW w:w="3640" w:type="dxa"/>
            <w:vAlign w:val="bottom"/>
          </w:tcPr>
          <w:p>
            <w:pPr>
              <w:spacing w:after="0"/>
              <w:rPr>
                <w:sz w:val="24"/>
                <w:szCs w:val="24"/>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D: 45.0 cm (17.72 in.)</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D: 45.0 cm (17.72 in.)</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Weight</w:t>
            </w: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Single power supply</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2400: 6.36 kg (14 lbs):</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2800: 11.59 kg (25.6 lbs)</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Dual power supply</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2400: 7.73 kg (17 lbs):</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2800: 12.94 kg (28.5 lbs)</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ENVIRONMENT</w:t>
            </w: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Temperature</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Operating 10(Degree)C-40(Degree)C</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(50(Degree)F-104(Degree)F),</w:t>
            </w:r>
          </w:p>
        </w:tc>
      </w:tr>
      <w:tr>
        <w:trPr>
          <w:trHeight w:val="350"/>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Nonoperating: -35(Degree)C</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-65(Degree)C (-31(Degree)F</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-147(Degree)F)</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Humidity</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Operating: 5% - B5% noncondensing</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 40(Degree)C (104(Degree)F)</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Altitude</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Up to 3.000 m (9.800 ft)</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Shock</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5 g, 11 ms, half sine</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Vibration</w:t>
            </w: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Operating: 5, 5-500-5Hz@1.0</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octave/min</w:t>
            </w:r>
          </w:p>
        </w:tc>
      </w:tr>
      <w:tr>
        <w:trPr>
          <w:trHeight w:val="350"/>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Nonoperating: 10, 5-500-5Hz@1.0</w:t>
            </w: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40" w:type="dxa"/>
            <w:vAlign w:val="bottom"/>
          </w:tcPr>
          <w:p>
            <w:pPr>
              <w:ind w:left="560"/>
              <w:spacing w:after="0"/>
              <w:rPr>
                <w:sz w:val="20"/>
                <w:szCs w:val="20"/>
                <w:color w:val="auto"/>
              </w:rPr>
            </w:pPr>
            <w:r>
              <w:rPr>
                <w:rFonts w:ascii="Courier New" w:cs="Courier New" w:eastAsia="Courier New" w:hAnsi="Courier New"/>
                <w:sz w:val="15"/>
                <w:szCs w:val="15"/>
                <w:color w:val="auto"/>
              </w:rPr>
              <w:t>octave/min</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POWER</w:t>
            </w: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50"/>
        </w:trPr>
        <w:tc>
          <w:tcPr>
            <w:tcW w:w="362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SUPPORTED POWER RANGE</w:t>
            </w:r>
          </w:p>
        </w:tc>
        <w:tc>
          <w:tcPr>
            <w:tcW w:w="3640" w:type="dxa"/>
            <w:vAlign w:val="bottom"/>
          </w:tcPr>
          <w:p>
            <w:pPr>
              <w:ind w:left="100"/>
              <w:spacing w:after="0"/>
              <w:rPr>
                <w:sz w:val="20"/>
                <w:szCs w:val="20"/>
                <w:color w:val="auto"/>
              </w:rPr>
            </w:pPr>
            <w:r>
              <w:rPr>
                <w:rFonts w:ascii="Courier New" w:cs="Courier New" w:eastAsia="Courier New" w:hAnsi="Courier New"/>
                <w:sz w:val="15"/>
                <w:szCs w:val="15"/>
                <w:color w:val="auto"/>
              </w:rPr>
              <w:t>B5 - 265 VAC. 47 - 63 Hz</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REGULATORY COMPLIANCE</w:t>
            </w: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Country</w:t>
            </w: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Safety</w:t>
            </w:r>
          </w:p>
        </w:tc>
        <w:tc>
          <w:tcPr>
            <w:tcW w:w="3640" w:type="dxa"/>
            <w:vAlign w:val="bottom"/>
          </w:tcPr>
          <w:p>
            <w:pPr>
              <w:ind w:left="1000"/>
              <w:spacing w:after="0"/>
              <w:rPr>
                <w:sz w:val="20"/>
                <w:szCs w:val="20"/>
                <w:color w:val="auto"/>
              </w:rPr>
            </w:pPr>
            <w:r>
              <w:rPr>
                <w:rFonts w:ascii="Courier New" w:cs="Courier New" w:eastAsia="Courier New" w:hAnsi="Courier New"/>
                <w:sz w:val="15"/>
                <w:szCs w:val="15"/>
                <w:color w:val="auto"/>
              </w:rPr>
              <w:t>EMC</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CSA 950 3rd Ed</w:t>
            </w:r>
          </w:p>
        </w:tc>
        <w:tc>
          <w:tcPr>
            <w:tcW w:w="3640" w:type="dxa"/>
            <w:vAlign w:val="bottom"/>
          </w:tcPr>
          <w:p>
            <w:pPr>
              <w:ind w:left="1000"/>
              <w:spacing w:after="0"/>
              <w:rPr>
                <w:sz w:val="20"/>
                <w:szCs w:val="20"/>
                <w:color w:val="auto"/>
              </w:rPr>
            </w:pPr>
            <w:r>
              <w:rPr>
                <w:rFonts w:ascii="Courier New" w:cs="Courier New" w:eastAsia="Courier New" w:hAnsi="Courier New"/>
                <w:sz w:val="15"/>
                <w:szCs w:val="15"/>
                <w:color w:val="auto"/>
              </w:rPr>
              <w:t>ICES-003 Class A</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UL 1950 3rd Ed</w:t>
            </w:r>
          </w:p>
        </w:tc>
        <w:tc>
          <w:tcPr>
            <w:tcW w:w="3640" w:type="dxa"/>
            <w:vAlign w:val="bottom"/>
          </w:tcPr>
          <w:p>
            <w:pPr>
              <w:ind w:left="1000"/>
              <w:spacing w:after="0"/>
              <w:rPr>
                <w:sz w:val="20"/>
                <w:szCs w:val="20"/>
                <w:color w:val="auto"/>
              </w:rPr>
            </w:pPr>
            <w:r>
              <w:rPr>
                <w:rFonts w:ascii="Courier New" w:cs="Courier New" w:eastAsia="Courier New" w:hAnsi="Courier New"/>
                <w:sz w:val="15"/>
                <w:szCs w:val="15"/>
                <w:color w:val="auto"/>
              </w:rPr>
              <w:t>FCC Part 15 Class A</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360" w:type="dxa"/>
            <w:vAlign w:val="bottom"/>
          </w:tcPr>
          <w:p>
            <w:pPr>
              <w:spacing w:after="0"/>
              <w:rPr>
                <w:sz w:val="20"/>
                <w:szCs w:val="20"/>
                <w:color w:val="auto"/>
              </w:rPr>
            </w:pPr>
            <w:r>
              <w:rPr>
                <w:rFonts w:ascii="Courier New" w:cs="Courier New" w:eastAsia="Courier New" w:hAnsi="Courier New"/>
                <w:sz w:val="15"/>
                <w:szCs w:val="15"/>
                <w:color w:val="auto"/>
              </w:rPr>
              <w:t>EN60950 A4</w:t>
            </w:r>
          </w:p>
        </w:tc>
        <w:tc>
          <w:tcPr>
            <w:tcW w:w="3640" w:type="dxa"/>
            <w:vAlign w:val="bottom"/>
          </w:tcPr>
          <w:p>
            <w:pPr>
              <w:ind w:left="1000"/>
              <w:spacing w:after="0"/>
              <w:rPr>
                <w:sz w:val="20"/>
                <w:szCs w:val="20"/>
                <w:color w:val="auto"/>
              </w:rPr>
            </w:pPr>
            <w:r>
              <w:rPr>
                <w:rFonts w:ascii="Courier New" w:cs="Courier New" w:eastAsia="Courier New" w:hAnsi="Courier New"/>
                <w:sz w:val="15"/>
                <w:szCs w:val="15"/>
                <w:color w:val="auto"/>
              </w:rPr>
              <w:t>VCCI Class A</w:t>
            </w:r>
          </w:p>
        </w:tc>
      </w:tr>
    </w:tbl>
    <w:p>
      <w:pPr>
        <w:sectPr>
          <w:pgSz w:w="11900" w:h="16838" w:orient="portrait"/>
          <w:cols w:equalWidth="0" w:num="1">
            <w:col w:w="10219"/>
          </w:cols>
          <w:pgMar w:left="240" w:top="142" w:right="1440" w:bottom="0" w:gutter="0" w:footer="0" w:header="0"/>
        </w:sectPr>
      </w:pPr>
    </w:p>
    <w:bookmarkStart w:id="78" w:name="page79"/>
    <w:bookmarkEnd w:id="78"/>
    <w:p>
      <w:pPr>
        <w:spacing w:after="0"/>
        <w:tabs>
          <w:tab w:leader="none" w:pos="2240" w:val="left"/>
          <w:tab w:leader="none" w:pos="4600" w:val="left"/>
        </w:tabs>
        <w:rPr>
          <w:sz w:val="20"/>
          <w:szCs w:val="20"/>
          <w:color w:val="auto"/>
        </w:rPr>
      </w:pPr>
      <w:r>
        <w:rPr>
          <w:rFonts w:ascii="Courier New" w:cs="Courier New" w:eastAsia="Courier New" w:hAnsi="Courier New"/>
          <w:sz w:val="15"/>
          <w:szCs w:val="15"/>
          <w:color w:val="auto"/>
        </w:rPr>
        <w:t>European community</w:t>
      </w:r>
      <w:r>
        <w:rPr>
          <w:sz w:val="20"/>
          <w:szCs w:val="20"/>
          <w:color w:val="auto"/>
        </w:rPr>
        <w:tab/>
      </w:r>
      <w:r>
        <w:rPr>
          <w:rFonts w:ascii="Courier New" w:cs="Courier New" w:eastAsia="Courier New" w:hAnsi="Courier New"/>
          <w:sz w:val="15"/>
          <w:szCs w:val="15"/>
          <w:color w:val="auto"/>
        </w:rPr>
        <w:t>EN60950 A4</w:t>
      </w:r>
      <w:r>
        <w:rPr>
          <w:sz w:val="20"/>
          <w:szCs w:val="20"/>
          <w:color w:val="auto"/>
        </w:rPr>
        <w:tab/>
      </w:r>
      <w:r>
        <w:rPr>
          <w:rFonts w:ascii="Courier New" w:cs="Courier New" w:eastAsia="Courier New" w:hAnsi="Courier New"/>
          <w:sz w:val="15"/>
          <w:szCs w:val="15"/>
          <w:color w:val="auto"/>
        </w:rPr>
        <w:t>EN55022 Level A</w:t>
      </w:r>
    </w:p>
    <w:p>
      <w:pPr>
        <w:spacing w:after="0" w:line="180"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EN55082-2 (Immunity)</w:t>
      </w:r>
    </w:p>
    <w:p>
      <w:pPr>
        <w:spacing w:after="0" w:line="180"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5"/>
          <w:szCs w:val="15"/>
          <w:color w:val="auto"/>
        </w:rPr>
        <w:t>Australia/New Zealand</w:t>
      </w:r>
      <w:r>
        <w:rPr>
          <w:sz w:val="20"/>
          <w:szCs w:val="20"/>
          <w:color w:val="auto"/>
        </w:rPr>
        <w:tab/>
      </w:r>
      <w:r>
        <w:rPr>
          <w:rFonts w:ascii="Courier New" w:cs="Courier New" w:eastAsia="Courier New" w:hAnsi="Courier New"/>
          <w:sz w:val="15"/>
          <w:szCs w:val="15"/>
          <w:color w:val="auto"/>
        </w:rPr>
        <w:t>AS/NZS 3548</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See the BROCADE web site for related hardware and software data sheet</w:t>
      </w:r>
    </w:p>
    <w:p>
      <w:pPr>
        <w:sectPr>
          <w:pgSz w:w="11900" w:h="16838" w:orient="portrait"/>
          <w:cols w:equalWidth="0" w:num="1">
            <w:col w:w="10219"/>
          </w:cols>
          <w:pgMar w:left="240" w:top="141" w:right="1440" w:bottom="1440" w:gutter="0" w:footer="0" w:header="0"/>
        </w:sectPr>
      </w:pPr>
    </w:p>
    <w:bookmarkStart w:id="79" w:name="page80"/>
    <w:bookmarkEnd w:id="79"/>
    <w:p>
      <w:pPr>
        <w:ind w:left="1420"/>
        <w:spacing w:after="0"/>
        <w:rPr>
          <w:sz w:val="20"/>
          <w:szCs w:val="20"/>
          <w:color w:val="auto"/>
        </w:rPr>
      </w:pPr>
      <w:r>
        <w:rPr>
          <w:rFonts w:ascii="Courier New" w:cs="Courier New" w:eastAsia="Courier New" w:hAnsi="Courier New"/>
          <w:sz w:val="15"/>
          <w:szCs w:val="15"/>
          <w:color w:val="auto"/>
        </w:rPr>
        <w:t>BROCADE/HP CONFIDENTIAL</w:t>
      </w:r>
    </w:p>
    <w:p>
      <w:pPr>
        <w:sectPr>
          <w:pgSz w:w="11900" w:h="16838" w:orient="portrait"/>
          <w:cols w:equalWidth="0" w:num="1">
            <w:col w:w="9019"/>
          </w:cols>
          <w:pgMar w:left="1440" w:top="642" w:right="1440" w:bottom="1440" w:gutter="0" w:footer="0" w:header="0"/>
        </w:sectPr>
      </w:pPr>
    </w:p>
    <w:bookmarkStart w:id="80" w:name="page81"/>
    <w:bookmarkEnd w:id="80"/>
    <w:p>
      <w:pPr>
        <w:jc w:val="center"/>
        <w:ind w:right="2879"/>
        <w:spacing w:after="0"/>
        <w:rPr>
          <w:sz w:val="20"/>
          <w:szCs w:val="20"/>
          <w:color w:val="auto"/>
        </w:rPr>
      </w:pPr>
      <w:r>
        <w:rPr>
          <w:rFonts w:ascii="Courier New" w:cs="Courier New" w:eastAsia="Courier New" w:hAnsi="Courier New"/>
          <w:sz w:val="15"/>
          <w:szCs w:val="15"/>
          <w:color w:val="auto"/>
        </w:rPr>
        <w:t>EXHIBIT (A-2)</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CUSTOMER SPECIAL DEFINITION (CSD) PROCEDURE</w:t>
      </w:r>
    </w:p>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This page is left intentionally blank; Exhibit (A-2) follows immediately after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(A-2)</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19"/>
          </w:cols>
          <w:pgMar w:left="240" w:top="642" w:right="1440" w:bottom="1440" w:gutter="0" w:footer="0" w:header="0"/>
        </w:sectPr>
      </w:pPr>
    </w:p>
    <w:bookmarkStart w:id="81" w:name="page82"/>
    <w:bookmarkEnd w:id="81"/>
    <w:p>
      <w:pPr>
        <w:jc w:val="center"/>
        <w:ind w:right="2872"/>
        <w:spacing w:after="0"/>
        <w:rPr>
          <w:sz w:val="20"/>
          <w:szCs w:val="20"/>
          <w:color w:val="auto"/>
        </w:rPr>
      </w:pPr>
      <w:r>
        <w:rPr>
          <w:rFonts w:ascii="Courier New" w:cs="Courier New" w:eastAsia="Courier New" w:hAnsi="Courier New"/>
          <w:sz w:val="15"/>
          <w:szCs w:val="15"/>
          <w:color w:val="auto"/>
        </w:rPr>
        <w:t>BROCADE</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CUSTOMER SPECIAL DEFINITION (CSD)</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PROCEDURE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642" w:right="1440" w:bottom="1440" w:gutter="0" w:footer="0" w:header="0"/>
        </w:sectPr>
      </w:pPr>
    </w:p>
    <w:bookmarkStart w:id="82" w:name="page83"/>
    <w:bookmarkEnd w:id="82"/>
    <w:p>
      <w:pPr>
        <w:jc w:val="center"/>
        <w:ind w:right="2879"/>
        <w:spacing w:after="0"/>
        <w:rPr>
          <w:sz w:val="20"/>
          <w:szCs w:val="20"/>
          <w:color w:val="auto"/>
        </w:rPr>
      </w:pPr>
      <w:r>
        <w:rPr>
          <w:rFonts w:ascii="Courier New" w:cs="Courier New" w:eastAsia="Courier New" w:hAnsi="Courier New"/>
          <w:sz w:val="15"/>
          <w:szCs w:val="15"/>
          <w:color w:val="auto"/>
        </w:rPr>
        <w:t>BROCADE</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CUSTOMER SPECIAL DEFINITION (CSD)</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PROCEDURE</w:t>
      </w:r>
    </w:p>
    <w:p>
      <w:pPr>
        <w:spacing w:after="0" w:line="180"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SECTION IV</w:t>
      </w:r>
      <w:r>
        <w:rPr>
          <w:sz w:val="20"/>
          <w:szCs w:val="20"/>
          <w:color w:val="auto"/>
        </w:rPr>
        <w:tab/>
      </w:r>
      <w:r>
        <w:rPr>
          <w:rFonts w:ascii="Courier New" w:cs="Courier New" w:eastAsia="Courier New" w:hAnsi="Courier New"/>
          <w:sz w:val="15"/>
          <w:szCs w:val="15"/>
          <w:color w:val="auto"/>
        </w:rPr>
        <w:t>CUSTOMER AUTHORIZATION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Your signature authorizes Brocade Communications Systems, Inc., to build the special switch configuration according to your written product and purchase specifications reviewed and accepted by Brocade Communications Systems, Inc. Should changes be required to the special configuration referenced on this form, customer shall provide written changes to Brocade.</w:t>
      </w:r>
    </w:p>
    <w:p>
      <w:pPr>
        <w:sectPr>
          <w:pgSz w:w="11900" w:h="16838" w:orient="portrait"/>
          <w:cols w:equalWidth="0" w:num="1">
            <w:col w:w="10219"/>
          </w:cols>
          <w:pgMar w:left="240" w:top="642" w:right="1440" w:bottom="1440" w:gutter="0" w:footer="0" w:header="0"/>
        </w:sectPr>
      </w:pPr>
    </w:p>
    <w:p>
      <w:pPr>
        <w:spacing w:after="0" w:line="3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Marilyn Edling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Charles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Account Manager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2/16/00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642" w:right="1440" w:bottom="1440" w:gutter="0" w:footer="0" w:header="0"/>
          <w:type w:val="continuous"/>
        </w:sectPr>
      </w:pPr>
    </w:p>
    <w:bookmarkStart w:id="83" w:name="page84"/>
    <w:bookmarkEnd w:id="83"/>
    <w:p>
      <w:pPr>
        <w:jc w:val="center"/>
        <w:ind w:right="2852"/>
        <w:spacing w:after="0"/>
        <w:rPr>
          <w:sz w:val="20"/>
          <w:szCs w:val="20"/>
          <w:color w:val="auto"/>
        </w:rPr>
      </w:pPr>
      <w:r>
        <w:rPr>
          <w:rFonts w:ascii="Courier New" w:cs="Courier New" w:eastAsia="Courier New" w:hAnsi="Courier New"/>
          <w:sz w:val="15"/>
          <w:szCs w:val="15"/>
          <w:color w:val="auto"/>
        </w:rPr>
        <w:t>BROCADE</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CUSTOMER SPECIAL DEFINITION (CSD)</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PROCEDURE</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CONFIGURATION REQUIREMENTS: HARDWARE, SOFTWARE, DOCUMENTATION (To include all configurable items as outlined by Marketing; items listed below may not be complete list depending on product. Samples requirements should be noted in Comments)</w:t>
      </w:r>
    </w:p>
    <w:p>
      <w:pPr>
        <w:spacing w:after="0" w:line="200" w:lineRule="exact"/>
        <w:rPr>
          <w:sz w:val="20"/>
          <w:szCs w:val="20"/>
          <w:color w:val="auto"/>
        </w:rPr>
      </w:pPr>
    </w:p>
    <w:p>
      <w:pPr>
        <w:spacing w:after="0" w:line="327"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2886" w:val="left"/>
          <w:tab w:leader="none" w:pos="4786" w:val="left"/>
          <w:tab w:leader="none" w:pos="7346"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5"/>
          <w:szCs w:val="15"/>
          <w:color w:val="auto"/>
        </w:rPr>
        <w:t>REQUIREMENT</w:t>
      </w:r>
      <w:r>
        <w:rPr>
          <w:sz w:val="20"/>
          <w:szCs w:val="20"/>
          <w:color w:val="auto"/>
        </w:rPr>
        <w:tab/>
      </w:r>
      <w:r>
        <w:rPr>
          <w:rFonts w:ascii="Courier New" w:cs="Courier New" w:eastAsia="Courier New" w:hAnsi="Courier New"/>
          <w:sz w:val="15"/>
          <w:szCs w:val="15"/>
          <w:color w:val="auto"/>
        </w:rPr>
        <w:t>INCLUDE IN BOM?</w:t>
      </w:r>
      <w:r>
        <w:rPr>
          <w:sz w:val="20"/>
          <w:szCs w:val="20"/>
          <w:color w:val="auto"/>
        </w:rPr>
        <w:tab/>
      </w:r>
      <w:r>
        <w:rPr>
          <w:rFonts w:ascii="Courier New" w:cs="Courier New" w:eastAsia="Courier New" w:hAnsi="Courier New"/>
          <w:sz w:val="15"/>
          <w:szCs w:val="15"/>
          <w:color w:val="auto"/>
        </w:rPr>
        <w:t>COMMENTS</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87"/>
        <w:spacing w:after="0"/>
        <w:tabs>
          <w:tab w:leader="none" w:pos="3246" w:val="left"/>
          <w:tab w:leader="none" w:pos="53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3246" w:val="left"/>
          <w:tab w:leader="none" w:pos="534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42" w:right="1440" w:bottom="1440" w:gutter="0" w:footer="0" w:header="0"/>
        </w:sectPr>
      </w:pPr>
    </w:p>
    <w:bookmarkStart w:id="84" w:name="page85"/>
    <w:bookmarkEnd w:id="84"/>
    <w:p>
      <w:pPr>
        <w:jc w:val="center"/>
        <w:ind w:right="2852"/>
        <w:spacing w:after="0"/>
        <w:rPr>
          <w:sz w:val="20"/>
          <w:szCs w:val="20"/>
          <w:color w:val="auto"/>
        </w:rPr>
      </w:pPr>
      <w:r>
        <w:rPr>
          <w:rFonts w:ascii="Courier New" w:cs="Courier New" w:eastAsia="Courier New" w:hAnsi="Courier New"/>
          <w:sz w:val="15"/>
          <w:szCs w:val="15"/>
          <w:color w:val="auto"/>
        </w:rPr>
        <w:t>BROCADE</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CUSTOMER SPECIAL DEFINITION (CSD)</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PROCEDURE</w:t>
      </w:r>
    </w:p>
    <w:p>
      <w:pPr>
        <w:spacing w:after="0" w:line="354"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SCRIPT REQUIREMENTS/DEFAULT PARAMETERS TABLE (TO BE FORMATTED PER CUSTOMER SPECIFIC RQMTS)</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907"/>
        <w:spacing w:after="0"/>
        <w:tabs>
          <w:tab w:leader="none" w:pos="3066" w:val="left"/>
          <w:tab w:leader="none" w:pos="5166" w:val="left"/>
          <w:tab w:leader="none" w:pos="72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hanging="187"/>
        <w:spacing w:after="0"/>
        <w:tabs>
          <w:tab w:leader="none" w:pos="1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ADDITIONAL FUNCTIONALITY DESCRIPTION:</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2" w:right="1440" w:bottom="1440" w:gutter="0" w:footer="0" w:header="0"/>
        </w:sectPr>
      </w:pPr>
    </w:p>
    <w:bookmarkStart w:id="85" w:name="page86"/>
    <w:bookmarkEnd w:id="85"/>
    <w:p>
      <w:pPr>
        <w:jc w:val="center"/>
        <w:ind w:right="2852"/>
        <w:spacing w:after="0"/>
        <w:rPr>
          <w:sz w:val="20"/>
          <w:szCs w:val="20"/>
          <w:color w:val="auto"/>
        </w:rPr>
      </w:pPr>
      <w:r>
        <w:rPr>
          <w:rFonts w:ascii="Courier New" w:cs="Courier New" w:eastAsia="Courier New" w:hAnsi="Courier New"/>
          <w:sz w:val="15"/>
          <w:szCs w:val="15"/>
          <w:color w:val="auto"/>
        </w:rPr>
        <w:t>BROCADE</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CUSTOMER SPECIAL DEFINITION (CSD)</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PROCEDURE</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CUSTOMER CONFIGURATIONS (To include main switch configurables as appropriate for products covered; format may be modified to fit specific customer requirements)</w:t>
      </w:r>
    </w:p>
    <w:p>
      <w:pPr>
        <w:spacing w:after="0" w:line="200" w:lineRule="exact"/>
        <w:rPr>
          <w:sz w:val="20"/>
          <w:szCs w:val="20"/>
          <w:color w:val="auto"/>
        </w:rPr>
      </w:pPr>
    </w:p>
    <w:p>
      <w:pPr>
        <w:spacing w:after="0" w:line="324" w:lineRule="exact"/>
        <w:rPr>
          <w:sz w:val="20"/>
          <w:szCs w:val="20"/>
          <w:color w:val="auto"/>
        </w:rPr>
      </w:pPr>
    </w:p>
    <w:p>
      <w:pPr>
        <w:ind w:left="187" w:hanging="187"/>
        <w:spacing w:after="0"/>
        <w:tabs>
          <w:tab w:leader="none" w:pos="1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87" w:hanging="179"/>
        <w:spacing w:after="0"/>
        <w:tabs>
          <w:tab w:leader="none" w:pos="4087"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w:t>
      </w:r>
    </w:p>
    <w:p>
      <w:pPr>
        <w:spacing w:after="0" w:line="5" w:lineRule="exact"/>
        <w:rPr>
          <w:sz w:val="20"/>
          <w:szCs w:val="20"/>
          <w:color w:val="auto"/>
        </w:rPr>
      </w:pPr>
    </w:p>
    <w:p>
      <w:pPr>
        <w:ind w:left="367"/>
        <w:spacing w:after="0"/>
        <w:tabs>
          <w:tab w:leader="none" w:pos="2346" w:val="left"/>
          <w:tab w:leader="none" w:pos="3986" w:val="left"/>
          <w:tab w:leader="none" w:pos="5066" w:val="left"/>
          <w:tab w:leader="none" w:pos="5986" w:val="left"/>
          <w:tab w:leader="none" w:pos="6886" w:val="left"/>
          <w:tab w:leader="none" w:pos="7706" w:val="left"/>
        </w:tabs>
        <w:rPr>
          <w:sz w:val="20"/>
          <w:szCs w:val="20"/>
          <w:color w:val="auto"/>
        </w:rPr>
      </w:pPr>
      <w:r>
        <w:rPr>
          <w:rFonts w:ascii="Courier New" w:cs="Courier New" w:eastAsia="Courier New" w:hAnsi="Courier New"/>
          <w:sz w:val="15"/>
          <w:szCs w:val="15"/>
          <w:color w:val="auto"/>
        </w:rPr>
        <w:t>CUSTOMER PART #</w:t>
      </w:r>
      <w:r>
        <w:rPr>
          <w:sz w:val="20"/>
          <w:szCs w:val="20"/>
          <w:color w:val="auto"/>
        </w:rPr>
        <w:tab/>
      </w:r>
      <w:r>
        <w:rPr>
          <w:rFonts w:ascii="Courier New" w:cs="Courier New" w:eastAsia="Courier New" w:hAnsi="Courier New"/>
          <w:sz w:val="15"/>
          <w:szCs w:val="15"/>
          <w:color w:val="auto"/>
        </w:rPr>
        <w:t>BROCADE PART #</w:t>
      </w:r>
      <w:r>
        <w:rPr>
          <w:sz w:val="20"/>
          <w:szCs w:val="20"/>
          <w:color w:val="auto"/>
        </w:rPr>
        <w:tab/>
      </w:r>
      <w:r>
        <w:rPr>
          <w:rFonts w:ascii="Courier New" w:cs="Courier New" w:eastAsia="Courier New" w:hAnsi="Courier New"/>
          <w:sz w:val="15"/>
          <w:szCs w:val="15"/>
          <w:color w:val="auto"/>
        </w:rPr>
        <w:t>SUPPLIES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COMMENTS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2246" w:val="left"/>
          <w:tab w:leader="none" w:pos="3886" w:val="left"/>
          <w:tab w:leader="none" w:pos="4786" w:val="left"/>
          <w:tab w:leader="none" w:pos="5706" w:val="left"/>
          <w:tab w:leader="none" w:pos="660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FRU CONFIGURATIONS: SILKWORM 2800 (Marketing to provide standard template for each product)</w:t>
      </w:r>
    </w:p>
    <w:p>
      <w:pPr>
        <w:spacing w:after="0" w:line="200" w:lineRule="exact"/>
        <w:rPr>
          <w:sz w:val="20"/>
          <w:szCs w:val="20"/>
          <w:color w:val="auto"/>
        </w:rPr>
      </w:pPr>
    </w:p>
    <w:p>
      <w:pPr>
        <w:spacing w:after="0" w:line="324" w:lineRule="exact"/>
        <w:rPr>
          <w:sz w:val="20"/>
          <w:szCs w:val="20"/>
          <w:color w:val="auto"/>
        </w:rPr>
      </w:pPr>
    </w:p>
    <w:p>
      <w:pPr>
        <w:ind w:left="187" w:hanging="187"/>
        <w:spacing w:after="0"/>
        <w:tabs>
          <w:tab w:leader="none" w:pos="18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07" w:right="55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BROCADE PART #</w:t>
      </w:r>
    </w:p>
    <w:p>
      <w:pPr>
        <w:spacing w:after="0" w:line="1" w:lineRule="exact"/>
        <w:rPr>
          <w:sz w:val="20"/>
          <w:szCs w:val="20"/>
          <w:color w:val="auto"/>
        </w:rPr>
      </w:pPr>
    </w:p>
    <w:p>
      <w:pPr>
        <w:ind w:left="2627"/>
        <w:spacing w:after="0"/>
        <w:tabs>
          <w:tab w:leader="none" w:pos="3986" w:val="left"/>
          <w:tab w:leader="none" w:pos="5066" w:val="left"/>
          <w:tab w:leader="none" w:pos="6526" w:val="left"/>
          <w:tab w:leader="none" w:pos="7786" w:val="left"/>
        </w:tabs>
        <w:rPr>
          <w:sz w:val="20"/>
          <w:szCs w:val="20"/>
          <w:color w:val="auto"/>
        </w:rPr>
      </w:pPr>
      <w:r>
        <w:rPr>
          <w:rFonts w:ascii="Courier New" w:cs="Courier New" w:eastAsia="Courier New" w:hAnsi="Courier New"/>
          <w:sz w:val="15"/>
          <w:szCs w:val="15"/>
          <w:color w:val="auto"/>
        </w:rPr>
        <w:t>CUSTOMER PART</w:t>
        <w:tab/>
        <w:t>(STANDARD</w:t>
      </w:r>
      <w:r>
        <w:rPr>
          <w:sz w:val="20"/>
          <w:szCs w:val="20"/>
          <w:color w:val="auto"/>
        </w:rPr>
        <w:tab/>
      </w:r>
      <w:r>
        <w:rPr>
          <w:rFonts w:ascii="Courier New" w:cs="Courier New" w:eastAsia="Courier New" w:hAnsi="Courier New"/>
          <w:sz w:val="15"/>
          <w:szCs w:val="15"/>
          <w:color w:val="auto"/>
        </w:rPr>
        <w:t>REQUIRED</w:t>
      </w:r>
      <w:r>
        <w:rPr>
          <w:sz w:val="20"/>
          <w:szCs w:val="20"/>
          <w:color w:val="auto"/>
        </w:rPr>
        <w:tab/>
      </w:r>
      <w:r>
        <w:rPr>
          <w:rFonts w:ascii="Courier New" w:cs="Courier New" w:eastAsia="Courier New" w:hAnsi="Courier New"/>
          <w:sz w:val="15"/>
          <w:szCs w:val="15"/>
          <w:color w:val="auto"/>
        </w:rPr>
        <w:t>UNIQUE</w:t>
      </w:r>
      <w:r>
        <w:rPr>
          <w:sz w:val="20"/>
          <w:szCs w:val="20"/>
          <w:color w:val="auto"/>
        </w:rPr>
        <w:tab/>
      </w:r>
      <w:r>
        <w:rPr>
          <w:rFonts w:ascii="Courier New" w:cs="Courier New" w:eastAsia="Courier New" w:hAnsi="Courier New"/>
          <w:sz w:val="15"/>
          <w:szCs w:val="15"/>
          <w:color w:val="auto"/>
        </w:rPr>
        <w:t>BROCADE P/N</w:t>
      </w:r>
    </w:p>
    <w:p>
      <w:pPr>
        <w:spacing w:after="0" w:line="5" w:lineRule="exact"/>
        <w:rPr>
          <w:sz w:val="20"/>
          <w:szCs w:val="20"/>
          <w:color w:val="auto"/>
        </w:rPr>
      </w:pPr>
    </w:p>
    <w:p>
      <w:pPr>
        <w:ind w:left="7"/>
        <w:spacing w:after="0"/>
        <w:tabs>
          <w:tab w:leader="none" w:pos="2606" w:val="left"/>
          <w:tab w:leader="none" w:pos="3986" w:val="left"/>
          <w:tab w:leader="none" w:pos="5066" w:val="left"/>
          <w:tab w:leader="none" w:pos="6166" w:val="left"/>
          <w:tab w:leader="none" w:pos="7706" w:val="left"/>
        </w:tabs>
        <w:rPr>
          <w:sz w:val="20"/>
          <w:szCs w:val="20"/>
          <w:color w:val="auto"/>
        </w:rPr>
      </w:pPr>
      <w:r>
        <w:rPr>
          <w:rFonts w:ascii="Courier New" w:cs="Courier New" w:eastAsia="Courier New" w:hAnsi="Courier New"/>
          <w:sz w:val="15"/>
          <w:szCs w:val="15"/>
          <w:color w:val="auto"/>
        </w:rPr>
        <w:t>FRU ITEM</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FRU)</w:t>
      </w:r>
      <w:r>
        <w:rPr>
          <w:sz w:val="20"/>
          <w:szCs w:val="20"/>
          <w:color w:val="auto"/>
        </w:rPr>
        <w:tab/>
      </w:r>
      <w:r>
        <w:rPr>
          <w:rFonts w:ascii="Courier New" w:cs="Courier New" w:eastAsia="Courier New" w:hAnsi="Courier New"/>
          <w:sz w:val="15"/>
          <w:szCs w:val="15"/>
          <w:color w:val="auto"/>
        </w:rPr>
        <w:t>(YES/NO)</w:t>
      </w:r>
      <w:r>
        <w:rPr>
          <w:sz w:val="20"/>
          <w:szCs w:val="20"/>
          <w:color w:val="auto"/>
        </w:rPr>
        <w:tab/>
      </w:r>
      <w:r>
        <w:rPr>
          <w:rFonts w:ascii="Courier New" w:cs="Courier New" w:eastAsia="Courier New" w:hAnsi="Courier New"/>
          <w:sz w:val="15"/>
          <w:szCs w:val="15"/>
          <w:color w:val="auto"/>
        </w:rPr>
        <w:t>REQUIREMENTS?</w:t>
      </w:r>
      <w:r>
        <w:rPr>
          <w:sz w:val="20"/>
          <w:szCs w:val="20"/>
          <w:color w:val="auto"/>
        </w:rPr>
        <w:tab/>
      </w:r>
      <w:r>
        <w:rPr>
          <w:rFonts w:ascii="Courier New" w:cs="Courier New" w:eastAsia="Courier New" w:hAnsi="Courier New"/>
          <w:sz w:val="15"/>
          <w:szCs w:val="15"/>
          <w:color w:val="auto"/>
        </w:rPr>
        <w:t>(CUST. UNIQUE)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2606" w:val="left"/>
          <w:tab w:leader="none" w:pos="3986" w:val="left"/>
          <w:tab w:leader="none" w:pos="5346" w:val="left"/>
          <w:tab w:leader="none" w:pos="66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606" w:val="left"/>
          <w:tab w:leader="none" w:pos="3986" w:val="left"/>
          <w:tab w:leader="none" w:pos="5346" w:val="left"/>
          <w:tab w:leader="none" w:pos="66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606" w:val="left"/>
          <w:tab w:leader="none" w:pos="3986" w:val="left"/>
          <w:tab w:leader="none" w:pos="5346" w:val="left"/>
          <w:tab w:leader="none" w:pos="66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jc w:val="right"/>
              <w:ind w:right="238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spacing w:after="0"/>
              <w:rPr>
                <w:sz w:val="15"/>
                <w:szCs w:val="15"/>
                <w:color w:val="auto"/>
              </w:rPr>
            </w:pP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spacing w:after="0"/>
              <w:rPr>
                <w:sz w:val="15"/>
                <w:szCs w:val="15"/>
                <w:color w:val="auto"/>
              </w:rPr>
            </w:pPr>
          </w:p>
        </w:tc>
      </w:tr>
    </w:tbl>
    <w:p>
      <w:pPr>
        <w:spacing w:after="0" w:line="5" w:lineRule="exact"/>
        <w:rPr>
          <w:sz w:val="20"/>
          <w:szCs w:val="20"/>
          <w:color w:val="auto"/>
        </w:rPr>
      </w:pPr>
    </w:p>
    <w:p>
      <w:pPr>
        <w:ind w:left="187" w:hanging="187"/>
        <w:spacing w:after="0"/>
        <w:tabs>
          <w:tab w:leader="none" w:pos="18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43" w:right="1440" w:bottom="1440" w:gutter="0" w:footer="0" w:header="0"/>
        </w:sectPr>
      </w:pPr>
    </w:p>
    <w:bookmarkStart w:id="86" w:name="page87"/>
    <w:bookmarkEnd w:id="86"/>
    <w:p>
      <w:pPr>
        <w:jc w:val="center"/>
        <w:ind w:right="2852"/>
        <w:spacing w:after="0"/>
        <w:rPr>
          <w:sz w:val="20"/>
          <w:szCs w:val="20"/>
          <w:color w:val="auto"/>
        </w:rPr>
      </w:pPr>
      <w:r>
        <w:rPr>
          <w:rFonts w:ascii="Courier New" w:cs="Courier New" w:eastAsia="Courier New" w:hAnsi="Courier New"/>
          <w:sz w:val="15"/>
          <w:szCs w:val="15"/>
          <w:color w:val="auto"/>
        </w:rPr>
        <w:t>BROCADE</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CUSTOMER SPECIAL DEFINITION (CSD)</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PROCEDURE</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UNIQUE LABEL REQUIREMENTS (To include all customer unique label requirements, placement, and specification source)</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087"/>
        <w:spacing w:after="0"/>
        <w:rPr>
          <w:sz w:val="20"/>
          <w:szCs w:val="20"/>
          <w:color w:val="auto"/>
        </w:rPr>
      </w:pPr>
      <w:r>
        <w:rPr>
          <w:rFonts w:ascii="Courier New" w:cs="Courier New" w:eastAsia="Courier New" w:hAnsi="Courier New"/>
          <w:sz w:val="15"/>
          <w:szCs w:val="15"/>
          <w:color w:val="auto"/>
        </w:rPr>
        <w:t>POSITIONING (ON SWITCH,</w:t>
      </w:r>
    </w:p>
    <w:p>
      <w:pPr>
        <w:spacing w:after="0" w:line="5" w:lineRule="exact"/>
        <w:rPr>
          <w:sz w:val="20"/>
          <w:szCs w:val="20"/>
          <w:color w:val="auto"/>
        </w:rPr>
      </w:pPr>
    </w:p>
    <w:p>
      <w:pPr>
        <w:ind w:left="2627"/>
        <w:spacing w:after="0"/>
        <w:tabs>
          <w:tab w:leader="none" w:pos="3886" w:val="left"/>
          <w:tab w:leader="none" w:pos="5426" w:val="left"/>
        </w:tabs>
        <w:rPr>
          <w:sz w:val="20"/>
          <w:szCs w:val="20"/>
          <w:color w:val="auto"/>
        </w:rPr>
      </w:pPr>
      <w:r>
        <w:rPr>
          <w:rFonts w:ascii="Courier New" w:cs="Courier New" w:eastAsia="Courier New" w:hAnsi="Courier New"/>
          <w:sz w:val="15"/>
          <w:szCs w:val="15"/>
          <w:color w:val="auto"/>
        </w:rPr>
        <w:t>CUSTOMER</w:t>
      </w:r>
      <w:r>
        <w:rPr>
          <w:sz w:val="20"/>
          <w:szCs w:val="20"/>
          <w:color w:val="auto"/>
        </w:rPr>
        <w:tab/>
      </w:r>
      <w:r>
        <w:rPr>
          <w:rFonts w:ascii="Courier New" w:cs="Courier New" w:eastAsia="Courier New" w:hAnsi="Courier New"/>
          <w:sz w:val="15"/>
          <w:szCs w:val="15"/>
          <w:color w:val="auto"/>
        </w:rPr>
        <w:t>BROCADE</w:t>
      </w:r>
      <w:r>
        <w:rPr>
          <w:sz w:val="20"/>
          <w:szCs w:val="20"/>
          <w:color w:val="auto"/>
        </w:rPr>
        <w:tab/>
      </w:r>
      <w:r>
        <w:rPr>
          <w:rFonts w:ascii="Courier New" w:cs="Courier New" w:eastAsia="Courier New" w:hAnsi="Courier New"/>
          <w:sz w:val="15"/>
          <w:szCs w:val="15"/>
          <w:color w:val="auto"/>
        </w:rPr>
        <w:t>PACKAGING, FRU</w:t>
      </w:r>
    </w:p>
    <w:p>
      <w:pPr>
        <w:spacing w:after="0" w:line="5" w:lineRule="exact"/>
        <w:rPr>
          <w:sz w:val="20"/>
          <w:szCs w:val="20"/>
          <w:color w:val="auto"/>
        </w:rPr>
      </w:pPr>
    </w:p>
    <w:p>
      <w:pPr>
        <w:ind w:left="7"/>
        <w:spacing w:after="0"/>
        <w:tabs>
          <w:tab w:leader="none" w:pos="2606" w:val="left"/>
          <w:tab w:leader="none" w:pos="3886" w:val="left"/>
          <w:tab w:leader="none" w:pos="5426" w:val="left"/>
          <w:tab w:leader="none" w:pos="7606" w:val="left"/>
        </w:tabs>
        <w:rPr>
          <w:sz w:val="20"/>
          <w:szCs w:val="20"/>
          <w:color w:val="auto"/>
        </w:rPr>
      </w:pPr>
      <w:r>
        <w:rPr>
          <w:rFonts w:ascii="Courier New" w:cs="Courier New" w:eastAsia="Courier New" w:hAnsi="Courier New"/>
          <w:sz w:val="15"/>
          <w:szCs w:val="15"/>
          <w:color w:val="auto"/>
        </w:rPr>
        <w:t>LABEL NAME</w:t>
      </w:r>
      <w:r>
        <w:rPr>
          <w:sz w:val="20"/>
          <w:szCs w:val="20"/>
          <w:color w:val="auto"/>
        </w:rPr>
        <w:tab/>
      </w:r>
      <w:r>
        <w:rPr>
          <w:rFonts w:ascii="Courier New" w:cs="Courier New" w:eastAsia="Courier New" w:hAnsi="Courier New"/>
          <w:sz w:val="15"/>
          <w:szCs w:val="15"/>
          <w:color w:val="auto"/>
        </w:rPr>
        <w:t>SPEC #</w:t>
      </w:r>
      <w:r>
        <w:rPr>
          <w:sz w:val="20"/>
          <w:szCs w:val="20"/>
          <w:color w:val="auto"/>
        </w:rPr>
        <w:tab/>
      </w:r>
      <w:r>
        <w:rPr>
          <w:rFonts w:ascii="Courier New" w:cs="Courier New" w:eastAsia="Courier New" w:hAnsi="Courier New"/>
          <w:sz w:val="15"/>
          <w:szCs w:val="15"/>
          <w:color w:val="auto"/>
        </w:rPr>
        <w:t>P/N</w:t>
      </w:r>
      <w:r>
        <w:rPr>
          <w:sz w:val="20"/>
          <w:szCs w:val="20"/>
          <w:color w:val="auto"/>
        </w:rPr>
        <w:tab/>
      </w:r>
      <w:r>
        <w:rPr>
          <w:rFonts w:ascii="Courier New" w:cs="Courier New" w:eastAsia="Courier New" w:hAnsi="Courier New"/>
          <w:sz w:val="15"/>
          <w:szCs w:val="15"/>
          <w:color w:val="auto"/>
        </w:rPr>
        <w:t>COMPONENT, ETC)</w:t>
      </w:r>
      <w:r>
        <w:rPr>
          <w:sz w:val="20"/>
          <w:szCs w:val="20"/>
          <w:color w:val="auto"/>
        </w:rPr>
        <w:tab/>
      </w:r>
      <w:r>
        <w:rPr>
          <w:rFonts w:ascii="Courier New" w:cs="Courier New" w:eastAsia="Courier New" w:hAnsi="Courier New"/>
          <w:sz w:val="15"/>
          <w:szCs w:val="15"/>
          <w:color w:val="auto"/>
        </w:rPr>
        <w:t>COMMENTS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AGENCY CERTIFICATION REQUIREMENTS (Marketing to provide Standard Agency Certs for each product; unique customer requirements should be listed and highlighted)</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606" w:val="left"/>
          <w:tab w:leader="none" w:pos="5886" w:val="left"/>
        </w:tabs>
        <w:rPr>
          <w:sz w:val="20"/>
          <w:szCs w:val="20"/>
          <w:color w:val="auto"/>
        </w:rPr>
      </w:pPr>
      <w:r>
        <w:rPr>
          <w:rFonts w:ascii="Courier New" w:cs="Courier New" w:eastAsia="Courier New" w:hAnsi="Courier New"/>
          <w:sz w:val="15"/>
          <w:szCs w:val="15"/>
          <w:color w:val="auto"/>
        </w:rPr>
        <w:t>COUNTRY</w:t>
      </w:r>
      <w:r>
        <w:rPr>
          <w:sz w:val="20"/>
          <w:szCs w:val="20"/>
          <w:color w:val="auto"/>
        </w:rPr>
        <w:tab/>
      </w:r>
      <w:r>
        <w:rPr>
          <w:rFonts w:ascii="Courier New" w:cs="Courier New" w:eastAsia="Courier New" w:hAnsi="Courier New"/>
          <w:sz w:val="15"/>
          <w:szCs w:val="15"/>
          <w:color w:val="auto"/>
        </w:rPr>
        <w:t>SAFETY</w:t>
      </w:r>
      <w:r>
        <w:rPr>
          <w:sz w:val="20"/>
          <w:szCs w:val="20"/>
          <w:color w:val="auto"/>
        </w:rPr>
        <w:tab/>
      </w:r>
      <w:r>
        <w:rPr>
          <w:rFonts w:ascii="Courier New" w:cs="Courier New" w:eastAsia="Courier New" w:hAnsi="Courier New"/>
          <w:sz w:val="15"/>
          <w:szCs w:val="15"/>
          <w:color w:val="auto"/>
        </w:rPr>
        <w:t>EMC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2606" w:val="left"/>
          <w:tab w:leader="none" w:pos="5886" w:val="left"/>
        </w:tabs>
        <w:rPr>
          <w:sz w:val="20"/>
          <w:szCs w:val="20"/>
          <w:color w:val="auto"/>
        </w:rPr>
      </w:pPr>
      <w:r>
        <w:rPr>
          <w:rFonts w:ascii="Courier New" w:cs="Courier New" w:eastAsia="Courier New" w:hAnsi="Courier New"/>
          <w:sz w:val="15"/>
          <w:szCs w:val="15"/>
          <w:color w:val="auto"/>
        </w:rPr>
        <w:t>USA, Canada, Japan</w:t>
      </w:r>
      <w:r>
        <w:rPr>
          <w:sz w:val="20"/>
          <w:szCs w:val="20"/>
          <w:color w:val="auto"/>
        </w:rPr>
        <w:tab/>
      </w:r>
      <w:r>
        <w:rPr>
          <w:rFonts w:ascii="Courier New" w:cs="Courier New" w:eastAsia="Courier New" w:hAnsi="Courier New"/>
          <w:sz w:val="15"/>
          <w:szCs w:val="15"/>
          <w:color w:val="auto"/>
        </w:rPr>
        <w:t>Please see Brocade label &amp; HP</w:t>
      </w:r>
      <w:r>
        <w:rPr>
          <w:sz w:val="20"/>
          <w:szCs w:val="20"/>
          <w:color w:val="auto"/>
        </w:rPr>
        <w:tab/>
      </w:r>
      <w:r>
        <w:rPr>
          <w:rFonts w:ascii="Courier New" w:cs="Courier New" w:eastAsia="Courier New" w:hAnsi="Courier New"/>
          <w:sz w:val="15"/>
          <w:szCs w:val="15"/>
          <w:color w:val="auto"/>
        </w:rPr>
        <w:t>Please see attached label</w:t>
      </w:r>
    </w:p>
    <w:p>
      <w:pPr>
        <w:spacing w:after="0" w:line="5" w:lineRule="exact"/>
        <w:rPr>
          <w:sz w:val="20"/>
          <w:szCs w:val="20"/>
          <w:color w:val="auto"/>
        </w:rPr>
      </w:pPr>
    </w:p>
    <w:p>
      <w:pPr>
        <w:ind w:left="2627"/>
        <w:spacing w:after="0"/>
        <w:tabs>
          <w:tab w:leader="none" w:pos="5886" w:val="left"/>
        </w:tabs>
        <w:rPr>
          <w:sz w:val="20"/>
          <w:szCs w:val="20"/>
          <w:color w:val="auto"/>
        </w:rPr>
      </w:pPr>
      <w:r>
        <w:rPr>
          <w:rFonts w:ascii="Courier New" w:cs="Courier New" w:eastAsia="Courier New" w:hAnsi="Courier New"/>
          <w:sz w:val="15"/>
          <w:szCs w:val="15"/>
          <w:color w:val="auto"/>
        </w:rPr>
        <w:t>label in attached specification</w:t>
      </w:r>
      <w:r>
        <w:rPr>
          <w:sz w:val="20"/>
          <w:szCs w:val="20"/>
          <w:color w:val="auto"/>
        </w:rPr>
        <w:tab/>
      </w:r>
      <w:r>
        <w:rPr>
          <w:rFonts w:ascii="Courier New" w:cs="Courier New" w:eastAsia="Courier New" w:hAnsi="Courier New"/>
          <w:sz w:val="15"/>
          <w:szCs w:val="15"/>
          <w:color w:val="auto"/>
        </w:rPr>
        <w:t>specification</w:t>
      </w:r>
    </w:p>
    <w:p>
      <w:pPr>
        <w:spacing w:after="0" w:line="5" w:lineRule="exact"/>
        <w:rPr>
          <w:sz w:val="20"/>
          <w:szCs w:val="20"/>
          <w:color w:val="auto"/>
        </w:rPr>
      </w:pPr>
    </w:p>
    <w:p>
      <w:pPr>
        <w:ind w:left="187" w:hanging="187"/>
        <w:spacing w:after="0"/>
        <w:tabs>
          <w:tab w:leader="none" w:pos="1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Terms and conditions in the Corporate Purchase Agreement will supersede this document.</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43" w:right="1440" w:bottom="1440" w:gutter="0" w:footer="0" w:header="0"/>
        </w:sectPr>
      </w:pPr>
    </w:p>
    <w:bookmarkStart w:id="87" w:name="page88"/>
    <w:bookmarkEnd w:id="87"/>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(A-3)</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FIBRE CHANNEL GIGABIT SWITCH CONFIGURATION SPECIFICATIONS DOCUMENT</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HEWLETT-PACKARD CO.</w:t>
      </w:r>
    </w:p>
    <w:p>
      <w:pPr>
        <w:spacing w:after="0" w:line="180" w:lineRule="exact"/>
        <w:rPr>
          <w:sz w:val="20"/>
          <w:szCs w:val="20"/>
          <w:color w:val="auto"/>
        </w:rPr>
      </w:pPr>
    </w:p>
    <w:p>
      <w:pPr>
        <w:ind w:left="727" w:right="2959"/>
        <w:spacing w:after="0" w:line="246" w:lineRule="auto"/>
        <w:rPr>
          <w:sz w:val="20"/>
          <w:szCs w:val="20"/>
          <w:color w:val="auto"/>
        </w:rPr>
      </w:pPr>
      <w:r>
        <w:rPr>
          <w:rFonts w:ascii="Courier New" w:cs="Courier New" w:eastAsia="Courier New" w:hAnsi="Courier New"/>
          <w:sz w:val="15"/>
          <w:szCs w:val="15"/>
          <w:color w:val="auto"/>
        </w:rPr>
        <w:t>This page provides a running history of changes for a multi-page drawing. List all changes below, referencing page number and section number, if applicable. Be concise when describing changes. If extensive revisions have been made, a general statement that the document has been "revised and redrawn" is permissible.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7" w:hanging="187"/>
        <w:spacing w:after="0"/>
        <w:tabs>
          <w:tab w:leader="none" w:pos="18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187"/>
        <w:spacing w:after="0"/>
        <w:tabs>
          <w:tab w:leader="none" w:pos="1526" w:val="left"/>
          <w:tab w:leader="none" w:pos="3706" w:val="left"/>
          <w:tab w:leader="none" w:pos="5886" w:val="left"/>
        </w:tabs>
        <w:rPr>
          <w:sz w:val="20"/>
          <w:szCs w:val="20"/>
          <w:color w:val="auto"/>
        </w:rPr>
      </w:pPr>
      <w:r>
        <w:rPr>
          <w:rFonts w:ascii="Courier New" w:cs="Courier New" w:eastAsia="Courier New" w:hAnsi="Courier New"/>
          <w:sz w:val="15"/>
          <w:szCs w:val="15"/>
          <w:color w:val="auto"/>
        </w:rPr>
        <w:t>LTR.</w:t>
      </w:r>
      <w:r>
        <w:rPr>
          <w:sz w:val="20"/>
          <w:szCs w:val="20"/>
          <w:color w:val="auto"/>
        </w:rPr>
        <w:tab/>
      </w:r>
      <w:r>
        <w:rPr>
          <w:rFonts w:ascii="Courier New" w:cs="Courier New" w:eastAsia="Courier New" w:hAnsi="Courier New"/>
          <w:sz w:val="15"/>
          <w:szCs w:val="15"/>
          <w:color w:val="auto"/>
        </w:rPr>
        <w:t>REVISIONS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CM ENGINEER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367"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060" w:type="dxa"/>
            <w:vAlign w:val="bottom"/>
          </w:tcPr>
          <w:p>
            <w:pPr>
              <w:ind w:left="500"/>
              <w:spacing w:after="0"/>
              <w:rPr>
                <w:sz w:val="20"/>
                <w:szCs w:val="20"/>
                <w:color w:val="auto"/>
              </w:rPr>
            </w:pPr>
            <w:r>
              <w:rPr>
                <w:rFonts w:ascii="Courier New" w:cs="Courier New" w:eastAsia="Courier New" w:hAnsi="Courier New"/>
                <w:sz w:val="15"/>
                <w:szCs w:val="15"/>
                <w:color w:val="auto"/>
              </w:rPr>
              <w:t>First Draft</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10/20/99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11/5/99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11/11/99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11/18/99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11/23/99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12/2/99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G</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12/14/99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12/15/99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12/21/99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J</w:t>
            </w:r>
          </w:p>
        </w:tc>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As Issued</w:t>
            </w:r>
          </w:p>
        </w:tc>
        <w:tc>
          <w:tcPr>
            <w:tcW w:w="22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1/28/00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727" w:right="2959"/>
        <w:spacing w:after="0" w:line="246" w:lineRule="auto"/>
        <w:rPr>
          <w:sz w:val="20"/>
          <w:szCs w:val="20"/>
          <w:color w:val="auto"/>
        </w:rPr>
      </w:pPr>
      <w:r>
        <w:rPr>
          <w:rFonts w:ascii="Courier New" w:cs="Courier New" w:eastAsia="Courier New" w:hAnsi="Courier New"/>
          <w:sz w:val="15"/>
          <w:szCs w:val="15"/>
          <w:color w:val="auto"/>
        </w:rPr>
        <w:t>This document is the property of Hewlett-Packard Company (HP) and contains confidential and proprietary information of HP. Neither it, nor the information contained herein shall be disclosed to others, or duplicated, or used by other except as authorized by HP writing.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246" w:val="left"/>
        </w:tabs>
        <w:rPr>
          <w:sz w:val="20"/>
          <w:szCs w:val="20"/>
          <w:color w:val="auto"/>
        </w:rPr>
      </w:pPr>
      <w:r>
        <w:rPr>
          <w:rFonts w:ascii="Courier New" w:cs="Courier New" w:eastAsia="Courier New" w:hAnsi="Courier New"/>
          <w:sz w:val="15"/>
          <w:szCs w:val="15"/>
          <w:color w:val="auto"/>
        </w:rPr>
        <w:t>ASSEMBLY #: N/A</w:t>
      </w:r>
      <w:r>
        <w:rPr>
          <w:sz w:val="20"/>
          <w:szCs w:val="20"/>
          <w:color w:val="auto"/>
        </w:rPr>
        <w:tab/>
      </w:r>
      <w:r>
        <w:rPr>
          <w:rFonts w:ascii="Courier New" w:cs="Courier New" w:eastAsia="Courier New" w:hAnsi="Courier New"/>
          <w:sz w:val="15"/>
          <w:szCs w:val="15"/>
          <w:color w:val="auto"/>
        </w:rPr>
        <w:t>HP P/N: 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246" w:val="left"/>
        </w:tabs>
        <w:rPr>
          <w:sz w:val="20"/>
          <w:szCs w:val="20"/>
          <w:color w:val="auto"/>
        </w:rPr>
      </w:pPr>
      <w:r>
        <w:rPr>
          <w:rFonts w:ascii="Courier New" w:cs="Courier New" w:eastAsia="Courier New" w:hAnsi="Courier New"/>
          <w:sz w:val="15"/>
          <w:szCs w:val="15"/>
          <w:color w:val="auto"/>
        </w:rPr>
        <w:t>DATE: JANUARY 28, 1999</w:t>
      </w:r>
      <w:r>
        <w:rPr>
          <w:sz w:val="20"/>
          <w:szCs w:val="20"/>
          <w:color w:val="auto"/>
        </w:rPr>
        <w:tab/>
      </w:r>
      <w:r>
        <w:rPr>
          <w:rFonts w:ascii="Courier New" w:cs="Courier New" w:eastAsia="Courier New" w:hAnsi="Courier New"/>
          <w:sz w:val="15"/>
          <w:szCs w:val="15"/>
          <w:color w:val="auto"/>
        </w:rPr>
        <w:t>DESCRIPTION: FIBRE CHANNEL GIGABIT SWITCH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2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CONFIGURATION SPECIFICATIONS DOCUMENT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2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88" w:name="page89"/>
    <w:bookmarkEnd w:id="88"/>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FIBRE CHANNEL GIGABIT SWITCH</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CONFIGURATION SPECIFICATIONS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DOCUMENT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Brocade</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 REVISION HISTORY</w:t>
      </w:r>
    </w:p>
    <w:p>
      <w:pPr>
        <w:spacing w:after="0" w:line="180" w:lineRule="exact"/>
        <w:rPr>
          <w:sz w:val="20"/>
          <w:szCs w:val="20"/>
          <w:color w:val="auto"/>
        </w:rPr>
      </w:pPr>
    </w:p>
    <w:p>
      <w:pPr>
        <w:ind w:left="18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Revision #</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spacing w:after="0"/>
        <w:tabs>
          <w:tab w:leader="none" w:pos="1706" w:val="left"/>
          <w:tab w:leader="none" w:pos="2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hanging="187"/>
        <w:spacing w:after="0"/>
        <w:tabs>
          <w:tab w:leader="none" w:pos="1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972"/>
        <w:spacing w:after="0"/>
        <w:tabs>
          <w:tab w:leader="none" w:pos="2340" w:val="left"/>
          <w:tab w:leader="none" w:pos="2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SPECIFICATIONS DOCUMENT</w:t>
      </w:r>
    </w:p>
    <w:p>
      <w:pPr>
        <w:spacing w:after="0" w:line="5" w:lineRule="exact"/>
        <w:rPr>
          <w:sz w:val="20"/>
          <w:szCs w:val="20"/>
          <w:color w:val="auto"/>
        </w:rPr>
      </w:pPr>
    </w:p>
    <w:p>
      <w:pPr>
        <w:jc w:val="center"/>
        <w:ind w:right="2772"/>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spacing w:after="0"/>
        <w:tabs>
          <w:tab w:leader="none" w:pos="6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89" w:name="page90"/>
    <w:bookmarkEnd w:id="89"/>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tabs>
          <w:tab w:leader="none" w:pos="7886" w:val="left"/>
        </w:tabs>
        <w:rPr>
          <w:sz w:val="20"/>
          <w:szCs w:val="20"/>
          <w:color w:val="auto"/>
        </w:rPr>
      </w:pPr>
      <w:r>
        <w:rPr>
          <w:rFonts w:ascii="Courier New" w:cs="Courier New" w:eastAsia="Courier New" w:hAnsi="Courier New"/>
          <w:sz w:val="15"/>
          <w:szCs w:val="15"/>
          <w:color w:val="auto"/>
        </w:rPr>
        <w:t>TABLE OF CONTENT</w:t>
      </w:r>
      <w:r>
        <w:rPr>
          <w:sz w:val="20"/>
          <w:szCs w:val="20"/>
          <w:color w:val="auto"/>
        </w:rPr>
        <w:tab/>
      </w:r>
      <w:r>
        <w:rPr>
          <w:rFonts w:ascii="Courier New" w:cs="Courier New" w:eastAsia="Courier New" w:hAnsi="Courier New"/>
          <w:sz w:val="15"/>
          <w:szCs w:val="15"/>
          <w:color w:val="auto"/>
        </w:rPr>
        <w:t>Page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SCOPE OF THE DOCUMENT...............................................................</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PART-NUMBER CROSS REFERENCE AND REVISION............................................</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HP-ESBU PURCHASED PARTS.............................................................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HP-HSDSL PURCHASED PARTS............................................................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PART SHIPMENT CONFIGURATION.........................................................</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HP-ESBU PURCHASED PARTS.............................................................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HP-HSDSL PURCHASED PARTS............................................................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LABELING............................................................................</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GENERAL.............................................................................</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4.1.1. Label Material and Tests.....................................................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4.1.2. Location.....................................................................</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4.1.3. Regulatory Markings..........................................................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SWITCH ENCLOSURE LABELING...........................................................</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3"/>
              </w:rPr>
              <w:t>4.2.1. HP Product/Regulatory Label..................................................</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5"/>
                <w:szCs w:val="15"/>
                <w:color w:val="auto"/>
              </w:rPr>
              <w:t>4.2.2. Manufacturing Identification Label................</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9"/>
              </w:rPr>
              <w:t>ERROR! BOOKMARK NOT DEFINED.</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5"/>
                <w:szCs w:val="15"/>
                <w:color w:val="auto"/>
              </w:rPr>
              <w:t>4.2.3. Dual Power Supply Caution Label...................</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9"/>
              </w:rPr>
              <w:t>ERROR! BOOKMARK NOT DEFINED.</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4.2.4. Packaging Label.............................................................</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HP-HSDSL PURCHASED PARTS LABELING..................................................</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SERIAL NUMBER REQUIREMENTS.........................................................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4.4.1. HP Serial Number............................................................</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44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4.4.2. Other Serial Numbers........................................................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BAR CODE REQUIREMENTS:.............................................................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SPECIFICATIONS.....................................................................</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FIRMWARE REVISION AND EPL INFO.....................................................</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5280" w:type="dxa"/>
            <w:vAlign w:val="bottom"/>
          </w:tcPr>
          <w:p>
            <w:pPr>
              <w:ind w:left="100"/>
              <w:spacing w:after="0"/>
              <w:rPr>
                <w:sz w:val="20"/>
                <w:szCs w:val="20"/>
                <w:color w:val="auto"/>
              </w:rPr>
            </w:pPr>
            <w:r>
              <w:rPr>
                <w:rFonts w:ascii="Courier New" w:cs="Courier New" w:eastAsia="Courier New" w:hAnsi="Courier New"/>
                <w:sz w:val="14"/>
                <w:szCs w:val="14"/>
                <w:color w:val="auto"/>
                <w:w w:val="74"/>
              </w:rPr>
              <w:t>HP COLOR AND TEXTURE INFORMATION...................................................</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606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5"/>
          <w:szCs w:val="15"/>
          <w:color w:val="auto"/>
        </w:rPr>
        <w:t>Page: 3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pacing w:after="0" w:line="5" w:lineRule="exact"/>
        <w:rPr>
          <w:sz w:val="20"/>
          <w:szCs w:val="20"/>
          <w:color w:val="auto"/>
        </w:rPr>
      </w:pPr>
    </w:p>
    <w:p>
      <w:pPr>
        <w:ind w:left="7"/>
        <w:spacing w:after="0"/>
        <w:tabs>
          <w:tab w:leader="none" w:pos="6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File Name:</w:t>
      </w:r>
    </w:p>
    <w:p>
      <w:pPr>
        <w:spacing w:after="0" w:line="5"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90" w:name="page91"/>
    <w:bookmarkEnd w:id="90"/>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hanging="727"/>
        <w:spacing w:after="0"/>
        <w:tabs>
          <w:tab w:leader="none" w:pos="72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THE DOCUMENT</w:t>
      </w:r>
    </w:p>
    <w:p>
      <w:pPr>
        <w:spacing w:after="0" w:line="179" w:lineRule="exact"/>
        <w:rPr>
          <w:rFonts w:ascii="Courier New" w:cs="Courier New" w:eastAsia="Courier New" w:hAnsi="Courier New"/>
          <w:sz w:val="15"/>
          <w:szCs w:val="15"/>
          <w:color w:val="auto"/>
        </w:rPr>
      </w:pPr>
    </w:p>
    <w:p>
      <w:pPr>
        <w:ind w:left="72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describes the parts, devices and/or subsystems PURCHASED by [*] at the time of Release of the Products. It defines WHAT &amp; HOW (i.e. OEM Customization) we will buy the parts, devices and/or subsystems that will be delivered to HP-ESBU.</w:t>
      </w:r>
    </w:p>
    <w:p>
      <w:pPr>
        <w:spacing w:after="0" w:line="177" w:lineRule="exact"/>
        <w:rPr>
          <w:rFonts w:ascii="Courier New" w:cs="Courier New" w:eastAsia="Courier New" w:hAnsi="Courier New"/>
          <w:sz w:val="15"/>
          <w:szCs w:val="15"/>
          <w:color w:val="auto"/>
        </w:rPr>
      </w:pPr>
    </w:p>
    <w:p>
      <w:pPr>
        <w:ind w:left="72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supersedes any specifications described in the Supplier's Product Specifications Document(s). The typical areas covered in this document are:</w:t>
      </w:r>
    </w:p>
    <w:p>
      <w:pPr>
        <w:spacing w:after="0" w:line="174" w:lineRule="exact"/>
        <w:rPr>
          <w:rFonts w:ascii="Courier New" w:cs="Courier New" w:eastAsia="Courier New" w:hAnsi="Courier New"/>
          <w:sz w:val="15"/>
          <w:szCs w:val="15"/>
          <w:color w:val="auto"/>
        </w:rPr>
      </w:pPr>
    </w:p>
    <w:p>
      <w:pPr>
        <w:ind w:left="2007" w:right="4419" w:hanging="644"/>
        <w:spacing w:after="0" w:line="247" w:lineRule="auto"/>
        <w:tabs>
          <w:tab w:leader="none" w:pos="200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Device or Subsystem Part Numbering &amp; Cross-Reference;</w:t>
      </w:r>
    </w:p>
    <w:p>
      <w:pPr>
        <w:spacing w:after="0" w:line="174" w:lineRule="exact"/>
        <w:rPr>
          <w:rFonts w:ascii="Courier New" w:cs="Courier New" w:eastAsia="Courier New" w:hAnsi="Courier New"/>
          <w:sz w:val="15"/>
          <w:szCs w:val="15"/>
          <w:color w:val="auto"/>
        </w:rPr>
      </w:pPr>
    </w:p>
    <w:p>
      <w:pPr>
        <w:ind w:left="2007" w:hanging="644"/>
        <w:spacing w:after="0"/>
        <w:tabs>
          <w:tab w:leader="none" w:pos="200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Device or Subsystem Configuration and revision:</w:t>
      </w:r>
    </w:p>
    <w:p>
      <w:pPr>
        <w:spacing w:after="0" w:line="179" w:lineRule="exact"/>
        <w:rPr>
          <w:rFonts w:ascii="Courier New" w:cs="Courier New" w:eastAsia="Courier New" w:hAnsi="Courier New"/>
          <w:sz w:val="15"/>
          <w:szCs w:val="15"/>
          <w:color w:val="auto"/>
        </w:rPr>
      </w:pPr>
    </w:p>
    <w:p>
      <w:pPr>
        <w:ind w:left="2007" w:hanging="644"/>
        <w:spacing w:after="0"/>
        <w:tabs>
          <w:tab w:leader="none" w:pos="200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Device or Subsystem Labeling:</w:t>
      </w:r>
    </w:p>
    <w:p>
      <w:pPr>
        <w:spacing w:after="0" w:line="179" w:lineRule="exact"/>
        <w:rPr>
          <w:rFonts w:ascii="Courier New" w:cs="Courier New" w:eastAsia="Courier New" w:hAnsi="Courier New"/>
          <w:sz w:val="15"/>
          <w:szCs w:val="15"/>
          <w:color w:val="auto"/>
        </w:rPr>
      </w:pPr>
    </w:p>
    <w:p>
      <w:pPr>
        <w:ind w:left="2007" w:hanging="644"/>
        <w:spacing w:after="0"/>
        <w:tabs>
          <w:tab w:leader="none" w:pos="200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Labeling:</w:t>
      </w:r>
    </w:p>
    <w:p>
      <w:pPr>
        <w:spacing w:after="0" w:line="179" w:lineRule="exact"/>
        <w:rPr>
          <w:rFonts w:ascii="Courier New" w:cs="Courier New" w:eastAsia="Courier New" w:hAnsi="Courier New"/>
          <w:sz w:val="15"/>
          <w:szCs w:val="15"/>
          <w:color w:val="auto"/>
        </w:rPr>
      </w:pPr>
    </w:p>
    <w:p>
      <w:pPr>
        <w:ind w:left="2007" w:hanging="644"/>
        <w:spacing w:after="0"/>
        <w:tabs>
          <w:tab w:leader="none" w:pos="2007"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Box Content / Size, etc. ...</w:t>
      </w:r>
    </w:p>
    <w:p>
      <w:pPr>
        <w:spacing w:after="0" w:line="179" w:lineRule="exact"/>
        <w:rPr>
          <w:rFonts w:ascii="Courier New" w:cs="Courier New" w:eastAsia="Courier New" w:hAnsi="Courier New"/>
          <w:sz w:val="15"/>
          <w:szCs w:val="15"/>
          <w:color w:val="auto"/>
        </w:rPr>
      </w:pPr>
    </w:p>
    <w:p>
      <w:pPr>
        <w:ind w:left="727" w:right="5859" w:hanging="727"/>
        <w:spacing w:after="0" w:line="494" w:lineRule="auto"/>
        <w:tabs>
          <w:tab w:leader="none" w:pos="72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PART-NUMBER CROSS REFERENCE AND REVISION 2.1. [*] PURCHASED PARTS</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7"/>
        <w:spacing w:after="0"/>
        <w:tabs>
          <w:tab w:leader="none" w:pos="1886" w:val="left"/>
          <w:tab w:leader="none" w:pos="3606" w:val="left"/>
          <w:tab w:leader="none" w:pos="5346" w:val="left"/>
          <w:tab w:leader="none" w:pos="6786" w:val="left"/>
        </w:tabs>
        <w:rPr>
          <w:sz w:val="20"/>
          <w:szCs w:val="20"/>
          <w:color w:val="auto"/>
        </w:rPr>
      </w:pPr>
      <w:r>
        <w:rPr>
          <w:rFonts w:ascii="Courier New" w:cs="Courier New" w:eastAsia="Courier New" w:hAnsi="Courier New"/>
          <w:sz w:val="15"/>
          <w:szCs w:val="15"/>
          <w:color w:val="auto"/>
        </w:rPr>
        <w:t>PART DESCRIPTION</w:t>
      </w:r>
      <w:r>
        <w:rPr>
          <w:sz w:val="20"/>
          <w:szCs w:val="20"/>
          <w:color w:val="auto"/>
        </w:rPr>
        <w:tab/>
      </w:r>
      <w:r>
        <w:rPr>
          <w:rFonts w:ascii="Courier New" w:cs="Courier New" w:eastAsia="Courier New" w:hAnsi="Courier New"/>
          <w:sz w:val="15"/>
          <w:szCs w:val="15"/>
          <w:color w:val="auto"/>
        </w:rPr>
        <w:t>HP PURCHASED P/N</w:t>
        <w:tab/>
        <w:t>HP-ESBU MODEL #</w:t>
      </w:r>
      <w:r>
        <w:rPr>
          <w:sz w:val="20"/>
          <w:szCs w:val="20"/>
          <w:color w:val="auto"/>
        </w:rPr>
        <w:tab/>
      </w:r>
      <w:r>
        <w:rPr>
          <w:rFonts w:ascii="Courier New" w:cs="Courier New" w:eastAsia="Courier New" w:hAnsi="Courier New"/>
          <w:sz w:val="15"/>
          <w:szCs w:val="15"/>
          <w:color w:val="auto"/>
        </w:rPr>
        <w:t>SUPPLIER P/N</w:t>
      </w:r>
      <w:r>
        <w:rPr>
          <w:sz w:val="20"/>
          <w:szCs w:val="20"/>
          <w:color w:val="auto"/>
        </w:rPr>
        <w:tab/>
      </w:r>
      <w:r>
        <w:rPr>
          <w:rFonts w:ascii="Courier New" w:cs="Courier New" w:eastAsia="Courier New" w:hAnsi="Courier New"/>
          <w:sz w:val="15"/>
          <w:szCs w:val="15"/>
          <w:color w:val="auto"/>
        </w:rPr>
        <w:t>SUPPLIER REVISION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2526" w:val="left"/>
          <w:tab w:leader="none" w:pos="4166" w:val="left"/>
          <w:tab w:leader="none" w:pos="5786" w:val="left"/>
          <w:tab w:leader="none" w:pos="7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hanging="187"/>
        <w:spacing w:after="0"/>
        <w:tabs>
          <w:tab w:leader="none" w:pos="1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27"/>
        <w:spacing w:after="0"/>
        <w:tabs>
          <w:tab w:leader="none" w:pos="1346"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 PURCHASED PARTS</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center"/>
        <w:ind w:right="1672"/>
        <w:spacing w:after="0"/>
        <w:tabs>
          <w:tab w:leader="none" w:pos="240" w:val="left"/>
          <w:tab w:leader="none" w:pos="160" w:val="left"/>
        </w:tabs>
        <w:rPr>
          <w:sz w:val="20"/>
          <w:szCs w:val="20"/>
          <w:color w:val="auto"/>
        </w:rPr>
      </w:pPr>
      <w:r>
        <w:rPr>
          <w:rFonts w:ascii="Courier New" w:cs="Courier New" w:eastAsia="Courier New" w:hAnsi="Courier New"/>
          <w:sz w:val="15"/>
          <w:szCs w:val="15"/>
          <w:color w:val="auto"/>
        </w:rPr>
        <w:t>HP EXCHANGE P/N</w:t>
        <w:tab/>
        <w:t>HP REPLACEMENT P/N</w:t>
        <w:tab/>
        <w:t>SUPPLIER P/N</w:t>
      </w:r>
    </w:p>
    <w:p>
      <w:pPr>
        <w:spacing w:after="0" w:line="5" w:lineRule="exact"/>
        <w:rPr>
          <w:sz w:val="20"/>
          <w:szCs w:val="20"/>
          <w:color w:val="auto"/>
        </w:rPr>
      </w:pPr>
    </w:p>
    <w:p>
      <w:pPr>
        <w:jc w:val="center"/>
        <w:ind w:right="1592"/>
        <w:spacing w:after="0"/>
        <w:tabs>
          <w:tab w:leader="none" w:pos="360" w:val="left"/>
          <w:tab w:leader="none" w:pos="620" w:val="left"/>
          <w:tab w:leader="none" w:pos="620" w:val="left"/>
          <w:tab w:leader="none" w:pos="440" w:val="left"/>
        </w:tabs>
        <w:rPr>
          <w:sz w:val="20"/>
          <w:szCs w:val="20"/>
          <w:color w:val="auto"/>
        </w:rPr>
      </w:pPr>
      <w:r>
        <w:rPr>
          <w:rFonts w:ascii="Courier New" w:cs="Courier New" w:eastAsia="Courier New" w:hAnsi="Courier New"/>
          <w:sz w:val="15"/>
          <w:szCs w:val="15"/>
          <w:color w:val="auto"/>
        </w:rPr>
        <w:t>PART DESCRIPTION</w:t>
      </w:r>
      <w:r>
        <w:rPr>
          <w:sz w:val="20"/>
          <w:szCs w:val="20"/>
          <w:color w:val="auto"/>
        </w:rPr>
        <w:tab/>
      </w:r>
      <w:r>
        <w:rPr>
          <w:rFonts w:ascii="Courier New" w:cs="Courier New" w:eastAsia="Courier New" w:hAnsi="Courier New"/>
          <w:sz w:val="15"/>
          <w:szCs w:val="15"/>
          <w:color w:val="auto"/>
        </w:rPr>
        <w:t>(REPAIRED PART)</w:t>
      </w:r>
      <w:r>
        <w:rPr>
          <w:sz w:val="20"/>
          <w:szCs w:val="20"/>
          <w:color w:val="auto"/>
        </w:rPr>
        <w:tab/>
      </w:r>
      <w:r>
        <w:rPr>
          <w:rFonts w:ascii="Courier New" w:cs="Courier New" w:eastAsia="Courier New" w:hAnsi="Courier New"/>
          <w:sz w:val="15"/>
          <w:szCs w:val="15"/>
          <w:color w:val="auto"/>
        </w:rPr>
        <w:t>(NEW PART)</w:t>
      </w:r>
      <w:r>
        <w:rPr>
          <w:sz w:val="20"/>
          <w:szCs w:val="20"/>
          <w:color w:val="auto"/>
        </w:rPr>
        <w:tab/>
      </w:r>
      <w:r>
        <w:rPr>
          <w:rFonts w:ascii="Courier New" w:cs="Courier New" w:eastAsia="Courier New" w:hAnsi="Courier New"/>
          <w:sz w:val="15"/>
          <w:szCs w:val="15"/>
          <w:color w:val="auto"/>
        </w:rPr>
        <w:t>(NEW PART)</w:t>
      </w:r>
      <w:r>
        <w:rPr>
          <w:sz w:val="20"/>
          <w:szCs w:val="20"/>
          <w:color w:val="auto"/>
        </w:rPr>
        <w:tab/>
      </w:r>
      <w:r>
        <w:rPr>
          <w:rFonts w:ascii="Courier New" w:cs="Courier New" w:eastAsia="Courier New" w:hAnsi="Courier New"/>
          <w:sz w:val="15"/>
          <w:szCs w:val="15"/>
          <w:color w:val="auto"/>
        </w:rPr>
        <w:t>SUPPLIER REVISION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2526" w:val="left"/>
          <w:tab w:leader="none" w:pos="4166" w:val="left"/>
          <w:tab w:leader="none" w:pos="5786" w:val="left"/>
          <w:tab w:leader="none" w:pos="7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526" w:val="left"/>
          <w:tab w:leader="none" w:pos="4166" w:val="left"/>
          <w:tab w:leader="none" w:pos="5786" w:val="left"/>
          <w:tab w:leader="none" w:pos="7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526" w:val="left"/>
          <w:tab w:leader="none" w:pos="4166" w:val="left"/>
          <w:tab w:leader="none" w:pos="5786" w:val="left"/>
          <w:tab w:leader="none" w:pos="7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7" w:hanging="187"/>
        <w:spacing w:after="0"/>
        <w:tabs>
          <w:tab w:leader="none" w:pos="1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2526" w:val="left"/>
          <w:tab w:leader="none" w:pos="4166" w:val="left"/>
          <w:tab w:leader="none" w:pos="5786" w:val="left"/>
          <w:tab w:leader="none" w:pos="7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hanging="187"/>
        <w:spacing w:after="0"/>
        <w:tabs>
          <w:tab w:leader="none" w:pos="1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2526" w:val="left"/>
          <w:tab w:leader="none" w:pos="4166" w:val="left"/>
          <w:tab w:leader="none" w:pos="5786" w:val="left"/>
          <w:tab w:leader="none" w:pos="7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526" w:val="left"/>
          <w:tab w:leader="none" w:pos="4166" w:val="left"/>
          <w:tab w:leader="none" w:pos="5786" w:val="left"/>
          <w:tab w:leader="none" w:pos="7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hanging="187"/>
        <w:spacing w:after="0"/>
        <w:tabs>
          <w:tab w:leader="none" w:pos="18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2526" w:val="left"/>
          <w:tab w:leader="none" w:pos="4166" w:val="left"/>
          <w:tab w:leader="none" w:pos="5786" w:val="left"/>
          <w:tab w:leader="none" w:pos="7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hanging="187"/>
        <w:spacing w:after="0"/>
        <w:tabs>
          <w:tab w:leader="none" w:pos="1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w:t>
      </w:r>
    </w:p>
    <w:p>
      <w:pPr>
        <w:spacing w:after="0" w:line="180" w:lineRule="exact"/>
        <w:rPr>
          <w:sz w:val="20"/>
          <w:szCs w:val="20"/>
          <w:color w:val="auto"/>
        </w:rPr>
      </w:pPr>
    </w:p>
    <w:p>
      <w:pPr>
        <w:ind w:left="907" w:hanging="180"/>
        <w:spacing w:after="0"/>
        <w:tabs>
          <w:tab w:leader="none" w:pos="90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FRUS TO BE ORDERED FROM BROCADE</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2986" w:val="left"/>
          <w:tab w:leader="none" w:pos="606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5"/>
          <w:szCs w:val="15"/>
          <w:color w:val="auto"/>
        </w:rPr>
        <w:t>Page: 4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pacing w:after="0" w:line="5" w:lineRule="exact"/>
        <w:rPr>
          <w:sz w:val="20"/>
          <w:szCs w:val="20"/>
          <w:color w:val="auto"/>
        </w:rPr>
      </w:pPr>
    </w:p>
    <w:p>
      <w:pPr>
        <w:ind w:left="7"/>
        <w:spacing w:after="0"/>
        <w:tabs>
          <w:tab w:leader="none" w:pos="6066" w:val="left"/>
        </w:tabs>
        <w:rPr>
          <w:sz w:val="20"/>
          <w:szCs w:val="20"/>
          <w:color w:val="auto"/>
        </w:rPr>
      </w:pPr>
      <w:r>
        <w:rPr>
          <w:rFonts w:ascii="Courier New" w:cs="Courier New" w:eastAsia="Courier New" w:hAnsi="Courier New"/>
          <w:sz w:val="15"/>
          <w:szCs w:val="15"/>
          <w:color w:val="auto"/>
        </w:rPr>
        <w:t>Drawing Number:</w:t>
      </w:r>
      <w:r>
        <w:rPr>
          <w:sz w:val="20"/>
          <w:szCs w:val="20"/>
          <w:color w:val="auto"/>
        </w:rPr>
        <w:tab/>
      </w:r>
      <w:r>
        <w:rPr>
          <w:rFonts w:ascii="Courier New" w:cs="Courier New" w:eastAsia="Courier New" w:hAnsi="Courier New"/>
          <w:sz w:val="15"/>
          <w:szCs w:val="15"/>
          <w:color w:val="auto"/>
        </w:rPr>
        <w:t>File Name:</w:t>
      </w:r>
    </w:p>
    <w:p>
      <w:pPr>
        <w:spacing w:after="0" w:line="5" w:lineRule="exact"/>
        <w:rPr>
          <w:sz w:val="20"/>
          <w:szCs w:val="20"/>
          <w:color w:val="auto"/>
        </w:rPr>
      </w:pPr>
    </w:p>
    <w:p>
      <w:pPr>
        <w:ind w:left="7"/>
        <w:spacing w:after="0"/>
        <w:tabs>
          <w:tab w:leader="none" w:pos="6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643" w:right="1440" w:bottom="0" w:gutter="0" w:footer="0" w:header="0"/>
        </w:sectPr>
      </w:pPr>
    </w:p>
    <w:bookmarkStart w:id="91" w:name="page92"/>
    <w:bookmarkEnd w:id="91"/>
    <w:p>
      <w:pPr>
        <w:ind w:left="447" w:right="2959" w:hanging="447"/>
        <w:spacing w:after="0" w:line="247" w:lineRule="auto"/>
        <w:tabs>
          <w:tab w:leader="none" w:pos="44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66" w:right="1440" w:bottom="1440" w:gutter="0" w:footer="0" w:header="0"/>
        </w:sectPr>
      </w:pPr>
    </w:p>
    <w:bookmarkStart w:id="92" w:name="page93"/>
    <w:bookmarkEnd w:id="92"/>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right="7039" w:hanging="727"/>
        <w:spacing w:after="0" w:line="740" w:lineRule="auto"/>
        <w:tabs>
          <w:tab w:leader="none" w:pos="7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SHIPMENT CONFIGURATION 3.1. [*] PURCHASED PARTS</w:t>
      </w:r>
    </w:p>
    <w:p>
      <w:pPr>
        <w:spacing w:after="0" w:line="176" w:lineRule="exact"/>
        <w:rPr>
          <w:sz w:val="20"/>
          <w:szCs w:val="20"/>
          <w:color w:val="auto"/>
        </w:rPr>
      </w:pPr>
    </w:p>
    <w:p>
      <w:pPr>
        <w:ind w:left="187" w:hanging="187"/>
        <w:spacing w:after="0"/>
        <w:tabs>
          <w:tab w:leader="none" w:pos="1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PURCHASEPACKAGING</w:t>
      </w:r>
    </w:p>
    <w:p>
      <w:pPr>
        <w:spacing w:after="0" w:line="5" w:lineRule="exact"/>
        <w:rPr>
          <w:sz w:val="20"/>
          <w:szCs w:val="20"/>
          <w:color w:val="auto"/>
        </w:rPr>
      </w:pPr>
    </w:p>
    <w:p>
      <w:pPr>
        <w:ind w:left="187"/>
        <w:spacing w:after="0"/>
        <w:tabs>
          <w:tab w:leader="none" w:pos="1986" w:val="left"/>
          <w:tab w:leader="none" w:pos="3426" w:val="left"/>
          <w:tab w:leader="none" w:pos="6066" w:val="left"/>
        </w:tabs>
        <w:rPr>
          <w:sz w:val="20"/>
          <w:szCs w:val="20"/>
          <w:color w:val="auto"/>
        </w:rPr>
      </w:pPr>
      <w:r>
        <w:rPr>
          <w:rFonts w:ascii="Courier New" w:cs="Courier New" w:eastAsia="Courier New" w:hAnsi="Courier New"/>
          <w:sz w:val="15"/>
          <w:szCs w:val="15"/>
          <w:color w:val="auto"/>
        </w:rPr>
        <w:t>PART DESCRIPTION</w:t>
      </w:r>
      <w:r>
        <w:rPr>
          <w:sz w:val="20"/>
          <w:szCs w:val="20"/>
          <w:color w:val="auto"/>
        </w:rPr>
        <w:tab/>
      </w:r>
      <w:r>
        <w:rPr>
          <w:rFonts w:ascii="Courier New" w:cs="Courier New" w:eastAsia="Courier New" w:hAnsi="Courier New"/>
          <w:sz w:val="15"/>
          <w:szCs w:val="15"/>
          <w:color w:val="auto"/>
        </w:rPr>
        <w:t>PART NUMBER</w:t>
      </w:r>
      <w:r>
        <w:rPr>
          <w:sz w:val="20"/>
          <w:szCs w:val="20"/>
          <w:color w:val="auto"/>
        </w:rPr>
        <w:tab/>
      </w:r>
      <w:r>
        <w:rPr>
          <w:rFonts w:ascii="Courier New" w:cs="Courier New" w:eastAsia="Courier New" w:hAnsi="Courier New"/>
          <w:sz w:val="15"/>
          <w:szCs w:val="15"/>
          <w:color w:val="auto"/>
        </w:rPr>
        <w:t>REQUIREMENTS</w:t>
      </w:r>
      <w:r>
        <w:rPr>
          <w:sz w:val="20"/>
          <w:szCs w:val="20"/>
          <w:color w:val="auto"/>
        </w:rPr>
        <w:tab/>
      </w:r>
      <w:r>
        <w:rPr>
          <w:rFonts w:ascii="Courier New" w:cs="Courier New" w:eastAsia="Courier New" w:hAnsi="Courier New"/>
          <w:sz w:val="15"/>
          <w:szCs w:val="15"/>
          <w:color w:val="auto"/>
        </w:rPr>
        <w:t>PACKAGE CONTENTS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1886" w:val="left"/>
          <w:tab w:leader="none" w:pos="3426" w:val="left"/>
          <w:tab w:leader="none" w:pos="4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hanging="187"/>
        <w:spacing w:after="0"/>
        <w:tabs>
          <w:tab w:leader="none" w:pos="18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727"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3.2.   [*]</w:t>
            </w:r>
          </w:p>
        </w:tc>
        <w:tc>
          <w:tcPr>
            <w:tcW w:w="1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PURCHASED PARTS</w:t>
            </w:r>
          </w:p>
        </w:tc>
        <w:tc>
          <w:tcPr>
            <w:tcW w:w="3680" w:type="dxa"/>
            <w:vAlign w:val="bottom"/>
          </w:tcPr>
          <w:p>
            <w:pPr>
              <w:spacing w:after="0"/>
              <w:rPr>
                <w:sz w:val="14"/>
                <w:szCs w:val="14"/>
                <w:color w:val="auto"/>
              </w:rPr>
            </w:pPr>
          </w:p>
        </w:tc>
      </w:tr>
      <w:tr>
        <w:trPr>
          <w:trHeight w:val="350"/>
        </w:trPr>
        <w:tc>
          <w:tcPr>
            <w:tcW w:w="2780" w:type="dxa"/>
            <w:vAlign w:val="bottom"/>
            <w:gridSpan w:val="4"/>
          </w:tcPr>
          <w:p>
            <w:pPr>
              <w:spacing w:after="0"/>
              <w:rPr>
                <w:sz w:val="20"/>
                <w:szCs w:val="20"/>
                <w:color w:val="auto"/>
              </w:rPr>
            </w:pPr>
            <w:r>
              <w:rPr>
                <w:rFonts w:ascii="Courier New" w:cs="Courier New" w:eastAsia="Courier New" w:hAnsi="Courier New"/>
                <w:sz w:val="15"/>
                <w:szCs w:val="15"/>
                <w:color w:val="auto"/>
              </w:rPr>
              <w:t>Parts purchased by [*] are for</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use in the HP installed base. These</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parts must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shipped [*]</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the appropriate labeling. A Failure Data</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Sheet must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included in</w:t>
            </w:r>
          </w:p>
        </w:tc>
        <w:tc>
          <w:tcPr>
            <w:tcW w:w="4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every box (HP Technical Marketing to define</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content of</w:t>
            </w:r>
          </w:p>
        </w:tc>
        <w:tc>
          <w:tcPr>
            <w:tcW w:w="55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sheet). See the below for labeling information.</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606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5"/>
          <w:szCs w:val="15"/>
          <w:color w:val="auto"/>
        </w:rPr>
        <w:t>Page: 5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pacing w:after="0" w:line="5" w:lineRule="exact"/>
        <w:rPr>
          <w:sz w:val="20"/>
          <w:szCs w:val="20"/>
          <w:color w:val="auto"/>
        </w:rPr>
      </w:pPr>
    </w:p>
    <w:p>
      <w:pPr>
        <w:ind w:left="7"/>
        <w:spacing w:after="0"/>
        <w:tabs>
          <w:tab w:leader="none" w:pos="6066" w:val="left"/>
        </w:tabs>
        <w:rPr>
          <w:sz w:val="20"/>
          <w:szCs w:val="20"/>
          <w:color w:val="auto"/>
        </w:rPr>
      </w:pPr>
      <w:r>
        <w:rPr>
          <w:rFonts w:ascii="Courier New" w:cs="Courier New" w:eastAsia="Courier New" w:hAnsi="Courier New"/>
          <w:sz w:val="15"/>
          <w:szCs w:val="15"/>
          <w:color w:val="auto"/>
        </w:rPr>
        <w:t>Drawing Number:</w:t>
      </w:r>
      <w:r>
        <w:rPr>
          <w:sz w:val="20"/>
          <w:szCs w:val="20"/>
          <w:color w:val="auto"/>
        </w:rPr>
        <w:tab/>
      </w:r>
      <w:r>
        <w:rPr>
          <w:rFonts w:ascii="Courier New" w:cs="Courier New" w:eastAsia="Courier New" w:hAnsi="Courier New"/>
          <w:sz w:val="15"/>
          <w:szCs w:val="15"/>
          <w:color w:val="auto"/>
        </w:rPr>
        <w:t>File Name:</w:t>
      </w:r>
    </w:p>
    <w:p>
      <w:pPr>
        <w:spacing w:after="0" w:line="5" w:lineRule="exact"/>
        <w:rPr>
          <w:sz w:val="20"/>
          <w:szCs w:val="20"/>
          <w:color w:val="auto"/>
        </w:rPr>
      </w:pPr>
    </w:p>
    <w:p>
      <w:pPr>
        <w:ind w:left="7"/>
        <w:spacing w:after="0"/>
        <w:tabs>
          <w:tab w:leader="none" w:pos="6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93" w:name="page94"/>
    <w:bookmarkEnd w:id="93"/>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hanging="727"/>
        <w:spacing w:after="0"/>
        <w:tabs>
          <w:tab w:leader="none" w:pos="7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LABELING</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GENERAL</w:t>
      </w:r>
    </w:p>
    <w:p>
      <w:pPr>
        <w:spacing w:after="0" w:line="179"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4.1.1. LABEL MATERIAL AND TESTS</w:t>
      </w:r>
    </w:p>
    <w:p>
      <w:pPr>
        <w:spacing w:after="0" w:line="180" w:lineRule="exact"/>
        <w:rPr>
          <w:sz w:val="20"/>
          <w:szCs w:val="20"/>
          <w:color w:val="auto"/>
        </w:rPr>
      </w:pPr>
    </w:p>
    <w:p>
      <w:pPr>
        <w:ind w:left="1367" w:right="3039"/>
        <w:spacing w:after="0" w:line="246" w:lineRule="auto"/>
        <w:rPr>
          <w:sz w:val="20"/>
          <w:szCs w:val="20"/>
          <w:color w:val="auto"/>
        </w:rPr>
      </w:pPr>
      <w:r>
        <w:rPr>
          <w:rFonts w:ascii="Courier New" w:cs="Courier New" w:eastAsia="Courier New" w:hAnsi="Courier New"/>
          <w:sz w:val="15"/>
          <w:szCs w:val="15"/>
          <w:color w:val="auto"/>
        </w:rPr>
        <w:t>The label material and adhesive shall be suitable for use on the material it is to be applied (e.g. plastic or metal...). Also, the label must be "permanent" in that it will be destroyed or made unserviceable if removed (UL and CSA approved label systems meet this criteria).</w:t>
      </w:r>
    </w:p>
    <w:p>
      <w:pPr>
        <w:spacing w:after="0" w:line="178" w:lineRule="exact"/>
        <w:rPr>
          <w:sz w:val="20"/>
          <w:szCs w:val="20"/>
          <w:color w:val="auto"/>
        </w:rPr>
      </w:pPr>
    </w:p>
    <w:p>
      <w:pPr>
        <w:ind w:left="2007" w:right="3599" w:hanging="644"/>
        <w:spacing w:after="0" w:line="247" w:lineRule="auto"/>
        <w:tabs>
          <w:tab w:leader="none" w:pos="200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CSA label identification logo on each label or bulk labeled if there is no printing on the label</w:t>
      </w:r>
    </w:p>
    <w:p>
      <w:pPr>
        <w:spacing w:after="0" w:line="174" w:lineRule="exact"/>
        <w:rPr>
          <w:rFonts w:ascii="Courier New" w:cs="Courier New" w:eastAsia="Courier New" w:hAnsi="Courier New"/>
          <w:sz w:val="15"/>
          <w:szCs w:val="15"/>
          <w:color w:val="auto"/>
        </w:rPr>
      </w:pPr>
    </w:p>
    <w:p>
      <w:pPr>
        <w:ind w:left="2007" w:hanging="644"/>
        <w:spacing w:after="0"/>
        <w:tabs>
          <w:tab w:leader="none" w:pos="200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UL Recognized label system (bulk marking for labels)</w:t>
      </w:r>
    </w:p>
    <w:p>
      <w:pPr>
        <w:spacing w:after="0" w:line="180" w:lineRule="exact"/>
        <w:rPr>
          <w:sz w:val="20"/>
          <w:szCs w:val="20"/>
          <w:color w:val="auto"/>
        </w:rPr>
      </w:pPr>
    </w:p>
    <w:p>
      <w:pPr>
        <w:ind w:left="1367" w:right="3139"/>
        <w:spacing w:after="0" w:line="246" w:lineRule="auto"/>
        <w:rPr>
          <w:sz w:val="20"/>
          <w:szCs w:val="20"/>
          <w:color w:val="auto"/>
        </w:rPr>
      </w:pPr>
      <w:r>
        <w:rPr>
          <w:rFonts w:ascii="Courier New" w:cs="Courier New" w:eastAsia="Courier New" w:hAnsi="Courier New"/>
          <w:sz w:val="15"/>
          <w:szCs w:val="15"/>
          <w:color w:val="auto"/>
        </w:rPr>
        <w:t>Rub label for 15 seconds with water and another 15 seconds with kerosene (or other petroleum spirits). All markings shall be legible. It shall not be easy to remove the label from the applied surface without damage to the label and the information shall be legible.</w:t>
      </w:r>
    </w:p>
    <w:p>
      <w:pPr>
        <w:spacing w:after="0" w:line="178"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4.1.2. LOCATION</w:t>
      </w:r>
    </w:p>
    <w:p>
      <w:pPr>
        <w:spacing w:after="0" w:line="180" w:lineRule="exact"/>
        <w:rPr>
          <w:sz w:val="20"/>
          <w:szCs w:val="20"/>
          <w:color w:val="auto"/>
        </w:rPr>
      </w:pPr>
    </w:p>
    <w:p>
      <w:pPr>
        <w:jc w:val="both"/>
        <w:ind w:left="1367" w:right="2959"/>
        <w:spacing w:after="0" w:line="246" w:lineRule="auto"/>
        <w:rPr>
          <w:sz w:val="20"/>
          <w:szCs w:val="20"/>
          <w:color w:val="auto"/>
        </w:rPr>
      </w:pPr>
      <w:r>
        <w:rPr>
          <w:rFonts w:ascii="Courier New" w:cs="Courier New" w:eastAsia="Courier New" w:hAnsi="Courier New"/>
          <w:sz w:val="15"/>
          <w:szCs w:val="15"/>
          <w:color w:val="auto"/>
        </w:rPr>
        <w:t>The label must be in an area visible to the operator. This is the front, sides or rear of the unit and on the bottom if the product is light. The label must also be on a permanent part (attached by screws is OK) of the unit and not on a part that is likely to be discarded.</w:t>
      </w:r>
    </w:p>
    <w:p>
      <w:pPr>
        <w:spacing w:after="0" w:line="178"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4.1.3. REGULATORY MARKINGS</w:t>
      </w:r>
    </w:p>
    <w:p>
      <w:pPr>
        <w:spacing w:after="0" w:line="180" w:lineRule="exact"/>
        <w:rPr>
          <w:sz w:val="20"/>
          <w:szCs w:val="20"/>
          <w:color w:val="auto"/>
        </w:rPr>
      </w:pPr>
    </w:p>
    <w:p>
      <w:pPr>
        <w:ind w:left="1367" w:right="2959"/>
        <w:spacing w:after="0" w:line="246" w:lineRule="auto"/>
        <w:rPr>
          <w:sz w:val="20"/>
          <w:szCs w:val="20"/>
          <w:color w:val="auto"/>
        </w:rPr>
      </w:pPr>
      <w:r>
        <w:rPr>
          <w:rFonts w:ascii="Courier New" w:cs="Courier New" w:eastAsia="Courier New" w:hAnsi="Courier New"/>
          <w:sz w:val="15"/>
          <w:szCs w:val="15"/>
          <w:color w:val="auto"/>
        </w:rPr>
        <w:t>Proof of certification by any agency is the approval agencies symbol and number, typically on the product. Unless otherwise noted, the information must be legible with no minimum size. Also included are other markings required for agency approval.</w:t>
      </w: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606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5"/>
          <w:szCs w:val="15"/>
          <w:color w:val="auto"/>
        </w:rPr>
        <w:t>Page: 6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5" w:lineRule="exact"/>
        <w:rPr>
          <w:sz w:val="20"/>
          <w:szCs w:val="20"/>
          <w:color w:val="auto"/>
        </w:rPr>
      </w:pPr>
    </w:p>
    <w:p>
      <w:pPr>
        <w:sectPr>
          <w:pgSz w:w="11900" w:h="16838" w:orient="portrait"/>
          <w:cols w:equalWidth="0" w:num="2">
            <w:col w:w="5367" w:space="720"/>
            <w:col w:w="41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447" w:right="2959" w:hanging="447"/>
        <w:spacing w:after="0" w:line="247" w:lineRule="auto"/>
        <w:tabs>
          <w:tab w:leader="none" w:pos="44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94" w:name="page95"/>
    <w:bookmarkEnd w:id="94"/>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SWITCH ENCLOSURE LABELING</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4.2.1. BROCADE REGULATORY LABEL &amp; HP PRODUCT LABEL</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BROCADE REGULATORY LABEL</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727"/>
        <w:spacing w:after="0"/>
        <w:tabs>
          <w:tab w:leader="none" w:pos="3986" w:val="left"/>
          <w:tab w:leader="none" w:pos="6606"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5"/>
          <w:szCs w:val="15"/>
          <w:color w:val="auto"/>
        </w:rPr>
        <w:t>HUMAN READABLE</w:t>
      </w:r>
      <w:r>
        <w:rPr>
          <w:sz w:val="20"/>
          <w:szCs w:val="20"/>
          <w:color w:val="auto"/>
        </w:rPr>
        <w:tab/>
      </w:r>
      <w:r>
        <w:rPr>
          <w:rFonts w:ascii="Courier New" w:cs="Courier New" w:eastAsia="Courier New" w:hAnsi="Courier New"/>
          <w:sz w:val="15"/>
          <w:szCs w:val="15"/>
          <w:color w:val="auto"/>
        </w:rPr>
        <w:t>BAR CODE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27"/>
        <w:spacing w:after="0"/>
        <w:tabs>
          <w:tab w:leader="none" w:pos="3166" w:val="left"/>
          <w:tab w:leader="none" w:pos="6886" w:val="left"/>
        </w:tabs>
        <w:rPr>
          <w:sz w:val="20"/>
          <w:szCs w:val="20"/>
          <w:color w:val="auto"/>
        </w:rPr>
      </w:pPr>
      <w:r>
        <w:rPr>
          <w:rFonts w:ascii="Courier New" w:cs="Courier New" w:eastAsia="Courier New" w:hAnsi="Courier New"/>
          <w:sz w:val="15"/>
          <w:szCs w:val="15"/>
          <w:color w:val="auto"/>
        </w:rPr>
        <w:t>Product Description</w:t>
      </w:r>
      <w:r>
        <w:rPr>
          <w:sz w:val="20"/>
          <w:szCs w:val="20"/>
          <w:color w:val="auto"/>
        </w:rPr>
        <w:tab/>
      </w:r>
      <w:r>
        <w:rPr>
          <w:rFonts w:ascii="Courier New" w:cs="Courier New" w:eastAsia="Courier New" w:hAnsi="Courier New"/>
          <w:sz w:val="15"/>
          <w:szCs w:val="15"/>
          <w:color w:val="auto"/>
        </w:rPr>
        <w:t>"16 Port Fibre Channel Switch"</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187" w:right="2779" w:hanging="2453"/>
        <w:spacing w:after="0" w:line="249" w:lineRule="auto"/>
        <w:tabs>
          <w:tab w:leader="none" w:pos="3166" w:val="left"/>
        </w:tabs>
        <w:rPr>
          <w:sz w:val="20"/>
          <w:szCs w:val="20"/>
          <w:color w:val="auto"/>
        </w:rPr>
      </w:pPr>
      <w:r>
        <w:rPr>
          <w:rFonts w:ascii="Courier New" w:cs="Courier New" w:eastAsia="Courier New" w:hAnsi="Courier New"/>
          <w:sz w:val="15"/>
          <w:szCs w:val="15"/>
          <w:color w:val="auto"/>
        </w:rPr>
        <w:t>Serial number</w:t>
      </w:r>
      <w:r>
        <w:rPr>
          <w:sz w:val="20"/>
          <w:szCs w:val="20"/>
          <w:color w:val="auto"/>
        </w:rPr>
        <w:tab/>
      </w:r>
      <w:r>
        <w:rPr>
          <w:rFonts w:ascii="Courier New" w:cs="Courier New" w:eastAsia="Courier New" w:hAnsi="Courier New"/>
          <w:sz w:val="15"/>
          <w:szCs w:val="15"/>
          <w:color w:val="auto"/>
        </w:rPr>
        <w:t>"Serial: DN00XXXXXXX" Yes (see section 4.4/below for See Below requirements)</w:t>
      </w:r>
    </w:p>
    <w:p>
      <w:pPr>
        <w:spacing w:after="0" w:line="17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727" w:right="2779"/>
        <w:spacing w:after="0" w:line="246" w:lineRule="auto"/>
        <w:rPr>
          <w:sz w:val="20"/>
          <w:szCs w:val="20"/>
          <w:color w:val="auto"/>
        </w:rPr>
      </w:pPr>
      <w:r>
        <w:rPr>
          <w:rFonts w:ascii="Courier New" w:cs="Courier New" w:eastAsia="Courier New" w:hAnsi="Courier New"/>
          <w:sz w:val="15"/>
          <w:szCs w:val="15"/>
          <w:color w:val="auto"/>
        </w:rPr>
        <w:t>Internal Manufacturing "INTERNAL HP Mfg Part Number: Yes Part Number A5624-62001" See Below</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27"/>
        <w:spacing w:after="0"/>
        <w:tabs>
          <w:tab w:leader="none" w:pos="3166" w:val="left"/>
        </w:tabs>
        <w:rPr>
          <w:sz w:val="20"/>
          <w:szCs w:val="20"/>
          <w:color w:val="auto"/>
        </w:rPr>
      </w:pPr>
      <w:r>
        <w:rPr>
          <w:rFonts w:ascii="Courier New" w:cs="Courier New" w:eastAsia="Courier New" w:hAnsi="Courier New"/>
          <w:sz w:val="15"/>
          <w:szCs w:val="15"/>
          <w:color w:val="auto"/>
        </w:rPr>
        <w:t>Regulatory Markings</w:t>
      </w:r>
      <w:r>
        <w:rPr>
          <w:sz w:val="20"/>
          <w:szCs w:val="20"/>
          <w:color w:val="auto"/>
        </w:rPr>
        <w:tab/>
      </w:r>
      <w:r>
        <w:rPr>
          <w:rFonts w:ascii="Courier New" w:cs="Courier New" w:eastAsia="Courier New" w:hAnsi="Courier New"/>
          <w:sz w:val="15"/>
          <w:szCs w:val="15"/>
          <w:color w:val="auto"/>
        </w:rPr>
        <w:t>-UL Listing logo plus fle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number, ITE and the work Listed</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(or other NRTL agency)</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-CSA label manufacturers code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-TUV logo with GS mark(or other</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European mark)</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-CE mark</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-USA FCC Notice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-Canadian Class A Notice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-Japan VCCI-A Notice</w:t>
      </w:r>
    </w:p>
    <w:p>
      <w:pPr>
        <w:spacing w:after="0" w:line="5" w:lineRule="exact"/>
        <w:rPr>
          <w:sz w:val="20"/>
          <w:szCs w:val="20"/>
          <w:color w:val="auto"/>
        </w:rPr>
      </w:pPr>
    </w:p>
    <w:p>
      <w:pPr>
        <w:jc w:val="center"/>
        <w:ind w:right="2032"/>
        <w:spacing w:after="0"/>
        <w:rPr>
          <w:sz w:val="20"/>
          <w:szCs w:val="20"/>
          <w:color w:val="auto"/>
        </w:rPr>
      </w:pPr>
      <w:r>
        <w:rPr>
          <w:rFonts w:ascii="Courier New" w:cs="Courier New" w:eastAsia="Courier New" w:hAnsi="Courier New"/>
          <w:sz w:val="15"/>
          <w:szCs w:val="15"/>
          <w:color w:val="auto"/>
        </w:rPr>
        <w:t>-"Made in" statement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27"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Electrical Ratings</w:t>
            </w:r>
          </w:p>
        </w:tc>
        <w:tc>
          <w:tcPr>
            <w:tcW w:w="1180" w:type="dxa"/>
            <w:vAlign w:val="bottom"/>
          </w:tcPr>
          <w:p>
            <w:pPr>
              <w:ind w:left="420"/>
              <w:spacing w:after="0"/>
              <w:rPr>
                <w:sz w:val="20"/>
                <w:szCs w:val="20"/>
                <w:color w:val="auto"/>
              </w:rPr>
            </w:pPr>
            <w:r>
              <w:rPr>
                <w:rFonts w:ascii="Courier New" w:cs="Courier New" w:eastAsia="Courier New" w:hAnsi="Courier New"/>
                <w:sz w:val="15"/>
                <w:szCs w:val="15"/>
                <w:color w:val="auto"/>
              </w:rPr>
              <w:t>Voltage:</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w w:val="97"/>
              </w:rPr>
              <w:t>100-240V</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Information</w:t>
            </w:r>
          </w:p>
        </w:tc>
        <w:tc>
          <w:tcPr>
            <w:tcW w:w="196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AC/DC: 47-63Hz</w:t>
            </w:r>
          </w:p>
        </w:tc>
      </w:tr>
      <w:tr>
        <w:trPr>
          <w:trHeight w:val="175"/>
        </w:trPr>
        <w:tc>
          <w:tcPr>
            <w:tcW w:w="2040" w:type="dxa"/>
            <w:vAlign w:val="bottom"/>
          </w:tcPr>
          <w:p>
            <w:pPr>
              <w:spacing w:after="0"/>
              <w:rPr>
                <w:sz w:val="15"/>
                <w:szCs w:val="15"/>
                <w:color w:val="auto"/>
              </w:rPr>
            </w:pPr>
          </w:p>
        </w:tc>
        <w:tc>
          <w:tcPr>
            <w:tcW w:w="1180" w:type="dxa"/>
            <w:vAlign w:val="bottom"/>
          </w:tcPr>
          <w:p>
            <w:pPr>
              <w:ind w:left="420"/>
              <w:spacing w:after="0"/>
              <w:rPr>
                <w:sz w:val="20"/>
                <w:szCs w:val="20"/>
                <w:color w:val="auto"/>
              </w:rPr>
            </w:pPr>
            <w:r>
              <w:rPr>
                <w:rFonts w:ascii="Courier New" w:cs="Courier New" w:eastAsia="Courier New" w:hAnsi="Courier New"/>
                <w:sz w:val="15"/>
                <w:szCs w:val="15"/>
                <w:color w:val="auto"/>
              </w:rPr>
              <w:t>Current:</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1.5A</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27" w:right="3319"/>
        <w:spacing w:after="0" w:line="247" w:lineRule="auto"/>
        <w:rPr>
          <w:sz w:val="20"/>
          <w:szCs w:val="20"/>
          <w:color w:val="auto"/>
        </w:rPr>
      </w:pPr>
      <w:r>
        <w:rPr>
          <w:rFonts w:ascii="Courier New" w:cs="Courier New" w:eastAsia="Courier New" w:hAnsi="Courier New"/>
          <w:sz w:val="15"/>
          <w:szCs w:val="15"/>
          <w:color w:val="auto"/>
        </w:rPr>
        <w:t>LABEL PLACEMENT: The label must be placed on the bottom front of the switch chassis.</w:t>
      </w:r>
    </w:p>
    <w:p>
      <w:pPr>
        <w:spacing w:after="0" w:line="17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LABEL SIZE: 3.91" Wide X 2.71" High</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LABEL MATERIAL TYPE: .002" heavy coat chrome mylar base stock with .002"</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permanent adhesive</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Brocade Regulatory Label</w:t>
      </w:r>
    </w:p>
    <w:p>
      <w:pPr>
        <w:spacing w:after="0" w:line="200" w:lineRule="exact"/>
        <w:rPr>
          <w:sz w:val="20"/>
          <w:szCs w:val="20"/>
          <w:color w:val="auto"/>
        </w:rPr>
      </w:pPr>
    </w:p>
    <w:p>
      <w:pPr>
        <w:spacing w:after="0" w:line="329"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606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5"/>
          <w:szCs w:val="15"/>
          <w:color w:val="auto"/>
        </w:rPr>
        <w:t>Page: 7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2"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367" w:space="720"/>
            <w:col w:w="4139"/>
          </w:cols>
          <w:pgMar w:left="23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95" w:name="page96"/>
    <w:bookmarkEnd w:id="95"/>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Regulatory Label Placement</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606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5"/>
          <w:szCs w:val="15"/>
          <w:color w:val="auto"/>
        </w:rPr>
        <w:t>Page: 8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367" w:space="720"/>
            <w:col w:w="41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96" w:name="page97"/>
    <w:bookmarkEnd w:id="96"/>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HP PRODUCT LABEL (INCLUDES HP REGULATORY LABEL)</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 CODE</w:t>
      </w:r>
    </w:p>
    <w:p>
      <w:pPr>
        <w:spacing w:after="0" w:line="5" w:lineRule="exact"/>
        <w:rPr>
          <w:sz w:val="20"/>
          <w:szCs w:val="20"/>
          <w:color w:val="auto"/>
        </w:rPr>
      </w:pPr>
    </w:p>
    <w:p>
      <w:pPr>
        <w:ind w:left="1547"/>
        <w:spacing w:after="0"/>
        <w:tabs>
          <w:tab w:leader="none" w:pos="3706" w:val="left"/>
          <w:tab w:leader="none" w:pos="6066"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5"/>
          <w:szCs w:val="15"/>
          <w:color w:val="auto"/>
        </w:rPr>
        <w:t>HUMAN READABLE</w:t>
      </w:r>
      <w:r>
        <w:rPr>
          <w:sz w:val="20"/>
          <w:szCs w:val="20"/>
          <w:color w:val="auto"/>
        </w:rPr>
        <w:tab/>
      </w:r>
      <w:r>
        <w:rPr>
          <w:rFonts w:ascii="Courier New" w:cs="Courier New" w:eastAsia="Courier New" w:hAnsi="Courier New"/>
          <w:sz w:val="15"/>
          <w:szCs w:val="15"/>
          <w:color w:val="auto"/>
        </w:rPr>
        <w:t>(BARCODE=CODE 3 OF 9)</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627"/>
        <w:spacing w:after="0"/>
        <w:tabs>
          <w:tab w:leader="none" w:pos="2886" w:val="left"/>
          <w:tab w:leader="none" w:pos="6886" w:val="left"/>
        </w:tabs>
        <w:rPr>
          <w:sz w:val="20"/>
          <w:szCs w:val="20"/>
          <w:color w:val="auto"/>
        </w:rPr>
      </w:pPr>
      <w:r>
        <w:rPr>
          <w:rFonts w:ascii="Courier New" w:cs="Courier New" w:eastAsia="Courier New" w:hAnsi="Courier New"/>
          <w:sz w:val="15"/>
          <w:szCs w:val="15"/>
          <w:color w:val="auto"/>
        </w:rPr>
        <w:t>HP Logo</w:t>
      </w:r>
      <w:r>
        <w:rPr>
          <w:sz w:val="20"/>
          <w:szCs w:val="20"/>
          <w:color w:val="auto"/>
        </w:rPr>
        <w:tab/>
      </w:r>
      <w:r>
        <w:rPr>
          <w:rFonts w:ascii="Courier New" w:cs="Courier New" w:eastAsia="Courier New" w:hAnsi="Courier New"/>
          <w:sz w:val="15"/>
          <w:szCs w:val="15"/>
          <w:color w:val="auto"/>
        </w:rPr>
        <w:t>HP Logo</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27"/>
        <w:spacing w:after="0"/>
        <w:tabs>
          <w:tab w:leader="none" w:pos="2886" w:val="left"/>
          <w:tab w:leader="none" w:pos="6886" w:val="left"/>
        </w:tabs>
        <w:rPr>
          <w:sz w:val="20"/>
          <w:szCs w:val="20"/>
          <w:color w:val="auto"/>
        </w:rPr>
      </w:pPr>
      <w:r>
        <w:rPr>
          <w:rFonts w:ascii="Courier New" w:cs="Courier New" w:eastAsia="Courier New" w:hAnsi="Courier New"/>
          <w:sz w:val="15"/>
          <w:szCs w:val="15"/>
          <w:color w:val="auto"/>
        </w:rPr>
        <w:t>HP Model Number</w:t>
      </w:r>
      <w:r>
        <w:rPr>
          <w:sz w:val="20"/>
          <w:szCs w:val="20"/>
          <w:color w:val="auto"/>
        </w:rPr>
        <w:tab/>
      </w:r>
      <w:r>
        <w:rPr>
          <w:rFonts w:ascii="Courier New" w:cs="Courier New" w:eastAsia="Courier New" w:hAnsi="Courier New"/>
          <w:sz w:val="15"/>
          <w:szCs w:val="15"/>
          <w:color w:val="auto"/>
        </w:rPr>
        <w:t>"A5624A/AZ"</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27"/>
        <w:spacing w:after="0"/>
        <w:tabs>
          <w:tab w:leader="none" w:pos="2886" w:val="left"/>
          <w:tab w:leader="none" w:pos="6986" w:val="left"/>
        </w:tabs>
        <w:rPr>
          <w:sz w:val="20"/>
          <w:szCs w:val="20"/>
          <w:color w:val="auto"/>
        </w:rPr>
      </w:pPr>
      <w:r>
        <w:rPr>
          <w:rFonts w:ascii="Courier New" w:cs="Courier New" w:eastAsia="Courier New" w:hAnsi="Courier New"/>
          <w:sz w:val="15"/>
          <w:szCs w:val="15"/>
          <w:color w:val="auto"/>
        </w:rPr>
        <w:t>Product Description</w:t>
      </w:r>
      <w:r>
        <w:rPr>
          <w:sz w:val="20"/>
          <w:szCs w:val="20"/>
          <w:color w:val="auto"/>
        </w:rPr>
        <w:tab/>
      </w:r>
      <w:r>
        <w:rPr>
          <w:rFonts w:ascii="Courier New" w:cs="Courier New" w:eastAsia="Courier New" w:hAnsi="Courier New"/>
          <w:sz w:val="15"/>
          <w:szCs w:val="15"/>
          <w:color w:val="auto"/>
        </w:rPr>
        <w:t>"16 Port Fibre Channel Switch"</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907" w:right="2779" w:hanging="2271"/>
        <w:spacing w:after="0" w:line="246" w:lineRule="auto"/>
        <w:tabs>
          <w:tab w:leader="none" w:pos="2886" w:val="left"/>
        </w:tabs>
        <w:rPr>
          <w:sz w:val="20"/>
          <w:szCs w:val="20"/>
          <w:color w:val="auto"/>
        </w:rPr>
      </w:pPr>
      <w:r>
        <w:rPr>
          <w:rFonts w:ascii="Courier New" w:cs="Courier New" w:eastAsia="Courier New" w:hAnsi="Courier New"/>
          <w:sz w:val="15"/>
          <w:szCs w:val="15"/>
          <w:color w:val="auto"/>
        </w:rPr>
        <w:t>Serial number</w:t>
      </w:r>
      <w:r>
        <w:rPr>
          <w:sz w:val="20"/>
          <w:szCs w:val="20"/>
          <w:color w:val="auto"/>
        </w:rPr>
        <w:tab/>
      </w:r>
      <w:r>
        <w:rPr>
          <w:rFonts w:ascii="Courier New" w:cs="Courier New" w:eastAsia="Courier New" w:hAnsi="Courier New"/>
          <w:sz w:val="15"/>
          <w:szCs w:val="15"/>
          <w:color w:val="auto"/>
        </w:rPr>
        <w:t>"Serial: DN00XXXXXXX" Yes (see section 4.4/below for requirements) See Below</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627" w:right="2779"/>
        <w:spacing w:after="0" w:line="246" w:lineRule="auto"/>
        <w:rPr>
          <w:sz w:val="20"/>
          <w:szCs w:val="20"/>
          <w:color w:val="auto"/>
        </w:rPr>
      </w:pPr>
      <w:r>
        <w:rPr>
          <w:rFonts w:ascii="Courier New" w:cs="Courier New" w:eastAsia="Courier New" w:hAnsi="Courier New"/>
          <w:sz w:val="15"/>
          <w:szCs w:val="15"/>
          <w:color w:val="auto"/>
        </w:rPr>
        <w:t>Internal Manufacturing "INTERNAL HP Mfg Part Number: Yes Part Number A5624-62001" See Below</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27"/>
        <w:spacing w:after="0"/>
        <w:tabs>
          <w:tab w:leader="none" w:pos="2886" w:val="left"/>
          <w:tab w:leader="none" w:pos="6886" w:val="left"/>
        </w:tabs>
        <w:rPr>
          <w:sz w:val="20"/>
          <w:szCs w:val="20"/>
          <w:color w:val="auto"/>
        </w:rPr>
      </w:pPr>
      <w:r>
        <w:rPr>
          <w:rFonts w:ascii="Courier New" w:cs="Courier New" w:eastAsia="Courier New" w:hAnsi="Courier New"/>
          <w:sz w:val="15"/>
          <w:szCs w:val="15"/>
          <w:color w:val="auto"/>
        </w:rPr>
        <w:t>Regulatory Markings</w:t>
      </w:r>
      <w:r>
        <w:rPr>
          <w:sz w:val="20"/>
          <w:szCs w:val="20"/>
          <w:color w:val="auto"/>
        </w:rPr>
        <w:tab/>
      </w:r>
      <w:r>
        <w:rPr>
          <w:rFonts w:ascii="Courier New" w:cs="Courier New" w:eastAsia="Courier New" w:hAnsi="Courier New"/>
          <w:sz w:val="15"/>
          <w:szCs w:val="15"/>
          <w:color w:val="auto"/>
        </w:rPr>
        <w:t>Australian Ctic mark</w:t>
      </w:r>
      <w:r>
        <w:rPr>
          <w:sz w:val="20"/>
          <w:szCs w:val="20"/>
          <w:color w:val="auto"/>
        </w:rPr>
        <w:tab/>
      </w:r>
      <w:r>
        <w:rPr>
          <w:rFonts w:ascii="Courier New" w:cs="Courier New" w:eastAsia="Courier New" w:hAnsi="Courier New"/>
          <w:sz w:val="15"/>
          <w:szCs w:val="15"/>
          <w:color w:val="auto"/>
        </w:rPr>
        <w:t>Yes</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Class 1 Laser Product</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Taiwan EMI license number</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Taiwan BCIQ notice</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GOST label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642" w:right="1440" w:bottom="1440" w:gutter="0" w:footer="0" w:header="0"/>
        </w:sectPr>
      </w:pP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LABEL PLACEMENT: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The label must be placed on the top center of chassis, readable from front side</w:t>
      </w:r>
    </w:p>
    <w:p>
      <w:pPr>
        <w:spacing w:after="0" w:line="175" w:lineRule="exact"/>
        <w:rPr>
          <w:sz w:val="20"/>
          <w:szCs w:val="20"/>
          <w:color w:val="auto"/>
        </w:rPr>
      </w:pPr>
    </w:p>
    <w:p>
      <w:pPr>
        <w:sectPr>
          <w:pgSz w:w="11900" w:h="16838" w:orient="portrait"/>
          <w:cols w:equalWidth="0" w:num="2">
            <w:col w:w="2187" w:space="540"/>
            <w:col w:w="7499"/>
          </w:cols>
          <w:pgMar w:left="233" w:top="642" w:right="1440" w:bottom="1440" w:gutter="0" w:footer="0" w:header="0"/>
          <w:type w:val="continuous"/>
        </w:sectPr>
      </w:pPr>
    </w:p>
    <w:p>
      <w:pPr>
        <w:ind w:left="727"/>
        <w:spacing w:after="0"/>
        <w:rPr>
          <w:sz w:val="20"/>
          <w:szCs w:val="20"/>
          <w:color w:val="auto"/>
        </w:rPr>
      </w:pPr>
      <w:r>
        <w:rPr>
          <w:rFonts w:ascii="Courier New" w:cs="Courier New" w:eastAsia="Courier New" w:hAnsi="Courier New"/>
          <w:sz w:val="15"/>
          <w:szCs w:val="15"/>
          <w:color w:val="auto"/>
        </w:rPr>
        <w:t>LABEL 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 Wude X 2.9" High with .06" Radius Rounded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Corners (Bay Area Labels Die #234-FR)</w:t>
      </w:r>
    </w:p>
    <w:p>
      <w:pPr>
        <w:spacing w:after="0" w:line="180" w:lineRule="exact"/>
        <w:rPr>
          <w:sz w:val="20"/>
          <w:szCs w:val="20"/>
          <w:color w:val="auto"/>
        </w:rPr>
      </w:pPr>
    </w:p>
    <w:p>
      <w:pPr>
        <w:sectPr>
          <w:pgSz w:w="11900" w:h="16838" w:orient="portrait"/>
          <w:cols w:equalWidth="0" w:num="2">
            <w:col w:w="2007" w:space="720"/>
            <w:col w:w="7499"/>
          </w:cols>
          <w:pgMar w:left="233" w:top="642" w:right="1440" w:bottom="1440" w:gutter="0" w:footer="0" w:header="0"/>
          <w:type w:val="continuous"/>
        </w:sectPr>
      </w:pPr>
    </w:p>
    <w:p>
      <w:pPr>
        <w:ind w:left="727"/>
        <w:spacing w:after="0"/>
        <w:rPr>
          <w:sz w:val="20"/>
          <w:szCs w:val="20"/>
          <w:color w:val="auto"/>
        </w:rPr>
      </w:pPr>
      <w:r>
        <w:rPr>
          <w:rFonts w:ascii="Courier New" w:cs="Courier New" w:eastAsia="Courier New" w:hAnsi="Courier New"/>
          <w:sz w:val="15"/>
          <w:szCs w:val="15"/>
          <w:color w:val="auto"/>
        </w:rPr>
        <w:t>LABEL MATERIAL TYPE:</w:t>
      </w:r>
    </w:p>
    <w:p>
      <w:pPr>
        <w:spacing w:after="0" w:line="20" w:lineRule="exact"/>
        <w:rPr>
          <w:sz w:val="20"/>
          <w:szCs w:val="20"/>
          <w:color w:val="auto"/>
        </w:rPr>
      </w:pPr>
      <w:r>
        <w:rPr>
          <w:sz w:val="20"/>
          <w:szCs w:val="20"/>
          <w:color w:val="auto"/>
        </w:rPr>
        <w:br w:type="column"/>
      </w:r>
    </w:p>
    <w:p>
      <w:pPr>
        <w:ind w:right="3419"/>
        <w:spacing w:after="0" w:line="247" w:lineRule="auto"/>
        <w:rPr>
          <w:sz w:val="20"/>
          <w:szCs w:val="20"/>
          <w:color w:val="auto"/>
        </w:rPr>
      </w:pPr>
      <w:r>
        <w:rPr>
          <w:rFonts w:ascii="Courier New" w:cs="Courier New" w:eastAsia="Courier New" w:hAnsi="Courier New"/>
          <w:sz w:val="15"/>
          <w:szCs w:val="15"/>
          <w:color w:val="auto"/>
        </w:rPr>
        <w:t>.002" white heavy coat mylar base stock with .002" thick permanent acrylic adhesive. Laminate: .001" transparent matte mylar.</w:t>
      </w:r>
    </w:p>
    <w:p>
      <w:pPr>
        <w:spacing w:after="0" w:line="174" w:lineRule="exact"/>
        <w:rPr>
          <w:sz w:val="20"/>
          <w:szCs w:val="20"/>
          <w:color w:val="auto"/>
        </w:rPr>
      </w:pPr>
    </w:p>
    <w:p>
      <w:pPr>
        <w:sectPr>
          <w:pgSz w:w="11900" w:h="16838" w:orient="portrait"/>
          <w:cols w:equalWidth="0" w:num="2">
            <w:col w:w="2547" w:space="180"/>
            <w:col w:w="7499"/>
          </w:cols>
          <w:pgMar w:left="233" w:top="642" w:right="1440" w:bottom="1440" w:gutter="0" w:footer="0" w:header="0"/>
          <w:type w:val="continuous"/>
        </w:sectPr>
      </w:pPr>
    </w:p>
    <w:p>
      <w:pPr>
        <w:ind w:left="727"/>
        <w:spacing w:after="0"/>
        <w:rPr>
          <w:sz w:val="20"/>
          <w:szCs w:val="20"/>
          <w:color w:val="auto"/>
        </w:rPr>
      </w:pPr>
      <w:r>
        <w:rPr>
          <w:rFonts w:ascii="Courier New" w:cs="Courier New" w:eastAsia="Courier New" w:hAnsi="Courier New"/>
          <w:sz w:val="15"/>
          <w:szCs w:val="15"/>
          <w:color w:val="auto"/>
        </w:rPr>
        <w:t>COLOR: Background, White</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GRAPHICS &amp; TEXT: Black</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BARCODE: Barcode shall be code 3 of 9</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HP Product Label (includes HP regulatory label)</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BROCADE WILL PLACE "S/N LABEL" AS SHOWN ABOVE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Product Label Placement (includes HP regulatory label)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606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5"/>
          <w:szCs w:val="15"/>
          <w:color w:val="auto"/>
        </w:rPr>
        <w:t>Page: 9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2" w:right="1440" w:bottom="1440" w:gutter="0" w:footer="0" w:header="0"/>
          <w:type w:val="continuous"/>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367" w:space="720"/>
            <w:col w:w="4139"/>
          </w:cols>
          <w:pgMar w:left="23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447" w:right="2959" w:hanging="447"/>
        <w:spacing w:after="0" w:line="247" w:lineRule="auto"/>
        <w:tabs>
          <w:tab w:leader="none" w:pos="44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97" w:name="page98"/>
    <w:bookmarkEnd w:id="97"/>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10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98" w:name="page99"/>
    <w:bookmarkEnd w:id="98"/>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4.2.2. PACKAGING LABEL</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BROCADE SHIPPING LABEL</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Label Content:</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 CODE</w:t>
      </w:r>
    </w:p>
    <w:p>
      <w:pPr>
        <w:spacing w:after="0" w:line="5" w:lineRule="exact"/>
        <w:rPr>
          <w:sz w:val="20"/>
          <w:szCs w:val="20"/>
          <w:color w:val="auto"/>
        </w:rPr>
      </w:pPr>
    </w:p>
    <w:p>
      <w:pPr>
        <w:ind w:left="1267"/>
        <w:spacing w:after="0"/>
        <w:tabs>
          <w:tab w:leader="none" w:pos="3706" w:val="left"/>
          <w:tab w:leader="none" w:pos="6346"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5"/>
          <w:szCs w:val="15"/>
          <w:color w:val="auto"/>
        </w:rPr>
        <w:t>HUMAN READABLE</w:t>
      </w:r>
      <w:r>
        <w:rPr>
          <w:sz w:val="20"/>
          <w:szCs w:val="20"/>
          <w:color w:val="auto"/>
        </w:rPr>
        <w:tab/>
      </w:r>
      <w:r>
        <w:rPr>
          <w:rFonts w:ascii="Courier New" w:cs="Courier New" w:eastAsia="Courier New" w:hAnsi="Courier New"/>
          <w:sz w:val="15"/>
          <w:szCs w:val="15"/>
          <w:color w:val="auto"/>
        </w:rPr>
        <w:t>(BARCODE=CODE 3 OF 9)</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547"/>
        <w:spacing w:after="0"/>
        <w:tabs>
          <w:tab w:leader="none" w:pos="2706" w:val="left"/>
          <w:tab w:leader="none" w:pos="7426" w:val="left"/>
        </w:tabs>
        <w:rPr>
          <w:sz w:val="20"/>
          <w:szCs w:val="20"/>
          <w:color w:val="auto"/>
        </w:rPr>
      </w:pPr>
      <w:r>
        <w:rPr>
          <w:rFonts w:ascii="Courier New" w:cs="Courier New" w:eastAsia="Courier New" w:hAnsi="Courier New"/>
          <w:sz w:val="15"/>
          <w:szCs w:val="15"/>
          <w:color w:val="auto"/>
        </w:rPr>
        <w:t>Product Description</w:t>
      </w:r>
      <w:r>
        <w:rPr>
          <w:sz w:val="20"/>
          <w:szCs w:val="20"/>
          <w:color w:val="auto"/>
        </w:rPr>
        <w:tab/>
      </w:r>
      <w:r>
        <w:rPr>
          <w:rFonts w:ascii="Courier New" w:cs="Courier New" w:eastAsia="Courier New" w:hAnsi="Courier New"/>
          <w:sz w:val="15"/>
          <w:szCs w:val="15"/>
          <w:color w:val="auto"/>
        </w:rPr>
        <w:t>"16 Port Fibre Channel Switch"</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7"/>
        <w:spacing w:after="0"/>
        <w:tabs>
          <w:tab w:leader="none" w:pos="2706" w:val="left"/>
          <w:tab w:leader="none" w:pos="7346" w:val="left"/>
        </w:tabs>
        <w:rPr>
          <w:sz w:val="20"/>
          <w:szCs w:val="20"/>
          <w:color w:val="auto"/>
        </w:rPr>
      </w:pPr>
      <w:r>
        <w:rPr>
          <w:rFonts w:ascii="Courier New" w:cs="Courier New" w:eastAsia="Courier New" w:hAnsi="Courier New"/>
          <w:sz w:val="15"/>
          <w:szCs w:val="15"/>
          <w:color w:val="auto"/>
        </w:rPr>
        <w:t>Serial number</w:t>
      </w:r>
      <w:r>
        <w:rPr>
          <w:sz w:val="20"/>
          <w:szCs w:val="20"/>
          <w:color w:val="auto"/>
        </w:rPr>
        <w:tab/>
      </w:r>
      <w:r>
        <w:rPr>
          <w:rFonts w:ascii="Courier New" w:cs="Courier New" w:eastAsia="Courier New" w:hAnsi="Courier New"/>
          <w:sz w:val="15"/>
          <w:szCs w:val="15"/>
          <w:color w:val="auto"/>
        </w:rPr>
        <w:t>"Serial: DN00XXXXXXX"</w:t>
      </w:r>
      <w:r>
        <w:rPr>
          <w:sz w:val="20"/>
          <w:szCs w:val="20"/>
          <w:color w:val="auto"/>
        </w:rPr>
        <w:tab/>
      </w:r>
      <w:r>
        <w:rPr>
          <w:rFonts w:ascii="Courier New" w:cs="Courier New" w:eastAsia="Courier New" w:hAnsi="Courier New"/>
          <w:sz w:val="14"/>
          <w:szCs w:val="14"/>
          <w:color w:val="auto"/>
        </w:rPr>
        <w:t>Yes</w:t>
      </w:r>
    </w:p>
    <w:p>
      <w:pPr>
        <w:spacing w:after="0" w:line="5" w:lineRule="exact"/>
        <w:rPr>
          <w:sz w:val="20"/>
          <w:szCs w:val="20"/>
          <w:color w:val="auto"/>
        </w:rPr>
      </w:pPr>
    </w:p>
    <w:p>
      <w:pPr>
        <w:ind w:left="2727"/>
        <w:spacing w:after="0"/>
        <w:tabs>
          <w:tab w:leader="none" w:pos="7066" w:val="left"/>
        </w:tabs>
        <w:rPr>
          <w:sz w:val="20"/>
          <w:szCs w:val="20"/>
          <w:color w:val="auto"/>
        </w:rPr>
      </w:pPr>
      <w:r>
        <w:rPr>
          <w:rFonts w:ascii="Courier New" w:cs="Courier New" w:eastAsia="Courier New" w:hAnsi="Courier New"/>
          <w:sz w:val="15"/>
          <w:szCs w:val="15"/>
          <w:color w:val="auto"/>
        </w:rPr>
        <w:t>(see section 4.4/below for requirements)</w:t>
      </w:r>
      <w:r>
        <w:rPr>
          <w:sz w:val="20"/>
          <w:szCs w:val="20"/>
          <w:color w:val="auto"/>
        </w:rPr>
        <w:tab/>
      </w:r>
      <w:r>
        <w:rPr>
          <w:rFonts w:ascii="Courier New" w:cs="Courier New" w:eastAsia="Courier New" w:hAnsi="Courier New"/>
          <w:sz w:val="15"/>
          <w:szCs w:val="15"/>
          <w:color w:val="auto"/>
        </w:rPr>
        <w:t>See Below</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7" w:right="2319"/>
        <w:spacing w:after="0" w:line="246" w:lineRule="auto"/>
        <w:rPr>
          <w:sz w:val="20"/>
          <w:szCs w:val="20"/>
          <w:color w:val="auto"/>
        </w:rPr>
      </w:pPr>
      <w:r>
        <w:rPr>
          <w:rFonts w:ascii="Courier New" w:cs="Courier New" w:eastAsia="Courier New" w:hAnsi="Courier New"/>
          <w:sz w:val="15"/>
          <w:szCs w:val="15"/>
          <w:color w:val="auto"/>
        </w:rPr>
        <w:t>Internal Manufacturing "INTERNAL HP Mfg Part Number: Yes Part Number A5624-62001" See Below</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7"/>
        <w:spacing w:after="0"/>
        <w:tabs>
          <w:tab w:leader="none" w:pos="2706" w:val="left"/>
          <w:tab w:leader="none" w:pos="7346" w:val="left"/>
        </w:tabs>
        <w:rPr>
          <w:sz w:val="20"/>
          <w:szCs w:val="20"/>
          <w:color w:val="auto"/>
        </w:rPr>
      </w:pPr>
      <w:r>
        <w:rPr>
          <w:rFonts w:ascii="Courier New" w:cs="Courier New" w:eastAsia="Courier New" w:hAnsi="Courier New"/>
          <w:sz w:val="15"/>
          <w:szCs w:val="15"/>
          <w:color w:val="auto"/>
        </w:rPr>
        <w:t>Regulatory Marking</w:t>
      </w:r>
      <w:r>
        <w:rPr>
          <w:sz w:val="20"/>
          <w:szCs w:val="20"/>
          <w:color w:val="auto"/>
        </w:rPr>
        <w:tab/>
      </w:r>
      <w:r>
        <w:rPr>
          <w:rFonts w:ascii="Courier New" w:cs="Courier New" w:eastAsia="Courier New" w:hAnsi="Courier New"/>
          <w:sz w:val="15"/>
          <w:szCs w:val="15"/>
          <w:color w:val="auto"/>
        </w:rPr>
        <w:t>CE. See below for CE Label/Regulatory</w:t>
      </w:r>
      <w:r>
        <w:rPr>
          <w:sz w:val="20"/>
          <w:szCs w:val="20"/>
          <w:color w:val="auto"/>
        </w:rPr>
        <w:tab/>
      </w:r>
      <w:r>
        <w:rPr>
          <w:rFonts w:ascii="Courier New" w:cs="Courier New" w:eastAsia="Courier New" w:hAnsi="Courier New"/>
          <w:sz w:val="14"/>
          <w:szCs w:val="14"/>
          <w:color w:val="auto"/>
        </w:rPr>
        <w:t>None.</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Marking.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LABEL PLACEMENT: Enclosure Packaging labels should go on the</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LABEL SIZE:</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LABEL MATERIAL:</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RIBBON: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OUTSIDE of the container box. Two (1) labels should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printed and placed on the container box. The label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should be placed in the UPPER RIGHT HAND CORNER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opposite sides of the switch packing box (SEE BELOW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PLACEMENT). This label should ALWAYS BE VISIBLE when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viewing a corner.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3.5"-4" Wide X 4.8"-6" High. NOTE: "CE" label size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 X 2"High +/-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THT-25-402-1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R6107 Thermal Transfer</w:t>
      </w:r>
    </w:p>
    <w:p>
      <w:pPr>
        <w:spacing w:after="0" w:line="180" w:lineRule="exact"/>
        <w:rPr>
          <w:sz w:val="20"/>
          <w:szCs w:val="20"/>
          <w:color w:val="auto"/>
        </w:rPr>
      </w:pPr>
    </w:p>
    <w:p>
      <w:pPr>
        <w:sectPr>
          <w:pgSz w:w="11900" w:h="16838" w:orient="portrait"/>
          <w:cols w:equalWidth="0" w:num="2">
            <w:col w:w="2087" w:space="180"/>
            <w:col w:w="7959"/>
          </w:cols>
          <w:pgMar w:left="233" w:top="643" w:right="1440" w:bottom="1440" w:gutter="0" w:footer="0" w:header="0"/>
          <w:type w:val="continuous"/>
        </w:sectPr>
      </w:pPr>
    </w:p>
    <w:p>
      <w:pPr>
        <w:ind w:left="727"/>
        <w:spacing w:after="0"/>
        <w:rPr>
          <w:sz w:val="20"/>
          <w:szCs w:val="20"/>
          <w:color w:val="auto"/>
        </w:rPr>
      </w:pPr>
      <w:r>
        <w:rPr>
          <w:rFonts w:ascii="Courier New" w:cs="Courier New" w:eastAsia="Courier New" w:hAnsi="Courier New"/>
          <w:sz w:val="15"/>
          <w:szCs w:val="15"/>
          <w:color w:val="auto"/>
        </w:rPr>
        <w:t>Brocade Shipping Label</w:t>
      </w:r>
    </w:p>
    <w:p>
      <w:pPr>
        <w:spacing w:after="0" w:line="35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329"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Brocade Shipping Label Placement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11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type w:val="continuous"/>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447" w:right="2959" w:hanging="447"/>
        <w:spacing w:after="0" w:line="247" w:lineRule="auto"/>
        <w:tabs>
          <w:tab w:leader="none" w:pos="44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99" w:name="page100"/>
    <w:bookmarkEnd w:id="99"/>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12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2"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5" w:lineRule="exact"/>
        <w:rPr>
          <w:sz w:val="20"/>
          <w:szCs w:val="20"/>
          <w:color w:val="auto"/>
        </w:rPr>
      </w:pPr>
    </w:p>
    <w:p>
      <w:pPr>
        <w:sectPr>
          <w:pgSz w:w="11900" w:h="16838" w:orient="portrait"/>
          <w:cols w:equalWidth="0" w:num="2">
            <w:col w:w="5287" w:space="720"/>
            <w:col w:w="4219"/>
          </w:cols>
          <w:pgMar w:left="23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447" w:right="2959" w:hanging="447"/>
        <w:spacing w:after="0" w:line="247" w:lineRule="auto"/>
        <w:tabs>
          <w:tab w:leader="none" w:pos="44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100" w:name="page101"/>
    <w:bookmarkEnd w:id="100"/>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HP SHIPPING LABEL</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LABEL CONTENT:</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8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 CODE</w:t>
      </w:r>
    </w:p>
    <w:p>
      <w:pPr>
        <w:spacing w:after="0" w:line="5" w:lineRule="exact"/>
        <w:rPr>
          <w:sz w:val="20"/>
          <w:szCs w:val="20"/>
          <w:color w:val="auto"/>
        </w:rPr>
      </w:pPr>
    </w:p>
    <w:p>
      <w:pPr>
        <w:ind w:left="727"/>
        <w:spacing w:after="0"/>
        <w:tabs>
          <w:tab w:leader="none" w:pos="3426" w:val="left"/>
          <w:tab w:leader="none" w:pos="6346"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5"/>
          <w:szCs w:val="15"/>
          <w:color w:val="auto"/>
        </w:rPr>
        <w:t>HUMAN READABLE</w:t>
      </w:r>
      <w:r>
        <w:rPr>
          <w:sz w:val="20"/>
          <w:szCs w:val="20"/>
          <w:color w:val="auto"/>
        </w:rPr>
        <w:tab/>
      </w:r>
      <w:r>
        <w:rPr>
          <w:rFonts w:ascii="Courier New" w:cs="Courier New" w:eastAsia="Courier New" w:hAnsi="Courier New"/>
          <w:sz w:val="15"/>
          <w:szCs w:val="15"/>
          <w:color w:val="auto"/>
        </w:rPr>
        <w:t>BARCODE=CODE 3 OF 9)</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1986" w:val="left"/>
          <w:tab w:leader="none" w:pos="7066" w:val="left"/>
        </w:tabs>
        <w:rPr>
          <w:sz w:val="20"/>
          <w:szCs w:val="20"/>
          <w:color w:val="auto"/>
        </w:rPr>
      </w:pPr>
      <w:r>
        <w:rPr>
          <w:rFonts w:ascii="Courier New" w:cs="Courier New" w:eastAsia="Courier New" w:hAnsi="Courier New"/>
          <w:sz w:val="15"/>
          <w:szCs w:val="15"/>
          <w:color w:val="auto"/>
        </w:rPr>
        <w:t>HP Logo</w:t>
      </w:r>
      <w:r>
        <w:rPr>
          <w:sz w:val="20"/>
          <w:szCs w:val="20"/>
          <w:color w:val="auto"/>
        </w:rPr>
        <w:tab/>
      </w:r>
      <w:r>
        <w:rPr>
          <w:rFonts w:ascii="Courier New" w:cs="Courier New" w:eastAsia="Courier New" w:hAnsi="Courier New"/>
          <w:sz w:val="15"/>
          <w:szCs w:val="15"/>
          <w:color w:val="auto"/>
        </w:rPr>
        <w:t>Yes, per HP Corporate Standards</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1986" w:val="left"/>
          <w:tab w:leader="none" w:pos="7066" w:val="left"/>
        </w:tabs>
        <w:rPr>
          <w:sz w:val="20"/>
          <w:szCs w:val="20"/>
          <w:color w:val="auto"/>
        </w:rPr>
      </w:pPr>
      <w:r>
        <w:rPr>
          <w:rFonts w:ascii="Courier New" w:cs="Courier New" w:eastAsia="Courier New" w:hAnsi="Courier New"/>
          <w:sz w:val="15"/>
          <w:szCs w:val="15"/>
          <w:color w:val="auto"/>
        </w:rPr>
        <w:t>Product Description</w:t>
      </w:r>
      <w:r>
        <w:rPr>
          <w:sz w:val="20"/>
          <w:szCs w:val="20"/>
          <w:color w:val="auto"/>
        </w:rPr>
        <w:tab/>
      </w:r>
      <w:r>
        <w:rPr>
          <w:rFonts w:ascii="Courier New" w:cs="Courier New" w:eastAsia="Courier New" w:hAnsi="Courier New"/>
          <w:sz w:val="15"/>
          <w:szCs w:val="15"/>
          <w:color w:val="auto"/>
        </w:rPr>
        <w:t>"16 Port Fibre Channel Switch"</w:t>
      </w:r>
      <w:r>
        <w:rPr>
          <w:sz w:val="20"/>
          <w:szCs w:val="20"/>
          <w:color w:val="auto"/>
        </w:rPr>
        <w:tab/>
      </w:r>
      <w:r>
        <w:rPr>
          <w:rFonts w:ascii="Courier New" w:cs="Courier New" w:eastAsia="Courier New" w:hAnsi="Courier New"/>
          <w:sz w:val="15"/>
          <w:szCs w:val="15"/>
          <w:color w:val="auto"/>
        </w:rPr>
        <w:t>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007" w:right="2599" w:hanging="6815"/>
        <w:spacing w:after="0" w:line="243" w:lineRule="auto"/>
        <w:tabs>
          <w:tab w:leader="none" w:pos="1986" w:val="left"/>
        </w:tabs>
        <w:rPr>
          <w:sz w:val="20"/>
          <w:szCs w:val="20"/>
          <w:color w:val="auto"/>
        </w:rPr>
      </w:pPr>
      <w:r>
        <w:rPr>
          <w:rFonts w:ascii="Courier New" w:cs="Courier New" w:eastAsia="Courier New" w:hAnsi="Courier New"/>
          <w:sz w:val="15"/>
          <w:szCs w:val="15"/>
          <w:color w:val="auto"/>
        </w:rPr>
        <w:t>Model number</w:t>
      </w:r>
      <w:r>
        <w:rPr>
          <w:sz w:val="20"/>
          <w:szCs w:val="20"/>
          <w:color w:val="auto"/>
        </w:rPr>
        <w:tab/>
      </w:r>
      <w:r>
        <w:rPr>
          <w:rFonts w:ascii="Courier New" w:cs="Courier New" w:eastAsia="Courier New" w:hAnsi="Courier New"/>
          <w:sz w:val="15"/>
          <w:szCs w:val="15"/>
          <w:color w:val="auto"/>
        </w:rPr>
        <w:t>"Model: A5624A/AZ" Yes See Below</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2007" w:right="2599" w:hanging="1998"/>
        <w:spacing w:after="0" w:line="246" w:lineRule="auto"/>
        <w:tabs>
          <w:tab w:leader="none" w:pos="1986" w:val="left"/>
        </w:tabs>
        <w:rPr>
          <w:sz w:val="20"/>
          <w:szCs w:val="20"/>
          <w:color w:val="auto"/>
        </w:rPr>
      </w:pPr>
      <w:r>
        <w:rPr>
          <w:rFonts w:ascii="Courier New" w:cs="Courier New" w:eastAsia="Courier New" w:hAnsi="Courier New"/>
          <w:sz w:val="15"/>
          <w:szCs w:val="15"/>
          <w:color w:val="auto"/>
        </w:rPr>
        <w:t>Serial number</w:t>
      </w:r>
      <w:r>
        <w:rPr>
          <w:sz w:val="20"/>
          <w:szCs w:val="20"/>
          <w:color w:val="auto"/>
        </w:rPr>
        <w:tab/>
      </w:r>
      <w:r>
        <w:rPr>
          <w:rFonts w:ascii="Courier New" w:cs="Courier New" w:eastAsia="Courier New" w:hAnsi="Courier New"/>
          <w:sz w:val="15"/>
          <w:szCs w:val="15"/>
          <w:color w:val="auto"/>
        </w:rPr>
        <w:t>"Serial: DN00XXXXXXX" Yes (see section 4.4/below for requirements) See Below</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2007" w:right="2959" w:hanging="1998"/>
        <w:spacing w:after="0" w:line="243" w:lineRule="auto"/>
        <w:tabs>
          <w:tab w:leader="none" w:pos="1986" w:val="left"/>
        </w:tabs>
        <w:rPr>
          <w:sz w:val="20"/>
          <w:szCs w:val="20"/>
          <w:color w:val="auto"/>
        </w:rPr>
      </w:pPr>
      <w:r>
        <w:rPr>
          <w:rFonts w:ascii="Courier New" w:cs="Courier New" w:eastAsia="Courier New" w:hAnsi="Courier New"/>
          <w:sz w:val="15"/>
          <w:szCs w:val="15"/>
          <w:color w:val="auto"/>
        </w:rPr>
        <w:t>"Made In" statement</w:t>
      </w:r>
      <w:r>
        <w:rPr>
          <w:sz w:val="20"/>
          <w:szCs w:val="20"/>
          <w:color w:val="auto"/>
        </w:rPr>
        <w:tab/>
      </w:r>
      <w:r>
        <w:rPr>
          <w:rFonts w:ascii="Courier New" w:cs="Courier New" w:eastAsia="Courier New" w:hAnsi="Courier New"/>
          <w:sz w:val="15"/>
          <w:szCs w:val="15"/>
          <w:color w:val="auto"/>
        </w:rPr>
        <w:t>"Made in USA with Domestic and Foreign NA Components"</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2007" w:right="2959" w:hanging="1998"/>
        <w:spacing w:after="0" w:line="247" w:lineRule="auto"/>
        <w:tabs>
          <w:tab w:leader="none" w:pos="1986" w:val="left"/>
        </w:tabs>
        <w:rPr>
          <w:sz w:val="20"/>
          <w:szCs w:val="20"/>
          <w:color w:val="auto"/>
        </w:rPr>
      </w:pPr>
      <w:r>
        <w:rPr>
          <w:rFonts w:ascii="Courier New" w:cs="Courier New" w:eastAsia="Courier New" w:hAnsi="Courier New"/>
          <w:sz w:val="15"/>
          <w:szCs w:val="15"/>
          <w:color w:val="auto"/>
        </w:rPr>
        <w:t>Regulatory Marking</w:t>
      </w:r>
      <w:r>
        <w:rPr>
          <w:sz w:val="20"/>
          <w:szCs w:val="20"/>
          <w:color w:val="auto"/>
        </w:rPr>
        <w:tab/>
      </w:r>
      <w:r>
        <w:rPr>
          <w:rFonts w:ascii="Courier New" w:cs="Courier New" w:eastAsia="Courier New" w:hAnsi="Courier New"/>
          <w:sz w:val="15"/>
          <w:szCs w:val="15"/>
          <w:color w:val="auto"/>
        </w:rPr>
        <w:t>Chinese Address Label NA NOTE: Chinese Address label to be added on 3/1/99 at HP/One Site Solution on shipments to China only.</w:t>
      </w:r>
    </w:p>
    <w:p>
      <w:pPr>
        <w:spacing w:after="0" w:line="174" w:lineRule="exact"/>
        <w:rPr>
          <w:sz w:val="20"/>
          <w:szCs w:val="20"/>
          <w:color w:val="auto"/>
        </w:rPr>
      </w:pPr>
    </w:p>
    <w:p>
      <w:pPr>
        <w:ind w:left="187" w:hanging="187"/>
        <w:spacing w:after="0"/>
        <w:tabs>
          <w:tab w:leader="none" w:pos="1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13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468"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5" w:lineRule="exact"/>
        <w:rPr>
          <w:sz w:val="20"/>
          <w:szCs w:val="20"/>
          <w:color w:val="auto"/>
        </w:rPr>
      </w:pPr>
    </w:p>
    <w:p>
      <w:pPr>
        <w:sectPr>
          <w:pgSz w:w="11900" w:h="16838" w:orient="portrait"/>
          <w:cols w:equalWidth="0" w:num="2">
            <w:col w:w="5287" w:space="720"/>
            <w:col w:w="4219"/>
          </w:cols>
          <w:pgMar w:left="233" w:top="468"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447" w:right="2959" w:hanging="447"/>
        <w:spacing w:after="0" w:line="247" w:lineRule="auto"/>
        <w:tabs>
          <w:tab w:leader="none" w:pos="44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type w:val="continuous"/>
        </w:sectPr>
      </w:pPr>
    </w:p>
    <w:bookmarkStart w:id="101" w:name="page102"/>
    <w:bookmarkEnd w:id="101"/>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spacing w:after="0"/>
        <w:tabs>
          <w:tab w:leader="none" w:pos="134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 FRU PURCHASED PARTS PACKAGING LABELING</w:t>
      </w:r>
    </w:p>
    <w:p>
      <w:pPr>
        <w:spacing w:after="0" w:line="180"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The table below describes the appropriate labeling for the product itself and for the packaging label for the products packaging. Note: The standard Brocade serial number format is acceptable for the [*] supplied parts.</w:t>
      </w:r>
    </w:p>
    <w:p>
      <w:pPr>
        <w:spacing w:after="0" w:line="200" w:lineRule="exact"/>
        <w:rPr>
          <w:sz w:val="20"/>
          <w:szCs w:val="20"/>
          <w:color w:val="auto"/>
        </w:rPr>
      </w:pPr>
    </w:p>
    <w:p>
      <w:pPr>
        <w:spacing w:after="0" w:line="324" w:lineRule="exact"/>
        <w:rPr>
          <w:sz w:val="20"/>
          <w:szCs w:val="20"/>
          <w:color w:val="auto"/>
        </w:rPr>
      </w:pPr>
    </w:p>
    <w:p>
      <w:pPr>
        <w:ind w:left="187" w:hanging="187"/>
        <w:spacing w:after="0"/>
        <w:tabs>
          <w:tab w:leader="none" w:pos="18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PART</w:t>
      </w:r>
    </w:p>
    <w:p>
      <w:pPr>
        <w:spacing w:after="0" w:line="5" w:lineRule="exact"/>
        <w:rPr>
          <w:sz w:val="20"/>
          <w:szCs w:val="20"/>
          <w:color w:val="auto"/>
        </w:rPr>
      </w:pPr>
    </w:p>
    <w:p>
      <w:pPr>
        <w:ind w:left="7" w:right="1959" w:firstLine="1999"/>
        <w:spacing w:after="0" w:line="246" w:lineRule="auto"/>
        <w:rPr>
          <w:sz w:val="20"/>
          <w:szCs w:val="20"/>
          <w:color w:val="auto"/>
        </w:rPr>
      </w:pPr>
      <w:r>
        <w:rPr>
          <w:rFonts w:ascii="Courier New" w:cs="Courier New" w:eastAsia="Courier New" w:hAnsi="Courier New"/>
          <w:sz w:val="15"/>
          <w:szCs w:val="15"/>
          <w:color w:val="auto"/>
        </w:rPr>
        <w:t>NUMBER INFORMATION REQUIRED ON INFORMATION REQUIRED ON PART DESCRIPTION (NEW PART) PRODUCT LABEL PACKAGING LABEL</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447"/>
        <w:spacing w:after="0"/>
        <w:tabs>
          <w:tab w:leader="none" w:pos="4526" w:val="left"/>
          <w:tab w:leader="none" w:pos="6346" w:val="left"/>
          <w:tab w:leader="none" w:pos="7426" w:val="left"/>
        </w:tabs>
        <w:rPr>
          <w:sz w:val="20"/>
          <w:szCs w:val="20"/>
          <w:color w:val="auto"/>
        </w:rPr>
      </w:pPr>
      <w:r>
        <w:rPr>
          <w:rFonts w:ascii="Courier New" w:cs="Courier New" w:eastAsia="Courier New" w:hAnsi="Courier New"/>
          <w:sz w:val="15"/>
          <w:szCs w:val="15"/>
          <w:color w:val="auto"/>
        </w:rPr>
        <w:t>HP P/N</w:t>
      </w:r>
      <w:r>
        <w:rPr>
          <w:sz w:val="20"/>
          <w:szCs w:val="20"/>
          <w:color w:val="auto"/>
        </w:rPr>
        <w:tab/>
      </w:r>
      <w:r>
        <w:rPr>
          <w:rFonts w:ascii="Courier New" w:cs="Courier New" w:eastAsia="Courier New" w:hAnsi="Courier New"/>
          <w:sz w:val="15"/>
          <w:szCs w:val="15"/>
          <w:color w:val="auto"/>
        </w:rPr>
        <w:t>SERIAL NUMBER</w:t>
      </w:r>
      <w:r>
        <w:rPr>
          <w:sz w:val="20"/>
          <w:szCs w:val="20"/>
          <w:color w:val="auto"/>
        </w:rPr>
        <w:tab/>
      </w:r>
      <w:r>
        <w:rPr>
          <w:rFonts w:ascii="Courier New" w:cs="Courier New" w:eastAsia="Courier New" w:hAnsi="Courier New"/>
          <w:sz w:val="15"/>
          <w:szCs w:val="15"/>
          <w:color w:val="auto"/>
        </w:rPr>
        <w:t>HP P/N</w:t>
      </w:r>
      <w:r>
        <w:rPr>
          <w:sz w:val="20"/>
          <w:szCs w:val="20"/>
          <w:color w:val="auto"/>
        </w:rPr>
        <w:tab/>
      </w:r>
      <w:r>
        <w:rPr>
          <w:rFonts w:ascii="Courier New" w:cs="Courier New" w:eastAsia="Courier New" w:hAnsi="Courier New"/>
          <w:sz w:val="15"/>
          <w:szCs w:val="15"/>
          <w:color w:val="auto"/>
        </w:rPr>
        <w:t>SERIAL NUMBER</w:t>
      </w:r>
    </w:p>
    <w:p>
      <w:pPr>
        <w:spacing w:after="0" w:line="5" w:lineRule="exact"/>
        <w:rPr>
          <w:sz w:val="20"/>
          <w:szCs w:val="20"/>
          <w:color w:val="auto"/>
        </w:rPr>
      </w:pPr>
    </w:p>
    <w:p>
      <w:pPr>
        <w:ind w:left="3267"/>
        <w:spacing w:after="0"/>
        <w:tabs>
          <w:tab w:leader="none" w:pos="6166" w:val="left"/>
        </w:tabs>
        <w:rPr>
          <w:sz w:val="20"/>
          <w:szCs w:val="20"/>
          <w:color w:val="auto"/>
        </w:rPr>
      </w:pPr>
      <w:r>
        <w:rPr>
          <w:rFonts w:ascii="Courier New" w:cs="Courier New" w:eastAsia="Courier New" w:hAnsi="Courier New"/>
          <w:sz w:val="15"/>
          <w:szCs w:val="15"/>
          <w:color w:val="auto"/>
        </w:rPr>
        <w:t>(NEW PART)</w:t>
      </w:r>
      <w:r>
        <w:rPr>
          <w:sz w:val="20"/>
          <w:szCs w:val="20"/>
          <w:color w:val="auto"/>
        </w:rPr>
        <w:tab/>
      </w:r>
      <w:r>
        <w:rPr>
          <w:rFonts w:ascii="Courier New" w:cs="Courier New" w:eastAsia="Courier New" w:hAnsi="Courier New"/>
          <w:sz w:val="14"/>
          <w:szCs w:val="14"/>
          <w:color w:val="auto"/>
        </w:rPr>
        <w:t>(NEW PART)</w:t>
      </w:r>
    </w:p>
    <w:p>
      <w:pPr>
        <w:spacing w:after="0" w:line="5"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(HUMAN READABLE (HUMAN READABLE (HUMAN READABLE</w:t>
      </w:r>
    </w:p>
    <w:p>
      <w:pPr>
        <w:spacing w:after="0" w:line="5" w:lineRule="exact"/>
        <w:rPr>
          <w:sz w:val="20"/>
          <w:szCs w:val="20"/>
          <w:color w:val="auto"/>
        </w:rPr>
      </w:pPr>
    </w:p>
    <w:p>
      <w:pPr>
        <w:ind w:left="4727"/>
        <w:spacing w:after="0"/>
        <w:tabs>
          <w:tab w:leader="none" w:pos="6166" w:val="left"/>
          <w:tab w:leader="none" w:pos="7606" w:val="left"/>
        </w:tabs>
        <w:rPr>
          <w:sz w:val="20"/>
          <w:szCs w:val="20"/>
          <w:color w:val="auto"/>
        </w:rPr>
      </w:pPr>
      <w:r>
        <w:rPr>
          <w:rFonts w:ascii="Courier New" w:cs="Courier New" w:eastAsia="Courier New" w:hAnsi="Courier New"/>
          <w:sz w:val="15"/>
          <w:szCs w:val="15"/>
          <w:color w:val="auto"/>
        </w:rPr>
        <w:t>&amp; BAR CODE)</w:t>
      </w:r>
      <w:r>
        <w:rPr>
          <w:sz w:val="20"/>
          <w:szCs w:val="20"/>
          <w:color w:val="auto"/>
        </w:rPr>
        <w:tab/>
      </w:r>
      <w:r>
        <w:rPr>
          <w:rFonts w:ascii="Courier New" w:cs="Courier New" w:eastAsia="Courier New" w:hAnsi="Courier New"/>
          <w:sz w:val="15"/>
          <w:szCs w:val="15"/>
          <w:color w:val="auto"/>
        </w:rPr>
        <w:t>&amp; BAR CODE)</w:t>
      </w:r>
      <w:r>
        <w:rPr>
          <w:sz w:val="20"/>
          <w:szCs w:val="20"/>
          <w:color w:val="auto"/>
        </w:rPr>
        <w:tab/>
      </w:r>
      <w:r>
        <w:rPr>
          <w:rFonts w:ascii="Courier New" w:cs="Courier New" w:eastAsia="Courier New" w:hAnsi="Courier New"/>
          <w:sz w:val="15"/>
          <w:szCs w:val="15"/>
          <w:color w:val="auto"/>
        </w:rPr>
        <w:t>&amp; BAR CODE)</w:t>
      </w:r>
    </w:p>
    <w:p>
      <w:pPr>
        <w:spacing w:after="0" w:line="180"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SEE NOTES BELOW SEE NOTES BELOW SEE NOTES BELOW</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2066" w:val="left"/>
          <w:tab w:leader="none" w:pos="3526" w:val="left"/>
          <w:tab w:leader="none" w:pos="4986" w:val="left"/>
          <w:tab w:leader="none" w:pos="6426" w:val="left"/>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066" w:val="left"/>
          <w:tab w:leader="none" w:pos="3526" w:val="left"/>
          <w:tab w:leader="none" w:pos="4986" w:val="left"/>
          <w:tab w:leader="none" w:pos="6426" w:val="left"/>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066" w:val="left"/>
          <w:tab w:leader="none" w:pos="3526" w:val="left"/>
          <w:tab w:leader="none" w:pos="4986" w:val="left"/>
          <w:tab w:leader="none" w:pos="6426" w:val="left"/>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066" w:val="left"/>
          <w:tab w:leader="none" w:pos="3526" w:val="left"/>
          <w:tab w:leader="none" w:pos="4986" w:val="left"/>
          <w:tab w:leader="none" w:pos="6426" w:val="left"/>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066" w:val="left"/>
          <w:tab w:leader="none" w:pos="3526" w:val="left"/>
          <w:tab w:leader="none" w:pos="4986" w:val="left"/>
          <w:tab w:leader="none" w:pos="6426" w:val="left"/>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066" w:val="left"/>
          <w:tab w:leader="none" w:pos="3526" w:val="left"/>
          <w:tab w:leader="none" w:pos="4986" w:val="left"/>
          <w:tab w:leader="none" w:pos="6426" w:val="left"/>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066" w:val="left"/>
          <w:tab w:leader="none" w:pos="3526" w:val="left"/>
          <w:tab w:leader="none" w:pos="4986" w:val="left"/>
          <w:tab w:leader="none" w:pos="6426" w:val="left"/>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7" w:hanging="187"/>
        <w:spacing w:after="0"/>
        <w:tabs>
          <w:tab w:leader="none" w:pos="1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w:t>
      </w:r>
    </w:p>
    <w:p>
      <w:pPr>
        <w:spacing w:after="0" w:line="180" w:lineRule="exact"/>
        <w:rPr>
          <w:sz w:val="20"/>
          <w:szCs w:val="20"/>
          <w:color w:val="auto"/>
        </w:rPr>
      </w:pPr>
    </w:p>
    <w:p>
      <w:pPr>
        <w:ind w:left="727" w:right="3039" w:hanging="727"/>
        <w:spacing w:after="0" w:line="247" w:lineRule="auto"/>
        <w:tabs>
          <w:tab w:leader="none" w:pos="18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"NEW" PARTS SHIPPED TO [*], THE PRODUCT LABEL AND PACKAGING LABEL MUST INCLUDE THE PART'S REPLACEMENT("NEW") PART NUMBER (SEE SECTION 2.2).</w:t>
      </w:r>
    </w:p>
    <w:p>
      <w:pPr>
        <w:spacing w:after="0" w:line="174" w:lineRule="exact"/>
        <w:rPr>
          <w:rFonts w:ascii="Courier New" w:cs="Courier New" w:eastAsia="Courier New" w:hAnsi="Courier New"/>
          <w:sz w:val="15"/>
          <w:szCs w:val="15"/>
          <w:color w:val="auto"/>
        </w:rPr>
      </w:pPr>
    </w:p>
    <w:p>
      <w:pPr>
        <w:ind w:left="727" w:right="3499" w:hanging="727"/>
        <w:spacing w:after="0" w:line="247" w:lineRule="auto"/>
        <w:tabs>
          <w:tab w:leader="none" w:pos="18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"REPAIRED" PARTS SHIPPED TO HP-HSDSL, THE PRODUCT LABEL AND PACKAGING LABEL MUST INCLUDE THE PART'S EXCHANGE ("REPAIRED") PART NUMBER (SEE SECTION 2.2).</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-BARCODE = CODE 3 OF 9</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FRUS TO BE ORDERED FROM BROCADE</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14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447" w:right="2959" w:hanging="447"/>
        <w:spacing w:after="0" w:line="247" w:lineRule="auto"/>
        <w:tabs>
          <w:tab w:leader="none" w:pos="447"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102" w:name="page103"/>
    <w:bookmarkEnd w:id="102"/>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SHIPPING LABEL &amp; PLACEMENT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LABEL PLACEMENT: Enclosure Packaging labels should go on the OUTSIDE</w:t>
      </w:r>
    </w:p>
    <w:p>
      <w:pPr>
        <w:spacing w:after="0" w:line="5" w:lineRule="exact"/>
        <w:rPr>
          <w:sz w:val="20"/>
          <w:szCs w:val="20"/>
          <w:color w:val="auto"/>
        </w:rPr>
      </w:pPr>
    </w:p>
    <w:p>
      <w:pPr>
        <w:ind w:left="1547" w:right="3039"/>
        <w:spacing w:after="0" w:line="246" w:lineRule="auto"/>
        <w:rPr>
          <w:sz w:val="20"/>
          <w:szCs w:val="20"/>
          <w:color w:val="auto"/>
        </w:rPr>
      </w:pPr>
      <w:r>
        <w:rPr>
          <w:rFonts w:ascii="Courier New" w:cs="Courier New" w:eastAsia="Courier New" w:hAnsi="Courier New"/>
          <w:sz w:val="15"/>
          <w:szCs w:val="15"/>
          <w:color w:val="auto"/>
        </w:rPr>
        <w:t>of the container box. One (1) label should be printed and placed on the container box. The label should be placed on the</w:t>
      </w:r>
    </w:p>
    <w:p>
      <w:pPr>
        <w:spacing w:after="0" w:line="1" w:lineRule="exact"/>
        <w:rPr>
          <w:sz w:val="20"/>
          <w:szCs w:val="20"/>
          <w:color w:val="auto"/>
        </w:rPr>
      </w:pPr>
    </w:p>
    <w:p>
      <w:pPr>
        <w:ind w:left="1547" w:right="3219"/>
        <w:spacing w:after="0" w:line="247" w:lineRule="auto"/>
        <w:rPr>
          <w:sz w:val="20"/>
          <w:szCs w:val="20"/>
          <w:color w:val="auto"/>
        </w:rPr>
      </w:pPr>
      <w:r>
        <w:rPr>
          <w:rFonts w:ascii="Courier New" w:cs="Courier New" w:eastAsia="Courier New" w:hAnsi="Courier New"/>
          <w:sz w:val="15"/>
          <w:szCs w:val="15"/>
          <w:color w:val="auto"/>
        </w:rPr>
        <w:t>RIGHT SIDE OF THE BOX/UPPER RIGHT HAND CORNER (SEE BELOW FOR PLACEMENT).</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This label should ALWAYS BE VISIBLE when viewing a corner.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LABEL SIZE: 3.5" -4" Wide X 4.8" -6" High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LABEL MATERIAL: Brady THT-25-402-1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RIBBON: Brady R6107 Thermal Transfer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SHIPPING LABEL (NEW PART)</w:t>
      </w:r>
    </w:p>
    <w:p>
      <w:pPr>
        <w:spacing w:after="0" w:line="35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15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2"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5" w:lineRule="exact"/>
        <w:rPr>
          <w:sz w:val="20"/>
          <w:szCs w:val="20"/>
          <w:color w:val="auto"/>
        </w:rPr>
      </w:pPr>
    </w:p>
    <w:p>
      <w:pPr>
        <w:sectPr>
          <w:pgSz w:w="11900" w:h="16838" w:orient="portrait"/>
          <w:cols w:equalWidth="0" w:num="2">
            <w:col w:w="5287" w:space="720"/>
            <w:col w:w="4219"/>
          </w:cols>
          <w:pgMar w:left="23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103" w:name="page104"/>
    <w:bookmarkEnd w:id="103"/>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SHIPPING LABEL (REPAIRED PART)</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16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104" w:name="page105"/>
    <w:bookmarkEnd w:id="104"/>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SHIPPING LABEL PLACEMENT (NEW PART)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FAN ASSEMBLY</w:t>
      </w:r>
    </w:p>
    <w:p>
      <w:pPr>
        <w:spacing w:after="0" w:line="200" w:lineRule="exact"/>
        <w:rPr>
          <w:sz w:val="20"/>
          <w:szCs w:val="20"/>
          <w:color w:val="auto"/>
        </w:rPr>
      </w:pPr>
    </w:p>
    <w:p>
      <w:pPr>
        <w:spacing w:after="0" w:line="329"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17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105" w:name="page106"/>
    <w:bookmarkEnd w:id="105"/>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LABEL (NEW PART)</w:t>
      </w:r>
    </w:p>
    <w:p>
      <w:pPr>
        <w:spacing w:after="0" w:line="35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LABEL (REPAIRED PART)</w:t>
      </w:r>
    </w:p>
    <w:p>
      <w:pPr>
        <w:spacing w:after="0" w:line="35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18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2"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106" w:name="page107"/>
    <w:bookmarkEnd w:id="106"/>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FRU PART NUMBER LABEL PLACEMENT(NEW PARTS/Fan Assembly &amp; Power Supply are not repaired)</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FAN ASSEMBLY/POWER SUPPLY</w:t>
      </w:r>
    </w:p>
    <w:p>
      <w:pPr>
        <w:spacing w:after="0" w:line="35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19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107" w:name="page108"/>
    <w:bookmarkEnd w:id="107"/>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PART NUMBER LABEL PLACEMENT(NEW AND REPAIRED PARTS)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MOTHERBOARD</w:t>
      </w:r>
    </w:p>
    <w:p>
      <w:pPr>
        <w:spacing w:after="0" w:line="200" w:lineRule="exact"/>
        <w:rPr>
          <w:sz w:val="20"/>
          <w:szCs w:val="20"/>
          <w:color w:val="auto"/>
        </w:rPr>
      </w:pPr>
    </w:p>
    <w:p>
      <w:pPr>
        <w:spacing w:after="0" w:line="329"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20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2"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5" w:lineRule="exact"/>
        <w:rPr>
          <w:sz w:val="20"/>
          <w:szCs w:val="20"/>
          <w:color w:val="auto"/>
        </w:rPr>
      </w:pPr>
    </w:p>
    <w:p>
      <w:pPr>
        <w:sectPr>
          <w:pgSz w:w="11900" w:h="16838" w:orient="portrait"/>
          <w:cols w:equalWidth="0" w:num="2">
            <w:col w:w="5287" w:space="720"/>
            <w:col w:w="4219"/>
          </w:cols>
          <w:pgMar w:left="23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108" w:name="page109"/>
    <w:bookmarkEnd w:id="108"/>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PART NUMBER LABEL PLACEMENT(NEW PARTS/Chassis is not repaired)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CHASSIS</w:t>
      </w:r>
    </w:p>
    <w:p>
      <w:pPr>
        <w:spacing w:after="0" w:line="35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21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2"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109" w:name="page110"/>
    <w:bookmarkEnd w:id="109"/>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SERIAL NUMBER REQUIREMENTS</w:t>
      </w:r>
    </w:p>
    <w:p>
      <w:pPr>
        <w:spacing w:after="0" w:line="180"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4.3.1. BROCADE SERIAL NUMBER</w:t>
      </w:r>
    </w:p>
    <w:p>
      <w:pPr>
        <w:spacing w:after="0" w:line="180" w:lineRule="exact"/>
        <w:rPr>
          <w:sz w:val="20"/>
          <w:szCs w:val="20"/>
          <w:color w:val="auto"/>
        </w:rPr>
      </w:pPr>
    </w:p>
    <w:p>
      <w:pPr>
        <w:ind w:left="1367" w:right="2959"/>
        <w:spacing w:after="0" w:line="246" w:lineRule="auto"/>
        <w:rPr>
          <w:sz w:val="20"/>
          <w:szCs w:val="20"/>
          <w:color w:val="auto"/>
        </w:rPr>
      </w:pPr>
      <w:r>
        <w:rPr>
          <w:rFonts w:ascii="Courier New" w:cs="Courier New" w:eastAsia="Courier New" w:hAnsi="Courier New"/>
          <w:sz w:val="15"/>
          <w:szCs w:val="15"/>
          <w:color w:val="auto"/>
        </w:rPr>
        <w:t>Each switch (A5624-62001) shall have a unique Brocade serial number. The serial number consists of a four-digit prefix and a seven-digit sequential suffix. The serial number will comply with the Brocade format described below.</w:t>
      </w:r>
    </w:p>
    <w:p>
      <w:pPr>
        <w:spacing w:after="0" w:line="177" w:lineRule="exact"/>
        <w:rPr>
          <w:sz w:val="20"/>
          <w:szCs w:val="20"/>
          <w:color w:val="auto"/>
        </w:rPr>
      </w:pPr>
    </w:p>
    <w:p>
      <w:pPr>
        <w:ind w:left="1367"/>
        <w:spacing w:after="0"/>
        <w:tabs>
          <w:tab w:leader="none" w:pos="4606" w:val="left"/>
        </w:tabs>
        <w:rPr>
          <w:sz w:val="20"/>
          <w:szCs w:val="20"/>
          <w:color w:val="auto"/>
        </w:rPr>
      </w:pPr>
      <w:r>
        <w:rPr>
          <w:rFonts w:ascii="Courier New" w:cs="Courier New" w:eastAsia="Courier New" w:hAnsi="Courier New"/>
          <w:sz w:val="15"/>
          <w:szCs w:val="15"/>
          <w:color w:val="auto"/>
        </w:rPr>
        <w:t>SERIAL NUMBER FORMAT:</w:t>
      </w:r>
      <w:r>
        <w:rPr>
          <w:sz w:val="20"/>
          <w:szCs w:val="20"/>
          <w:color w:val="auto"/>
        </w:rPr>
        <w:tab/>
      </w:r>
      <w:r>
        <w:rPr>
          <w:rFonts w:ascii="Courier New" w:cs="Courier New" w:eastAsia="Courier New" w:hAnsi="Courier New"/>
          <w:sz w:val="15"/>
          <w:szCs w:val="15"/>
          <w:color w:val="auto"/>
        </w:rPr>
        <w:t>CCCC 1234567</w:t>
      </w:r>
    </w:p>
    <w:p>
      <w:pPr>
        <w:spacing w:after="0" w:line="180" w:lineRule="exact"/>
        <w:rPr>
          <w:sz w:val="20"/>
          <w:szCs w:val="20"/>
          <w:color w:val="auto"/>
        </w:rPr>
      </w:pPr>
    </w:p>
    <w:p>
      <w:pPr>
        <w:ind w:left="2627" w:right="4499" w:hanging="627"/>
        <w:spacing w:after="0" w:line="247" w:lineRule="auto"/>
        <w:tabs>
          <w:tab w:leader="none" w:pos="244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defines the Product Code for [*] The product code for [*] is "DN00"</w:t>
      </w:r>
    </w:p>
    <w:p>
      <w:pPr>
        <w:spacing w:after="0" w:line="175" w:lineRule="exact"/>
        <w:rPr>
          <w:sz w:val="20"/>
          <w:szCs w:val="20"/>
          <w:color w:val="auto"/>
        </w:rPr>
      </w:pPr>
    </w:p>
    <w:p>
      <w:pPr>
        <w:jc w:val="center"/>
        <w:ind w:right="1952"/>
        <w:spacing w:after="0"/>
        <w:rPr>
          <w:sz w:val="20"/>
          <w:szCs w:val="20"/>
          <w:color w:val="auto"/>
        </w:rPr>
      </w:pPr>
      <w:r>
        <w:rPr>
          <w:rFonts w:ascii="Courier New" w:cs="Courier New" w:eastAsia="Courier New" w:hAnsi="Courier New"/>
          <w:sz w:val="15"/>
          <w:szCs w:val="15"/>
          <w:color w:val="auto"/>
        </w:rPr>
        <w:t>1234567 is a sequential counter. (Alphanumeric)</w:t>
      </w:r>
    </w:p>
    <w:p>
      <w:pPr>
        <w:spacing w:after="0" w:line="180" w:lineRule="exact"/>
        <w:rPr>
          <w:sz w:val="20"/>
          <w:szCs w:val="20"/>
          <w:color w:val="auto"/>
        </w:rPr>
      </w:pPr>
    </w:p>
    <w:p>
      <w:pPr>
        <w:ind w:left="1367" w:right="2959"/>
        <w:spacing w:after="0" w:line="246" w:lineRule="auto"/>
        <w:rPr>
          <w:sz w:val="20"/>
          <w:szCs w:val="20"/>
          <w:color w:val="auto"/>
        </w:rPr>
      </w:pPr>
      <w:r>
        <w:rPr>
          <w:rFonts w:ascii="Courier New" w:cs="Courier New" w:eastAsia="Courier New" w:hAnsi="Courier New"/>
          <w:sz w:val="15"/>
          <w:szCs w:val="15"/>
          <w:color w:val="auto"/>
        </w:rPr>
        <w:t>This serial number will be generated by Brocade who will make sure to use all numbers of the sequential counter and prevent any double use of a number. Also, each hardware/software change to the product will have to be approved by the HP-ESBU Materials Engineer. Traceability is mandatory with this serial number. BROCADE serial number will appear in two places</w:t>
      </w:r>
    </w:p>
    <w:p>
      <w:pPr>
        <w:spacing w:after="0" w:line="4"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-BROCADE regulatory label (see section 4.2.1 for label placement)</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-HP product label (see section 4.2.1 for label placement)</w:t>
      </w:r>
    </w:p>
    <w:p>
      <w:pPr>
        <w:spacing w:after="0" w:line="180"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4.3.2. OTHER SERIAL NUMBERS</w:t>
      </w:r>
    </w:p>
    <w:p>
      <w:pPr>
        <w:spacing w:after="0" w:line="180" w:lineRule="exact"/>
        <w:rPr>
          <w:sz w:val="20"/>
          <w:szCs w:val="20"/>
          <w:color w:val="auto"/>
        </w:rPr>
      </w:pPr>
    </w:p>
    <w:p>
      <w:pPr>
        <w:ind w:left="1367" w:right="2959"/>
        <w:spacing w:after="0" w:line="247" w:lineRule="auto"/>
        <w:rPr>
          <w:sz w:val="20"/>
          <w:szCs w:val="20"/>
          <w:color w:val="auto"/>
        </w:rPr>
      </w:pPr>
      <w:r>
        <w:rPr>
          <w:rFonts w:ascii="Courier New" w:cs="Courier New" w:eastAsia="Courier New" w:hAnsi="Courier New"/>
          <w:sz w:val="15"/>
          <w:szCs w:val="15"/>
          <w:color w:val="auto"/>
        </w:rPr>
        <w:t>Brocade shall ensure that any other serial numbers applied to components are unique and are traceable to the top level assembly (A5624-62001) serial number.</w:t>
      </w:r>
    </w:p>
    <w:p>
      <w:pPr>
        <w:spacing w:after="0" w:line="174" w:lineRule="exact"/>
        <w:rPr>
          <w:sz w:val="20"/>
          <w:szCs w:val="20"/>
          <w:color w:val="auto"/>
        </w:rPr>
      </w:pPr>
    </w:p>
    <w:p>
      <w:pPr>
        <w:ind w:left="727"/>
        <w:spacing w:after="0"/>
        <w:tabs>
          <w:tab w:leader="none" w:pos="1346"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BAR CODE REQUIREMENTS:</w:t>
      </w:r>
    </w:p>
    <w:p>
      <w:pPr>
        <w:spacing w:after="0" w:line="180" w:lineRule="exact"/>
        <w:rPr>
          <w:sz w:val="20"/>
          <w:szCs w:val="20"/>
          <w:color w:val="auto"/>
        </w:rPr>
      </w:pPr>
    </w:p>
    <w:p>
      <w:pPr>
        <w:ind w:left="1367" w:right="3139" w:hanging="640"/>
        <w:spacing w:after="0" w:line="246" w:lineRule="auto"/>
        <w:tabs>
          <w:tab w:leader="none" w:pos="1367"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bar code symbol bar shall be Code 39 (also known as "Code 3 of 9") as specified by the AIM Uniform Symbology Specification Code 39.</w:t>
      </w:r>
    </w:p>
    <w:p>
      <w:pPr>
        <w:spacing w:after="0" w:line="1" w:lineRule="exact"/>
        <w:rPr>
          <w:rFonts w:ascii="Courier New" w:cs="Courier New" w:eastAsia="Courier New" w:hAnsi="Courier New"/>
          <w:sz w:val="15"/>
          <w:szCs w:val="15"/>
          <w:color w:val="auto"/>
        </w:rPr>
      </w:pPr>
    </w:p>
    <w:p>
      <w:pPr>
        <w:ind w:left="1367" w:right="3039" w:hanging="640"/>
        <w:spacing w:after="0" w:line="246" w:lineRule="auto"/>
        <w:tabs>
          <w:tab w:leader="none" w:pos="1367"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symbol bar shall start with a minimum "Quiet Zone" of .25 inches and an asterisk "Start" character ( * in Code 39). The symbol shall end in the asterisk followed again by a minimum .25 inches of "Quiet Zone".</w:t>
      </w:r>
    </w:p>
    <w:p>
      <w:pPr>
        <w:spacing w:after="0" w:line="2" w:lineRule="exact"/>
        <w:rPr>
          <w:rFonts w:ascii="Courier New" w:cs="Courier New" w:eastAsia="Courier New" w:hAnsi="Courier New"/>
          <w:sz w:val="15"/>
          <w:szCs w:val="15"/>
          <w:color w:val="auto"/>
        </w:rPr>
      </w:pPr>
    </w:p>
    <w:p>
      <w:pPr>
        <w:ind w:left="1367" w:hanging="640"/>
        <w:spacing w:after="0"/>
        <w:tabs>
          <w:tab w:leader="none" w:pos="1367"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bar code height shall be .125 inches (minimum).</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SPECIFICATIONS</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Firmware Revision and EPL Info</w:t>
      </w:r>
    </w:p>
    <w:p>
      <w:pPr>
        <w:spacing w:after="0" w:line="179" w:lineRule="exact"/>
        <w:rPr>
          <w:rFonts w:ascii="Courier New" w:cs="Courier New" w:eastAsia="Courier New" w:hAnsi="Courier New"/>
          <w:sz w:val="15"/>
          <w:szCs w:val="15"/>
          <w:color w:val="auto"/>
        </w:rPr>
      </w:pPr>
    </w:p>
    <w:p>
      <w:pPr>
        <w:ind w:left="1367" w:right="2959" w:hanging="640"/>
        <w:spacing w:after="0" w:line="247" w:lineRule="auto"/>
        <w:tabs>
          <w:tab w:leader="none" w:pos="1367"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fibre channel gigabit switch shall have the firmware revision 2.1.2 as of December 2, 1999.</w:t>
      </w:r>
    </w:p>
    <w:p>
      <w:pPr>
        <w:spacing w:after="0" w:line="174" w:lineRule="exact"/>
        <w:rPr>
          <w:rFonts w:ascii="Courier New" w:cs="Courier New" w:eastAsia="Courier New" w:hAnsi="Courier New"/>
          <w:sz w:val="15"/>
          <w:szCs w:val="15"/>
          <w:color w:val="auto"/>
        </w:rPr>
      </w:pPr>
    </w:p>
    <w:p>
      <w:pPr>
        <w:ind w:left="1367" w:hanging="640"/>
        <w:spacing w:after="0"/>
        <w:tabs>
          <w:tab w:leader="none" w:pos="1367"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shall enable EPL mode in all switches shipped to HP.</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22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179" w:lineRule="exact"/>
        <w:rPr>
          <w:sz w:val="20"/>
          <w:szCs w:val="20"/>
          <w:color w:val="auto"/>
        </w:rPr>
      </w:pPr>
    </w:p>
    <w:p>
      <w:pPr>
        <w:sectPr>
          <w:pgSz w:w="11900" w:h="16838" w:orient="portrait"/>
          <w:cols w:equalWidth="0" w:num="2">
            <w:col w:w="5287" w:space="720"/>
            <w:col w:w="42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110" w:name="page111"/>
    <w:bookmarkEnd w:id="110"/>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spacing w:after="0"/>
        <w:tabs>
          <w:tab w:leader="none" w:pos="134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HP COLOR AND TEXTURE INFORMATION</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SHEET METAL CHASSIS</w:t>
      </w:r>
    </w:p>
    <w:p>
      <w:pPr>
        <w:spacing w:after="0" w:line="180" w:lineRule="exact"/>
        <w:rPr>
          <w:sz w:val="20"/>
          <w:szCs w:val="20"/>
          <w:color w:val="auto"/>
        </w:rPr>
      </w:pPr>
    </w:p>
    <w:p>
      <w:pPr>
        <w:jc w:val="both"/>
        <w:ind w:left="1367" w:right="3319" w:hanging="640"/>
        <w:spacing w:after="0" w:line="247" w:lineRule="auto"/>
        <w:tabs>
          <w:tab w:leader="none" w:pos="136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fibre channel gigabit switch shall have the WARM GREY color per Brocade standard part number "CARDINAL PAINT, [*]".</w:t>
      </w:r>
    </w:p>
    <w:p>
      <w:pPr>
        <w:spacing w:after="0" w:line="174" w:lineRule="exact"/>
        <w:rPr>
          <w:rFonts w:ascii="Courier New" w:cs="Courier New" w:eastAsia="Courier New" w:hAnsi="Courier New"/>
          <w:sz w:val="15"/>
          <w:szCs w:val="15"/>
          <w:color w:val="auto"/>
        </w:rPr>
      </w:pPr>
    </w:p>
    <w:p>
      <w:pPr>
        <w:ind w:left="1367" w:hanging="640"/>
        <w:spacing w:after="0"/>
        <w:tabs>
          <w:tab w:leader="none" w:pos="136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texture shall be [*] per Brocade part number [*]</w:t>
      </w:r>
    </w:p>
    <w:p>
      <w:pPr>
        <w:spacing w:after="0" w:line="179" w:lineRule="exact"/>
        <w:rPr>
          <w:rFonts w:ascii="Courier New" w:cs="Courier New" w:eastAsia="Courier New" w:hAnsi="Courier New"/>
          <w:sz w:val="15"/>
          <w:szCs w:val="15"/>
          <w:color w:val="auto"/>
        </w:rPr>
      </w:pPr>
    </w:p>
    <w:p>
      <w:pPr>
        <w:ind w:left="1367" w:right="3599" w:hanging="640"/>
        <w:spacing w:after="0" w:line="247" w:lineRule="auto"/>
        <w:tabs>
          <w:tab w:leader="none" w:pos="136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parts of the switch shall have the color and texture specifications above:</w:t>
      </w:r>
    </w:p>
    <w:p>
      <w:pPr>
        <w:spacing w:after="0" w:line="174" w:lineRule="exact"/>
        <w:rPr>
          <w:rFonts w:ascii="Courier New" w:cs="Courier New" w:eastAsia="Courier New" w:hAnsi="Courier New"/>
          <w:sz w:val="15"/>
          <w:szCs w:val="15"/>
          <w:color w:val="auto"/>
        </w:rPr>
      </w:pPr>
    </w:p>
    <w:p>
      <w:pPr>
        <w:ind w:left="2007" w:hanging="644"/>
        <w:spacing w:after="0"/>
        <w:tabs>
          <w:tab w:leader="none" w:pos="2007"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Top cover assembly</w:t>
      </w:r>
    </w:p>
    <w:p>
      <w:pPr>
        <w:spacing w:after="0" w:line="179" w:lineRule="exact"/>
        <w:rPr>
          <w:rFonts w:ascii="Courier New" w:cs="Courier New" w:eastAsia="Courier New" w:hAnsi="Courier New"/>
          <w:sz w:val="15"/>
          <w:szCs w:val="15"/>
          <w:color w:val="auto"/>
        </w:rPr>
      </w:pPr>
    </w:p>
    <w:p>
      <w:pPr>
        <w:ind w:left="2007" w:hanging="644"/>
        <w:spacing w:after="0"/>
        <w:tabs>
          <w:tab w:leader="none" w:pos="2007"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Switch chassis</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PLASTIC BEZELS</w:t>
      </w:r>
    </w:p>
    <w:p>
      <w:pPr>
        <w:spacing w:after="0" w:line="180" w:lineRule="exact"/>
        <w:rPr>
          <w:sz w:val="20"/>
          <w:szCs w:val="20"/>
          <w:color w:val="auto"/>
        </w:rPr>
      </w:pPr>
    </w:p>
    <w:p>
      <w:pPr>
        <w:ind w:left="1367" w:right="3039" w:hanging="640"/>
        <w:spacing w:after="0" w:line="247" w:lineRule="auto"/>
        <w:tabs>
          <w:tab w:leader="none" w:pos="136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plastic color shall have the color per Brocade standard part number [*]</w:t>
      </w:r>
    </w:p>
    <w:p>
      <w:pPr>
        <w:spacing w:after="0" w:line="174" w:lineRule="exact"/>
        <w:rPr>
          <w:rFonts w:ascii="Courier New" w:cs="Courier New" w:eastAsia="Courier New" w:hAnsi="Courier New"/>
          <w:sz w:val="15"/>
          <w:szCs w:val="15"/>
          <w:color w:val="auto"/>
        </w:rPr>
      </w:pPr>
    </w:p>
    <w:p>
      <w:pPr>
        <w:ind w:left="1367" w:right="3319" w:hanging="640"/>
        <w:spacing w:after="0" w:line="247" w:lineRule="auto"/>
        <w:tabs>
          <w:tab w:leader="none" w:pos="136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plastic molds shall be textured per Brocade standard part number "[*]</w:t>
      </w:r>
    </w:p>
    <w:p>
      <w:pPr>
        <w:spacing w:after="0" w:line="174" w:lineRule="exact"/>
        <w:rPr>
          <w:rFonts w:ascii="Courier New" w:cs="Courier New" w:eastAsia="Courier New" w:hAnsi="Courier New"/>
          <w:sz w:val="15"/>
          <w:szCs w:val="15"/>
          <w:color w:val="auto"/>
        </w:rPr>
      </w:pPr>
    </w:p>
    <w:p>
      <w:pPr>
        <w:ind w:left="1367" w:hanging="640"/>
        <w:spacing w:after="0"/>
        <w:tabs>
          <w:tab w:leader="none" w:pos="136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plastic shall be per Brocade standard part number [*].</w:t>
      </w:r>
    </w:p>
    <w:p>
      <w:pPr>
        <w:spacing w:after="0" w:line="179" w:lineRule="exact"/>
        <w:rPr>
          <w:rFonts w:ascii="Courier New" w:cs="Courier New" w:eastAsia="Courier New" w:hAnsi="Courier New"/>
          <w:sz w:val="15"/>
          <w:szCs w:val="15"/>
          <w:color w:val="auto"/>
        </w:rPr>
      </w:pPr>
    </w:p>
    <w:p>
      <w:pPr>
        <w:ind w:left="1367" w:right="3139" w:hanging="640"/>
        <w:spacing w:after="0" w:line="247" w:lineRule="auto"/>
        <w:tabs>
          <w:tab w:leader="none" w:pos="136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plastic bezels that are molded in color (plastic) shall have the color and texture specifications above:</w:t>
      </w:r>
    </w:p>
    <w:p>
      <w:pPr>
        <w:spacing w:after="0" w:line="174" w:lineRule="exact"/>
        <w:rPr>
          <w:rFonts w:ascii="Courier New" w:cs="Courier New" w:eastAsia="Courier New" w:hAnsi="Courier New"/>
          <w:sz w:val="15"/>
          <w:szCs w:val="15"/>
          <w:color w:val="auto"/>
        </w:rPr>
      </w:pPr>
    </w:p>
    <w:p>
      <w:pPr>
        <w:ind w:left="2007" w:hanging="644"/>
        <w:spacing w:after="0"/>
        <w:tabs>
          <w:tab w:leader="none" w:pos="2007"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Display Bezel</w:t>
      </w:r>
    </w:p>
    <w:p>
      <w:pPr>
        <w:spacing w:after="0" w:line="179" w:lineRule="exact"/>
        <w:rPr>
          <w:rFonts w:ascii="Courier New" w:cs="Courier New" w:eastAsia="Courier New" w:hAnsi="Courier New"/>
          <w:sz w:val="15"/>
          <w:szCs w:val="15"/>
          <w:color w:val="auto"/>
        </w:rPr>
      </w:pPr>
    </w:p>
    <w:p>
      <w:pPr>
        <w:ind w:left="2007" w:hanging="644"/>
        <w:spacing w:after="0"/>
        <w:tabs>
          <w:tab w:leader="none" w:pos="2007"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Supply Bezel</w:t>
      </w:r>
    </w:p>
    <w:p>
      <w:pPr>
        <w:spacing w:after="0" w:line="179" w:lineRule="exact"/>
        <w:rPr>
          <w:rFonts w:ascii="Courier New" w:cs="Courier New" w:eastAsia="Courier New" w:hAnsi="Courier New"/>
          <w:sz w:val="15"/>
          <w:szCs w:val="15"/>
          <w:color w:val="auto"/>
        </w:rPr>
      </w:pPr>
    </w:p>
    <w:p>
      <w:pPr>
        <w:ind w:left="2007" w:hanging="644"/>
        <w:spacing w:after="0"/>
        <w:tabs>
          <w:tab w:leader="none" w:pos="2007"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Mainboard Bezel</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2986" w:val="left"/>
          <w:tab w:leader="none" w:pos="5986" w:val="left"/>
        </w:tabs>
        <w:rPr>
          <w:sz w:val="20"/>
          <w:szCs w:val="20"/>
          <w:color w:val="auto"/>
        </w:rPr>
      </w:pPr>
      <w:r>
        <w:rPr>
          <w:rFonts w:ascii="Courier New" w:cs="Courier New" w:eastAsia="Courier New" w:hAnsi="Courier New"/>
          <w:sz w:val="15"/>
          <w:szCs w:val="15"/>
          <w:color w:val="auto"/>
        </w:rPr>
        <w:t>Printed: 02/02/00</w:t>
      </w:r>
      <w:r>
        <w:rPr>
          <w:sz w:val="20"/>
          <w:szCs w:val="20"/>
          <w:color w:val="auto"/>
        </w:rPr>
        <w:tab/>
      </w:r>
      <w:r>
        <w:rPr>
          <w:rFonts w:ascii="Courier New" w:cs="Courier New" w:eastAsia="Courier New" w:hAnsi="Courier New"/>
          <w:sz w:val="15"/>
          <w:szCs w:val="15"/>
          <w:color w:val="auto"/>
        </w:rPr>
        <w:t>EXHIBIT (A-3)</w:t>
      </w:r>
      <w:r>
        <w:rPr>
          <w:sz w:val="20"/>
          <w:szCs w:val="20"/>
          <w:color w:val="auto"/>
        </w:rPr>
        <w:tab/>
      </w:r>
      <w:r>
        <w:rPr>
          <w:rFonts w:ascii="Courier New" w:cs="Courier New" w:eastAsia="Courier New" w:hAnsi="Courier New"/>
          <w:sz w:val="14"/>
          <w:szCs w:val="14"/>
          <w:color w:val="auto"/>
        </w:rPr>
        <w:t>Page: 23 of 23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FIBRE CHANNEL GIGABIT SWITCH CONFIGURATION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SPECIFICATIONS DOCUMENT</w:t>
      </w:r>
    </w:p>
    <w:p>
      <w:pPr>
        <w:sectPr>
          <w:pgSz w:w="11900" w:h="16838" w:orient="portrait"/>
          <w:cols w:equalWidth="0" w:num="1">
            <w:col w:w="10226"/>
          </w:cols>
          <w:pgMar w:left="233" w:top="642"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File Name:[*]</w:t>
      </w:r>
    </w:p>
    <w:p>
      <w:pPr>
        <w:spacing w:after="0" w:line="5" w:lineRule="exact"/>
        <w:rPr>
          <w:sz w:val="20"/>
          <w:szCs w:val="20"/>
          <w:color w:val="auto"/>
        </w:rPr>
      </w:pPr>
    </w:p>
    <w:p>
      <w:pPr>
        <w:sectPr>
          <w:pgSz w:w="11900" w:h="16838" w:orient="portrait"/>
          <w:cols w:equalWidth="0" w:num="2">
            <w:col w:w="5287" w:space="720"/>
            <w:col w:w="4219"/>
          </w:cols>
          <w:pgMar w:left="23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111" w:name="page112"/>
    <w:bookmarkEnd w:id="111"/>
    <w:p>
      <w:pPr>
        <w:jc w:val="center"/>
        <w:ind w:right="285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5"/>
          <w:szCs w:val="15"/>
          <w:color w:val="auto"/>
        </w:rPr>
        <w:t>ELIGIBLE PURCHASERS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Boeblingen Computer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Operation Division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Herrenberger Strasse 130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71034 Boeblingen Germany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 Foothills Blvd.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Roseville, CA 95747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Global Support Logistics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Support Division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1731 Aviation BLVD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BLDG L7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Lincoln, CA 95648</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19"/>
          </w:cols>
          <w:pgMar w:left="240" w:top="642" w:right="1440" w:bottom="1440" w:gutter="0" w:footer="0" w:header="0"/>
        </w:sectPr>
      </w:pPr>
    </w:p>
    <w:bookmarkStart w:id="112" w:name="page113"/>
    <w:bookmarkEnd w:id="112"/>
    <w:p>
      <w:pPr>
        <w:ind w:left="3187"/>
        <w:spacing w:after="0"/>
        <w:rPr>
          <w:sz w:val="20"/>
          <w:szCs w:val="20"/>
          <w:color w:val="auto"/>
        </w:rPr>
      </w:pPr>
      <w:r>
        <w:rPr>
          <w:rFonts w:ascii="Courier New" w:cs="Courier New" w:eastAsia="Courier New" w:hAnsi="Courier New"/>
          <w:sz w:val="15"/>
          <w:szCs w:val="15"/>
          <w:color w:val="auto"/>
        </w:rPr>
        <w:t>EXHIBIT (C)</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PRICING AND FEES</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OEM PRODUCT PRICING.</w:t>
      </w:r>
    </w:p>
    <w:p>
      <w:pPr>
        <w:spacing w:after="0" w:line="5" w:lineRule="exact"/>
        <w:rPr>
          <w:sz w:val="20"/>
          <w:szCs w:val="20"/>
          <w:color w:val="auto"/>
        </w:rPr>
      </w:pPr>
    </w:p>
    <w:p>
      <w:pPr>
        <w:jc w:val="both"/>
        <w:ind w:left="7" w:right="3219"/>
        <w:spacing w:after="0" w:line="247" w:lineRule="auto"/>
        <w:rPr>
          <w:sz w:val="20"/>
          <w:szCs w:val="20"/>
          <w:color w:val="auto"/>
        </w:rPr>
      </w:pPr>
      <w:r>
        <w:rPr>
          <w:rFonts w:ascii="Courier New" w:cs="Courier New" w:eastAsia="Courier New" w:hAnsi="Courier New"/>
          <w:sz w:val="15"/>
          <w:szCs w:val="15"/>
          <w:color w:val="auto"/>
        </w:rPr>
        <w:t>Subject to the terms and conditions of Agreement the per-unit pricing for OEM Product and Parts made available by Supplier to HP under this Agreement is as follows:</w:t>
      </w:r>
    </w:p>
    <w:p>
      <w:pPr>
        <w:spacing w:after="0" w:line="174" w:lineRule="exact"/>
        <w:rPr>
          <w:sz w:val="20"/>
          <w:szCs w:val="20"/>
          <w:color w:val="auto"/>
        </w:rPr>
      </w:pPr>
    </w:p>
    <w:p>
      <w:pPr>
        <w:jc w:val="both"/>
        <w:ind w:left="7" w:right="3219"/>
        <w:spacing w:after="0" w:line="247" w:lineRule="auto"/>
        <w:rPr>
          <w:sz w:val="20"/>
          <w:szCs w:val="20"/>
          <w:color w:val="auto"/>
        </w:rPr>
      </w:pPr>
      <w:r>
        <w:rPr>
          <w:rFonts w:ascii="Courier New" w:cs="Courier New" w:eastAsia="Courier New" w:hAnsi="Courier New"/>
          <w:sz w:val="15"/>
          <w:szCs w:val="15"/>
          <w:color w:val="auto"/>
        </w:rPr>
        <w:t>Brocade pricing is [*] for the 2802 and [*] for the 2401. There will be a [*] per switch Brocade [*] offered in the event [*].</w:t>
      </w:r>
    </w:p>
    <w:p>
      <w:pPr>
        <w:spacing w:after="0" w:line="200" w:lineRule="exact"/>
        <w:rPr>
          <w:sz w:val="20"/>
          <w:szCs w:val="20"/>
          <w:color w:val="auto"/>
        </w:rPr>
      </w:pPr>
    </w:p>
    <w:p>
      <w:pPr>
        <w:spacing w:after="0" w:line="324"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2580" w:type="dxa"/>
            <w:vAlign w:val="bottom"/>
          </w:tcPr>
          <w:p>
            <w:pPr>
              <w:ind w:left="860"/>
              <w:spacing w:after="0"/>
              <w:rPr>
                <w:sz w:val="20"/>
                <w:szCs w:val="20"/>
                <w:color w:val="auto"/>
              </w:rPr>
            </w:pPr>
            <w:r>
              <w:rPr>
                <w:rFonts w:ascii="Courier New" w:cs="Courier New" w:eastAsia="Courier New" w:hAnsi="Courier New"/>
                <w:sz w:val="15"/>
                <w:szCs w:val="15"/>
                <w:color w:val="auto"/>
              </w:rPr>
              <w:t>Brocade 2802</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Brocade 2401</w:t>
            </w: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w w:val="97"/>
              </w:rPr>
              <w:t>Power</w:t>
            </w:r>
          </w:p>
        </w:tc>
      </w:tr>
      <w:tr>
        <w:trPr>
          <w:trHeight w:val="175"/>
        </w:trPr>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2580" w:type="dxa"/>
            <w:vAlign w:val="bottom"/>
          </w:tcPr>
          <w:p>
            <w:pPr>
              <w:ind w:left="760"/>
              <w:spacing w:after="0"/>
              <w:rPr>
                <w:sz w:val="20"/>
                <w:szCs w:val="20"/>
                <w:color w:val="auto"/>
              </w:rPr>
            </w:pPr>
            <w:r>
              <w:rPr>
                <w:rFonts w:ascii="Courier New" w:cs="Courier New" w:eastAsia="Courier New" w:hAnsi="Courier New"/>
                <w:sz w:val="15"/>
                <w:szCs w:val="15"/>
                <w:color w:val="auto"/>
              </w:rPr>
              <w:t>16 Port Switch</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8 Port Switch</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w w:val="96"/>
              </w:rPr>
              <w:t>Supply</w:t>
            </w:r>
          </w:p>
        </w:tc>
      </w:tr>
      <w:tr>
        <w:trPr>
          <w:trHeight w:val="175"/>
        </w:trPr>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25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w w:val="96"/>
              </w:rPr>
              <w:t>------</w:t>
            </w:r>
          </w:p>
        </w:tc>
      </w:tr>
      <w:tr>
        <w:trPr>
          <w:trHeight w:val="350"/>
        </w:trPr>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25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25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25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25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524"/>
        </w:trPr>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6"/>
              </w:rPr>
              <w:t>[*]</w:t>
            </w:r>
          </w:p>
        </w:tc>
        <w:tc>
          <w:tcPr>
            <w:tcW w:w="2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26"/>
          </w:cols>
          <w:pgMar w:left="233" w:top="643" w:right="1440" w:bottom="1440" w:gutter="0" w:footer="0" w:header="0"/>
        </w:sectPr>
      </w:pPr>
    </w:p>
    <w:bookmarkStart w:id="113" w:name="page114"/>
    <w:bookmarkEnd w:id="113"/>
    <w:p>
      <w:pPr>
        <w:jc w:val="center"/>
        <w:ind w:right="2872"/>
        <w:spacing w:after="0"/>
        <w:rPr>
          <w:sz w:val="20"/>
          <w:szCs w:val="20"/>
          <w:color w:val="auto"/>
        </w:rPr>
      </w:pPr>
      <w:r>
        <w:rPr>
          <w:rFonts w:ascii="Courier New" w:cs="Courier New" w:eastAsia="Courier New" w:hAnsi="Courier New"/>
          <w:sz w:val="15"/>
          <w:szCs w:val="15"/>
          <w:color w:val="auto"/>
        </w:rPr>
        <w:t>EXHIBIT (D)</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MAINTENANCE AND SUPPORT</w:t>
      </w:r>
    </w:p>
    <w:p>
      <w:pPr>
        <w:spacing w:after="0" w:line="180" w:lineRule="exact"/>
        <w:rPr>
          <w:sz w:val="20"/>
          <w:szCs w:val="20"/>
          <w:color w:val="auto"/>
        </w:rPr>
      </w:pPr>
    </w:p>
    <w:p>
      <w:pPr>
        <w:ind w:left="727" w:hanging="727"/>
        <w:spacing w:after="0"/>
        <w:tabs>
          <w:tab w:leader="none" w:pos="7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TERMS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1.1.Scope. Supplier will provide maintenance and support services to HP as specified in these Support Terms to allow HP to provide effective service to end-user customers of the Programs ("Customers"). Unless otherwise agreed, HP will serve as the primary support contact with Customers, and Supplier shall have no direct end-user customer support obligations except as otherwise provided herein. The obligations of each party are specified below.</w:t>
      </w:r>
    </w:p>
    <w:p>
      <w:pPr>
        <w:spacing w:after="0" w:line="180" w:lineRule="exact"/>
        <w:rPr>
          <w:sz w:val="20"/>
          <w:szCs w:val="20"/>
          <w:color w:val="auto"/>
        </w:rPr>
      </w:pPr>
    </w:p>
    <w:p>
      <w:pPr>
        <w:ind w:left="1447" w:right="331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Definitions. The following capitalized terms will have these meanings when used in these Support Terms:</w:t>
      </w:r>
    </w:p>
    <w:p>
      <w:pPr>
        <w:spacing w:after="0" w:line="175" w:lineRule="exact"/>
        <w:rPr>
          <w:sz w:val="20"/>
          <w:szCs w:val="20"/>
          <w:color w:val="auto"/>
        </w:rPr>
      </w:pPr>
    </w:p>
    <w:p>
      <w:pPr>
        <w:ind w:left="2187" w:right="313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1.2.1.</w:t>
        <w:tab/>
        <w:t>"Action Plan" means the initial plan to be created and implemented by Supplier in response to an HP Problem Resolution or Escalation request. At a minimum, the Action Plan must contain the following:</w:t>
      </w:r>
    </w:p>
    <w:p>
      <w:pPr>
        <w:spacing w:after="0" w:line="177"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1.2.2.</w:t>
        <w:tab/>
        <w:t>"Escalation" is the process described in Article 4 below through which HP declares that a Customer situation requires immediate action. Under this process, the nature and severity of the problem is raised in each party's organization and additional resources are allocated as specified in these Support Terms toward solving the problem.</w:t>
      </w:r>
    </w:p>
    <w:p>
      <w:pPr>
        <w:spacing w:after="0" w:line="179"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1.2.3.</w:t>
        <w:tab/>
        <w:t>"Fix" means a change in a Program that removes a problem in that product. A Fix must be designed and tested so that it can be distributed to all Customers. A Fix may be temporary or permanent. A temporary Fix may be a patch or bug fix that temporarily modifies a Program or any software in the product without rebuilding that product. A permanent Fix provides a permanent solution to the problem, agreed upon by both HP and the Supplier.</w:t>
      </w:r>
    </w:p>
    <w:p>
      <w:pPr>
        <w:spacing w:after="0" w:line="180" w:lineRule="exact"/>
        <w:rPr>
          <w:sz w:val="20"/>
          <w:szCs w:val="20"/>
          <w:color w:val="auto"/>
        </w:rPr>
      </w:pPr>
    </w:p>
    <w:p>
      <w:pPr>
        <w:jc w:val="both"/>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1.2.4.</w:t>
        <w:tab/>
        <w:t>"Problem Resolution" is the process described in Article 3 below through which HP submits a Request for Technical Assistance to notify Supplier when a problem (such as a fault or defect) is suspected in a Product. Under this</w:t>
      </w:r>
    </w:p>
    <w:p>
      <w:pPr>
        <w:spacing w:after="0" w:line="200" w:lineRule="exact"/>
        <w:rPr>
          <w:sz w:val="20"/>
          <w:szCs w:val="20"/>
          <w:color w:val="auto"/>
        </w:rPr>
      </w:pPr>
    </w:p>
    <w:p>
      <w:pPr>
        <w:spacing w:after="0" w:line="327" w:lineRule="exact"/>
        <w:rPr>
          <w:sz w:val="20"/>
          <w:szCs w:val="20"/>
          <w:color w:val="auto"/>
        </w:rPr>
      </w:pPr>
    </w:p>
    <w:p>
      <w:pPr>
        <w:ind w:left="447" w:right="2959" w:hanging="447"/>
        <w:spacing w:after="0" w:line="247" w:lineRule="auto"/>
        <w:tabs>
          <w:tab w:leader="none" w:pos="447"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1 of 11</w:t>
      </w:r>
    </w:p>
    <w:p>
      <w:pPr>
        <w:sectPr>
          <w:pgSz w:w="11900" w:h="16838" w:orient="portrait"/>
          <w:cols w:equalWidth="0" w:num="1">
            <w:col w:w="10226"/>
          </w:cols>
          <w:pgMar w:left="233" w:top="642" w:right="1440" w:bottom="1440" w:gutter="0" w:footer="0" w:header="0"/>
        </w:sectPr>
      </w:pPr>
    </w:p>
    <w:bookmarkStart w:id="114" w:name="page115"/>
    <w:bookmarkEnd w:id="114"/>
    <w:p>
      <w:pPr>
        <w:ind w:left="2187"/>
        <w:spacing w:after="0"/>
        <w:rPr>
          <w:sz w:val="20"/>
          <w:szCs w:val="20"/>
          <w:color w:val="auto"/>
        </w:rPr>
      </w:pPr>
      <w:r>
        <w:rPr>
          <w:rFonts w:ascii="Courier New" w:cs="Courier New" w:eastAsia="Courier New" w:hAnsi="Courier New"/>
          <w:sz w:val="15"/>
          <w:szCs w:val="15"/>
          <w:color w:val="auto"/>
        </w:rPr>
        <w:t>process, HP confirms the problem diagnosis with</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Supplier, and the parties cooperate to resolve the</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problem.</w:t>
      </w:r>
    </w:p>
    <w:p>
      <w:pPr>
        <w:spacing w:after="0" w:line="180" w:lineRule="exact"/>
        <w:rPr>
          <w:sz w:val="20"/>
          <w:szCs w:val="20"/>
          <w:color w:val="auto"/>
        </w:rPr>
      </w:pPr>
    </w:p>
    <w:p>
      <w:pPr>
        <w:ind w:left="2187" w:right="3039" w:hanging="726"/>
        <w:spacing w:after="0" w:line="247" w:lineRule="auto"/>
        <w:tabs>
          <w:tab w:leader="none" w:pos="2166" w:val="left"/>
        </w:tabs>
        <w:rPr>
          <w:sz w:val="20"/>
          <w:szCs w:val="20"/>
          <w:color w:val="auto"/>
        </w:rPr>
      </w:pPr>
      <w:r>
        <w:rPr>
          <w:rFonts w:ascii="Courier New" w:cs="Courier New" w:eastAsia="Courier New" w:hAnsi="Courier New"/>
          <w:sz w:val="15"/>
          <w:szCs w:val="15"/>
          <w:color w:val="auto"/>
        </w:rPr>
        <w:t>1.2.5.</w:t>
        <w:tab/>
        <w:t>"Support Information" means Program Service Information and a Knowledge Data Base of known problems related to Supplier's support of Programs.</w:t>
      </w:r>
    </w:p>
    <w:p>
      <w:pPr>
        <w:spacing w:after="0" w:line="174"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1.2.6.</w:t>
        <w:tab/>
        <w:t>"Status Update" means Supplier's summary of the problem, describing the possible cause and the incremental work to be performed to reach resolution, including the Action Plan and the availability date of a Fix.</w:t>
      </w:r>
    </w:p>
    <w:p>
      <w:pPr>
        <w:spacing w:after="0" w:line="177"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1.2.7.</w:t>
        <w:tab/>
        <w:t>"Technical Assistance" is the process described in Article 2 below through which HP obtains assistance from Supplier in the support of Customers. Technical Assistance includes the exchange of information, such as product configuration, product operation, or other necessary answers or assistance to support questions.</w:t>
      </w:r>
    </w:p>
    <w:p>
      <w:pPr>
        <w:spacing w:after="0" w:line="178"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1.2.8.</w:t>
        <w:tab/>
        <w:t>"Tracking System" means an electronic database to be maintained by the parties for updating and communicating information pertaining to Service Requests, Technical Assistance, Problem Resolution and Escalation. The particular type of Tracking System will be mutually determined, as more particularly described in Section 1.7 below.</w:t>
      </w:r>
    </w:p>
    <w:p>
      <w:pPr>
        <w:spacing w:after="0" w:line="179"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1.2.9.</w:t>
        <w:tab/>
        <w:t>"Workaround" means a temporary solution or temporary Fix that restores operational capability for the Product, without severely compromising the performance of that product, until a permanent Fix is available. A Workaround can be a change in the configuration or a change in Customer documentation.</w:t>
      </w:r>
    </w:p>
    <w:p>
      <w:pPr>
        <w:spacing w:after="0" w:line="178" w:lineRule="exact"/>
        <w:rPr>
          <w:sz w:val="20"/>
          <w:szCs w:val="20"/>
          <w:color w:val="auto"/>
        </w:rPr>
      </w:pPr>
    </w:p>
    <w:p>
      <w:pPr>
        <w:ind w:left="1447" w:right="30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General Obligations. Each party agrees to the following general terms:</w:t>
      </w:r>
    </w:p>
    <w:p>
      <w:pPr>
        <w:spacing w:after="0" w:line="175" w:lineRule="exact"/>
        <w:rPr>
          <w:sz w:val="20"/>
          <w:szCs w:val="20"/>
          <w:color w:val="auto"/>
        </w:rPr>
      </w:pPr>
    </w:p>
    <w:p>
      <w:pPr>
        <w:jc w:val="both"/>
        <w:ind w:left="2187" w:right="3599" w:hanging="726"/>
        <w:spacing w:after="0" w:line="247" w:lineRule="auto"/>
        <w:tabs>
          <w:tab w:leader="none" w:pos="2166" w:val="left"/>
        </w:tabs>
        <w:rPr>
          <w:sz w:val="20"/>
          <w:szCs w:val="20"/>
          <w:color w:val="auto"/>
        </w:rPr>
      </w:pPr>
      <w:r>
        <w:rPr>
          <w:rFonts w:ascii="Courier New" w:cs="Courier New" w:eastAsia="Courier New" w:hAnsi="Courier New"/>
          <w:sz w:val="15"/>
          <w:szCs w:val="15"/>
          <w:color w:val="auto"/>
        </w:rPr>
        <w:t>1.3.1.</w:t>
        <w:tab/>
        <w:t>For each Program, Supplier will provide a product support plan incorporating HP's support planning processes and support recommendations.</w:t>
      </w:r>
    </w:p>
    <w:p>
      <w:pPr>
        <w:spacing w:after="0" w:line="174" w:lineRule="exact"/>
        <w:rPr>
          <w:sz w:val="20"/>
          <w:szCs w:val="20"/>
          <w:color w:val="auto"/>
        </w:rPr>
      </w:pPr>
    </w:p>
    <w:p>
      <w:pPr>
        <w:ind w:left="2187" w:right="3139" w:hanging="726"/>
        <w:spacing w:after="0" w:line="247" w:lineRule="auto"/>
        <w:tabs>
          <w:tab w:leader="none" w:pos="2166" w:val="left"/>
        </w:tabs>
        <w:rPr>
          <w:sz w:val="20"/>
          <w:szCs w:val="20"/>
          <w:color w:val="auto"/>
        </w:rPr>
      </w:pPr>
      <w:r>
        <w:rPr>
          <w:rFonts w:ascii="Courier New" w:cs="Courier New" w:eastAsia="Courier New" w:hAnsi="Courier New"/>
          <w:sz w:val="15"/>
          <w:szCs w:val="15"/>
          <w:color w:val="auto"/>
        </w:rPr>
        <w:t>1.3.2.</w:t>
        <w:tab/>
        <w:t>Unless expressly authorized under these Support Terms, neither party will commit resources of the other to Customers.</w:t>
      </w:r>
    </w:p>
    <w:p>
      <w:pPr>
        <w:spacing w:after="0" w:line="174"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1.3.3.</w:t>
        <w:tab/>
        <w:t>Both parties will provide such information to each other as is needed to implement these Support Terms, subject to the confidentiality and licensing provisions of this Agreement. Unless otherwise specified, all such information will be used by the other party solely for its internal use to fulfill its obligations under these Support Terms.</w:t>
      </w:r>
    </w:p>
    <w:p>
      <w:pPr>
        <w:spacing w:after="0" w:line="179"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2 of 11</w:t>
      </w:r>
    </w:p>
    <w:p>
      <w:pPr>
        <w:sectPr>
          <w:pgSz w:w="11900" w:h="16838" w:orient="portrait"/>
          <w:cols w:equalWidth="0" w:num="1">
            <w:col w:w="10226"/>
          </w:cols>
          <w:pgMar w:left="233" w:top="642" w:right="1440" w:bottom="1440" w:gutter="0" w:footer="0" w:header="0"/>
        </w:sectPr>
      </w:pPr>
    </w:p>
    <w:bookmarkStart w:id="115" w:name="page116"/>
    <w:bookmarkEnd w:id="115"/>
    <w:p>
      <w:pPr>
        <w:ind w:left="1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Strategic And Technical Support Contacts. Supplier and HP have each designated in Appendix I a Strategic Support Contact and a Technical Support Contact, which may be one and the same person. The Strategic Support Contacts will be the focal points for general relationship and process issues and will be responsible for managing the overall relationship of the parties. The Technical Support Contacts will be the focal points for Customer technical issues, including Technical Assistance, Problem Resolution and Escalation. Technical and Strategic Support Contacts may be changed at any time upon written notice to the other party.</w:t>
      </w:r>
    </w:p>
    <w:p>
      <w:pPr>
        <w:spacing w:after="0" w:line="181"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Status Review Meetings. Supplier and HP Strategic Support Contacts or their designees will meet on a regular basis for the purpose of reviewing the effectiveness of their support relationship, suggesting changes, implementing improvements and sharing technical information. Meetings will take place at least [*] in the [*] of the Agreement, and at least [*] thereafter.</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Communications Between Parties. Any support-related communications required or permitted to be given under these Support Terms will be made by telephone, or by electronic mail ("e-mail") in a standard format agreed to by the parties, to the appropriate contact.</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Problem Tracking System. The parties agree to implement and maintain a problem tracking database (the "Tracking System") for inputting, accessing and updating information on Requests for Technical Assistance, Problem Resolution and Escalation.</w:t>
      </w:r>
    </w:p>
    <w:p>
      <w:pPr>
        <w:spacing w:after="0" w:line="177"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Response Times. Supplier agrees to respond to HP requests for Technical Assistance, Problem Resolution and Escalation as soon as possible after receipt of the request, but in no event later than the response times specified in Appendix II to these Support Terms, in accordance with the problem classification listings in that Appendix.</w:t>
      </w:r>
    </w:p>
    <w:p>
      <w:pPr>
        <w:spacing w:after="0" w:line="200" w:lineRule="exact"/>
        <w:rPr>
          <w:sz w:val="20"/>
          <w:szCs w:val="20"/>
          <w:color w:val="auto"/>
        </w:rPr>
      </w:pPr>
    </w:p>
    <w:p>
      <w:pPr>
        <w:spacing w:after="0" w:line="328" w:lineRule="exact"/>
        <w:rPr>
          <w:sz w:val="20"/>
          <w:szCs w:val="20"/>
          <w:color w:val="auto"/>
        </w:rPr>
      </w:pPr>
    </w:p>
    <w:p>
      <w:pPr>
        <w:ind w:left="447" w:right="2959" w:hanging="447"/>
        <w:spacing w:after="0" w:line="247" w:lineRule="auto"/>
        <w:tabs>
          <w:tab w:leader="none" w:pos="44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3 of 11</w:t>
      </w:r>
    </w:p>
    <w:p>
      <w:pPr>
        <w:sectPr>
          <w:pgSz w:w="11900" w:h="16838" w:orient="portrait"/>
          <w:cols w:equalWidth="0" w:num="1">
            <w:col w:w="10226"/>
          </w:cols>
          <w:pgMar w:left="233" w:top="642" w:right="1440" w:bottom="1440" w:gutter="0" w:footer="0" w:header="0"/>
        </w:sectPr>
      </w:pPr>
    </w:p>
    <w:bookmarkStart w:id="116" w:name="page117"/>
    <w:bookmarkEnd w:id="116"/>
    <w:p>
      <w:pPr>
        <w:ind w:left="727" w:hanging="727"/>
        <w:spacing w:after="0"/>
        <w:tabs>
          <w:tab w:leader="none" w:pos="72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ASSISTANCE</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2.1.HP Request For Technical Assistance.</w:t>
      </w:r>
    </w:p>
    <w:p>
      <w:pPr>
        <w:spacing w:after="0" w:line="180"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2.1.1.</w:t>
        <w:tab/>
        <w:t>When making a request for Technical Assistance, HP will provide the following information to Supplier: (a) description of the situation; (b) the HP assigned call classification and the HP identification number; and (c) the call back phone number if different from the Technical Support Contact phone number listed in Appendix I.</w:t>
      </w:r>
    </w:p>
    <w:p>
      <w:pPr>
        <w:spacing w:after="0" w:line="179" w:lineRule="exact"/>
        <w:rPr>
          <w:sz w:val="20"/>
          <w:szCs w:val="20"/>
          <w:color w:val="auto"/>
        </w:rPr>
      </w:pPr>
    </w:p>
    <w:p>
      <w:pPr>
        <w:ind w:left="2187"/>
        <w:spacing w:after="0"/>
        <w:tabs>
          <w:tab w:leader="none" w:pos="2806"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Collect the following information for analysis</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both"/>
        <w:ind w:left="2827" w:right="3319" w:hanging="646"/>
        <w:spacing w:after="0" w:line="247" w:lineRule="auto"/>
        <w:tabs>
          <w:tab w:leader="none" w:pos="2827" w:val="left"/>
        </w:tabs>
        <w:numPr>
          <w:ilvl w:val="2"/>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information for Brocade to be able to reproduce the problem: step by step procedure used to recreate the problem.</w:t>
      </w:r>
    </w:p>
    <w:p>
      <w:pPr>
        <w:spacing w:after="0" w:line="174" w:lineRule="exact"/>
        <w:rPr>
          <w:rFonts w:ascii="Courier New" w:cs="Courier New" w:eastAsia="Courier New" w:hAnsi="Courier New"/>
          <w:sz w:val="15"/>
          <w:szCs w:val="15"/>
          <w:color w:val="auto"/>
        </w:rPr>
      </w:pPr>
    </w:p>
    <w:p>
      <w:pPr>
        <w:ind w:left="2827" w:hanging="646"/>
        <w:spacing w:after="0"/>
        <w:tabs>
          <w:tab w:leader="none" w:pos="2827" w:val="left"/>
        </w:tabs>
        <w:numPr>
          <w:ilvl w:val="2"/>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configuration information:</w:t>
      </w:r>
    </w:p>
    <w:p>
      <w:pPr>
        <w:spacing w:after="0" w:line="179" w:lineRule="exact"/>
        <w:rPr>
          <w:rFonts w:ascii="Courier New" w:cs="Courier New" w:eastAsia="Courier New" w:hAnsi="Courier New"/>
          <w:sz w:val="15"/>
          <w:szCs w:val="15"/>
          <w:color w:val="auto"/>
        </w:rPr>
      </w:pPr>
    </w:p>
    <w:p>
      <w:pPr>
        <w:ind w:left="907" w:hanging="180"/>
        <w:spacing w:after="0"/>
        <w:tabs>
          <w:tab w:leader="none" w:pos="90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HOST : All OS platforms and versions; HBA type and driver version</w:t>
      </w:r>
    </w:p>
    <w:p>
      <w:pPr>
        <w:spacing w:after="0" w:line="4" w:lineRule="exact"/>
        <w:rPr>
          <w:rFonts w:ascii="Courier New" w:cs="Courier New" w:eastAsia="Courier New" w:hAnsi="Courier New"/>
          <w:sz w:val="15"/>
          <w:szCs w:val="15"/>
          <w:color w:val="auto"/>
        </w:rPr>
      </w:pPr>
    </w:p>
    <w:p>
      <w:pPr>
        <w:ind w:left="907" w:right="3499" w:hanging="180"/>
        <w:spacing w:after="0" w:line="246" w:lineRule="auto"/>
        <w:tabs>
          <w:tab w:leader="none" w:pos="90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Disk subsystem type (i.e: RAID, JBOD, public, private), manufacturer and firmware version.</w:t>
      </w:r>
    </w:p>
    <w:p>
      <w:pPr>
        <w:spacing w:after="0" w:line="1" w:lineRule="exact"/>
        <w:rPr>
          <w:rFonts w:ascii="Courier New" w:cs="Courier New" w:eastAsia="Courier New" w:hAnsi="Courier New"/>
          <w:sz w:val="15"/>
          <w:szCs w:val="15"/>
          <w:color w:val="auto"/>
        </w:rPr>
      </w:pPr>
    </w:p>
    <w:p>
      <w:pPr>
        <w:ind w:left="907" w:hanging="180"/>
        <w:spacing w:after="0"/>
        <w:tabs>
          <w:tab w:leader="none" w:pos="90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Applications on host and storage</w:t>
      </w:r>
    </w:p>
    <w:p>
      <w:pPr>
        <w:spacing w:after="0" w:line="4" w:lineRule="exact"/>
        <w:rPr>
          <w:rFonts w:ascii="Courier New" w:cs="Courier New" w:eastAsia="Courier New" w:hAnsi="Courier New"/>
          <w:sz w:val="15"/>
          <w:szCs w:val="15"/>
          <w:color w:val="auto"/>
        </w:rPr>
      </w:pPr>
    </w:p>
    <w:p>
      <w:pPr>
        <w:ind w:left="907" w:right="3499" w:hanging="180"/>
        <w:spacing w:after="0" w:line="246" w:lineRule="auto"/>
        <w:tabs>
          <w:tab w:leader="none" w:pos="90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Switch topology: Describe the network configuration. Provide SAN diagram if possible.</w:t>
      </w:r>
    </w:p>
    <w:p>
      <w:pPr>
        <w:spacing w:after="0" w:line="1" w:lineRule="exact"/>
        <w:rPr>
          <w:rFonts w:ascii="Courier New" w:cs="Courier New" w:eastAsia="Courier New" w:hAnsi="Courier New"/>
          <w:sz w:val="15"/>
          <w:szCs w:val="15"/>
          <w:color w:val="auto"/>
        </w:rPr>
      </w:pPr>
    </w:p>
    <w:p>
      <w:pPr>
        <w:ind w:left="907" w:hanging="180"/>
        <w:spacing w:after="0"/>
        <w:tabs>
          <w:tab w:leader="none" w:pos="90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switch in a cascaded environment?</w:t>
      </w:r>
    </w:p>
    <w:p>
      <w:pPr>
        <w:spacing w:after="0" w:line="4" w:lineRule="exact"/>
        <w:rPr>
          <w:rFonts w:ascii="Courier New" w:cs="Courier New" w:eastAsia="Courier New" w:hAnsi="Courier New"/>
          <w:sz w:val="15"/>
          <w:szCs w:val="15"/>
          <w:color w:val="auto"/>
        </w:rPr>
      </w:pPr>
    </w:p>
    <w:p>
      <w:pPr>
        <w:ind w:left="907" w:hanging="180"/>
        <w:spacing w:after="0"/>
        <w:tabs>
          <w:tab w:leader="none" w:pos="90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many switches are in the configuration?</w:t>
      </w:r>
    </w:p>
    <w:p>
      <w:pPr>
        <w:spacing w:after="0" w:line="4" w:lineRule="exact"/>
        <w:rPr>
          <w:rFonts w:ascii="Courier New" w:cs="Courier New" w:eastAsia="Courier New" w:hAnsi="Courier New"/>
          <w:sz w:val="15"/>
          <w:szCs w:val="15"/>
          <w:color w:val="auto"/>
        </w:rPr>
      </w:pPr>
    </w:p>
    <w:p>
      <w:pPr>
        <w:ind w:left="907" w:hanging="180"/>
        <w:spacing w:after="0"/>
        <w:tabs>
          <w:tab w:leader="none" w:pos="90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there parallel fabrics? Dual host, storage connections</w:t>
      </w:r>
    </w:p>
    <w:p>
      <w:pPr>
        <w:spacing w:after="0" w:line="179" w:lineRule="exact"/>
        <w:rPr>
          <w:rFonts w:ascii="Courier New" w:cs="Courier New" w:eastAsia="Courier New" w:hAnsi="Courier New"/>
          <w:sz w:val="15"/>
          <w:szCs w:val="15"/>
          <w:color w:val="auto"/>
        </w:rPr>
      </w:pPr>
    </w:p>
    <w:p>
      <w:pPr>
        <w:ind w:left="2187" w:right="2959" w:hanging="733"/>
        <w:spacing w:after="0" w:line="246" w:lineRule="auto"/>
        <w:tabs>
          <w:tab w:leader="none" w:pos="218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date of [*] of the Program, Supplier will make its Technical Support Contacts available to receive Technical Assistance requests from HP through the designated telephone number (1-888-AT FIBRE) established by Supplier for HP [*]</w:t>
      </w:r>
    </w:p>
    <w:p>
      <w:pPr>
        <w:spacing w:after="0" w:line="178" w:lineRule="exact"/>
        <w:rPr>
          <w:sz w:val="20"/>
          <w:szCs w:val="20"/>
          <w:color w:val="auto"/>
        </w:rPr>
      </w:pPr>
    </w:p>
    <w:p>
      <w:pPr>
        <w:ind w:left="2187" w:right="313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2.1.3.</w:t>
        <w:tab/>
        <w:t>Supplier will take all necessary steps to resolve the Technical Assistance request and provide HP with the resolution and all available information as soon as it is available but no later than the response times specified in Appendix II.</w:t>
      </w:r>
    </w:p>
    <w:p>
      <w:pPr>
        <w:spacing w:after="0" w:line="178" w:lineRule="exact"/>
        <w:rPr>
          <w:sz w:val="20"/>
          <w:szCs w:val="20"/>
          <w:color w:val="auto"/>
        </w:rPr>
      </w:pPr>
    </w:p>
    <w:p>
      <w:pPr>
        <w:ind w:left="2187" w:right="2959" w:hanging="726"/>
        <w:spacing w:after="0" w:line="247" w:lineRule="auto"/>
        <w:tabs>
          <w:tab w:leader="none" w:pos="2166" w:val="left"/>
        </w:tabs>
        <w:rPr>
          <w:sz w:val="20"/>
          <w:szCs w:val="20"/>
          <w:color w:val="auto"/>
        </w:rPr>
      </w:pPr>
      <w:r>
        <w:rPr>
          <w:rFonts w:ascii="Courier New" w:cs="Courier New" w:eastAsia="Courier New" w:hAnsi="Courier New"/>
          <w:sz w:val="15"/>
          <w:szCs w:val="15"/>
          <w:color w:val="auto"/>
        </w:rPr>
        <w:t>2.1.4.</w:t>
        <w:tab/>
        <w:t>HP agrees that the support engineers that contact Supplier for Technical Assistance have previously received a substantial level of training on the Product.</w:t>
      </w:r>
    </w:p>
    <w:p>
      <w:pPr>
        <w:spacing w:after="0" w:line="200" w:lineRule="exact"/>
        <w:rPr>
          <w:sz w:val="20"/>
          <w:szCs w:val="20"/>
          <w:color w:val="auto"/>
        </w:rPr>
      </w:pPr>
    </w:p>
    <w:p>
      <w:pPr>
        <w:spacing w:after="0" w:line="324" w:lineRule="exact"/>
        <w:rPr>
          <w:sz w:val="20"/>
          <w:szCs w:val="20"/>
          <w:color w:val="auto"/>
        </w:rPr>
      </w:pPr>
    </w:p>
    <w:p>
      <w:pPr>
        <w:ind w:left="447" w:right="2959" w:hanging="447"/>
        <w:spacing w:after="0" w:line="247" w:lineRule="auto"/>
        <w:tabs>
          <w:tab w:leader="none" w:pos="44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4 of 11</w:t>
      </w:r>
    </w:p>
    <w:p>
      <w:pPr>
        <w:sectPr>
          <w:pgSz w:w="11900" w:h="16838" w:orient="portrait"/>
          <w:cols w:equalWidth="0" w:num="1">
            <w:col w:w="10226"/>
          </w:cols>
          <w:pgMar w:left="233" w:top="642" w:right="1440" w:bottom="1440" w:gutter="0" w:footer="0" w:header="0"/>
        </w:sectPr>
      </w:pPr>
    </w:p>
    <w:bookmarkStart w:id="117" w:name="page118"/>
    <w:bookmarkEnd w:id="117"/>
    <w:p>
      <w:pPr>
        <w:ind w:left="727"/>
        <w:spacing w:after="0"/>
        <w:tabs>
          <w:tab w:leader="none" w:pos="1426"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Technical Assistance Records.</w:t>
      </w:r>
    </w:p>
    <w:p>
      <w:pPr>
        <w:spacing w:after="0" w:line="180" w:lineRule="exact"/>
        <w:rPr>
          <w:sz w:val="20"/>
          <w:szCs w:val="20"/>
          <w:color w:val="auto"/>
        </w:rPr>
      </w:pPr>
    </w:p>
    <w:p>
      <w:pPr>
        <w:ind w:left="1447" w:right="2959"/>
        <w:spacing w:after="0" w:line="246" w:lineRule="auto"/>
        <w:rPr>
          <w:sz w:val="20"/>
          <w:szCs w:val="20"/>
          <w:color w:val="auto"/>
        </w:rPr>
      </w:pPr>
      <w:r>
        <w:rPr>
          <w:rFonts w:ascii="Courier New" w:cs="Courier New" w:eastAsia="Courier New" w:hAnsi="Courier New"/>
          <w:sz w:val="15"/>
          <w:szCs w:val="15"/>
          <w:color w:val="auto"/>
        </w:rPr>
        <w:t>Supplier will keep a record of all Technical Assistance requests in Supplier's Tracking System and update their current status. As soon as possible after final resolution, Supplier will input a detailed description of the Technical Assistance request and resolution in Supplier's Tracking System.</w:t>
      </w:r>
    </w:p>
    <w:p>
      <w:pPr>
        <w:spacing w:after="0" w:line="178" w:lineRule="exact"/>
        <w:rPr>
          <w:sz w:val="20"/>
          <w:szCs w:val="20"/>
          <w:color w:val="auto"/>
        </w:rPr>
      </w:pPr>
    </w:p>
    <w:p>
      <w:pPr>
        <w:ind w:left="2187" w:right="2959" w:hanging="726"/>
        <w:spacing w:after="0" w:line="247" w:lineRule="auto"/>
        <w:tabs>
          <w:tab w:leader="none" w:pos="2166" w:val="left"/>
        </w:tabs>
        <w:rPr>
          <w:sz w:val="20"/>
          <w:szCs w:val="20"/>
          <w:color w:val="auto"/>
        </w:rPr>
      </w:pPr>
      <w:r>
        <w:rPr>
          <w:rFonts w:ascii="Courier New" w:cs="Courier New" w:eastAsia="Courier New" w:hAnsi="Courier New"/>
          <w:sz w:val="15"/>
          <w:szCs w:val="15"/>
          <w:color w:val="auto"/>
        </w:rPr>
        <w:t>2.2.1.</w:t>
        <w:tab/>
        <w:t>Technical Assistance records will include, at a minimum, the following information:</w:t>
      </w:r>
    </w:p>
    <w:p>
      <w:pPr>
        <w:spacing w:after="0" w:line="175" w:lineRule="exact"/>
        <w:rPr>
          <w:sz w:val="20"/>
          <w:szCs w:val="20"/>
          <w:color w:val="auto"/>
        </w:rPr>
      </w:pPr>
    </w:p>
    <w:p>
      <w:pPr>
        <w:ind w:left="2907" w:right="3039" w:hanging="726"/>
        <w:spacing w:after="0" w:line="247" w:lineRule="auto"/>
        <w:tabs>
          <w:tab w:leader="none" w:pos="29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call identification number and Supplier call tracking number.</w:t>
      </w:r>
    </w:p>
    <w:p>
      <w:pPr>
        <w:spacing w:after="0" w:line="174"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initial call.</w:t>
      </w:r>
    </w:p>
    <w:p>
      <w:pPr>
        <w:spacing w:after="0" w:line="179"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Names of call participants.</w:t>
      </w:r>
    </w:p>
    <w:p>
      <w:pPr>
        <w:spacing w:after="0" w:line="179"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Times and dates of subsequent calls to HP.</w:t>
      </w:r>
    </w:p>
    <w:p>
      <w:pPr>
        <w:spacing w:after="0" w:line="179" w:lineRule="exact"/>
        <w:rPr>
          <w:rFonts w:ascii="Courier New" w:cs="Courier New" w:eastAsia="Courier New" w:hAnsi="Courier New"/>
          <w:sz w:val="15"/>
          <w:szCs w:val="15"/>
          <w:color w:val="auto"/>
        </w:rPr>
      </w:pPr>
    </w:p>
    <w:p>
      <w:pPr>
        <w:ind w:left="2907" w:right="3139" w:hanging="726"/>
        <w:spacing w:after="0" w:line="247" w:lineRule="auto"/>
        <w:tabs>
          <w:tab w:leader="none" w:pos="29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Model, version and serial number of Program(s) involved; and version of HP operating system involved.</w:t>
      </w:r>
    </w:p>
    <w:p>
      <w:pPr>
        <w:spacing w:after="0" w:line="174"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Steps taken to diagnose and remedy the problem.</w:t>
      </w:r>
    </w:p>
    <w:p>
      <w:pPr>
        <w:spacing w:after="0" w:line="179" w:lineRule="exact"/>
        <w:rPr>
          <w:rFonts w:ascii="Courier New" w:cs="Courier New" w:eastAsia="Courier New" w:hAnsi="Courier New"/>
          <w:sz w:val="15"/>
          <w:szCs w:val="15"/>
          <w:color w:val="auto"/>
        </w:rPr>
      </w:pPr>
    </w:p>
    <w:p>
      <w:pPr>
        <w:ind w:left="2907" w:right="3599" w:hanging="726"/>
        <w:spacing w:after="0" w:line="247" w:lineRule="auto"/>
        <w:tabs>
          <w:tab w:leader="none" w:pos="29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Plan required for follow-up or resolution.</w:t>
      </w:r>
    </w:p>
    <w:p>
      <w:pPr>
        <w:spacing w:after="0" w:line="174"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resolution.</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Closing Technical Assistance Request. After a Technical Assistance request is resolved and the resolution information is communicated to HP and documented in the Tracking System, HP will contact Supplier to close the request.</w:t>
      </w:r>
    </w:p>
    <w:p>
      <w:pPr>
        <w:spacing w:after="0" w:line="177" w:lineRule="exact"/>
        <w:rPr>
          <w:sz w:val="20"/>
          <w:szCs w:val="20"/>
          <w:color w:val="auto"/>
        </w:rPr>
      </w:pPr>
    </w:p>
    <w:p>
      <w:pPr>
        <w:ind w:left="727" w:hanging="727"/>
        <w:spacing w:after="0"/>
        <w:tabs>
          <w:tab w:leader="none" w:pos="72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RESOLUTION</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3.1.Requesting Problem Resolution Service.</w:t>
      </w:r>
    </w:p>
    <w:p>
      <w:pPr>
        <w:spacing w:after="0" w:line="180" w:lineRule="exact"/>
        <w:rPr>
          <w:sz w:val="20"/>
          <w:szCs w:val="20"/>
          <w:color w:val="auto"/>
        </w:rPr>
      </w:pPr>
    </w:p>
    <w:p>
      <w:pPr>
        <w:ind w:left="2187" w:right="303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3.1.1.</w:t>
        <w:tab/>
        <w:t>HP will receive defect reports, inquiries and problem calls about Programs from HP's Customers. If HP is unable to resolve a problem after Technical Assistance and after reasonable efforts, HP may provide Supplier a Request for Technical Assistance.</w:t>
      </w:r>
    </w:p>
    <w:p>
      <w:pPr>
        <w:spacing w:after="0" w:line="178" w:lineRule="exact"/>
        <w:rPr>
          <w:sz w:val="20"/>
          <w:szCs w:val="20"/>
          <w:color w:val="auto"/>
        </w:rPr>
      </w:pPr>
    </w:p>
    <w:p>
      <w:pPr>
        <w:ind w:left="2187" w:right="303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3.1.2.</w:t>
        <w:tab/>
        <w:t>When making a Request for Technical Assistance, HP will provide the following information in addition to the information required when requesting Technical Assistance listed in Section 2.1.1 &amp; 2.2.2 above:</w:t>
      </w:r>
    </w:p>
    <w:p>
      <w:pPr>
        <w:spacing w:after="0" w:line="177" w:lineRule="exact"/>
        <w:rPr>
          <w:sz w:val="20"/>
          <w:szCs w:val="20"/>
          <w:color w:val="auto"/>
        </w:rPr>
      </w:pPr>
    </w:p>
    <w:p>
      <w:pPr>
        <w:ind w:left="2907" w:right="3039" w:hanging="726"/>
        <w:spacing w:after="0" w:line="247" w:lineRule="auto"/>
        <w:tabs>
          <w:tab w:leader="none" w:pos="290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call identification number and Supplier call tracking number.</w:t>
      </w:r>
    </w:p>
    <w:p>
      <w:pPr>
        <w:spacing w:after="0" w:line="174"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description.</w:t>
      </w:r>
    </w:p>
    <w:p>
      <w:pPr>
        <w:spacing w:after="0" w:line="179" w:lineRule="exact"/>
        <w:rPr>
          <w:rFonts w:ascii="Courier New" w:cs="Courier New" w:eastAsia="Courier New" w:hAnsi="Courier New"/>
          <w:sz w:val="15"/>
          <w:szCs w:val="15"/>
          <w:color w:val="auto"/>
        </w:rPr>
      </w:pPr>
    </w:p>
    <w:p>
      <w:pPr>
        <w:ind w:left="2907" w:right="3319" w:hanging="726"/>
        <w:spacing w:after="0" w:line="247" w:lineRule="auto"/>
        <w:tabs>
          <w:tab w:leader="none" w:pos="290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diagnostic work performed and data collected by HP.</w:t>
      </w:r>
    </w:p>
    <w:p>
      <w:pPr>
        <w:spacing w:after="0" w:line="200" w:lineRule="exact"/>
        <w:rPr>
          <w:sz w:val="20"/>
          <w:szCs w:val="20"/>
          <w:color w:val="auto"/>
        </w:rPr>
      </w:pPr>
    </w:p>
    <w:p>
      <w:pPr>
        <w:spacing w:after="0" w:line="32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5 of 11</w:t>
      </w:r>
    </w:p>
    <w:p>
      <w:pPr>
        <w:sectPr>
          <w:pgSz w:w="11900" w:h="16838" w:orient="portrait"/>
          <w:cols w:equalWidth="0" w:num="1">
            <w:col w:w="10226"/>
          </w:cols>
          <w:pgMar w:left="233" w:top="642" w:right="1440" w:bottom="1440" w:gutter="0" w:footer="0" w:header="0"/>
        </w:sectPr>
      </w:pPr>
    </w:p>
    <w:bookmarkStart w:id="118" w:name="page119"/>
    <w:bookmarkEnd w:id="118"/>
    <w:p>
      <w:pPr>
        <w:ind w:left="2907" w:right="3599" w:hanging="726"/>
        <w:spacing w:after="0" w:line="247" w:lineRule="auto"/>
        <w:tabs>
          <w:tab w:leader="none" w:pos="290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being requested (e.g. remedying or assisting in isolating the fault)</w:t>
      </w:r>
    </w:p>
    <w:p>
      <w:pPr>
        <w:spacing w:after="0" w:line="174" w:lineRule="exact"/>
        <w:rPr>
          <w:rFonts w:ascii="Courier New" w:cs="Courier New" w:eastAsia="Courier New" w:hAnsi="Courier New"/>
          <w:sz w:val="15"/>
          <w:szCs w:val="15"/>
          <w:color w:val="auto"/>
        </w:rPr>
      </w:pPr>
    </w:p>
    <w:p>
      <w:pPr>
        <w:ind w:left="2907" w:right="3859" w:hanging="726"/>
        <w:spacing w:after="0" w:line="247" w:lineRule="auto"/>
        <w:tabs>
          <w:tab w:leader="none" w:pos="290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classification pursuant to the definitions in Appendix II.</w:t>
      </w:r>
    </w:p>
    <w:p>
      <w:pPr>
        <w:spacing w:after="0" w:line="175"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Problem Resolution Process.</w:t>
      </w:r>
    </w:p>
    <w:p>
      <w:pPr>
        <w:spacing w:after="0" w:line="180"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3.2.1.</w:t>
        <w:tab/>
        <w:t>After Supplier receives a Request for Technical Assistance, it will acknowledge receipt and then confirm HP's diagnosis of the problem, and when it is mutually deemed necessary, [*] contact may be established. Supplier will take appropriate corrective action on the Request for Technical Assistance to resolve the problem as soon as possible, but in no event later than the response times specified in Appendix II, according to the classification of the problem.</w:t>
      </w:r>
    </w:p>
    <w:p>
      <w:pPr>
        <w:spacing w:after="0" w:line="180"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3.2.2.</w:t>
        <w:tab/>
        <w:t>In the event that neither HP nor Supplier is able to isolate and resolve a Critical or Serious situation, HP may request that Supplier assist HP in dialing into the Customer's system directly to assist HP in analyzing and troubleshooting the problem. Supplier will provide any necessary diagnostic tools to troubleshoot the problem on site. HP will provide Supplier access through telnet or web tools.</w:t>
      </w:r>
    </w:p>
    <w:p>
      <w:pPr>
        <w:spacing w:after="0" w:line="180"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3.2.3.</w:t>
        <w:tab/>
        <w:t>Supplier will provide an Action Plan within the response times listed in Appendix II, based on HP's classification of the problem. An Action Plan may require Supplier to: (a) reprioritize its other activities in order to meet the commitment to solve a Customer problem; (b) increase resources to address the problem; (c) assist HP with remote dial into a Customer system for direct observation.</w:t>
      </w:r>
    </w:p>
    <w:p>
      <w:pPr>
        <w:spacing w:after="0" w:line="180" w:lineRule="exact"/>
        <w:rPr>
          <w:sz w:val="20"/>
          <w:szCs w:val="20"/>
          <w:color w:val="auto"/>
        </w:rPr>
      </w:pPr>
    </w:p>
    <w:p>
      <w:pPr>
        <w:ind w:left="2187" w:right="313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3.2.4.</w:t>
        <w:tab/>
        <w:t>Supplier will notify HP upon resolution of the problem or upon the availability of a Fix or Workaround. If a permanent resolution cannot be achieved within the response times specified in Appendix II, Supplier will notify HP of any modification to the original Action Plan and the anticipated availability of a permanent problem resolution.</w:t>
      </w:r>
    </w:p>
    <w:p>
      <w:pPr>
        <w:spacing w:after="0" w:line="179" w:lineRule="exact"/>
        <w:rPr>
          <w:sz w:val="20"/>
          <w:szCs w:val="20"/>
          <w:color w:val="auto"/>
        </w:rPr>
      </w:pPr>
    </w:p>
    <w:p>
      <w:pPr>
        <w:ind w:left="2187" w:right="313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3.2.5.</w:t>
        <w:tab/>
        <w:t>Supplier will enter in the Supplier's Tracking System, all Status Updates, Action Plans and other communications requested by HP's Technical Support Contact.. Supplier may request additional information from the HP Technical Support Contact in order to meet the response times specified in Appendix II.</w:t>
      </w:r>
    </w:p>
    <w:p>
      <w:pPr>
        <w:spacing w:after="0" w:line="200" w:lineRule="exact"/>
        <w:rPr>
          <w:sz w:val="20"/>
          <w:szCs w:val="20"/>
          <w:color w:val="auto"/>
        </w:rPr>
      </w:pPr>
    </w:p>
    <w:p>
      <w:pPr>
        <w:spacing w:after="0" w:line="328" w:lineRule="exact"/>
        <w:rPr>
          <w:sz w:val="20"/>
          <w:szCs w:val="20"/>
          <w:color w:val="auto"/>
        </w:rPr>
      </w:pPr>
    </w:p>
    <w:p>
      <w:pPr>
        <w:ind w:left="447" w:right="2959" w:hanging="447"/>
        <w:spacing w:after="0" w:line="247" w:lineRule="auto"/>
        <w:tabs>
          <w:tab w:leader="none" w:pos="44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6 of 11</w:t>
      </w:r>
    </w:p>
    <w:p>
      <w:pPr>
        <w:sectPr>
          <w:pgSz w:w="11900" w:h="16838" w:orient="portrait"/>
          <w:cols w:equalWidth="0" w:num="1">
            <w:col w:w="10226"/>
          </w:cols>
          <w:pgMar w:left="233" w:top="642" w:right="1440" w:bottom="1440" w:gutter="0" w:footer="0" w:header="0"/>
        </w:sectPr>
      </w:pPr>
    </w:p>
    <w:bookmarkStart w:id="119" w:name="page120"/>
    <w:bookmarkEnd w:id="119"/>
    <w:p>
      <w:pPr>
        <w:ind w:left="727"/>
        <w:spacing w:after="0"/>
        <w:tabs>
          <w:tab w:leader="none" w:pos="1426"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Problem Resolution Records.</w:t>
      </w:r>
    </w:p>
    <w:p>
      <w:pPr>
        <w:spacing w:after="0" w:line="180"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3.3.1.</w:t>
        <w:tab/>
        <w:t>Supplier will keep records of all Requests for Technical Assistance in the Supplier's Tracking System and update their current status. Supplier will also be responsible for accessing, reviewing, and updating defect information related to the Programs.</w:t>
      </w:r>
    </w:p>
    <w:p>
      <w:pPr>
        <w:spacing w:after="0" w:line="178" w:lineRule="exact"/>
        <w:rPr>
          <w:sz w:val="20"/>
          <w:szCs w:val="20"/>
          <w:color w:val="auto"/>
        </w:rPr>
      </w:pPr>
    </w:p>
    <w:p>
      <w:pPr>
        <w:jc w:val="both"/>
        <w:ind w:left="2187" w:right="2959" w:hanging="726"/>
        <w:spacing w:after="0" w:line="247" w:lineRule="auto"/>
        <w:tabs>
          <w:tab w:leader="none" w:pos="2166" w:val="left"/>
        </w:tabs>
        <w:rPr>
          <w:sz w:val="20"/>
          <w:szCs w:val="20"/>
          <w:color w:val="auto"/>
        </w:rPr>
      </w:pPr>
      <w:r>
        <w:rPr>
          <w:rFonts w:ascii="Courier New" w:cs="Courier New" w:eastAsia="Courier New" w:hAnsi="Courier New"/>
          <w:sz w:val="15"/>
          <w:szCs w:val="15"/>
          <w:color w:val="auto"/>
        </w:rPr>
        <w:t>3.3.2.</w:t>
        <w:tab/>
        <w:t>Escalation records will include, at a minimum, the items listed in Sections 2.2.2 and 3.1.2 above along with the following information:</w:t>
      </w:r>
    </w:p>
    <w:p>
      <w:pPr>
        <w:spacing w:after="0" w:line="174" w:lineRule="exact"/>
        <w:rPr>
          <w:sz w:val="20"/>
          <w:szCs w:val="20"/>
          <w:color w:val="auto"/>
        </w:rPr>
      </w:pPr>
    </w:p>
    <w:p>
      <w:pPr>
        <w:ind w:left="2907" w:hanging="726"/>
        <w:spacing w:after="0"/>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problem as finally diagnosed.</w:t>
      </w:r>
    </w:p>
    <w:p>
      <w:pPr>
        <w:spacing w:after="0" w:line="179"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Detailed description of the causes and symptoms.</w:t>
      </w:r>
    </w:p>
    <w:p>
      <w:pPr>
        <w:spacing w:after="0" w:line="179"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taken to resolve the situation.</w:t>
      </w:r>
    </w:p>
    <w:p>
      <w:pPr>
        <w:spacing w:after="0" w:line="179" w:lineRule="exact"/>
        <w:rPr>
          <w:rFonts w:ascii="Courier New" w:cs="Courier New" w:eastAsia="Courier New" w:hAnsi="Courier New"/>
          <w:sz w:val="15"/>
          <w:szCs w:val="15"/>
          <w:color w:val="auto"/>
        </w:rPr>
      </w:pPr>
    </w:p>
    <w:p>
      <w:pPr>
        <w:ind w:left="2907" w:right="3319" w:hanging="726"/>
        <w:spacing w:after="0" w:line="247" w:lineRule="auto"/>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Problem Resolution request and final resolution.</w:t>
      </w:r>
    </w:p>
    <w:p>
      <w:pPr>
        <w:spacing w:after="0" w:line="174" w:lineRule="exact"/>
        <w:rPr>
          <w:rFonts w:ascii="Courier New" w:cs="Courier New" w:eastAsia="Courier New" w:hAnsi="Courier New"/>
          <w:sz w:val="15"/>
          <w:szCs w:val="15"/>
          <w:color w:val="auto"/>
        </w:rPr>
      </w:pPr>
    </w:p>
    <w:p>
      <w:pPr>
        <w:ind w:left="2907" w:right="3039" w:hanging="726"/>
        <w:spacing w:after="0" w:line="247" w:lineRule="auto"/>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Likelihood of problem recurring and recommended action in the event of a recurrence.</w:t>
      </w:r>
    </w:p>
    <w:p>
      <w:pPr>
        <w:spacing w:after="0" w:line="174" w:lineRule="exact"/>
        <w:rPr>
          <w:rFonts w:ascii="Courier New" w:cs="Courier New" w:eastAsia="Courier New" w:hAnsi="Courier New"/>
          <w:sz w:val="15"/>
          <w:szCs w:val="15"/>
          <w:color w:val="auto"/>
        </w:rPr>
      </w:pPr>
    </w:p>
    <w:p>
      <w:pPr>
        <w:ind w:left="2907" w:right="3419" w:hanging="726"/>
        <w:spacing w:after="0" w:line="247" w:lineRule="auto"/>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and HP Service Request numbers for cross reference purposes.</w:t>
      </w:r>
    </w:p>
    <w:p>
      <w:pPr>
        <w:spacing w:after="0" w:line="174" w:lineRule="exact"/>
        <w:rPr>
          <w:rFonts w:ascii="Courier New" w:cs="Courier New" w:eastAsia="Courier New" w:hAnsi="Courier New"/>
          <w:sz w:val="15"/>
          <w:szCs w:val="15"/>
          <w:color w:val="auto"/>
        </w:rPr>
      </w:pPr>
    </w:p>
    <w:p>
      <w:pPr>
        <w:ind w:left="2907" w:right="3139" w:hanging="726"/>
        <w:spacing w:after="0" w:line="247" w:lineRule="auto"/>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 or Workaround implemented and how and when available.</w:t>
      </w:r>
    </w:p>
    <w:p>
      <w:pPr>
        <w:spacing w:after="0" w:line="174" w:lineRule="exact"/>
        <w:rPr>
          <w:rFonts w:ascii="Courier New" w:cs="Courier New" w:eastAsia="Courier New" w:hAnsi="Courier New"/>
          <w:sz w:val="15"/>
          <w:szCs w:val="15"/>
          <w:color w:val="auto"/>
        </w:rPr>
      </w:pPr>
    </w:p>
    <w:p>
      <w:pPr>
        <w:ind w:left="2907" w:hanging="726"/>
        <w:spacing w:after="0"/>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Tests performed on the Fix or Workaround.</w:t>
      </w:r>
    </w:p>
    <w:p>
      <w:pPr>
        <w:spacing w:after="0" w:line="179" w:lineRule="exact"/>
        <w:rPr>
          <w:rFonts w:ascii="Courier New" w:cs="Courier New" w:eastAsia="Courier New" w:hAnsi="Courier New"/>
          <w:sz w:val="15"/>
          <w:szCs w:val="15"/>
          <w:color w:val="auto"/>
        </w:rPr>
      </w:pPr>
    </w:p>
    <w:p>
      <w:pPr>
        <w:ind w:left="2907" w:right="3219" w:hanging="726"/>
        <w:spacing w:after="0" w:line="247" w:lineRule="auto"/>
        <w:tabs>
          <w:tab w:leader="none" w:pos="290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only temporary Fix or Workaround is available, the Action Plan for permanent Fix.</w:t>
      </w:r>
    </w:p>
    <w:p>
      <w:pPr>
        <w:spacing w:after="0" w:line="175"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Closing Problem Resolution Request.</w:t>
      </w:r>
    </w:p>
    <w:p>
      <w:pPr>
        <w:spacing w:after="0" w:line="180"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3.4.1.</w:t>
        <w:tab/>
        <w:t>After problem resolution has been communicated to HP and verified by agreement of HP and the Customer, HP will notify Supplier that HP is closing the Problem Resolution and Request for Technical Assistance.</w:t>
      </w:r>
    </w:p>
    <w:p>
      <w:pPr>
        <w:spacing w:after="0" w:line="177" w:lineRule="exact"/>
        <w:rPr>
          <w:sz w:val="20"/>
          <w:szCs w:val="20"/>
          <w:color w:val="auto"/>
        </w:rPr>
      </w:pPr>
    </w:p>
    <w:p>
      <w:pPr>
        <w:ind w:left="727" w:hanging="727"/>
        <w:spacing w:after="0"/>
        <w:tabs>
          <w:tab w:leader="none" w:pos="72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ESCALATION</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4.1.Requesting An Escalation.</w:t>
      </w:r>
    </w:p>
    <w:p>
      <w:pPr>
        <w:spacing w:after="0" w:line="180" w:lineRule="exact"/>
        <w:rPr>
          <w:sz w:val="20"/>
          <w:szCs w:val="20"/>
          <w:color w:val="auto"/>
        </w:rPr>
      </w:pPr>
    </w:p>
    <w:p>
      <w:pPr>
        <w:ind w:left="2187" w:right="303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4.1.1.</w:t>
        <w:tab/>
        <w:t>If HP determines that [*] are needed to resolve a Customer situation or to [*] may request an Escalation. Supplier will cooperate with HP by following the Escalation procedures set forth below.</w:t>
      </w:r>
    </w:p>
    <w:p>
      <w:pPr>
        <w:spacing w:after="0" w:line="177" w:lineRule="exact"/>
        <w:rPr>
          <w:sz w:val="20"/>
          <w:szCs w:val="20"/>
          <w:color w:val="auto"/>
        </w:rPr>
      </w:pPr>
    </w:p>
    <w:p>
      <w:pPr>
        <w:ind w:left="2187" w:right="295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4.1.2.</w:t>
        <w:tab/>
        <w:t>When requesting Escalation, in addition to the information required under Problem Resolution in Section</w:t>
      </w:r>
    </w:p>
    <w:p>
      <w:pPr>
        <w:spacing w:after="0" w:line="1"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3.1.2 above, HP will provide:</w:t>
      </w:r>
    </w:p>
    <w:p>
      <w:pPr>
        <w:spacing w:after="0" w:line="180" w:lineRule="exact"/>
        <w:rPr>
          <w:sz w:val="20"/>
          <w:szCs w:val="20"/>
          <w:color w:val="auto"/>
        </w:rPr>
      </w:pPr>
    </w:p>
    <w:p>
      <w:pPr>
        <w:ind w:left="2907" w:hanging="726"/>
        <w:spacing w:after="0"/>
        <w:tabs>
          <w:tab w:leader="none" w:pos="2907"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Caller's location.</w:t>
      </w:r>
    </w:p>
    <w:p>
      <w:pPr>
        <w:spacing w:after="0" w:line="179" w:lineRule="exact"/>
        <w:rPr>
          <w:rFonts w:ascii="Courier New" w:cs="Courier New" w:eastAsia="Courier New" w:hAnsi="Courier New"/>
          <w:sz w:val="15"/>
          <w:szCs w:val="15"/>
          <w:color w:val="auto"/>
        </w:rPr>
      </w:pPr>
    </w:p>
    <w:p>
      <w:pPr>
        <w:ind w:left="2907" w:hanging="726"/>
        <w:spacing w:after="0"/>
        <w:tabs>
          <w:tab w:leader="none" w:pos="2907"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currently installed Fixes or Workarounds.</w:t>
      </w:r>
    </w:p>
    <w:p>
      <w:pPr>
        <w:spacing w:after="0" w:line="179" w:lineRule="exact"/>
        <w:rPr>
          <w:rFonts w:ascii="Courier New" w:cs="Courier New" w:eastAsia="Courier New" w:hAnsi="Courier New"/>
          <w:sz w:val="15"/>
          <w:szCs w:val="15"/>
          <w:color w:val="auto"/>
        </w:rPr>
      </w:pPr>
    </w:p>
    <w:p>
      <w:pPr>
        <w:ind w:left="2907" w:hanging="726"/>
        <w:spacing w:after="0"/>
        <w:tabs>
          <w:tab w:leader="none" w:pos="2907"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 for escalation.</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7 of 11</w:t>
      </w:r>
    </w:p>
    <w:p>
      <w:pPr>
        <w:sectPr>
          <w:pgSz w:w="11900" w:h="16838" w:orient="portrait"/>
          <w:cols w:equalWidth="0" w:num="1">
            <w:col w:w="10226"/>
          </w:cols>
          <w:pgMar w:left="233" w:top="643" w:right="1440" w:bottom="1440" w:gutter="0" w:footer="0" w:header="0"/>
        </w:sectPr>
      </w:pPr>
    </w:p>
    <w:bookmarkStart w:id="120" w:name="page121"/>
    <w:bookmarkEnd w:id="120"/>
    <w:p>
      <w:pPr>
        <w:ind w:left="2900" w:hanging="726"/>
        <w:spacing w:after="0"/>
        <w:tabs>
          <w:tab w:leader="none" w:pos="2900"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Steps taken to resolve problem.</w:t>
      </w:r>
    </w:p>
    <w:p>
      <w:pPr>
        <w:spacing w:after="0" w:line="179" w:lineRule="exact"/>
        <w:rPr>
          <w:rFonts w:ascii="Courier New" w:cs="Courier New" w:eastAsia="Courier New" w:hAnsi="Courier New"/>
          <w:sz w:val="15"/>
          <w:szCs w:val="15"/>
          <w:color w:val="auto"/>
        </w:rPr>
      </w:pPr>
    </w:p>
    <w:p>
      <w:pPr>
        <w:ind w:left="2900" w:right="3419" w:hanging="726"/>
        <w:spacing w:after="0" w:line="247" w:lineRule="auto"/>
        <w:tabs>
          <w:tab w:leader="none" w:pos="2900"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Requests for Technical Assistance (RTA) issued with respect to the problem.</w:t>
      </w:r>
    </w:p>
    <w:p>
      <w:pPr>
        <w:spacing w:after="0" w:line="174" w:lineRule="exact"/>
        <w:rPr>
          <w:rFonts w:ascii="Courier New" w:cs="Courier New" w:eastAsia="Courier New" w:hAnsi="Courier New"/>
          <w:sz w:val="15"/>
          <w:szCs w:val="15"/>
          <w:color w:val="auto"/>
        </w:rPr>
      </w:pPr>
    </w:p>
    <w:p>
      <w:pPr>
        <w:ind w:left="1440" w:right="3039" w:hanging="720"/>
        <w:spacing w:after="0" w:line="246" w:lineRule="auto"/>
        <w:tabs>
          <w:tab w:leader="none" w:pos="14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Response To Escalations. Supplier will continue to cooperate with HP until the Escalation is resolved, or until HP and Supplier mutually agree that all reasonable means of resolution have been exhausted. Effective as of the date of first customer shipment, Supplier will respond to an Escalation from HP</w:t>
      </w:r>
    </w:p>
    <w:p>
      <w:pPr>
        <w:spacing w:after="0" w:line="3"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right="295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Escalation Process. HP's Technical Support Contact may contact Supplier's Technical Support Contact to request Escalation. HP will follow-up by e-mail with any additional information available at the time. Supplier will have primary responsibility to resolve the Escalation, and when mutually deemed necessary,</w:t>
      </w:r>
    </w:p>
    <w:p>
      <w:pPr>
        <w:spacing w:after="0" w:line="3" w:lineRule="exact"/>
        <w:rPr>
          <w:sz w:val="20"/>
          <w:szCs w:val="20"/>
          <w:color w:val="auto"/>
        </w:rPr>
      </w:pPr>
    </w:p>
    <w:p>
      <w:pPr>
        <w:ind w:left="1440" w:right="2959" w:firstLine="7"/>
        <w:spacing w:after="0" w:line="247" w:lineRule="auto"/>
        <w:tabs>
          <w:tab w:leader="none" w:pos="180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may be established. If Service Requests are produced as a result of the Escalation, the procedure defined above for Problem Resolution must be followed.</w:t>
      </w:r>
    </w:p>
    <w:p>
      <w:pPr>
        <w:spacing w:after="0" w:line="174" w:lineRule="exact"/>
        <w:rPr>
          <w:sz w:val="20"/>
          <w:szCs w:val="20"/>
          <w:color w:val="auto"/>
        </w:rPr>
      </w:pPr>
    </w:p>
    <w:p>
      <w:pPr>
        <w:ind w:left="720"/>
        <w:spacing w:after="0"/>
        <w:tabs>
          <w:tab w:leader="none" w:pos="14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Escalation Records.</w:t>
      </w:r>
    </w:p>
    <w:p>
      <w:pPr>
        <w:spacing w:after="0" w:line="180" w:lineRule="exact"/>
        <w:rPr>
          <w:sz w:val="20"/>
          <w:szCs w:val="20"/>
          <w:color w:val="auto"/>
        </w:rPr>
      </w:pPr>
    </w:p>
    <w:p>
      <w:pPr>
        <w:ind w:left="2180" w:right="3139" w:hanging="726"/>
        <w:spacing w:after="0" w:line="247" w:lineRule="auto"/>
        <w:tabs>
          <w:tab w:leader="none" w:pos="2160" w:val="left"/>
        </w:tabs>
        <w:rPr>
          <w:sz w:val="20"/>
          <w:szCs w:val="20"/>
          <w:color w:val="auto"/>
        </w:rPr>
      </w:pPr>
      <w:r>
        <w:rPr>
          <w:rFonts w:ascii="Courier New" w:cs="Courier New" w:eastAsia="Courier New" w:hAnsi="Courier New"/>
          <w:sz w:val="15"/>
          <w:szCs w:val="15"/>
          <w:color w:val="auto"/>
        </w:rPr>
        <w:t>4.4.1.</w:t>
        <w:tab/>
        <w:t>Supplier will keep a record of all Escalation requests in the Supplier's Tracking System and update their current status.</w:t>
      </w:r>
    </w:p>
    <w:p>
      <w:pPr>
        <w:spacing w:after="0" w:line="174" w:lineRule="exact"/>
        <w:rPr>
          <w:sz w:val="20"/>
          <w:szCs w:val="20"/>
          <w:color w:val="auto"/>
        </w:rPr>
      </w:pPr>
    </w:p>
    <w:p>
      <w:pPr>
        <w:ind w:left="2180" w:right="2959" w:hanging="726"/>
        <w:spacing w:after="0" w:line="247" w:lineRule="auto"/>
        <w:tabs>
          <w:tab w:leader="none" w:pos="2160" w:val="left"/>
        </w:tabs>
        <w:rPr>
          <w:sz w:val="20"/>
          <w:szCs w:val="20"/>
          <w:color w:val="auto"/>
        </w:rPr>
      </w:pPr>
      <w:r>
        <w:rPr>
          <w:rFonts w:ascii="Courier New" w:cs="Courier New" w:eastAsia="Courier New" w:hAnsi="Courier New"/>
          <w:sz w:val="15"/>
          <w:szCs w:val="15"/>
          <w:color w:val="auto"/>
        </w:rPr>
        <w:t>4.4.2.</w:t>
        <w:tab/>
        <w:t>Escalation records will include, at a minimum, the items listed in Section 3.3.2 above along with the following information:</w:t>
      </w:r>
    </w:p>
    <w:p>
      <w:pPr>
        <w:spacing w:after="0" w:line="17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6. [*].</w:t>
      </w:r>
    </w:p>
    <w:p>
      <w:pPr>
        <w:spacing w:after="0" w:line="180" w:lineRule="exact"/>
        <w:rPr>
          <w:sz w:val="20"/>
          <w:szCs w:val="20"/>
          <w:color w:val="auto"/>
        </w:rPr>
      </w:pPr>
    </w:p>
    <w:p>
      <w:pPr>
        <w:ind w:left="1440" w:right="295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The Role Of Technical Support Contact During Escalations. The Supplier's Technical Support Contact will prepare an Action Plan as quickly as possible [*] request for Escalation. This Action Plan may be modified by mutual agreement of the parties.</w:t>
      </w:r>
    </w:p>
    <w:p>
      <w:pPr>
        <w:spacing w:after="0" w:line="177" w:lineRule="exact"/>
        <w:rPr>
          <w:sz w:val="20"/>
          <w:szCs w:val="20"/>
          <w:color w:val="auto"/>
        </w:rPr>
      </w:pPr>
    </w:p>
    <w:p>
      <w:pPr>
        <w:ind w:left="1440" w:right="2959" w:hanging="720"/>
        <w:spacing w:after="0" w:line="246" w:lineRule="auto"/>
        <w:tabs>
          <w:tab w:leader="none" w:pos="144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Phase. A Monitor Phase may be implemented by HP to evaluate the situation over a period of time to verify that the problem has been resolved to the Customer's satisfaction. The Monitor Phase starts after a resolution is provided to the Customer. When the problem has been resolved to the Customer's satisfaction, the Monitor Phase is terminated and the Escalation is closed by HP. Both HP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8 of 11</w:t>
      </w:r>
    </w:p>
    <w:p>
      <w:pPr>
        <w:sectPr>
          <w:pgSz w:w="11900" w:h="16838" w:orient="portrait"/>
          <w:cols w:equalWidth="0" w:num="1">
            <w:col w:w="10219"/>
          </w:cols>
          <w:pgMar w:left="240" w:top="643" w:right="1440" w:bottom="1440" w:gutter="0" w:footer="0" w:header="0"/>
        </w:sectPr>
      </w:pPr>
    </w:p>
    <w:bookmarkStart w:id="121" w:name="page122"/>
    <w:bookmarkEnd w:id="121"/>
    <w:p>
      <w:pPr>
        <w:ind w:left="1447"/>
        <w:spacing w:after="0"/>
        <w:rPr>
          <w:sz w:val="20"/>
          <w:szCs w:val="20"/>
          <w:color w:val="auto"/>
        </w:rPr>
      </w:pPr>
      <w:r>
        <w:rPr>
          <w:rFonts w:ascii="Courier New" w:cs="Courier New" w:eastAsia="Courier New" w:hAnsi="Courier New"/>
          <w:sz w:val="15"/>
          <w:szCs w:val="15"/>
          <w:color w:val="auto"/>
        </w:rPr>
        <w:t>Supplier will coordinate monitoring activities [*] will</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determine the [*]</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Closing An Escalation. When HP and the Customer agree that the problem has been resolved satisfactorily or the situation no longer requires Escalation, the Escalation will be closed by HP at the end of the Monitor Phase. The Tracking System will then be updated as necessary by Supplier to record the results of the Monitor Phase, including any actions taken, results of those actions, likelihood of problem reoccurrence and recommended future actions.</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9 of 11</w:t>
      </w:r>
    </w:p>
    <w:p>
      <w:pPr>
        <w:sectPr>
          <w:pgSz w:w="11900" w:h="16838" w:orient="portrait"/>
          <w:cols w:equalWidth="0" w:num="1">
            <w:col w:w="10226"/>
          </w:cols>
          <w:pgMar w:left="233" w:top="643" w:right="1440" w:bottom="1440" w:gutter="0" w:footer="0" w:header="0"/>
        </w:sectPr>
      </w:pPr>
    </w:p>
    <w:bookmarkStart w:id="122" w:name="page123"/>
    <w:bookmarkEnd w:id="122"/>
    <w:p>
      <w:pPr>
        <w:jc w:val="center"/>
        <w:ind w:right="2952"/>
        <w:spacing w:after="0"/>
        <w:rPr>
          <w:sz w:val="20"/>
          <w:szCs w:val="20"/>
          <w:color w:val="auto"/>
        </w:rPr>
      </w:pPr>
      <w:r>
        <w:rPr>
          <w:rFonts w:ascii="Courier New" w:cs="Courier New" w:eastAsia="Courier New" w:hAnsi="Courier New"/>
          <w:sz w:val="15"/>
          <w:szCs w:val="15"/>
          <w:color w:val="auto"/>
        </w:rPr>
        <w:t>APPENDIX I</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STRATEGIC AND TECHNICAL SUPPORT CONTACTS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Initial calls for Brocade's Technical Assistance need to go through:</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Phone:</w:t>
        <w:tab/>
        <w:t>1-888-ATFIBRE</w:t>
      </w:r>
    </w:p>
    <w:p>
      <w:pPr>
        <w:spacing w:after="0" w:line="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Email:</w:t>
        <w:tab/>
        <w:t>hp-support@brocade.com</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following persons are designated to serve as Strategic Support Contacts: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Supplier:</w:t>
            </w:r>
          </w:p>
        </w:tc>
        <w:tc>
          <w:tcPr>
            <w:tcW w:w="3720" w:type="dxa"/>
            <w:vAlign w:val="bottom"/>
          </w:tcPr>
          <w:p>
            <w:pPr>
              <w:spacing w:after="0"/>
              <w:rPr>
                <w:sz w:val="14"/>
                <w:szCs w:val="14"/>
                <w:color w:val="auto"/>
              </w:rPr>
            </w:pP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HP:</w:t>
            </w:r>
          </w:p>
        </w:tc>
        <w:tc>
          <w:tcPr>
            <w:tcW w:w="2220" w:type="dxa"/>
            <w:vAlign w:val="bottom"/>
          </w:tcPr>
          <w:p>
            <w:pPr>
              <w:spacing w:after="0"/>
              <w:rPr>
                <w:sz w:val="14"/>
                <w:szCs w:val="14"/>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Name:</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Brocade Communications Systems, Inc.</w:t>
            </w: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Address:</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Hewlett Packard Company</w:t>
            </w:r>
          </w:p>
        </w:tc>
      </w:tr>
      <w:tr>
        <w:trPr>
          <w:trHeight w:val="175"/>
        </w:trPr>
        <w:tc>
          <w:tcPr>
            <w:tcW w:w="1000" w:type="dxa"/>
            <w:vAlign w:val="bottom"/>
          </w:tcPr>
          <w:p>
            <w:pPr>
              <w:spacing w:after="0"/>
              <w:rPr>
                <w:sz w:val="15"/>
                <w:szCs w:val="15"/>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1901 Guadalupe Parkway</w:t>
            </w:r>
          </w:p>
        </w:tc>
        <w:tc>
          <w:tcPr>
            <w:tcW w:w="1140" w:type="dxa"/>
            <w:vAlign w:val="bottom"/>
          </w:tcPr>
          <w:p>
            <w:pPr>
              <w:spacing w:after="0"/>
              <w:rPr>
                <w:sz w:val="15"/>
                <w:szCs w:val="15"/>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8000 Foothills Blvd.</w:t>
            </w:r>
          </w:p>
        </w:tc>
      </w:tr>
      <w:tr>
        <w:trPr>
          <w:trHeight w:val="175"/>
        </w:trPr>
        <w:tc>
          <w:tcPr>
            <w:tcW w:w="1000" w:type="dxa"/>
            <w:vAlign w:val="bottom"/>
          </w:tcPr>
          <w:p>
            <w:pPr>
              <w:spacing w:after="0"/>
              <w:rPr>
                <w:sz w:val="15"/>
                <w:szCs w:val="15"/>
                <w:color w:val="auto"/>
              </w:rPr>
            </w:pP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San Jose, CA 95131</w:t>
            </w:r>
          </w:p>
        </w:tc>
        <w:tc>
          <w:tcPr>
            <w:tcW w:w="1140" w:type="dxa"/>
            <w:vAlign w:val="bottom"/>
          </w:tcPr>
          <w:p>
            <w:pPr>
              <w:spacing w:after="0"/>
              <w:rPr>
                <w:sz w:val="15"/>
                <w:szCs w:val="15"/>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Roseville, CA 95747</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Phone:</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Phone:</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Fax:</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Fax:</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Email:</w:t>
            </w:r>
          </w:p>
        </w:tc>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Email:</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The following persons are designated as Technical Support Contacts: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Supplier:</w:t>
            </w:r>
          </w:p>
        </w:tc>
        <w:tc>
          <w:tcPr>
            <w:tcW w:w="3680" w:type="dxa"/>
            <w:vAlign w:val="bottom"/>
          </w:tcPr>
          <w:p>
            <w:pPr>
              <w:spacing w:after="0"/>
              <w:rPr>
                <w:sz w:val="14"/>
                <w:szCs w:val="14"/>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HP:</w:t>
            </w:r>
          </w:p>
        </w:tc>
        <w:tc>
          <w:tcPr>
            <w:tcW w:w="2220" w:type="dxa"/>
            <w:vAlign w:val="bottom"/>
          </w:tcPr>
          <w:p>
            <w:pPr>
              <w:spacing w:after="0"/>
              <w:rPr>
                <w:sz w:val="14"/>
                <w:szCs w:val="14"/>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Name:</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Don Roeder</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Brocade Communications Systems, Inc</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Address:</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w w:val="99"/>
              </w:rPr>
              <w:t>Hewlett Packard Company</w:t>
            </w:r>
          </w:p>
        </w:tc>
      </w:tr>
      <w:tr>
        <w:trPr>
          <w:trHeight w:val="175"/>
        </w:trPr>
        <w:tc>
          <w:tcPr>
            <w:tcW w:w="1000" w:type="dxa"/>
            <w:vAlign w:val="bottom"/>
          </w:tcPr>
          <w:p>
            <w:pPr>
              <w:spacing w:after="0"/>
              <w:rPr>
                <w:sz w:val="15"/>
                <w:szCs w:val="15"/>
                <w:color w:val="auto"/>
              </w:rPr>
            </w:pP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1901 Guadalupe Parkway</w:t>
            </w:r>
          </w:p>
        </w:tc>
        <w:tc>
          <w:tcPr>
            <w:tcW w:w="1180" w:type="dxa"/>
            <w:vAlign w:val="bottom"/>
          </w:tcPr>
          <w:p>
            <w:pPr>
              <w:spacing w:after="0"/>
              <w:rPr>
                <w:sz w:val="15"/>
                <w:szCs w:val="15"/>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8000 Foothills Blvd.</w:t>
            </w:r>
          </w:p>
        </w:tc>
      </w:tr>
      <w:tr>
        <w:trPr>
          <w:trHeight w:val="175"/>
        </w:trPr>
        <w:tc>
          <w:tcPr>
            <w:tcW w:w="1000" w:type="dxa"/>
            <w:vAlign w:val="bottom"/>
          </w:tcPr>
          <w:p>
            <w:pPr>
              <w:spacing w:after="0"/>
              <w:rPr>
                <w:sz w:val="15"/>
                <w:szCs w:val="15"/>
                <w:color w:val="auto"/>
              </w:rPr>
            </w:pP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San Jose, CA 95131</w:t>
            </w:r>
          </w:p>
        </w:tc>
        <w:tc>
          <w:tcPr>
            <w:tcW w:w="1180" w:type="dxa"/>
            <w:vAlign w:val="bottom"/>
          </w:tcPr>
          <w:p>
            <w:pPr>
              <w:spacing w:after="0"/>
              <w:rPr>
                <w:sz w:val="15"/>
                <w:szCs w:val="15"/>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Roseville, CA 95747</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Phone:</w:t>
            </w: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Phone:</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Fax:</w:t>
            </w: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Fax:</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Email:</w:t>
            </w:r>
          </w:p>
        </w:tc>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Email:</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Page 10 of 11</w:t>
      </w:r>
    </w:p>
    <w:p>
      <w:pPr>
        <w:sectPr>
          <w:pgSz w:w="11900" w:h="16838" w:orient="portrait"/>
          <w:cols w:equalWidth="0" w:num="1">
            <w:col w:w="10226"/>
          </w:cols>
          <w:pgMar w:left="233" w:top="643" w:right="1440" w:bottom="1440" w:gutter="0" w:footer="0" w:header="0"/>
        </w:sectPr>
      </w:pPr>
    </w:p>
    <w:bookmarkStart w:id="123" w:name="page124"/>
    <w:bookmarkEnd w:id="123"/>
    <w:p>
      <w:pPr>
        <w:ind w:left="3187"/>
        <w:spacing w:after="0"/>
        <w:rPr>
          <w:sz w:val="20"/>
          <w:szCs w:val="20"/>
          <w:color w:val="auto"/>
        </w:rPr>
      </w:pPr>
      <w:r>
        <w:rPr>
          <w:rFonts w:ascii="Courier New" w:cs="Courier New" w:eastAsia="Courier New" w:hAnsi="Courier New"/>
          <w:sz w:val="15"/>
          <w:szCs w:val="15"/>
          <w:color w:val="auto"/>
        </w:rPr>
        <w:t>APPENDIX II</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RESPONSE TIMES</w:t>
            </w: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699"/>
        </w:trPr>
        <w:tc>
          <w:tcPr>
            <w:tcW w:w="1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Initial</w:t>
            </w: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5"/>
        </w:trPr>
        <w:tc>
          <w:tcPr>
            <w:tcW w:w="1940" w:type="dxa"/>
            <w:vAlign w:val="bottom"/>
          </w:tcPr>
          <w:p>
            <w:pPr>
              <w:spacing w:after="0"/>
              <w:rPr>
                <w:sz w:val="15"/>
                <w:szCs w:val="15"/>
                <w:color w:val="auto"/>
              </w:rPr>
            </w:pPr>
          </w:p>
        </w:tc>
        <w:tc>
          <w:tcPr>
            <w:tcW w:w="2460" w:type="dxa"/>
            <w:vAlign w:val="bottom"/>
          </w:tcPr>
          <w:p>
            <w:pPr>
              <w:ind w:left="600"/>
              <w:spacing w:after="0"/>
              <w:rPr>
                <w:sz w:val="20"/>
                <w:szCs w:val="20"/>
                <w:color w:val="auto"/>
              </w:rPr>
            </w:pPr>
            <w:r>
              <w:rPr>
                <w:rFonts w:ascii="Courier New" w:cs="Courier New" w:eastAsia="Courier New" w:hAnsi="Courier New"/>
                <w:sz w:val="15"/>
                <w:szCs w:val="15"/>
                <w:color w:val="auto"/>
              </w:rPr>
              <w:t>Acknowledge Problem</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Action</w:t>
            </w:r>
          </w:p>
        </w:tc>
        <w:tc>
          <w:tcPr>
            <w:tcW w:w="1720" w:type="dxa"/>
            <w:vAlign w:val="bottom"/>
          </w:tcPr>
          <w:p>
            <w:pPr>
              <w:spacing w:after="0"/>
              <w:rPr>
                <w:sz w:val="15"/>
                <w:szCs w:val="15"/>
                <w:color w:val="auto"/>
              </w:rPr>
            </w:pPr>
          </w:p>
        </w:tc>
        <w:tc>
          <w:tcPr>
            <w:tcW w:w="1820" w:type="dxa"/>
            <w:vAlign w:val="bottom"/>
          </w:tcPr>
          <w:p>
            <w:pPr>
              <w:ind w:left="100"/>
              <w:spacing w:after="0"/>
              <w:rPr>
                <w:sz w:val="20"/>
                <w:szCs w:val="20"/>
                <w:color w:val="auto"/>
              </w:rPr>
            </w:pPr>
            <w:r>
              <w:rPr>
                <w:rFonts w:ascii="Courier New" w:cs="Courier New" w:eastAsia="Courier New" w:hAnsi="Courier New"/>
                <w:sz w:val="15"/>
                <w:szCs w:val="15"/>
                <w:color w:val="auto"/>
              </w:rPr>
              <w:t>Permanent Fix</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HP Call/Problem</w:t>
            </w:r>
          </w:p>
        </w:tc>
        <w:tc>
          <w:tcPr>
            <w:tcW w:w="2460" w:type="dxa"/>
            <w:vAlign w:val="bottom"/>
          </w:tcPr>
          <w:p>
            <w:pPr>
              <w:ind w:left="600"/>
              <w:spacing w:after="0"/>
              <w:rPr>
                <w:sz w:val="20"/>
                <w:szCs w:val="20"/>
                <w:color w:val="auto"/>
              </w:rPr>
            </w:pPr>
            <w:r>
              <w:rPr>
                <w:rFonts w:ascii="Courier New" w:cs="Courier New" w:eastAsia="Courier New" w:hAnsi="Courier New"/>
                <w:sz w:val="15"/>
                <w:szCs w:val="15"/>
                <w:color w:val="auto"/>
              </w:rPr>
              <w:t>receipt; Engineer</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Plan/Status</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Fix, or</w:t>
            </w:r>
          </w:p>
        </w:tc>
        <w:tc>
          <w:tcPr>
            <w:tcW w:w="1820" w:type="dxa"/>
            <w:vAlign w:val="bottom"/>
          </w:tcPr>
          <w:p>
            <w:pPr>
              <w:ind w:left="100"/>
              <w:spacing w:after="0"/>
              <w:rPr>
                <w:sz w:val="20"/>
                <w:szCs w:val="20"/>
                <w:color w:val="auto"/>
              </w:rPr>
            </w:pPr>
            <w:r>
              <w:rPr>
                <w:rFonts w:ascii="Courier New" w:cs="Courier New" w:eastAsia="Courier New" w:hAnsi="Courier New"/>
                <w:sz w:val="15"/>
                <w:szCs w:val="15"/>
                <w:color w:val="auto"/>
                <w:w w:val="99"/>
              </w:rPr>
              <w:t>or long term Action</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Classification</w:t>
            </w:r>
          </w:p>
        </w:tc>
        <w:tc>
          <w:tcPr>
            <w:tcW w:w="2460" w:type="dxa"/>
            <w:vAlign w:val="bottom"/>
          </w:tcPr>
          <w:p>
            <w:pPr>
              <w:ind w:left="600"/>
              <w:spacing w:after="0"/>
              <w:rPr>
                <w:sz w:val="20"/>
                <w:szCs w:val="20"/>
                <w:color w:val="auto"/>
              </w:rPr>
            </w:pPr>
            <w:r>
              <w:rPr>
                <w:rFonts w:ascii="Courier New" w:cs="Courier New" w:eastAsia="Courier New" w:hAnsi="Courier New"/>
                <w:sz w:val="15"/>
                <w:szCs w:val="15"/>
                <w:color w:val="auto"/>
              </w:rPr>
              <w:t>assigned</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Update</w:t>
            </w:r>
          </w:p>
        </w:tc>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Workaround to HP</w:t>
            </w:r>
          </w:p>
        </w:tc>
        <w:tc>
          <w:tcPr>
            <w:tcW w:w="1820" w:type="dxa"/>
            <w:vAlign w:val="bottom"/>
          </w:tcPr>
          <w:p>
            <w:pPr>
              <w:ind w:left="100"/>
              <w:spacing w:after="0"/>
              <w:rPr>
                <w:sz w:val="20"/>
                <w:szCs w:val="20"/>
                <w:color w:val="auto"/>
              </w:rPr>
            </w:pPr>
            <w:r>
              <w:rPr>
                <w:rFonts w:ascii="Courier New" w:cs="Courier New" w:eastAsia="Courier New" w:hAnsi="Courier New"/>
                <w:sz w:val="15"/>
                <w:szCs w:val="15"/>
                <w:color w:val="auto"/>
                <w:w w:val="99"/>
              </w:rPr>
              <w:t>for a permanent Fix</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2526" w:val="left"/>
          <w:tab w:leader="none" w:pos="4526" w:val="left"/>
          <w:tab w:leader="none" w:pos="5886" w:val="left"/>
          <w:tab w:leader="none" w:pos="75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CLASSIFICATION OF PROBLEM SITUATION.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Page 11 of 11</w:t>
      </w:r>
    </w:p>
    <w:p>
      <w:pPr>
        <w:sectPr>
          <w:pgSz w:w="11900" w:h="16838" w:orient="portrait"/>
          <w:cols w:equalWidth="0" w:num="1">
            <w:col w:w="10226"/>
          </w:cols>
          <w:pgMar w:left="233" w:top="642" w:right="1440" w:bottom="1440" w:gutter="0" w:footer="0" w:header="0"/>
        </w:sectPr>
      </w:pPr>
    </w:p>
    <w:bookmarkStart w:id="124" w:name="page125"/>
    <w:bookmarkEnd w:id="124"/>
    <w:p>
      <w:pPr>
        <w:jc w:val="center"/>
        <w:ind w:right="2872"/>
        <w:spacing w:after="0"/>
        <w:rPr>
          <w:sz w:val="20"/>
          <w:szCs w:val="20"/>
          <w:color w:val="auto"/>
        </w:rPr>
      </w:pPr>
      <w:r>
        <w:rPr>
          <w:rFonts w:ascii="Courier New" w:cs="Courier New" w:eastAsia="Courier New" w:hAnsi="Courier New"/>
          <w:sz w:val="15"/>
          <w:szCs w:val="15"/>
          <w:color w:val="auto"/>
        </w:rPr>
        <w:t>EXHIBIT (E)</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HP EQUIPMENT LOAN AGREEMENT</w:t>
      </w:r>
    </w:p>
    <w:p>
      <w:pPr>
        <w:spacing w:after="0" w:line="180" w:lineRule="exact"/>
        <w:rPr>
          <w:sz w:val="20"/>
          <w:szCs w:val="20"/>
          <w:color w:val="auto"/>
        </w:rPr>
      </w:pPr>
    </w:p>
    <w:p>
      <w:pPr>
        <w:ind w:left="1367" w:right="3039"/>
        <w:spacing w:after="0" w:line="246" w:lineRule="auto"/>
        <w:rPr>
          <w:sz w:val="20"/>
          <w:szCs w:val="20"/>
          <w:color w:val="auto"/>
        </w:rPr>
      </w:pPr>
      <w:r>
        <w:rPr>
          <w:rFonts w:ascii="Courier New" w:cs="Courier New" w:eastAsia="Courier New" w:hAnsi="Courier New"/>
          <w:sz w:val="15"/>
          <w:szCs w:val="15"/>
          <w:color w:val="auto"/>
        </w:rPr>
        <w:t>THIS HP EQUIPMENT LOAN AGREEMENT ("Equipment Loan Agreement") is made ____________, 2000, (the "Effective Date") by and between</w:t>
      </w:r>
    </w:p>
    <w:p>
      <w:pPr>
        <w:spacing w:after="0" w:line="1" w:lineRule="exact"/>
        <w:rPr>
          <w:sz w:val="20"/>
          <w:szCs w:val="20"/>
          <w:color w:val="auto"/>
        </w:rPr>
      </w:pPr>
    </w:p>
    <w:p>
      <w:pPr>
        <w:ind w:left="1367" w:right="3679"/>
        <w:spacing w:after="0" w:line="247" w:lineRule="auto"/>
        <w:rPr>
          <w:sz w:val="20"/>
          <w:szCs w:val="20"/>
          <w:color w:val="auto"/>
        </w:rPr>
      </w:pPr>
      <w:r>
        <w:rPr>
          <w:rFonts w:ascii="Courier New" w:cs="Courier New" w:eastAsia="Courier New" w:hAnsi="Courier New"/>
          <w:sz w:val="15"/>
          <w:szCs w:val="15"/>
          <w:color w:val="auto"/>
        </w:rPr>
        <w:t>Hewlett-Packard Company ("HP") and Brocade Communications Systems, Inc. (SUPPLIER) as follows:</w:t>
      </w:r>
    </w:p>
    <w:p>
      <w:pPr>
        <w:spacing w:after="0" w:line="175" w:lineRule="exact"/>
        <w:rPr>
          <w:sz w:val="20"/>
          <w:szCs w:val="20"/>
          <w:color w:val="auto"/>
        </w:rPr>
      </w:pPr>
    </w:p>
    <w:p>
      <w:pPr>
        <w:ind w:left="727" w:right="2959" w:hanging="727"/>
        <w:spacing w:after="0" w:line="246" w:lineRule="auto"/>
        <w:tabs>
          <w:tab w:leader="none" w:pos="72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HP hereby loans to SUPPLIER, for the applicable Term, the HP-owned equipment, which may consist of hardware and software (collectively, "HP Equipment") described in the HP Equipment Schedule attached as Attachment (A). HP may, from time to time, add, upgrade, or remove HP Equipment from SUPPLIER's site during the Term. All HP Equipment received by SUPPLIER during the Term shall be described in an amended HP Equipment Schedule signed by SUPPLIER and appended to this Equipment Loan Agreement. SUPPLIER agrees, by its receipt of HP Equipment, that all HP Equipment is subject to the provisions of this Equipment Loan Agreement.</w:t>
      </w:r>
    </w:p>
    <w:p>
      <w:pPr>
        <w:spacing w:after="0" w:line="180" w:lineRule="exact"/>
        <w:rPr>
          <w:rFonts w:ascii="Courier New" w:cs="Courier New" w:eastAsia="Courier New" w:hAnsi="Courier New"/>
          <w:sz w:val="15"/>
          <w:szCs w:val="15"/>
          <w:color w:val="auto"/>
        </w:rPr>
      </w:pPr>
    </w:p>
    <w:p>
      <w:pPr>
        <w:jc w:val="both"/>
        <w:ind w:left="727" w:right="2959" w:hanging="727"/>
        <w:spacing w:after="0" w:line="246" w:lineRule="auto"/>
        <w:tabs>
          <w:tab w:leader="none" w:pos="72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This Equipment Loan Agreement shall be for a Term of [*] after the Effective Date (the "Term") of this Agreement, unless earlier terminated by HP or SUPPLIER upon [*] written notice to the other. HP may m writing extend the Term, or establish a separate Term with respect to particular items of HP Equipment.</w:t>
      </w:r>
    </w:p>
    <w:p>
      <w:pPr>
        <w:spacing w:after="0" w:line="177" w:lineRule="exact"/>
        <w:rPr>
          <w:rFonts w:ascii="Courier New" w:cs="Courier New" w:eastAsia="Courier New" w:hAnsi="Courier New"/>
          <w:sz w:val="15"/>
          <w:szCs w:val="15"/>
          <w:color w:val="auto"/>
        </w:rPr>
      </w:pPr>
    </w:p>
    <w:p>
      <w:pPr>
        <w:ind w:left="727" w:right="2959" w:hanging="727"/>
        <w:spacing w:after="0" w:line="246" w:lineRule="auto"/>
        <w:tabs>
          <w:tab w:leader="none" w:pos="72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SUPPLIER may use the HP Equipment solely for testing and developing OEM Products under this Agreement. SUPPLIER shall not move any HP Equipment from the location set forth in the HP Equipment Schedule without the prior written consent of HP. SUPPLIER's right to use the HP Equipment is non-transferable. SUPPLIER assumes all risk for the use of the HP Equipment.</w:t>
      </w:r>
    </w:p>
    <w:p>
      <w:pPr>
        <w:spacing w:after="0" w:line="178" w:lineRule="exact"/>
        <w:rPr>
          <w:rFonts w:ascii="Courier New" w:cs="Courier New" w:eastAsia="Courier New" w:hAnsi="Courier New"/>
          <w:sz w:val="15"/>
          <w:szCs w:val="15"/>
          <w:color w:val="auto"/>
        </w:rPr>
      </w:pPr>
    </w:p>
    <w:p>
      <w:pPr>
        <w:ind w:left="727" w:right="2959" w:hanging="727"/>
        <w:spacing w:after="0" w:line="246" w:lineRule="auto"/>
        <w:tabs>
          <w:tab w:leader="none" w:pos="72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All software provided with the HP Equipment or for test and development of the OEM Products shall be licensed under the then current HP Software License Terms, the current form of which is attached as Attachment (B). The type of license to use for any particular software is stated in the HP Equipment Schedule.</w:t>
      </w:r>
    </w:p>
    <w:p>
      <w:pPr>
        <w:spacing w:after="0" w:line="177" w:lineRule="exact"/>
        <w:rPr>
          <w:rFonts w:ascii="Courier New" w:cs="Courier New" w:eastAsia="Courier New" w:hAnsi="Courier New"/>
          <w:sz w:val="15"/>
          <w:szCs w:val="15"/>
          <w:color w:val="auto"/>
        </w:rPr>
      </w:pPr>
    </w:p>
    <w:p>
      <w:pPr>
        <w:ind w:left="727" w:right="2959" w:hanging="727"/>
        <w:spacing w:after="0" w:line="246" w:lineRule="auto"/>
        <w:tabs>
          <w:tab w:leader="none" w:pos="72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HP retains all right, title, and ownership to the HP Equipment, unless any such HP Equipment is purchased by SUPPLIER. SUPPLIER hereby nominates and appoints HP as its attorney-in-fact for the sole purpose of executing on SUPPLIER's behalf UCC-1 financing statements (and any appropriate amendments thereto) under the provisions of the Uniform Commercial Code for the HP Equipment loaned to SUPPLIER hereunder. If requested by HP, SUPPLIER shall affix any label or marking supplied by HP evidencing HP's ownership of the HP Equipment. HP may, from time to time, inspect the HP Equipment. SUPPLIER shall not encumber the HP Equipment in any manner.</w:t>
      </w:r>
    </w:p>
    <w:p>
      <w:pPr>
        <w:spacing w:after="0" w:line="180" w:lineRule="exact"/>
        <w:rPr>
          <w:rFonts w:ascii="Courier New" w:cs="Courier New" w:eastAsia="Courier New" w:hAnsi="Courier New"/>
          <w:sz w:val="15"/>
          <w:szCs w:val="15"/>
          <w:color w:val="auto"/>
        </w:rPr>
      </w:pPr>
    </w:p>
    <w:p>
      <w:pPr>
        <w:ind w:left="727" w:right="2959" w:hanging="727"/>
        <w:spacing w:after="0" w:line="246" w:lineRule="auto"/>
        <w:tabs>
          <w:tab w:leader="none" w:pos="72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DISCLAIMER. ALL HP EQUIPMENT IS FURNISHED "AS IS", WITHOUT WARRANTY OF ANY KIND, WRITTEN OR ORAL, EXPRESS OR IMPLIED, INCLUDING BUT NOT LIMITED TO ANY WARRANTY OF MERCHANTABILITY OR FITNESS FOR A PARTICULAR PURPOSE. SUPPLIER understands that some newly manufactured HP Equipment may contain remanufactured parts equivalent to new in performance.</w:t>
      </w:r>
    </w:p>
    <w:p>
      <w:pPr>
        <w:spacing w:after="0" w:line="200" w:lineRule="exact"/>
        <w:rPr>
          <w:sz w:val="20"/>
          <w:szCs w:val="20"/>
          <w:color w:val="auto"/>
        </w:rPr>
      </w:pPr>
    </w:p>
    <w:p>
      <w:pPr>
        <w:spacing w:after="0" w:line="328" w:lineRule="exact"/>
        <w:rPr>
          <w:sz w:val="20"/>
          <w:szCs w:val="20"/>
          <w:color w:val="auto"/>
        </w:rPr>
      </w:pPr>
    </w:p>
    <w:p>
      <w:pPr>
        <w:ind w:left="447" w:right="2959" w:hanging="447"/>
        <w:spacing w:after="0" w:line="247" w:lineRule="auto"/>
        <w:tabs>
          <w:tab w:leader="none" w:pos="44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1 of 5</w:t>
      </w:r>
    </w:p>
    <w:p>
      <w:pPr>
        <w:sectPr>
          <w:pgSz w:w="11900" w:h="16838" w:orient="portrait"/>
          <w:cols w:equalWidth="0" w:num="1">
            <w:col w:w="10226"/>
          </w:cols>
          <w:pgMar w:left="233" w:top="643" w:right="1440" w:bottom="1440" w:gutter="0" w:footer="0" w:header="0"/>
        </w:sectPr>
      </w:pPr>
    </w:p>
    <w:bookmarkStart w:id="125" w:name="page126"/>
    <w:bookmarkEnd w:id="125"/>
    <w:p>
      <w:pPr>
        <w:ind w:left="727" w:right="2959" w:hanging="727"/>
        <w:spacing w:after="0" w:line="246" w:lineRule="auto"/>
        <w:tabs>
          <w:tab w:leader="none" w:pos="7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During the Term, SUPPLIER will maintain all HP Equipment in good operating order and condition. All maintenance must be provided by personnel authorized by HP. HP will provide standard support and maintenance for the HP Equipment [*] to SUPPLIER during the Term; however, [*] due to SUPPLIER's negligence shall be borne by SUPPLIER. SUPPLIER shall be responsible for providing HP personnel ready and safe access to the HP Equipment for such maintenance and support.</w:t>
      </w:r>
    </w:p>
    <w:p>
      <w:pPr>
        <w:spacing w:after="0" w:line="179" w:lineRule="exact"/>
        <w:rPr>
          <w:rFonts w:ascii="Courier New" w:cs="Courier New" w:eastAsia="Courier New" w:hAnsi="Courier New"/>
          <w:sz w:val="15"/>
          <w:szCs w:val="15"/>
          <w:color w:val="auto"/>
        </w:rPr>
      </w:pPr>
    </w:p>
    <w:p>
      <w:pPr>
        <w:ind w:left="727" w:right="2959" w:hanging="727"/>
        <w:spacing w:after="0" w:line="246" w:lineRule="auto"/>
        <w:tabs>
          <w:tab w:leader="none" w:pos="7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OF LOSS. SUPPLIER shall bear [*] risk of loss with respect to the HP Equipment from receipt thereof until such HP Equipment is returned to HP. All HP Equipment returned to HP must include the same components as received by SUPPLIER, and must be in good operating order and condition. Charges may be imposed by HP if SUPPLIER fails to return the HP Equipment in such condition or within the return timeframe set forth herein.</w:t>
      </w:r>
    </w:p>
    <w:p>
      <w:pPr>
        <w:spacing w:after="0" w:line="179" w:lineRule="exact"/>
        <w:rPr>
          <w:rFonts w:ascii="Courier New" w:cs="Courier New" w:eastAsia="Courier New" w:hAnsi="Courier New"/>
          <w:sz w:val="15"/>
          <w:szCs w:val="15"/>
          <w:color w:val="auto"/>
        </w:rPr>
      </w:pPr>
    </w:p>
    <w:p>
      <w:pPr>
        <w:ind w:left="727" w:right="2959" w:hanging="727"/>
        <w:spacing w:after="0" w:line="247" w:lineRule="auto"/>
        <w:tabs>
          <w:tab w:leader="none" w:pos="7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SHIPPING COSTS. Unless otherwise agreed in writing by HP SUPPLIER shall be responsible for and pay [*] with respect to the delivery or return of any HP Equipment hereunder.</w:t>
      </w:r>
    </w:p>
    <w:p>
      <w:pPr>
        <w:spacing w:after="0" w:line="174" w:lineRule="exact"/>
        <w:rPr>
          <w:rFonts w:ascii="Courier New" w:cs="Courier New" w:eastAsia="Courier New" w:hAnsi="Courier New"/>
          <w:sz w:val="15"/>
          <w:szCs w:val="15"/>
          <w:color w:val="auto"/>
        </w:rPr>
      </w:pPr>
    </w:p>
    <w:p>
      <w:pPr>
        <w:ind w:left="727" w:right="2959" w:hanging="727"/>
        <w:spacing w:after="0" w:line="246" w:lineRule="auto"/>
        <w:tabs>
          <w:tab w:leader="none" w:pos="7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 HP SHALL NOT BE LIABLE FOR ANY DIRECT, INDIRECT, SPECIAL, INCIDENTAL OR CONSEQUENTIAL DAMAGES, WHETHER BASED ON CONTRACT, TORT, OR ANY OTHER LEGAL THEORY, ARISING OUT OF THIS EQUIPMENT LOAN AGREEMENT OR SUPPLIER'S USE OF THE HP EQUIPMENT.</w:t>
      </w:r>
    </w:p>
    <w:p>
      <w:pPr>
        <w:spacing w:after="0" w:line="177" w:lineRule="exact"/>
        <w:rPr>
          <w:rFonts w:ascii="Courier New" w:cs="Courier New" w:eastAsia="Courier New" w:hAnsi="Courier New"/>
          <w:sz w:val="15"/>
          <w:szCs w:val="15"/>
          <w:color w:val="auto"/>
        </w:rPr>
      </w:pPr>
    </w:p>
    <w:p>
      <w:pPr>
        <w:ind w:left="727" w:right="3139" w:hanging="727"/>
        <w:spacing w:after="0" w:line="246" w:lineRule="auto"/>
        <w:tabs>
          <w:tab w:leader="none" w:pos="7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Upon expiration or earlier termination of the Term, SUPPLIER shall (i) return to HP all HP Equipment [*] or (ii) purchase the HP Equipment pursuant to Section 12 below. In the event that SUPPLIER fails to return the HP Equipment to HP upon expiration of the Term within such [*] SUPPLIER shall be deemed to have elected to purchase the HP Equipment, and HP will invoice SUPPLER accordingly.</w:t>
      </w:r>
    </w:p>
    <w:p>
      <w:pPr>
        <w:spacing w:after="0" w:line="178" w:lineRule="exact"/>
        <w:rPr>
          <w:rFonts w:ascii="Courier New" w:cs="Courier New" w:eastAsia="Courier New" w:hAnsi="Courier New"/>
          <w:sz w:val="15"/>
          <w:szCs w:val="15"/>
          <w:color w:val="auto"/>
        </w:rPr>
      </w:pPr>
    </w:p>
    <w:p>
      <w:pPr>
        <w:ind w:left="727" w:right="2959" w:hanging="727"/>
        <w:spacing w:after="0" w:line="246" w:lineRule="auto"/>
        <w:tabs>
          <w:tab w:leader="none" w:pos="72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OPTION. Upon expiration of the Term, SUPPLIER may elect to purchase the HP Equipment from HP under HP's then current standard terms and conditions, provided that such HP Equipment shall not be purchased for resale. Upon purchase, such HP Equipment will be provided with HP's then current standard warranty provisions for used equipment. The purchase price for HP Equipment purchased under this Section 12 will be the [*] less any mutually agreed discount. No other promotional or purchase discounts will apply. Such purchase will not qualify for any stock rotation or price protection under any other agreement which SUPPLIER may have with HP.</w:t>
      </w:r>
    </w:p>
    <w:p>
      <w:pPr>
        <w:spacing w:after="0" w:line="200" w:lineRule="exact"/>
        <w:rPr>
          <w:sz w:val="20"/>
          <w:szCs w:val="20"/>
          <w:color w:val="auto"/>
        </w:rPr>
      </w:pPr>
    </w:p>
    <w:p>
      <w:pPr>
        <w:spacing w:after="0" w:line="330" w:lineRule="exact"/>
        <w:rPr>
          <w:sz w:val="20"/>
          <w:szCs w:val="20"/>
          <w:color w:val="auto"/>
        </w:rPr>
      </w:pPr>
    </w:p>
    <w:p>
      <w:pPr>
        <w:ind w:left="447" w:right="2959" w:hanging="447"/>
        <w:spacing w:after="0" w:line="247" w:lineRule="auto"/>
        <w:tabs>
          <w:tab w:leader="none" w:pos="44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2 of 5</w:t>
      </w:r>
    </w:p>
    <w:p>
      <w:pPr>
        <w:sectPr>
          <w:pgSz w:w="11900" w:h="16838" w:orient="portrait"/>
          <w:cols w:equalWidth="0" w:num="1">
            <w:col w:w="10226"/>
          </w:cols>
          <w:pgMar w:left="233" w:top="643" w:right="1440" w:bottom="1440" w:gutter="0" w:footer="0" w:header="0"/>
        </w:sectPr>
      </w:pPr>
    </w:p>
    <w:bookmarkStart w:id="126" w:name="page127"/>
    <w:bookmarkEnd w:id="126"/>
    <w:p>
      <w:pPr>
        <w:ind w:left="367" w:hanging="367"/>
        <w:spacing w:after="0"/>
        <w:tabs>
          <w:tab w:leader="none" w:pos="36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9" w:lineRule="exact"/>
        <w:rPr>
          <w:rFonts w:ascii="Courier New" w:cs="Courier New" w:eastAsia="Courier New" w:hAnsi="Courier New"/>
          <w:sz w:val="15"/>
          <w:szCs w:val="15"/>
          <w:color w:val="auto"/>
        </w:rPr>
      </w:pPr>
    </w:p>
    <w:p>
      <w:pPr>
        <w:ind w:left="1367" w:hanging="549"/>
        <w:spacing w:after="0"/>
        <w:tabs>
          <w:tab w:leader="none" w:pos="1367"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Equipment Loan Agreement may not be assigned by SUPPLIER.</w:t>
      </w:r>
    </w:p>
    <w:p>
      <w:pPr>
        <w:spacing w:after="0" w:line="179" w:lineRule="exact"/>
        <w:rPr>
          <w:rFonts w:ascii="Courier New" w:cs="Courier New" w:eastAsia="Courier New" w:hAnsi="Courier New"/>
          <w:sz w:val="15"/>
          <w:szCs w:val="15"/>
          <w:color w:val="auto"/>
        </w:rPr>
      </w:pPr>
    </w:p>
    <w:p>
      <w:pPr>
        <w:ind w:left="1367" w:right="3039" w:hanging="549"/>
        <w:spacing w:after="0" w:line="246" w:lineRule="auto"/>
        <w:tabs>
          <w:tab w:leader="none" w:pos="1367"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Equipment Loan Agreement and any attachments constitute the entire agreement between the parties relating to transactions hereunder and will supersede any previous communication, representation or agreement by either party, whether oral or written. Any modifications or amendments must be in writing and signed by both parties</w:t>
      </w:r>
    </w:p>
    <w:p>
      <w:pPr>
        <w:spacing w:after="0" w:line="178" w:lineRule="exact"/>
        <w:rPr>
          <w:rFonts w:ascii="Courier New" w:cs="Courier New" w:eastAsia="Courier New" w:hAnsi="Courier New"/>
          <w:sz w:val="15"/>
          <w:szCs w:val="15"/>
          <w:color w:val="auto"/>
        </w:rPr>
      </w:pPr>
    </w:p>
    <w:p>
      <w:pPr>
        <w:ind w:left="1367" w:right="2959" w:hanging="549"/>
        <w:spacing w:after="0" w:line="247" w:lineRule="auto"/>
        <w:tabs>
          <w:tab w:leader="none" w:pos="1367"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Equipment Loan Agreement shall be governed by and construed in accordance with the laws of the State of California, exclusive of its choice-of-law provisions.</w:t>
      </w:r>
    </w:p>
    <w:p>
      <w:pPr>
        <w:sectPr>
          <w:pgSz w:w="11900" w:h="16838" w:orient="portrait"/>
          <w:cols w:equalWidth="0" w:num="1">
            <w:col w:w="10226"/>
          </w:cols>
          <w:pgMar w:left="233" w:top="643" w:right="1440" w:bottom="1440" w:gutter="0" w:footer="0" w:header="0"/>
        </w:sectPr>
      </w:pP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SYSTEMS, INC.</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374"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Charles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Charles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Vice President, WW Sales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Marilyn Edling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Marilyn Edling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 General Manager, ESBU</w:t>
      </w:r>
    </w:p>
    <w:p>
      <w:pPr>
        <w:spacing w:after="0" w:line="200" w:lineRule="exact"/>
        <w:rPr>
          <w:sz w:val="20"/>
          <w:szCs w:val="20"/>
          <w:color w:val="auto"/>
        </w:rPr>
      </w:pPr>
    </w:p>
    <w:p>
      <w:pPr>
        <w:sectPr>
          <w:pgSz w:w="11900" w:h="16838" w:orient="portrait"/>
          <w:cols w:equalWidth="0" w:num="3">
            <w:col w:w="267" w:space="0"/>
            <w:col w:w="3100" w:space="720"/>
            <w:col w:w="6139"/>
          </w:cols>
          <w:pgMar w:left="233" w:top="643" w:right="1440" w:bottom="1440" w:gutter="0" w:footer="0" w:header="0"/>
          <w:type w:val="continuous"/>
        </w:sectPr>
      </w:pPr>
    </w:p>
    <w:p>
      <w:pPr>
        <w:spacing w:after="0" w:line="32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3 of 5</w:t>
      </w:r>
    </w:p>
    <w:p>
      <w:pPr>
        <w:sectPr>
          <w:pgSz w:w="11900" w:h="16838" w:orient="portrait"/>
          <w:cols w:equalWidth="0" w:num="1">
            <w:col w:w="10226"/>
          </w:cols>
          <w:pgMar w:left="233" w:top="643" w:right="1440" w:bottom="1440" w:gutter="0" w:footer="0" w:header="0"/>
          <w:type w:val="continuous"/>
        </w:sectPr>
      </w:pPr>
    </w:p>
    <w:bookmarkStart w:id="127" w:name="page128"/>
    <w:bookmarkEnd w:id="127"/>
    <w:p>
      <w:pPr>
        <w:ind w:left="3007"/>
        <w:spacing w:after="0"/>
        <w:rPr>
          <w:sz w:val="20"/>
          <w:szCs w:val="20"/>
          <w:color w:val="auto"/>
        </w:rPr>
      </w:pPr>
      <w:r>
        <w:rPr>
          <w:rFonts w:ascii="Courier New" w:cs="Courier New" w:eastAsia="Courier New" w:hAnsi="Courier New"/>
          <w:sz w:val="15"/>
          <w:szCs w:val="15"/>
          <w:color w:val="auto"/>
        </w:rPr>
        <w:t>ATTACHMENT (A)</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HP EQUIPMENT SCHEDULE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EQUIPMENT LOANED TO BROCADE COMMUNICATIONS SYSTEMS:</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NOTE: Contact at Supplier regarding all loaned equipment is Chris Beauchamp #(408) 487-8166.</w:t>
      </w:r>
    </w:p>
    <w:p>
      <w:pPr>
        <w:sectPr>
          <w:pgSz w:w="11900" w:h="16838" w:orient="portrait"/>
          <w:cols w:equalWidth="0" w:num="1">
            <w:col w:w="10226"/>
          </w:cols>
          <w:pgMar w:left="233" w:top="643" w:right="1440" w:bottom="1440" w:gutter="0" w:footer="0" w:header="0"/>
        </w:sectPr>
      </w:pP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SOFTWARE: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TYPE:</w:t>
      </w:r>
    </w:p>
    <w:p>
      <w:pPr>
        <w:spacing w:after="0" w:line="180"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LOCATION(S):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ACKNOWLEDGED:</w:t>
      </w:r>
    </w:p>
    <w:p>
      <w:pPr>
        <w:sectPr>
          <w:pgSz w:w="11900" w:h="16838" w:orient="portrait"/>
          <w:cols w:equalWidth="0" w:num="1">
            <w:col w:w="10226"/>
          </w:cols>
          <w:pgMar w:left="233" w:top="643" w:right="1440" w:bottom="144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SYSTEMS,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374"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spacing w:after="0" w:line="154"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By:</w:t>
        <w:tab/>
        <w:t>/s/ Charles Smith</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Charles Smith</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Marilyn Edling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Marilyn Edling</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Title: Vice-President, WW Sales</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 General Manager, ESBU</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4 of 5</w:t>
      </w:r>
    </w:p>
    <w:p>
      <w:pPr>
        <w:sectPr>
          <w:pgSz w:w="11900" w:h="16838" w:orient="portrait"/>
          <w:cols w:equalWidth="0" w:num="1">
            <w:col w:w="10226"/>
          </w:cols>
          <w:pgMar w:left="233" w:top="643" w:right="1440" w:bottom="1440" w:gutter="0" w:footer="0" w:header="0"/>
          <w:type w:val="continuous"/>
        </w:sectPr>
      </w:pPr>
    </w:p>
    <w:bookmarkStart w:id="128" w:name="page129"/>
    <w:bookmarkEnd w:id="128"/>
    <w:p>
      <w:pPr>
        <w:ind w:left="3000"/>
        <w:spacing w:after="0"/>
        <w:rPr>
          <w:sz w:val="20"/>
          <w:szCs w:val="20"/>
          <w:color w:val="auto"/>
        </w:rPr>
      </w:pPr>
      <w:r>
        <w:rPr>
          <w:rFonts w:ascii="Courier New" w:cs="Courier New" w:eastAsia="Courier New" w:hAnsi="Courier New"/>
          <w:sz w:val="15"/>
          <w:szCs w:val="15"/>
          <w:color w:val="auto"/>
        </w:rPr>
        <w:t>ATTACHMENT (B)</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HP SOFTWARE LICENSE TERMS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NOTICE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USE OF THE SOFTWARE IS SUBJECT TO THE HP SOFTWARE LICENSE TERMS SET FORTH BELOW. USING THE SOFTWARE INDICATES SUPPLIER'S ACCEPTANCE OF THESE LICENSE TERMS. IF SUPPLIER DOES NOT ACCEPT THESE LICENSE TERMS, SUPPLIER MAY RETURN THE SOFTWARE FOR A FULL REFUND. IF THE SOFTWARE IS BUNDLED WITH ANOTHER PRODUCT, SUPPLIER MAY RETURN THE ENTIRE UNUSED PRODUCT FOR A FULL REFUND.</w:t>
      </w:r>
    </w:p>
    <w:p>
      <w:pPr>
        <w:spacing w:after="0" w:line="1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HP SOFTWARE LICENSE TERMS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following License Terms govern SUPPLIER's use of the accompanying Software unless SUPPLIER has a separate written agreement with HP.</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LICENSE GRANT. HP grants SUPPLIER a license to Use one copy of the Software. "Use" means storing, loading, installing, executing or displaying the Software. SUPPLIER may not modify the Software or disable any licensing or control features of the Software. If the Software is licensed for "concurrent use", SUPPLIER may not allow more than the maximum number of authorized users to Use the Software concurrently.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OWNERSHIP. The Software is owned and copyrighted by HP or its third party suppliers. SUPPLIER's license confers no title or ownership in the Software and is not a sale of any rights in the Software. HP's third party suppliers may protect their rights in the event of any violation of these License Terms.</w:t>
      </w:r>
    </w:p>
    <w:p>
      <w:pPr>
        <w:spacing w:after="0" w:line="177"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COPIES AND ADAPTATIONS. SUPPLIER may only make copies or adaptations of the Software for archival purposes or when copying or adaptation is an essential step in the authorized Use of the Software. SUPPLIER must reproduce all copyright notices in the original Software on all copies or adaptations. SUPPLIER may not copy the Software onto any bulletin board or similar system.</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 DISASSEMBLY OR DECRYPTION. SUPPLIER may not disassemble or decompile the Software unless HP's prior written consent is obtained. In some jurisdictions, HP's consent may not be required for limited disassembly or decompilation. Upon request, SUPPLIER will provide HP with reasonably detailed information regarding any disassembly or decompilation. SUPPLIER may not decrypt the Software unless decryption is a necessary part of the operation of the Software.</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TRANSFER. SUPPLIER's license will automatically terminate upon any transfer of the Software. Upon transfer, SUPPLIER must deliver the Software, including any copies and related documentation, to the transferee. The transferee must accept these License Terms as a condition to the transfer.</w:t>
      </w:r>
    </w:p>
    <w:p>
      <w:pPr>
        <w:spacing w:after="0" w:line="177"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TERMINATION. HP may terminate SUPPLIER's license upon notice for failure to comply with any of these License Terms. Upon termination, SUPPLIER must immediately destroy the Software, together with all copies, adaptations and merged portions in any form.</w:t>
      </w:r>
    </w:p>
    <w:p>
      <w:pPr>
        <w:spacing w:after="0" w:line="177"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EXPORT REQUIREMENTS. SUPPLIER may not export or re-export the Software or any copy or adaptation in violation of any applicable laws or regulations.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U.S. GOVERNMENT RESTRICTED RIGHTS. The Software and any accompanying documentation have been developed entirely at private expense. They are delivered and licensed as "commercial computer software" as defined in DEARS 252.227-7013 (Oct 1988), DEARS 252.211-7015 (May 1991) or DEARS 252.227-7014 (Jun 1995), as a "commercial item" as defined in FAR 2.101(a), or as "Restricted computer software" as defined in FAR 52.227-19 (Jun 1987)(or any equivalent agency regulation or contract clause), whichever is applicable. SUPPLIER have only those rights provided for such Software and any accompanying documentation by the applicable FAR or DEARS clause or the HP standard software agreement for the product involved.</w:t>
      </w:r>
    </w:p>
    <w:p>
      <w:pPr>
        <w:spacing w:after="0" w:line="200" w:lineRule="exact"/>
        <w:rPr>
          <w:sz w:val="20"/>
          <w:szCs w:val="20"/>
          <w:color w:val="auto"/>
        </w:rPr>
      </w:pPr>
    </w:p>
    <w:p>
      <w:pPr>
        <w:spacing w:after="0" w:line="33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5 of 5</w:t>
      </w:r>
    </w:p>
    <w:p>
      <w:pPr>
        <w:sectPr>
          <w:pgSz w:w="11900" w:h="16838" w:orient="portrait"/>
          <w:cols w:equalWidth="0" w:num="1">
            <w:col w:w="10219"/>
          </w:cols>
          <w:pgMar w:left="240" w:top="643" w:right="1440" w:bottom="1440" w:gutter="0" w:footer="0" w:header="0"/>
        </w:sectPr>
      </w:pPr>
    </w:p>
    <w:bookmarkStart w:id="129" w:name="page130"/>
    <w:bookmarkEnd w:id="129"/>
    <w:p>
      <w:pPr>
        <w:jc w:val="center"/>
        <w:ind w:right="2879"/>
        <w:spacing w:after="0"/>
        <w:rPr>
          <w:sz w:val="20"/>
          <w:szCs w:val="20"/>
          <w:color w:val="auto"/>
        </w:rPr>
      </w:pPr>
      <w:r>
        <w:rPr>
          <w:rFonts w:ascii="Courier New" w:cs="Courier New" w:eastAsia="Courier New" w:hAnsi="Courier New"/>
          <w:sz w:val="15"/>
          <w:szCs w:val="15"/>
          <w:color w:val="auto"/>
        </w:rPr>
        <w:t>EXHIBIT (F)</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CONFIDENTIAL DISCLOSURE AGREEMENT</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This page is intentionally left blank, with a copy of all current HP / Brocade Confidential Disclosure Agreements inserted immediately following this page.</w:t>
      </w:r>
    </w:p>
    <w:p>
      <w:pPr>
        <w:spacing w:after="0" w:line="200" w:lineRule="exact"/>
        <w:rPr>
          <w:sz w:val="20"/>
          <w:szCs w:val="20"/>
          <w:color w:val="auto"/>
        </w:rPr>
      </w:pP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(F)</w:t>
      </w:r>
    </w:p>
    <w:p>
      <w:pPr>
        <w:sectPr>
          <w:pgSz w:w="11900" w:h="16838" w:orient="portrait"/>
          <w:cols w:equalWidth="0" w:num="1">
            <w:col w:w="10219"/>
          </w:cols>
          <w:pgMar w:left="240" w:top="817" w:right="1440" w:bottom="1440" w:gutter="0" w:footer="0" w:header="0"/>
        </w:sectPr>
      </w:pPr>
    </w:p>
    <w:bookmarkStart w:id="130" w:name="page131"/>
    <w:bookmarkEnd w:id="130"/>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986" w:val="left"/>
        </w:tabs>
        <w:rPr>
          <w:sz w:val="20"/>
          <w:szCs w:val="20"/>
          <w:color w:val="auto"/>
        </w:rPr>
      </w:pPr>
      <w:r>
        <w:rPr>
          <w:rFonts w:ascii="Courier New" w:cs="Courier New" w:eastAsia="Courier New" w:hAnsi="Courier New"/>
          <w:sz w:val="15"/>
          <w:szCs w:val="15"/>
          <w:color w:val="auto"/>
        </w:rPr>
        <w:t>[GRAPHIC IMAGE APPEARS HERE]</w:t>
      </w:r>
      <w:r>
        <w:rPr>
          <w:sz w:val="20"/>
          <w:szCs w:val="20"/>
          <w:color w:val="auto"/>
        </w:rPr>
        <w:tab/>
      </w:r>
      <w:r>
        <w:rPr>
          <w:rFonts w:ascii="Courier New" w:cs="Courier New" w:eastAsia="Courier New" w:hAnsi="Courier New"/>
          <w:sz w:val="15"/>
          <w:szCs w:val="15"/>
          <w:color w:val="auto"/>
        </w:rPr>
        <w:t>CONFIDENTIAL DISCLOSURE</w:t>
      </w:r>
    </w:p>
    <w:p>
      <w:pPr>
        <w:spacing w:after="0" w:line="5"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ind w:left="187" w:hanging="187"/>
        <w:spacing w:after="0"/>
        <w:tabs>
          <w:tab w:leader="none" w:pos="1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4/15/99</w:t>
      </w:r>
    </w:p>
    <w:p>
      <w:pPr>
        <w:spacing w:after="0" w:line="180" w:lineRule="exact"/>
        <w:rPr>
          <w:sz w:val="20"/>
          <w:szCs w:val="20"/>
          <w:color w:val="auto"/>
        </w:rPr>
      </w:pPr>
    </w:p>
    <w:p>
      <w:pPr>
        <w:jc w:val="both"/>
        <w:ind w:left="7" w:right="3219"/>
        <w:spacing w:after="0" w:line="247" w:lineRule="auto"/>
        <w:rPr>
          <w:sz w:val="20"/>
          <w:szCs w:val="20"/>
          <w:color w:val="auto"/>
        </w:rPr>
      </w:pPr>
      <w:r>
        <w:rPr>
          <w:rFonts w:ascii="Courier New" w:cs="Courier New" w:eastAsia="Courier New" w:hAnsi="Courier New"/>
          <w:sz w:val="15"/>
          <w:szCs w:val="15"/>
          <w:color w:val="auto"/>
        </w:rPr>
        <w:t>In order to protect certain confidential information, Hewlett-Packard Company and its corporate affiliates ("HP"), and the "Participants" identified below, agree that:</w:t>
      </w:r>
    </w:p>
    <w:p>
      <w:pPr>
        <w:spacing w:after="0" w:line="174" w:lineRule="exact"/>
        <w:rPr>
          <w:sz w:val="20"/>
          <w:szCs w:val="20"/>
          <w:color w:val="auto"/>
        </w:rPr>
      </w:pPr>
    </w:p>
    <w:p>
      <w:pPr>
        <w:ind w:left="7" w:right="2959" w:hanging="7"/>
        <w:spacing w:after="0" w:line="246" w:lineRule="auto"/>
        <w:tabs>
          <w:tab w:leader="none" w:pos="27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DISCLOSING PARTY: The parties disclosing confidential information ("Discloser") are: Hewlett Packard (ESBU) 8000 Foothills Blvd, Roseville, CA 95747; Brocade Communications Systems, Inc. 1901 Guadalupe Parkway, San Jose, CA 95131 ("Participant").</w:t>
      </w:r>
    </w:p>
    <w:p>
      <w:pPr>
        <w:spacing w:after="0" w:line="177" w:lineRule="exact"/>
        <w:rPr>
          <w:rFonts w:ascii="Courier New" w:cs="Courier New" w:eastAsia="Courier New" w:hAnsi="Courier New"/>
          <w:sz w:val="15"/>
          <w:szCs w:val="15"/>
          <w:color w:val="auto"/>
        </w:rPr>
      </w:pPr>
    </w:p>
    <w:p>
      <w:pPr>
        <w:ind w:left="7" w:right="3779" w:hanging="7"/>
        <w:spacing w:after="0" w:line="247" w:lineRule="auto"/>
        <w:tabs>
          <w:tab w:leader="none" w:pos="27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REPRESENTATIVE: Each party's representative for coordinating disclosure or receipt of confidential information is: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PARTICIPANT: [*]; Brocade Communications Inc.</w:t>
      </w:r>
    </w:p>
    <w:p>
      <w:pPr>
        <w:spacing w:after="0" w:line="180" w:lineRule="exact"/>
        <w:rPr>
          <w:sz w:val="20"/>
          <w:szCs w:val="20"/>
          <w:color w:val="auto"/>
        </w:rPr>
      </w:pPr>
    </w:p>
    <w:p>
      <w:pPr>
        <w:ind w:left="7" w:right="3679" w:hanging="7"/>
        <w:spacing w:after="0" w:line="247" w:lineRule="auto"/>
        <w:tabs>
          <w:tab w:leader="none" w:pos="27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CONFIDENTIAL INFORMATION: The confidential information disclosed under this Agreement is described as: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PARTICIPANT: [*]</w:t>
      </w:r>
    </w:p>
    <w:p>
      <w:pPr>
        <w:spacing w:after="0" w:line="180" w:lineRule="exact"/>
        <w:rPr>
          <w:sz w:val="20"/>
          <w:szCs w:val="20"/>
          <w:color w:val="auto"/>
        </w:rPr>
      </w:pPr>
    </w:p>
    <w:p>
      <w:pPr>
        <w:ind w:left="7" w:right="2959" w:hanging="7"/>
        <w:spacing w:after="0" w:line="246" w:lineRule="auto"/>
        <w:tabs>
          <w:tab w:leader="none" w:pos="27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CONFIDENTIAL INFORMATION: The party receiving confidential information ("Recipient") shall make use of the confidential information only for the following purpose (e.g., "evaluation and testing for a make/buy decision on project xyz.") Recipient shall only disclose the discloser's Confidential Information to those employees who have a need to know for the purpose authorized under Section 4."</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w:t>
      </w:r>
    </w:p>
    <w:p>
      <w:pPr>
        <w:spacing w:after="0" w:line="180" w:lineRule="exact"/>
        <w:rPr>
          <w:sz w:val="20"/>
          <w:szCs w:val="20"/>
          <w:color w:val="auto"/>
        </w:rPr>
      </w:pPr>
    </w:p>
    <w:p>
      <w:pPr>
        <w:ind w:left="7" w:right="3859" w:hanging="7"/>
        <w:spacing w:after="0" w:line="247" w:lineRule="auto"/>
        <w:tabs>
          <w:tab w:leader="none" w:pos="27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PERIOD: This Agreement and Recipient's duty to hold confidential information in confidence expire on: [*]</w:t>
      </w:r>
    </w:p>
    <w:p>
      <w:pPr>
        <w:spacing w:after="0" w:line="174" w:lineRule="exact"/>
        <w:rPr>
          <w:rFonts w:ascii="Courier New" w:cs="Courier New" w:eastAsia="Courier New" w:hAnsi="Courier New"/>
          <w:sz w:val="15"/>
          <w:szCs w:val="15"/>
          <w:color w:val="auto"/>
        </w:rPr>
      </w:pPr>
    </w:p>
    <w:p>
      <w:pPr>
        <w:ind w:left="7" w:right="3139" w:hanging="7"/>
        <w:spacing w:after="0" w:line="247" w:lineRule="auto"/>
        <w:tabs>
          <w:tab w:leader="none" w:pos="27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PERIOD: This Agreement pertains to confidential information that is disclosed between the Effective Date and [*]</w:t>
      </w:r>
    </w:p>
    <w:p>
      <w:pPr>
        <w:spacing w:after="0" w:line="174" w:lineRule="exact"/>
        <w:rPr>
          <w:rFonts w:ascii="Courier New" w:cs="Courier New" w:eastAsia="Courier New" w:hAnsi="Courier New"/>
          <w:sz w:val="15"/>
          <w:szCs w:val="15"/>
          <w:color w:val="auto"/>
        </w:rPr>
      </w:pPr>
    </w:p>
    <w:p>
      <w:pPr>
        <w:ind w:left="7" w:right="3139" w:hanging="7"/>
        <w:spacing w:after="0" w:line="246" w:lineRule="auto"/>
        <w:tabs>
          <w:tab w:leader="none" w:pos="27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OF CARE: Recipient's shall protect the disclosed confidential information by using the same degree of care, but no less than a reasonable degree of care, to prevent the unauthorized use, dissemination, or publication of the confidential information as Recipient uses to protect its own confidential information of a like nature. Without limiting the foregoing, Recipient shall not disclose the disclosed confidential information to any affiliate or other person or entity.</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(F)</w:t>
      </w:r>
    </w:p>
    <w:p>
      <w:pPr>
        <w:sectPr>
          <w:pgSz w:w="11900" w:h="16838" w:orient="portrait"/>
          <w:cols w:equalWidth="0" w:num="1">
            <w:col w:w="10226"/>
          </w:cols>
          <w:pgMar w:left="233" w:top="643" w:right="1440" w:bottom="1440" w:gutter="0" w:footer="0" w:header="0"/>
        </w:sectPr>
      </w:pPr>
    </w:p>
    <w:bookmarkStart w:id="131" w:name="page132"/>
    <w:bookmarkEnd w:id="131"/>
    <w:p>
      <w:pPr>
        <w:ind w:left="7" w:right="3039" w:hanging="7"/>
        <w:spacing w:after="0" w:line="246" w:lineRule="auto"/>
        <w:tabs>
          <w:tab w:leader="none" w:pos="27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MARKING: Recipient's obligations shall only extend to confidential information that is described in paragraph 3, and that: (a) comprises specific materials individually listed in paragraph 3; or, (b) is marked as confidential at the time of disclosure; or, (c) is unmarked (e.g. orally disclosed) but treated as confidential at the time of disclosure, and is designated as confidential in a written memorandum sent to Recipient's primary representative within thirty days of disclosure, summarizing the confidential information sufficiently for identification.</w:t>
      </w:r>
    </w:p>
    <w:p>
      <w:pPr>
        <w:spacing w:after="0" w:line="179" w:lineRule="exact"/>
        <w:rPr>
          <w:rFonts w:ascii="Courier New" w:cs="Courier New" w:eastAsia="Courier New" w:hAnsi="Courier New"/>
          <w:sz w:val="15"/>
          <w:szCs w:val="15"/>
          <w:color w:val="auto"/>
        </w:rPr>
      </w:pPr>
    </w:p>
    <w:p>
      <w:pPr>
        <w:ind w:left="7" w:right="3039" w:hanging="7"/>
        <w:spacing w:after="0" w:line="246" w:lineRule="auto"/>
        <w:tabs>
          <w:tab w:leader="none" w:pos="27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EXCLUSIONS: This Agreement imposes no obligation upon Recipient with respect to information that: (a) was in Recipient's possession before receipt from Discloser; (b) is or becomes a matter of public knowledge through no fault of Recipient; (c) is rightfully received by Recipient from a third party without a duty of confidentiality; (d) is disclosed by Discloser to a third party without a duty of confidentiality on the third party; (e) is independently developed by Recipient; (f) is disclosed under operation of law; or (g) is disclosed by Recipient with Discloser's prior written approval.</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Each Discloser warrants that it has the right to make the</w:t>
      </w:r>
    </w:p>
    <w:p>
      <w:pPr>
        <w:spacing w:after="0" w:line="4" w:lineRule="exact"/>
        <w:rPr>
          <w:rFonts w:ascii="Courier New" w:cs="Courier New" w:eastAsia="Courier New" w:hAnsi="Courier New"/>
          <w:sz w:val="15"/>
          <w:szCs w:val="15"/>
          <w:color w:val="auto"/>
        </w:rPr>
      </w:pPr>
    </w:p>
    <w:p>
      <w:pPr>
        <w:ind w:left="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disclosures under this Agreement. NO OTHER WARRANTIES ARE MADE BY ANY PARTY UNDER THIS AGREEMENT. ANY INFORMATION EXCHANGED UNDER THIS AGREEMENT IS PROVIDED "AS IS".</w:t>
      </w:r>
    </w:p>
    <w:p>
      <w:pPr>
        <w:spacing w:after="0" w:line="174" w:lineRule="exact"/>
        <w:rPr>
          <w:rFonts w:ascii="Courier New" w:cs="Courier New" w:eastAsia="Courier New" w:hAnsi="Courier New"/>
          <w:sz w:val="15"/>
          <w:szCs w:val="15"/>
          <w:color w:val="auto"/>
        </w:rPr>
      </w:pPr>
    </w:p>
    <w:p>
      <w:pPr>
        <w:ind w:left="7" w:right="3419" w:hanging="7"/>
        <w:spacing w:after="0" w:line="247" w:lineRule="auto"/>
        <w:tabs>
          <w:tab w:leader="none" w:pos="37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No party acquires any intellectual property rights under this Agreement except the limited rights necessary to carry out the purposes set forth in paragraph 4.</w:t>
      </w:r>
    </w:p>
    <w:p>
      <w:pPr>
        <w:spacing w:after="0" w:line="174"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7" w:right="3039" w:hanging="7"/>
        <w:spacing w:after="0" w:line="247" w:lineRule="auto"/>
        <w:tabs>
          <w:tab w:leader="none" w:pos="37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imposes no obligation on any party to purchase, sell, license, transfer or otherwise dispose of any technology, services or products.</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does not create any agency or partnership relationship.</w:t>
      </w:r>
    </w:p>
    <w:p>
      <w:pPr>
        <w:spacing w:after="0" w:line="179" w:lineRule="exact"/>
        <w:rPr>
          <w:rFonts w:ascii="Courier New" w:cs="Courier New" w:eastAsia="Courier New" w:hAnsi="Courier New"/>
          <w:sz w:val="15"/>
          <w:szCs w:val="15"/>
          <w:color w:val="auto"/>
        </w:rPr>
      </w:pPr>
    </w:p>
    <w:p>
      <w:pPr>
        <w:ind w:left="7" w:right="2959" w:hanging="7"/>
        <w:spacing w:after="0" w:line="247" w:lineRule="auto"/>
        <w:tabs>
          <w:tab w:leader="none" w:pos="37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additions or modifications to this Agreement must be made in writing and must be signed by all parties.</w:t>
      </w:r>
    </w:p>
    <w:p>
      <w:pPr>
        <w:spacing w:after="0" w:line="174" w:lineRule="exact"/>
        <w:rPr>
          <w:rFonts w:ascii="Courier New" w:cs="Courier New" w:eastAsia="Courier New" w:hAnsi="Courier New"/>
          <w:sz w:val="15"/>
          <w:szCs w:val="15"/>
          <w:color w:val="auto"/>
        </w:rPr>
      </w:pPr>
    </w:p>
    <w:p>
      <w:pPr>
        <w:ind w:left="7" w:right="3039" w:hanging="7"/>
        <w:spacing w:after="0" w:line="247" w:lineRule="auto"/>
        <w:tabs>
          <w:tab w:leader="none" w:pos="37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made under, and shall be construed according to, the laws of the State of California, U.S.A.</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5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HEWLETT-PACKARD COMPANY</w:t>
            </w:r>
          </w:p>
        </w:tc>
        <w:tc>
          <w:tcPr>
            <w:tcW w:w="364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PARTICIPANT</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rPr>
              <w:t>Entity:</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Enterprise Storage</w:t>
            </w:r>
          </w:p>
        </w:tc>
        <w:tc>
          <w:tcPr>
            <w:tcW w:w="1460" w:type="dxa"/>
            <w:vAlign w:val="bottom"/>
          </w:tcPr>
          <w:p>
            <w:pPr>
              <w:ind w:left="640"/>
              <w:spacing w:after="0"/>
              <w:rPr>
                <w:sz w:val="20"/>
                <w:szCs w:val="20"/>
                <w:color w:val="auto"/>
              </w:rPr>
            </w:pPr>
            <w:r>
              <w:rPr>
                <w:rFonts w:ascii="Courier New" w:cs="Courier New" w:eastAsia="Courier New" w:hAnsi="Courier New"/>
                <w:sz w:val="15"/>
                <w:szCs w:val="15"/>
                <w:color w:val="auto"/>
              </w:rPr>
              <w:t>Company:</w:t>
            </w: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Brocade Communications</w:t>
            </w:r>
          </w:p>
        </w:tc>
      </w:tr>
      <w:tr>
        <w:trPr>
          <w:trHeight w:val="175"/>
        </w:trPr>
        <w:tc>
          <w:tcPr>
            <w:tcW w:w="82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Business Unit</w:t>
            </w:r>
          </w:p>
        </w:tc>
        <w:tc>
          <w:tcPr>
            <w:tcW w:w="146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Systems, Inc.</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8000 Foothills Blvd.,</w:t>
            </w:r>
          </w:p>
        </w:tc>
        <w:tc>
          <w:tcPr>
            <w:tcW w:w="1460" w:type="dxa"/>
            <w:vAlign w:val="bottom"/>
          </w:tcPr>
          <w:p>
            <w:pPr>
              <w:ind w:left="640"/>
              <w:spacing w:after="0"/>
              <w:rPr>
                <w:sz w:val="20"/>
                <w:szCs w:val="20"/>
                <w:color w:val="auto"/>
              </w:rPr>
            </w:pPr>
            <w:r>
              <w:rPr>
                <w:rFonts w:ascii="Courier New" w:cs="Courier New" w:eastAsia="Courier New" w:hAnsi="Courier New"/>
                <w:sz w:val="15"/>
                <w:szCs w:val="15"/>
                <w:color w:val="auto"/>
              </w:rPr>
              <w:t>Address:</w:t>
            </w: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w w:val="99"/>
              </w:rPr>
              <w:t>1901 Guadalupe Parkway,</w:t>
            </w:r>
          </w:p>
        </w:tc>
      </w:tr>
      <w:tr>
        <w:trPr>
          <w:trHeight w:val="175"/>
        </w:trPr>
        <w:tc>
          <w:tcPr>
            <w:tcW w:w="82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Roseville, CA. 95747</w:t>
            </w:r>
          </w:p>
        </w:tc>
        <w:tc>
          <w:tcPr>
            <w:tcW w:w="146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San Jose, CA 95131</w:t>
            </w:r>
          </w:p>
        </w:tc>
      </w:tr>
    </w:tbl>
    <w:p>
      <w:pPr>
        <w:spacing w:after="0" w:line="200" w:lineRule="exact"/>
        <w:rPr>
          <w:sz w:val="20"/>
          <w:szCs w:val="20"/>
          <w:color w:val="auto"/>
        </w:rPr>
      </w:pPr>
    </w:p>
    <w:p>
      <w:pPr>
        <w:sectPr>
          <w:pgSz w:w="11900" w:h="16838" w:orient="portrait"/>
          <w:cols w:equalWidth="0" w:num="1">
            <w:col w:w="10226"/>
          </w:cols>
          <w:pgMar w:left="233" w:top="643" w:right="1440" w:bottom="1440" w:gutter="0" w:footer="0" w:header="0"/>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By: /s/ Rod Bean</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(Functional Manager's Signature)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Charles Smith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(Authorized Signature)</w:t>
      </w:r>
    </w:p>
    <w:p>
      <w:pPr>
        <w:spacing w:after="0" w:line="180"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Name: Rod Bean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 Charles Smith</w:t>
      </w:r>
    </w:p>
    <w:p>
      <w:pPr>
        <w:spacing w:after="0" w:line="180"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Title: Materials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VP Worldwide Sales</w:t>
      </w:r>
    </w:p>
    <w:p>
      <w:pPr>
        <w:spacing w:after="0" w:line="200" w:lineRule="exact"/>
        <w:rPr>
          <w:sz w:val="20"/>
          <w:szCs w:val="20"/>
          <w:color w:val="auto"/>
        </w:rPr>
      </w:pPr>
    </w:p>
    <w:p>
      <w:pPr>
        <w:sectPr>
          <w:pgSz w:w="11900" w:h="16838" w:orient="portrait"/>
          <w:cols w:equalWidth="0" w:num="3">
            <w:col w:w="3367" w:space="720"/>
            <w:col w:w="540" w:space="180"/>
            <w:col w:w="5419"/>
          </w:cols>
          <w:pgMar w:left="233" w:top="643" w:right="1440" w:bottom="1440" w:gutter="0" w:footer="0" w:header="0"/>
          <w:type w:val="continuous"/>
        </w:sectPr>
      </w:pPr>
    </w:p>
    <w:p>
      <w:pPr>
        <w:spacing w:after="0" w:line="329" w:lineRule="exact"/>
        <w:rPr>
          <w:sz w:val="20"/>
          <w:szCs w:val="20"/>
          <w:color w:val="auto"/>
        </w:rPr>
      </w:pPr>
    </w:p>
    <w:p>
      <w:pPr>
        <w:ind w:left="447" w:right="2959" w:hanging="447"/>
        <w:spacing w:after="0" w:line="247" w:lineRule="auto"/>
        <w:tabs>
          <w:tab w:leader="none" w:pos="44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132" w:name="page133"/>
    <w:bookmarkEnd w:id="132"/>
    <w:p>
      <w:pPr>
        <w:ind w:left="3087"/>
        <w:spacing w:after="0"/>
        <w:rPr>
          <w:sz w:val="20"/>
          <w:szCs w:val="20"/>
          <w:color w:val="auto"/>
        </w:rPr>
      </w:pPr>
      <w:r>
        <w:rPr>
          <w:rFonts w:ascii="Courier New" w:cs="Courier New" w:eastAsia="Courier New" w:hAnsi="Courier New"/>
          <w:sz w:val="15"/>
          <w:szCs w:val="15"/>
          <w:color w:val="auto"/>
        </w:rPr>
        <w:t>EXHIBIT (G)</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RECIPIENTS FOR RECEIPT OF NOTICES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HP:</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Business contact: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8000 Foothills Blvd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SUPPLIER:</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Business contact: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1901 Guadalupe Pkwy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San Jose, CA 95131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1901 Guadalupe Pkwy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 95131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007" w:space="720"/>
            <w:col w:w="5499"/>
          </w:cols>
          <w:pgMar w:left="233" w:top="643"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447" w:right="2959" w:hanging="447"/>
        <w:spacing w:after="0" w:line="247" w:lineRule="auto"/>
        <w:tabs>
          <w:tab w:leader="none" w:pos="44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(G)</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26"/>
          </w:cols>
          <w:pgMar w:left="233" w:top="643" w:right="1440" w:bottom="1440" w:gutter="0" w:footer="0" w:header="0"/>
          <w:type w:val="continuous"/>
        </w:sectPr>
      </w:pPr>
    </w:p>
    <w:bookmarkStart w:id="133" w:name="page134"/>
    <w:bookmarkEnd w:id="133"/>
    <w:p>
      <w:pPr>
        <w:jc w:val="center"/>
        <w:ind w:right="2852"/>
        <w:spacing w:after="0"/>
        <w:rPr>
          <w:sz w:val="20"/>
          <w:szCs w:val="20"/>
          <w:color w:val="auto"/>
        </w:rPr>
      </w:pPr>
      <w:r>
        <w:rPr>
          <w:rFonts w:ascii="Courier New" w:cs="Courier New" w:eastAsia="Courier New" w:hAnsi="Courier New"/>
          <w:sz w:val="15"/>
          <w:szCs w:val="15"/>
          <w:color w:val="auto"/>
        </w:rPr>
        <w:t>EXHIBIT (H)</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HP SUPPLIER QUALITY SYSTEM REQUIREMENTS</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HEWLETT-PACKARD CO.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87"/>
        <w:spacing w:after="0"/>
        <w:tabs>
          <w:tab w:leader="none" w:pos="2246" w:val="left"/>
          <w:tab w:leader="none" w:pos="4526" w:val="left"/>
          <w:tab w:leader="none" w:pos="5786" w:val="left"/>
        </w:tabs>
        <w:rPr>
          <w:sz w:val="20"/>
          <w:szCs w:val="20"/>
          <w:color w:val="auto"/>
        </w:rPr>
      </w:pPr>
      <w:r>
        <w:rPr>
          <w:rFonts w:ascii="Courier New" w:cs="Courier New" w:eastAsia="Courier New" w:hAnsi="Courier New"/>
          <w:sz w:val="15"/>
          <w:szCs w:val="15"/>
          <w:color w:val="auto"/>
        </w:rPr>
        <w:t>LTR.</w:t>
      </w:r>
      <w:r>
        <w:rPr>
          <w:sz w:val="20"/>
          <w:szCs w:val="20"/>
          <w:color w:val="auto"/>
        </w:rPr>
        <w:tab/>
      </w:r>
      <w:r>
        <w:rPr>
          <w:rFonts w:ascii="Courier New" w:cs="Courier New" w:eastAsia="Courier New" w:hAnsi="Courier New"/>
          <w:sz w:val="15"/>
          <w:szCs w:val="15"/>
          <w:color w:val="auto"/>
        </w:rPr>
        <w:t>REVISIONS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CM ENGINEER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2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First Draft</w:t>
            </w:r>
          </w:p>
        </w:tc>
        <w:tc>
          <w:tcPr>
            <w:tcW w:w="2580" w:type="dxa"/>
            <w:vAlign w:val="bottom"/>
          </w:tcPr>
          <w:p>
            <w:pPr>
              <w:ind w:left="1320"/>
              <w:spacing w:after="0"/>
              <w:rPr>
                <w:sz w:val="20"/>
                <w:szCs w:val="20"/>
                <w:color w:val="auto"/>
              </w:rPr>
            </w:pPr>
            <w:r>
              <w:rPr>
                <w:rFonts w:ascii="Courier New" w:cs="Courier New" w:eastAsia="Courier New" w:hAnsi="Courier New"/>
                <w:sz w:val="15"/>
                <w:szCs w:val="15"/>
                <w:color w:val="auto"/>
              </w:rPr>
              <w:t>10/20/99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 Issued.</w:t>
            </w:r>
          </w:p>
        </w:tc>
        <w:tc>
          <w:tcPr>
            <w:tcW w:w="2580" w:type="dxa"/>
            <w:vAlign w:val="bottom"/>
          </w:tcPr>
          <w:p>
            <w:pPr>
              <w:ind w:left="1320"/>
              <w:spacing w:after="0"/>
              <w:rPr>
                <w:sz w:val="20"/>
                <w:szCs w:val="20"/>
                <w:color w:val="auto"/>
              </w:rPr>
            </w:pPr>
            <w:r>
              <w:rPr>
                <w:rFonts w:ascii="Courier New" w:cs="Courier New" w:eastAsia="Courier New" w:hAnsi="Courier New"/>
                <w:sz w:val="15"/>
                <w:szCs w:val="15"/>
                <w:color w:val="auto"/>
              </w:rPr>
              <w:t>11/5/99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 Issued.</w:t>
            </w:r>
          </w:p>
        </w:tc>
        <w:tc>
          <w:tcPr>
            <w:tcW w:w="2580" w:type="dxa"/>
            <w:vAlign w:val="bottom"/>
          </w:tcPr>
          <w:p>
            <w:pPr>
              <w:ind w:left="1320"/>
              <w:spacing w:after="0"/>
              <w:rPr>
                <w:sz w:val="20"/>
                <w:szCs w:val="20"/>
                <w:color w:val="auto"/>
              </w:rPr>
            </w:pPr>
            <w:r>
              <w:rPr>
                <w:rFonts w:ascii="Courier New" w:cs="Courier New" w:eastAsia="Courier New" w:hAnsi="Courier New"/>
                <w:sz w:val="15"/>
                <w:szCs w:val="15"/>
                <w:color w:val="auto"/>
              </w:rPr>
              <w:t>11/12/99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 Issued.</w:t>
            </w:r>
          </w:p>
        </w:tc>
        <w:tc>
          <w:tcPr>
            <w:tcW w:w="2580" w:type="dxa"/>
            <w:vAlign w:val="bottom"/>
          </w:tcPr>
          <w:p>
            <w:pPr>
              <w:ind w:left="1320"/>
              <w:spacing w:after="0"/>
              <w:rPr>
                <w:sz w:val="20"/>
                <w:szCs w:val="20"/>
                <w:color w:val="auto"/>
              </w:rPr>
            </w:pPr>
            <w:r>
              <w:rPr>
                <w:rFonts w:ascii="Courier New" w:cs="Courier New" w:eastAsia="Courier New" w:hAnsi="Courier New"/>
                <w:sz w:val="15"/>
                <w:szCs w:val="15"/>
                <w:color w:val="auto"/>
              </w:rPr>
              <w:t>12/6/99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 Issued.</w:t>
            </w:r>
          </w:p>
        </w:tc>
        <w:tc>
          <w:tcPr>
            <w:tcW w:w="2580" w:type="dxa"/>
            <w:vAlign w:val="bottom"/>
          </w:tcPr>
          <w:p>
            <w:pPr>
              <w:ind w:left="1320"/>
              <w:spacing w:after="0"/>
              <w:rPr>
                <w:sz w:val="20"/>
                <w:szCs w:val="20"/>
                <w:color w:val="auto"/>
              </w:rPr>
            </w:pPr>
            <w:r>
              <w:rPr>
                <w:rFonts w:ascii="Courier New" w:cs="Courier New" w:eastAsia="Courier New" w:hAnsi="Courier New"/>
                <w:sz w:val="15"/>
                <w:szCs w:val="15"/>
                <w:color w:val="auto"/>
              </w:rPr>
              <w:t>12/21/99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 Issued.</w:t>
            </w:r>
          </w:p>
        </w:tc>
        <w:tc>
          <w:tcPr>
            <w:tcW w:w="2580" w:type="dxa"/>
            <w:vAlign w:val="bottom"/>
          </w:tcPr>
          <w:p>
            <w:pPr>
              <w:ind w:left="1320"/>
              <w:spacing w:after="0"/>
              <w:rPr>
                <w:sz w:val="20"/>
                <w:szCs w:val="20"/>
                <w:color w:val="auto"/>
              </w:rPr>
            </w:pPr>
            <w:r>
              <w:rPr>
                <w:rFonts w:ascii="Courier New" w:cs="Courier New" w:eastAsia="Courier New" w:hAnsi="Courier New"/>
                <w:sz w:val="15"/>
                <w:szCs w:val="15"/>
                <w:color w:val="auto"/>
              </w:rPr>
              <w:t>12/22/99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32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HP PROPRIETARY</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This document is the property of Hewlett-Packard Company (HP) and contains confidential and proprietary information of HP. Neither it, nor the information contained herein shall be disclosed to others, or duplicated, or used by other except as authorized by HP writing.</w:t>
      </w:r>
    </w:p>
    <w:p>
      <w:pPr>
        <w:spacing w:after="0" w:line="352" w:lineRule="exact"/>
        <w:rPr>
          <w:sz w:val="20"/>
          <w:szCs w:val="20"/>
          <w:color w:val="auto"/>
        </w:rPr>
      </w:pPr>
    </w:p>
    <w:p>
      <w:pPr>
        <w:ind w:left="447" w:right="2959" w:hanging="447"/>
        <w:spacing w:after="0" w:line="247" w:lineRule="auto"/>
        <w:tabs>
          <w:tab w:leader="none" w:pos="44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134" w:name="page135"/>
    <w:bookmarkEnd w:id="134"/>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886" w:val="left"/>
        </w:tabs>
        <w:rPr>
          <w:sz w:val="20"/>
          <w:szCs w:val="20"/>
          <w:color w:val="auto"/>
        </w:rPr>
      </w:pPr>
      <w:r>
        <w:rPr>
          <w:rFonts w:ascii="Courier New" w:cs="Courier New" w:eastAsia="Courier New" w:hAnsi="Courier New"/>
          <w:sz w:val="15"/>
          <w:szCs w:val="15"/>
          <w:color w:val="auto"/>
        </w:rPr>
        <w:t>ASSEMBLY #: N/A</w:t>
      </w:r>
      <w:r>
        <w:rPr>
          <w:sz w:val="20"/>
          <w:szCs w:val="20"/>
          <w:color w:val="auto"/>
        </w:rPr>
        <w:tab/>
      </w:r>
      <w:r>
        <w:rPr>
          <w:rFonts w:ascii="Courier New" w:cs="Courier New" w:eastAsia="Courier New" w:hAnsi="Courier New"/>
          <w:sz w:val="15"/>
          <w:szCs w:val="15"/>
          <w:color w:val="auto"/>
        </w:rPr>
        <w:t>HP P/N: N/A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886" w:val="left"/>
        </w:tabs>
        <w:rPr>
          <w:sz w:val="20"/>
          <w:szCs w:val="20"/>
          <w:color w:val="auto"/>
        </w:rPr>
      </w:pPr>
      <w:r>
        <w:rPr>
          <w:rFonts w:ascii="Courier New" w:cs="Courier New" w:eastAsia="Courier New" w:hAnsi="Courier New"/>
          <w:sz w:val="15"/>
          <w:szCs w:val="15"/>
          <w:color w:val="auto"/>
        </w:rPr>
        <w:t>DATE: DECEMBER 22, 1999</w:t>
      </w:r>
      <w:r>
        <w:rPr>
          <w:sz w:val="20"/>
          <w:szCs w:val="20"/>
          <w:color w:val="auto"/>
        </w:rPr>
        <w:tab/>
      </w: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FIBRE CHANNEL GIGABIT SWITCH SUPPLIER</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QUALITY/ RELIABILITY REQUIREMENTS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DOCUMENT</w:t>
      </w:r>
    </w:p>
    <w:p>
      <w:pPr>
        <w:spacing w:after="0" w:line="5" w:lineRule="exact"/>
        <w:rPr>
          <w:sz w:val="20"/>
          <w:szCs w:val="20"/>
          <w:color w:val="auto"/>
        </w:rPr>
      </w:pPr>
    </w:p>
    <w:p>
      <w:pPr>
        <w:ind w:left="187" w:hanging="187"/>
        <w:spacing w:after="0"/>
        <w:tabs>
          <w:tab w:leader="none" w:pos="1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3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135" w:name="page136"/>
    <w:bookmarkEnd w:id="135"/>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3447" w:hanging="357"/>
        <w:spacing w:after="0"/>
        <w:tabs>
          <w:tab w:leader="none" w:pos="344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FC SWITCH</w:t>
      </w:r>
    </w:p>
    <w:p>
      <w:pPr>
        <w:spacing w:after="0" w:line="4" w:lineRule="exact"/>
        <w:rPr>
          <w:rFonts w:ascii="Courier New" w:cs="Courier New" w:eastAsia="Courier New" w:hAnsi="Courier New"/>
          <w:sz w:val="15"/>
          <w:szCs w:val="15"/>
          <w:color w:val="auto"/>
        </w:rPr>
      </w:pPr>
    </w:p>
    <w:p>
      <w:pPr>
        <w:ind w:left="2727" w:right="5319" w:hanging="364"/>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QUALITY/RELIABILITY REQUIREMENTS DOCUMENT</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Brocade</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 REVISION HISTORY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1426" w:val="left"/>
          <w:tab w:leader="none" w:pos="3806" w:val="left"/>
        </w:tabs>
        <w:rPr>
          <w:sz w:val="20"/>
          <w:szCs w:val="20"/>
          <w:color w:val="auto"/>
        </w:rPr>
      </w:pPr>
      <w:r>
        <w:rPr>
          <w:rFonts w:ascii="Courier New" w:cs="Courier New" w:eastAsia="Courier New" w:hAnsi="Courier New"/>
          <w:sz w:val="15"/>
          <w:szCs w:val="15"/>
          <w:color w:val="auto"/>
        </w:rPr>
        <w:t>REVISION #</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DESCRIPTION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267" w:hanging="812"/>
        <w:spacing w:after="0"/>
        <w:tabs>
          <w:tab w:leader="none" w:pos="1267"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10/20/99</w:t>
      </w:r>
      <w:r>
        <w:rPr>
          <w:rFonts w:ascii="Courier New" w:cs="Courier New" w:eastAsia="Courier New" w:hAnsi="Courier New"/>
          <w:sz w:val="14"/>
          <w:szCs w:val="14"/>
          <w:color w:val="auto"/>
        </w:rPr>
        <w:t>-  First Draft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367" w:hanging="912"/>
        <w:spacing w:after="0"/>
        <w:tabs>
          <w:tab w:leader="none" w:pos="1367"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11/5/99-  Updated 5 X 5 p/n for [*] switch &amp; section 4.1, 5.2</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367" w:hanging="912"/>
        <w:spacing w:after="0"/>
        <w:tabs>
          <w:tab w:leader="none" w:pos="1367"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11/9/99-  Added the FRU replacement/exchange number (4.1)</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367" w:hanging="912"/>
        <w:spacing w:after="0"/>
        <w:tabs>
          <w:tab w:leader="none" w:pos="136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12/6/99-  Added the drawing number [*] &amp; changed [*]</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267" w:hanging="812"/>
        <w:spacing w:after="0"/>
        <w:tabs>
          <w:tab w:leader="none" w:pos="1267"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12/21/99-  Updated HP incoming inspection audit (2.0), OOBA</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Lot Sample &amp; Inspection at BROCADE (3.0), Field</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Quality/Reliability where [*] Quality Data</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expectations (5.0), Communications Expectations</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(6.0), Supplier Quality System (7.0)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267" w:hanging="812"/>
        <w:spacing w:after="0"/>
        <w:tabs>
          <w:tab w:leader="none" w:pos="1267"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12/22/99-  Updated AFR from [*]</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136" w:name="page137"/>
    <w:bookmarkEnd w:id="136"/>
    <w:tbl>
      <w:tblPr>
        <w:tblLayout w:type="fixed"/>
        <w:tblInd w:w="7"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20" w:type="dxa"/>
            <w:vAlign w:val="bottom"/>
          </w:tcPr>
          <w:p>
            <w:pPr>
              <w:jc w:val="right"/>
              <w:ind w:right="3564"/>
              <w:spacing w:after="0"/>
              <w:rPr>
                <w:sz w:val="20"/>
                <w:szCs w:val="20"/>
                <w:color w:val="auto"/>
              </w:rPr>
            </w:pPr>
            <w:r>
              <w:rPr>
                <w:rFonts w:ascii="Courier New" w:cs="Courier New" w:eastAsia="Courier New" w:hAnsi="Courier New"/>
                <w:sz w:val="15"/>
                <w:szCs w:val="15"/>
                <w:color w:val="auto"/>
              </w:rPr>
              <w:t>** HP CONFIDENTIAL **</w:t>
            </w:r>
          </w:p>
        </w:tc>
        <w:tc>
          <w:tcPr>
            <w:tcW w:w="180" w:type="dxa"/>
            <w:vAlign w:val="bottom"/>
          </w:tcPr>
          <w:p>
            <w:pPr>
              <w:spacing w:after="0"/>
              <w:rPr>
                <w:sz w:val="14"/>
                <w:szCs w:val="14"/>
                <w:color w:val="auto"/>
              </w:rPr>
            </w:pPr>
          </w:p>
        </w:tc>
      </w:tr>
      <w:tr>
        <w:trPr>
          <w:trHeight w:val="524"/>
        </w:trPr>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20" w:type="dxa"/>
            <w:vAlign w:val="bottom"/>
          </w:tcPr>
          <w:p>
            <w:pPr>
              <w:jc w:val="right"/>
              <w:ind w:right="3744"/>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24"/>
                <w:szCs w:val="24"/>
                <w:color w:val="auto"/>
              </w:rPr>
            </w:pPr>
          </w:p>
        </w:tc>
      </w:tr>
      <w:tr>
        <w:trPr>
          <w:trHeight w:val="699"/>
        </w:trPr>
        <w:tc>
          <w:tcPr>
            <w:tcW w:w="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220"/>
              <w:spacing w:after="0"/>
              <w:rPr>
                <w:sz w:val="20"/>
                <w:szCs w:val="20"/>
                <w:color w:val="auto"/>
              </w:rPr>
            </w:pPr>
            <w:r>
              <w:rPr>
                <w:rFonts w:ascii="Courier New" w:cs="Courier New" w:eastAsia="Courier New" w:hAnsi="Courier New"/>
                <w:sz w:val="4"/>
                <w:szCs w:val="4"/>
                <w:color w:val="auto"/>
                <w:w w:val="84"/>
              </w:rPr>
              <w:t>PURPOSE.............................................................................</w:t>
            </w:r>
          </w:p>
        </w:tc>
        <w:tc>
          <w:tcPr>
            <w:tcW w:w="58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77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9"/>
              </w:rPr>
              <w:t>DEFECTIVE PRODUCT...................................................................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50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2.1.</w:t>
            </w:r>
          </w:p>
        </w:tc>
        <w:tc>
          <w:tcPr>
            <w:tcW w:w="6720" w:type="dxa"/>
            <w:vAlign w:val="bottom"/>
            <w:gridSpan w:val="2"/>
          </w:tcPr>
          <w:p>
            <w:pP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50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2.2.</w:t>
            </w:r>
          </w:p>
        </w:tc>
        <w:tc>
          <w:tcPr>
            <w:tcW w:w="6720" w:type="dxa"/>
            <w:vAlign w:val="bottom"/>
            <w:gridSpan w:val="2"/>
          </w:tcPr>
          <w:p>
            <w:pPr>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50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2.3.</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HP INCOMING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IN-PROCESS QUALITY</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50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3.1.</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IN-PROCESS FAILURE 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50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3.2.</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 PROCESS FAILURE ANALYSIS EXPECTATIONS...................................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77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9"/>
              </w:rPr>
              <w:t>FIELD QUALITY / RELIABILITY.........................................................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0"/>
        </w:trPr>
        <w:tc>
          <w:tcPr>
            <w:tcW w:w="50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4.1.</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AFR (ANNUALIZED FAILURE 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0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FIELD FAILURE ANALYSIS EXPECTATIONS.......................................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77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QUALITY DATA EXPECTATIONS..........................................................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50"/>
        </w:trPr>
        <w:tc>
          <w:tcPr>
            <w:tcW w:w="50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5.1.</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HP'S RESPONSIBILITY.......................................................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50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5.2.</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SUPPLIER'S RESPONSIBILITY.................................................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50"/>
        </w:trPr>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5.2.1</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rPr>
              <w:t>QUARTERLY REPORTING.............................................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5.2.2</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rPr>
              <w:t>MONTHLY REPORTING...............................................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5"/>
        </w:trPr>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5.2.3</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9"/>
              </w:rPr>
              <w:t>WEEKLY REPORTING.................................................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5.2.4</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REPORTING..................................................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77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COMMUNICATION EXPECTATIONS.........................................................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50"/>
        </w:trPr>
        <w:tc>
          <w:tcPr>
            <w:tcW w:w="50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6.1.</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PRODUCT CHANGES REQUIRING HP APPROVAL.....................................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5"/>
        </w:trPr>
        <w:tc>
          <w:tcPr>
            <w:tcW w:w="50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6.2.</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PROCESS CHANGES REQUIRING HP APPROVAL.....................................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5"/>
        </w:trPr>
        <w:tc>
          <w:tcPr>
            <w:tcW w:w="50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6.3.</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SHIPMENT HOLD NOTIFICATION................................................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5"/>
        </w:trPr>
        <w:tc>
          <w:tcPr>
            <w:tcW w:w="50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6.4.</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WEEKLY PHONE CONFERENCE...................................................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50"/>
        </w:trPr>
        <w:tc>
          <w:tcPr>
            <w:tcW w:w="5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SUPPLIER</w:t>
            </w:r>
          </w:p>
        </w:tc>
        <w:tc>
          <w:tcPr>
            <w:tcW w:w="6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QUALITY SYSTEM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137" w:name="page138"/>
    <w:bookmarkEnd w:id="137"/>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367" w:hanging="367"/>
        <w:spacing w:after="0"/>
        <w:tabs>
          <w:tab w:leader="none" w:pos="367"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1367" w:right="2959"/>
        <w:spacing w:after="0" w:line="246" w:lineRule="auto"/>
        <w:rPr>
          <w:sz w:val="20"/>
          <w:szCs w:val="20"/>
          <w:color w:val="auto"/>
        </w:rPr>
      </w:pPr>
      <w:r>
        <w:rPr>
          <w:rFonts w:ascii="Courier New" w:cs="Courier New" w:eastAsia="Courier New" w:hAnsi="Courier New"/>
          <w:sz w:val="15"/>
          <w:szCs w:val="15"/>
          <w:color w:val="auto"/>
        </w:rPr>
        <w:t>The purpose of this Quality/Reliability Requirements Document is to establish an understanding and agreement between Hewlett-Packard (HP) and Seller with regard to quality and reliability expectations and responsibilities. The terms Supplier and Seller are used interchangeably in this Quality/Reliability Requirements Document.</w:t>
      </w:r>
    </w:p>
    <w:p>
      <w:pPr>
        <w:spacing w:after="0" w:line="178" w:lineRule="exact"/>
        <w:rPr>
          <w:sz w:val="20"/>
          <w:szCs w:val="20"/>
          <w:color w:val="auto"/>
        </w:rPr>
      </w:pPr>
    </w:p>
    <w:p>
      <w:pPr>
        <w:ind w:left="1367" w:right="2959"/>
        <w:spacing w:after="0" w:line="246" w:lineRule="auto"/>
        <w:rPr>
          <w:sz w:val="20"/>
          <w:szCs w:val="20"/>
          <w:color w:val="auto"/>
        </w:rPr>
      </w:pPr>
      <w:r>
        <w:rPr>
          <w:rFonts w:ascii="Courier New" w:cs="Courier New" w:eastAsia="Courier New" w:hAnsi="Courier New"/>
          <w:sz w:val="15"/>
          <w:szCs w:val="15"/>
          <w:color w:val="auto"/>
        </w:rPr>
        <w:t>It is HP's objective to receive Product of the [*]. The Product must consistently [*] the requirements of this document and the individual specifications applicable to each Product. It is HP's expectation that Supplier shall strive to ship defect-free, fully tested Product as measured at the first operational test at HP. Repaired units are subject to the same Product Specifications as when originally shipped.</w:t>
      </w:r>
    </w:p>
    <w:p>
      <w:pPr>
        <w:spacing w:after="0" w:line="179" w:lineRule="exact"/>
        <w:rPr>
          <w:sz w:val="20"/>
          <w:szCs w:val="20"/>
          <w:color w:val="auto"/>
        </w:rPr>
      </w:pPr>
    </w:p>
    <w:p>
      <w:pPr>
        <w:ind w:left="1367" w:right="3139"/>
        <w:spacing w:after="0" w:line="247" w:lineRule="auto"/>
        <w:rPr>
          <w:sz w:val="20"/>
          <w:szCs w:val="20"/>
          <w:color w:val="auto"/>
        </w:rPr>
      </w:pPr>
      <w:r>
        <w:rPr>
          <w:rFonts w:ascii="Courier New" w:cs="Courier New" w:eastAsia="Courier New" w:hAnsi="Courier New"/>
          <w:sz w:val="15"/>
          <w:szCs w:val="15"/>
          <w:color w:val="auto"/>
        </w:rPr>
        <w:t>HP's objective is to work in close cooperation with Supplier to resolve any quality issue, and expects the Supplier to work diligently to resolve any quality issue.</w:t>
      </w:r>
    </w:p>
    <w:p>
      <w:pPr>
        <w:spacing w:after="0" w:line="174" w:lineRule="exact"/>
        <w:rPr>
          <w:sz w:val="20"/>
          <w:szCs w:val="20"/>
          <w:color w:val="auto"/>
        </w:rPr>
      </w:pPr>
    </w:p>
    <w:p>
      <w:pPr>
        <w:ind w:left="367" w:hanging="367"/>
        <w:spacing w:after="0"/>
        <w:tabs>
          <w:tab w:leader="none" w:pos="367"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DEFECTIVE PRODUCT:</w:t>
      </w:r>
    </w:p>
    <w:p>
      <w:pPr>
        <w:spacing w:after="0" w:line="180" w:lineRule="exact"/>
        <w:rPr>
          <w:sz w:val="20"/>
          <w:szCs w:val="20"/>
          <w:color w:val="auto"/>
        </w:rPr>
      </w:pPr>
    </w:p>
    <w:p>
      <w:pPr>
        <w:ind w:left="1367" w:right="2959"/>
        <w:spacing w:after="0" w:line="246" w:lineRule="auto"/>
        <w:rPr>
          <w:sz w:val="20"/>
          <w:szCs w:val="20"/>
          <w:color w:val="auto"/>
        </w:rPr>
      </w:pPr>
      <w:r>
        <w:rPr>
          <w:rFonts w:ascii="Courier New" w:cs="Courier New" w:eastAsia="Courier New" w:hAnsi="Courier New"/>
          <w:sz w:val="15"/>
          <w:szCs w:val="15"/>
          <w:color w:val="auto"/>
        </w:rPr>
        <w:t>HP shall inform Supplier of any units or lots that fail, and provide Supplier with yield percentages. Defective units or lots will be shipped to Supplier's facility as instructed by Supplier. Supplier shall test and verify all mutually a-reed upon failed units, and provide the data of failure symptoms observed or NTF (No Trouble Found), on all units returned from HP worldwide manufacturing sites.</w:t>
      </w:r>
    </w:p>
    <w:p>
      <w:pPr>
        <w:spacing w:after="0" w:line="179" w:lineRule="exact"/>
        <w:rPr>
          <w:sz w:val="20"/>
          <w:szCs w:val="20"/>
          <w:color w:val="auto"/>
        </w:rPr>
      </w:pPr>
    </w:p>
    <w:p>
      <w:pPr>
        <w:jc w:val="center"/>
        <w:ind w:right="7212"/>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2.2 DOCK-TO-STOCK</w:t>
      </w:r>
    </w:p>
    <w:p>
      <w:pPr>
        <w:spacing w:after="0" w:line="180" w:lineRule="exact"/>
        <w:rPr>
          <w:sz w:val="20"/>
          <w:szCs w:val="20"/>
          <w:color w:val="auto"/>
        </w:rPr>
      </w:pPr>
    </w:p>
    <w:p>
      <w:pPr>
        <w:ind w:left="727" w:right="3139"/>
        <w:spacing w:after="0" w:line="246" w:lineRule="auto"/>
        <w:rPr>
          <w:sz w:val="20"/>
          <w:szCs w:val="20"/>
          <w:color w:val="auto"/>
        </w:rPr>
      </w:pPr>
      <w:r>
        <w:rPr>
          <w:rFonts w:ascii="Courier New" w:cs="Courier New" w:eastAsia="Courier New" w:hAnsi="Courier New"/>
          <w:sz w:val="15"/>
          <w:szCs w:val="15"/>
          <w:color w:val="auto"/>
        </w:rPr>
        <w:t>In general, material is received directly to stock, unless a [*] is required (see Section 2.3, HP [*] &amp; Section 3 In-Process Quality Audit at BROCADE). All new products must go through a [*] HP-ESBU. In addition, all new suppliers must demonstrate relevant process control through a quality system [*] Provided both conditions are successfully fulfilled, the subsequent shipments will not be inspected as they are received by HP-ESBU.</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138" w:name="page139"/>
    <w:bookmarkEnd w:id="138"/>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HP Incoming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shall [*] the [*] units received from the Supplier. If there</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are four functional failures, ten cosmetic failures, or a combination of both totaling ten, HP shall [*]. A manufacturing team consisting of at least the materials and product engineers shall perform the [*].</w:t>
      </w:r>
    </w:p>
    <w:p>
      <w:pPr>
        <w:spacing w:after="0" w:line="17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All failures require a [*] report completed by the Supplier [*] days after notification. If the Supplier needs the [*] unit to determine the root cause, the Supplier shall complete a [*] report within [*] after receipt of the [*] The report shall contain detailed explanation of the root cause and [*](s) performed. HP shall [*] the report during the [*].</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679"/>
        <w:spacing w:after="0" w:line="247" w:lineRule="auto"/>
        <w:rPr>
          <w:sz w:val="20"/>
          <w:szCs w:val="20"/>
          <w:color w:val="auto"/>
        </w:rPr>
      </w:pPr>
      <w:r>
        <w:rPr>
          <w:rFonts w:ascii="Courier New" w:cs="Courier New" w:eastAsia="Courier New" w:hAnsi="Courier New"/>
          <w:sz w:val="15"/>
          <w:szCs w:val="15"/>
          <w:color w:val="auto"/>
        </w:rPr>
        <w:t>The criteria to be used by HP on the [*] are referenced in the following standard documentation:</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27"/>
        <w:spacing w:after="0"/>
        <w:tabs>
          <w:tab w:leader="none" w:pos="4426" w:val="left"/>
        </w:tabs>
        <w:rPr>
          <w:sz w:val="20"/>
          <w:szCs w:val="20"/>
          <w:color w:val="auto"/>
        </w:rPr>
      </w:pPr>
      <w:r>
        <w:rPr>
          <w:rFonts w:ascii="Courier New" w:cs="Courier New" w:eastAsia="Courier New" w:hAnsi="Courier New"/>
          <w:sz w:val="15"/>
          <w:szCs w:val="15"/>
          <w:color w:val="auto"/>
        </w:rPr>
        <w:t>DRAWING NUMBER</w:t>
      </w:r>
      <w:r>
        <w:rPr>
          <w:sz w:val="20"/>
          <w:szCs w:val="20"/>
          <w:color w:val="auto"/>
        </w:rPr>
        <w:tab/>
      </w: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7" w:hanging="187"/>
        <w:spacing w:after="0"/>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447" w:hanging="1356"/>
        <w:spacing w:after="0"/>
        <w:tabs>
          <w:tab w:leader="none" w:pos="244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447" w:hanging="1356"/>
        <w:spacing w:after="0"/>
        <w:tabs>
          <w:tab w:leader="none" w:pos="244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447" w:hanging="1356"/>
        <w:spacing w:after="0"/>
        <w:tabs>
          <w:tab w:leader="none" w:pos="244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447" w:hanging="1356"/>
        <w:spacing w:after="0"/>
        <w:tabs>
          <w:tab w:leader="none" w:pos="244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447" w:hanging="1356"/>
        <w:spacing w:after="0"/>
        <w:tabs>
          <w:tab w:leader="none" w:pos="244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447" w:hanging="1356"/>
        <w:spacing w:after="0"/>
        <w:tabs>
          <w:tab w:leader="none" w:pos="244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447" w:hanging="1356"/>
        <w:spacing w:after="0"/>
        <w:tabs>
          <w:tab w:leader="none" w:pos="244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139" w:name="page140"/>
    <w:bookmarkEnd w:id="139"/>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2007" w:hanging="644"/>
        <w:spacing w:after="0"/>
        <w:tabs>
          <w:tab w:leader="none" w:pos="2007"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OOBA LOT SAMPLE INSPECTION AT BROCADE</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3.1OOBA LOT SAMPLE INSPECTION</w:t>
      </w:r>
    </w:p>
    <w:p>
      <w:pPr>
        <w:spacing w:after="0" w:line="180" w:lineRule="exact"/>
        <w:rPr>
          <w:sz w:val="20"/>
          <w:szCs w:val="20"/>
          <w:color w:val="auto"/>
        </w:rPr>
      </w:pPr>
    </w:p>
    <w:p>
      <w:pPr>
        <w:ind w:left="727" w:right="3039"/>
        <w:spacing w:after="0" w:line="246" w:lineRule="auto"/>
        <w:rPr>
          <w:sz w:val="20"/>
          <w:szCs w:val="20"/>
          <w:color w:val="auto"/>
        </w:rPr>
      </w:pPr>
      <w:r>
        <w:rPr>
          <w:rFonts w:ascii="Courier New" w:cs="Courier New" w:eastAsia="Courier New" w:hAnsi="Courier New"/>
          <w:sz w:val="15"/>
          <w:szCs w:val="15"/>
          <w:color w:val="auto"/>
        </w:rPr>
        <w:t>OOBA is performed after a [*] on the Brocade manufacturing line. If there is going to be an error on the line it will be gross error that would be seen in all the units. This is what OOBA is designed to catch. The focus of OOBA, therefore, is to screen for gross failures, rectify and, lots with problems, and implement [*] based on the observed failures.</w:t>
      </w:r>
    </w:p>
    <w:p>
      <w:pPr>
        <w:spacing w:after="0" w:line="178" w:lineRule="exact"/>
        <w:rPr>
          <w:sz w:val="20"/>
          <w:szCs w:val="20"/>
          <w:color w:val="auto"/>
        </w:rPr>
      </w:pPr>
    </w:p>
    <w:p>
      <w:pPr>
        <w:ind w:left="727" w:right="3039"/>
        <w:spacing w:after="0" w:line="246" w:lineRule="auto"/>
        <w:rPr>
          <w:sz w:val="20"/>
          <w:szCs w:val="20"/>
          <w:color w:val="auto"/>
        </w:rPr>
      </w:pPr>
      <w:r>
        <w:rPr>
          <w:rFonts w:ascii="Courier New" w:cs="Courier New" w:eastAsia="Courier New" w:hAnsi="Courier New"/>
          <w:sz w:val="15"/>
          <w:szCs w:val="15"/>
          <w:color w:val="auto"/>
        </w:rPr>
        <w:t>The In-Process Lot Sample Inspection has been established at the levels specified in the following chart for each part number. The In-Process Lot Sample Inspection shall be used when determining the Q1 score for the TQRDC/E review.</w:t>
      </w:r>
    </w:p>
    <w:p>
      <w:pPr>
        <w:spacing w:after="0" w:line="200" w:lineRule="exact"/>
        <w:rPr>
          <w:sz w:val="20"/>
          <w:szCs w:val="20"/>
          <w:color w:val="auto"/>
        </w:rPr>
      </w:pPr>
    </w:p>
    <w:p>
      <w:pPr>
        <w:spacing w:after="0" w:line="327"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67"/>
        <w:spacing w:after="0"/>
        <w:tabs>
          <w:tab w:leader="none" w:pos="3706" w:val="left"/>
          <w:tab w:leader="none" w:pos="5786" w:val="left"/>
        </w:tabs>
        <w:rPr>
          <w:sz w:val="20"/>
          <w:szCs w:val="20"/>
          <w:color w:val="auto"/>
        </w:rPr>
      </w:pPr>
      <w:r>
        <w:rPr>
          <w:rFonts w:ascii="Courier New" w:cs="Courier New" w:eastAsia="Courier New" w:hAnsi="Courier New"/>
          <w:sz w:val="15"/>
          <w:szCs w:val="15"/>
          <w:color w:val="auto"/>
        </w:rPr>
        <w:t>PART DESCRIPTION</w:t>
      </w:r>
      <w:r>
        <w:rPr>
          <w:sz w:val="20"/>
          <w:szCs w:val="20"/>
          <w:color w:val="auto"/>
        </w:rPr>
        <w:tab/>
      </w:r>
      <w:r>
        <w:rPr>
          <w:rFonts w:ascii="Courier New" w:cs="Courier New" w:eastAsia="Courier New" w:hAnsi="Courier New"/>
          <w:sz w:val="15"/>
          <w:szCs w:val="15"/>
          <w:color w:val="auto"/>
        </w:rPr>
        <w:t>PART NUMBER</w:t>
      </w:r>
      <w:r>
        <w:rPr>
          <w:sz w:val="20"/>
          <w:szCs w:val="20"/>
          <w:color w:val="auto"/>
        </w:rPr>
        <w:tab/>
      </w:r>
      <w:r>
        <w:rPr>
          <w:rFonts w:ascii="Courier New" w:cs="Courier New" w:eastAsia="Courier New" w:hAnsi="Courier New"/>
          <w:sz w:val="15"/>
          <w:szCs w:val="15"/>
          <w:color w:val="auto"/>
        </w:rPr>
        <w:t>DPM UPPER LIMIT</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627"/>
        <w:spacing w:after="0"/>
        <w:tabs>
          <w:tab w:leader="none" w:pos="4066" w:val="left"/>
          <w:tab w:leader="none" w:pos="63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140" w:name="page141"/>
    <w:bookmarkEnd w:id="140"/>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007" w:hanging="644"/>
        <w:spacing w:after="0"/>
        <w:tabs>
          <w:tab w:leader="none" w:pos="200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3.2 FAILURE ANALYSIS EXPECTATIONS</w:t>
      </w:r>
    </w:p>
    <w:p>
      <w:pPr>
        <w:spacing w:after="0" w:line="180" w:lineRule="exact"/>
        <w:rPr>
          <w:sz w:val="20"/>
          <w:szCs w:val="20"/>
          <w:color w:val="auto"/>
        </w:rPr>
      </w:pPr>
    </w:p>
    <w:p>
      <w:pPr>
        <w:ind w:left="727" w:right="3219"/>
        <w:spacing w:after="0" w:line="247" w:lineRule="auto"/>
        <w:rPr>
          <w:sz w:val="20"/>
          <w:szCs w:val="20"/>
          <w:color w:val="auto"/>
        </w:rPr>
      </w:pPr>
      <w:r>
        <w:rPr>
          <w:rFonts w:ascii="Courier New" w:cs="Courier New" w:eastAsia="Courier New" w:hAnsi="Courier New"/>
          <w:sz w:val="15"/>
          <w:szCs w:val="15"/>
          <w:color w:val="auto"/>
        </w:rPr>
        <w:t>Supplier shall test and verify all unit failures returned by lip worldwide manufacturing organizations, HP field or found in BROCADE's manufacturing line.</w:t>
      </w:r>
    </w:p>
    <w:p>
      <w:pPr>
        <w:spacing w:after="0" w:line="174" w:lineRule="exact"/>
        <w:rPr>
          <w:sz w:val="20"/>
          <w:szCs w:val="20"/>
          <w:color w:val="auto"/>
        </w:rPr>
      </w:pPr>
    </w:p>
    <w:p>
      <w:pPr>
        <w:ind w:left="727" w:right="2959"/>
        <w:spacing w:after="0" w:line="247" w:lineRule="auto"/>
        <w:rPr>
          <w:sz w:val="20"/>
          <w:szCs w:val="20"/>
          <w:color w:val="auto"/>
        </w:rPr>
      </w:pPr>
      <w:r>
        <w:rPr>
          <w:rFonts w:ascii="Courier New" w:cs="Courier New" w:eastAsia="Courier New" w:hAnsi="Courier New"/>
          <w:sz w:val="15"/>
          <w:szCs w:val="15"/>
          <w:color w:val="auto"/>
        </w:rPr>
        <w:t>The supplier shall promptly institute the [*] report and [*] that may be required to prevent any further rejects for such cause.</w:t>
      </w:r>
    </w:p>
    <w:p>
      <w:pPr>
        <w:spacing w:after="0" w:line="17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PLEASE SEE THE FOLLOWING SECTION FOR REPORTING EXPECTATIONS.</w:t>
      </w:r>
    </w:p>
    <w:p>
      <w:pPr>
        <w:spacing w:after="0" w:line="180" w:lineRule="exact"/>
        <w:rPr>
          <w:sz w:val="20"/>
          <w:szCs w:val="20"/>
          <w:color w:val="auto"/>
        </w:rPr>
      </w:pPr>
    </w:p>
    <w:p>
      <w:pPr>
        <w:ind w:left="367" w:hanging="367"/>
        <w:spacing w:after="0"/>
        <w:tabs>
          <w:tab w:leader="none" w:pos="36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FIELD QUALITY / RELIABILITY</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4.1 AFR (ANNUAL FAILURE RATE)</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AFR CALCULATION FORMULA</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141" w:name="page142"/>
    <w:bookmarkEnd w:id="141"/>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jc w:val="both"/>
        <w:ind w:left="727" w:right="2959"/>
        <w:spacing w:after="0" w:line="247" w:lineRule="auto"/>
        <w:rPr>
          <w:sz w:val="20"/>
          <w:szCs w:val="20"/>
          <w:color w:val="auto"/>
        </w:rPr>
      </w:pPr>
      <w:r>
        <w:rPr>
          <w:rFonts w:ascii="Courier New" w:cs="Courier New" w:eastAsia="Courier New" w:hAnsi="Courier New"/>
          <w:sz w:val="15"/>
          <w:szCs w:val="15"/>
          <w:color w:val="auto"/>
        </w:rPr>
        <w:t>The AFR Limits and Stretch Goals are defined in the following AFR Chart. The Field Failure Rate (AFR) Limit shall be used when determining the Q2 score for the TQRDC/E review.</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007"/>
        <w:spacing w:after="0"/>
        <w:tabs>
          <w:tab w:leader="none" w:pos="5246" w:val="left"/>
        </w:tabs>
        <w:rPr>
          <w:sz w:val="20"/>
          <w:szCs w:val="20"/>
          <w:color w:val="auto"/>
        </w:rPr>
      </w:pPr>
      <w:r>
        <w:rPr>
          <w:rFonts w:ascii="Courier New" w:cs="Courier New" w:eastAsia="Courier New" w:hAnsi="Courier New"/>
          <w:sz w:val="15"/>
          <w:szCs w:val="15"/>
          <w:color w:val="auto"/>
        </w:rPr>
        <w:t>HP</w:t>
      </w:r>
      <w:r>
        <w:rPr>
          <w:sz w:val="20"/>
          <w:szCs w:val="20"/>
          <w:color w:val="auto"/>
        </w:rPr>
        <w:tab/>
      </w:r>
      <w:r>
        <w:rPr>
          <w:rFonts w:ascii="Courier New" w:cs="Courier New" w:eastAsia="Courier New" w:hAnsi="Courier New"/>
          <w:sz w:val="15"/>
          <w:szCs w:val="15"/>
          <w:color w:val="auto"/>
        </w:rPr>
        <w:t>FIELD FAILURE RATE</w:t>
      </w:r>
    </w:p>
    <w:p>
      <w:pPr>
        <w:spacing w:after="0" w:line="5" w:lineRule="exact"/>
        <w:rPr>
          <w:sz w:val="20"/>
          <w:szCs w:val="20"/>
          <w:color w:val="auto"/>
        </w:rPr>
      </w:pPr>
    </w:p>
    <w:p>
      <w:pPr>
        <w:ind w:left="727"/>
        <w:spacing w:after="0"/>
        <w:tabs>
          <w:tab w:leader="none" w:pos="3526" w:val="left"/>
          <w:tab w:leader="none" w:pos="5606" w:val="left"/>
        </w:tabs>
        <w:rPr>
          <w:sz w:val="20"/>
          <w:szCs w:val="20"/>
          <w:color w:val="auto"/>
        </w:rPr>
      </w:pPr>
      <w:r>
        <w:rPr>
          <w:rFonts w:ascii="Courier New" w:cs="Courier New" w:eastAsia="Courier New" w:hAnsi="Courier New"/>
          <w:sz w:val="15"/>
          <w:szCs w:val="15"/>
          <w:color w:val="auto"/>
        </w:rPr>
        <w:t>PART DESCRIPTION</w:t>
      </w:r>
      <w:r>
        <w:rPr>
          <w:sz w:val="20"/>
          <w:szCs w:val="20"/>
          <w:color w:val="auto"/>
        </w:rPr>
        <w:tab/>
      </w:r>
      <w:r>
        <w:rPr>
          <w:rFonts w:ascii="Courier New" w:cs="Courier New" w:eastAsia="Courier New" w:hAnsi="Courier New"/>
          <w:sz w:val="15"/>
          <w:szCs w:val="15"/>
          <w:color w:val="auto"/>
        </w:rPr>
        <w:t>PART NUMBER</w:t>
      </w:r>
      <w:r>
        <w:rPr>
          <w:sz w:val="20"/>
          <w:szCs w:val="20"/>
          <w:color w:val="auto"/>
        </w:rPr>
        <w:tab/>
      </w:r>
      <w:r>
        <w:rPr>
          <w:rFonts w:ascii="Courier New" w:cs="Courier New" w:eastAsia="Courier New" w:hAnsi="Courier New"/>
          <w:sz w:val="15"/>
          <w:szCs w:val="15"/>
          <w:color w:val="auto"/>
        </w:rPr>
        <w:t>(AFR) LIMIT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3886" w:val="left"/>
          <w:tab w:leader="none" w:pos="5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886" w:val="left"/>
          <w:tab w:leader="none" w:pos="5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886" w:val="left"/>
          <w:tab w:leader="none" w:pos="5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886" w:val="left"/>
          <w:tab w:leader="none" w:pos="5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907"/>
        <w:spacing w:after="0"/>
        <w:tabs>
          <w:tab w:leader="none" w:pos="5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These number do not include [*]</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These numbers do no include [*]</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4.2 FIELD FAILURE ANALYSIS EXPECTATIONS</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67" w:hanging="367"/>
        <w:spacing w:after="0"/>
        <w:tabs>
          <w:tab w:leader="none" w:pos="36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DATA EXPECTATIONS</w:t>
      </w:r>
    </w:p>
    <w:p>
      <w:pPr>
        <w:spacing w:after="0" w:line="18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Quality data supplied by Supplier shall include, but not be limited to, [*], detailed incident reports by serial number, and [*] regarding failures.</w:t>
      </w:r>
    </w:p>
    <w:p>
      <w:pPr>
        <w:spacing w:after="0" w:line="17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5.1 HP'S RESPONSIBILITY</w:t>
      </w:r>
    </w:p>
    <w:p>
      <w:pPr>
        <w:spacing w:after="0" w:line="180" w:lineRule="exact"/>
        <w:rPr>
          <w:sz w:val="20"/>
          <w:szCs w:val="20"/>
          <w:color w:val="auto"/>
        </w:rPr>
      </w:pPr>
    </w:p>
    <w:p>
      <w:pPr>
        <w:ind w:left="727" w:right="3959"/>
        <w:spacing w:after="0" w:line="247" w:lineRule="auto"/>
        <w:rPr>
          <w:sz w:val="20"/>
          <w:szCs w:val="20"/>
          <w:color w:val="auto"/>
        </w:rPr>
      </w:pPr>
      <w:r>
        <w:rPr>
          <w:rFonts w:ascii="Courier New" w:cs="Courier New" w:eastAsia="Courier New" w:hAnsi="Courier New"/>
          <w:sz w:val="15"/>
          <w:szCs w:val="15"/>
          <w:color w:val="auto"/>
        </w:rPr>
        <w:t>HP shall inform Supplier of In-Process Failures that occur at ESBU-Roseville on a [*] basis.</w:t>
      </w:r>
    </w:p>
    <w:p>
      <w:pPr>
        <w:spacing w:after="0" w:line="17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5.2 SUPPLIER'S RESPONSIBILITY</w:t>
      </w:r>
    </w:p>
    <w:p>
      <w:pPr>
        <w:spacing w:after="0" w:line="180" w:lineRule="exact"/>
        <w:rPr>
          <w:sz w:val="20"/>
          <w:szCs w:val="20"/>
          <w:color w:val="auto"/>
        </w:rPr>
      </w:pPr>
    </w:p>
    <w:p>
      <w:pPr>
        <w:ind w:left="1367"/>
        <w:spacing w:after="0"/>
        <w:tabs>
          <w:tab w:leader="none" w:pos="1986" w:val="left"/>
        </w:tabs>
        <w:rPr>
          <w:sz w:val="20"/>
          <w:szCs w:val="20"/>
          <w:color w:val="auto"/>
        </w:rPr>
      </w:pPr>
      <w:r>
        <w:rPr>
          <w:rFonts w:ascii="Courier New" w:cs="Courier New" w:eastAsia="Courier New" w:hAnsi="Courier New"/>
          <w:sz w:val="15"/>
          <w:szCs w:val="15"/>
          <w:color w:val="auto"/>
        </w:rPr>
        <w:t>5.2.1</w:t>
        <w:tab/>
        <w:t>[*] REPORTING</w:t>
      </w:r>
    </w:p>
    <w:p>
      <w:pPr>
        <w:spacing w:after="0" w:line="180" w:lineRule="exact"/>
        <w:rPr>
          <w:sz w:val="20"/>
          <w:szCs w:val="20"/>
          <w:color w:val="auto"/>
        </w:rPr>
      </w:pPr>
    </w:p>
    <w:p>
      <w:pPr>
        <w:ind w:left="1367" w:right="3679"/>
        <w:spacing w:after="0" w:line="247" w:lineRule="auto"/>
        <w:rPr>
          <w:sz w:val="20"/>
          <w:szCs w:val="20"/>
          <w:color w:val="auto"/>
        </w:rPr>
      </w:pPr>
      <w:r>
        <w:rPr>
          <w:rFonts w:ascii="Courier New" w:cs="Courier New" w:eastAsia="Courier New" w:hAnsi="Courier New"/>
          <w:sz w:val="15"/>
          <w:szCs w:val="15"/>
          <w:color w:val="auto"/>
        </w:rPr>
        <w:t>Supplier shall provide the following reports to HP-ESBU's Materials Engineer on a [*] basis:</w:t>
      </w:r>
    </w:p>
    <w:p>
      <w:pPr>
        <w:spacing w:after="0" w:line="17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142" w:name="page143"/>
    <w:bookmarkEnd w:id="142"/>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1367"/>
        <w:spacing w:after="0"/>
        <w:tabs>
          <w:tab w:leader="none" w:pos="1986" w:val="left"/>
        </w:tabs>
        <w:rPr>
          <w:sz w:val="20"/>
          <w:szCs w:val="20"/>
          <w:color w:val="auto"/>
        </w:rPr>
      </w:pPr>
      <w:r>
        <w:rPr>
          <w:rFonts w:ascii="Courier New" w:cs="Courier New" w:eastAsia="Courier New" w:hAnsi="Courier New"/>
          <w:sz w:val="15"/>
          <w:szCs w:val="15"/>
          <w:color w:val="auto"/>
        </w:rPr>
        <w:t>5.2.2</w:t>
        <w:tab/>
        <w:t>[*] REPORTING</w:t>
      </w:r>
    </w:p>
    <w:p>
      <w:pPr>
        <w:spacing w:after="0" w:line="180" w:lineRule="exact"/>
        <w:rPr>
          <w:sz w:val="20"/>
          <w:szCs w:val="20"/>
          <w:color w:val="auto"/>
        </w:rPr>
      </w:pPr>
    </w:p>
    <w:p>
      <w:pPr>
        <w:ind w:left="1367" w:right="3219"/>
        <w:spacing w:after="0" w:line="247" w:lineRule="auto"/>
        <w:rPr>
          <w:sz w:val="20"/>
          <w:szCs w:val="20"/>
          <w:color w:val="auto"/>
        </w:rPr>
      </w:pPr>
      <w:r>
        <w:rPr>
          <w:rFonts w:ascii="Courier New" w:cs="Courier New" w:eastAsia="Courier New" w:hAnsi="Courier New"/>
          <w:sz w:val="15"/>
          <w:szCs w:val="15"/>
          <w:color w:val="auto"/>
        </w:rPr>
        <w:t>Supplier shall provide the following reports to HP-ESBU's Mass Storage basis:</w:t>
      </w:r>
    </w:p>
    <w:p>
      <w:pPr>
        <w:spacing w:after="0" w:line="175" w:lineRule="exact"/>
        <w:rPr>
          <w:sz w:val="20"/>
          <w:szCs w:val="20"/>
          <w:color w:val="auto"/>
        </w:rPr>
      </w:pPr>
    </w:p>
    <w:p>
      <w:pPr>
        <w:ind w:left="1827" w:hanging="464"/>
        <w:spacing w:after="0"/>
        <w:tabs>
          <w:tab w:leader="none" w:pos="1827"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8"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267" w:right="8039" w:hanging="364"/>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DATA</w:t>
      </w:r>
    </w:p>
    <w:p>
      <w:pPr>
        <w:spacing w:after="0" w:line="1"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(ECO</w:t>
            </w:r>
          </w:p>
        </w:tc>
        <w:tc>
          <w:tcPr>
            <w:tcW w:w="74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BROCADE</w:t>
            </w:r>
          </w:p>
        </w:tc>
        <w:tc>
          <w:tcPr>
            <w:tcW w:w="900" w:type="dxa"/>
            <w:vAlign w:val="bottom"/>
          </w:tcPr>
          <w:p>
            <w:pPr>
              <w:spacing w:after="0"/>
              <w:rPr>
                <w:sz w:val="14"/>
                <w:szCs w:val="14"/>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DESCRIPTION</w:t>
            </w:r>
          </w:p>
        </w:tc>
        <w:tc>
          <w:tcPr>
            <w:tcW w:w="1320" w:type="dxa"/>
            <w:vAlign w:val="bottom"/>
          </w:tcPr>
          <w:p>
            <w:pPr>
              <w:spacing w:after="0"/>
              <w:rPr>
                <w:sz w:val="14"/>
                <w:szCs w:val="14"/>
                <w:color w:val="auto"/>
              </w:rPr>
            </w:pP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w w:val="98"/>
              </w:rPr>
              <w:t>DESCRIPTION</w:t>
            </w: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BROCADE</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RELEASED TO</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S/N</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P/N,</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F/W</w:t>
            </w: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OF F/W</w:t>
            </w:r>
          </w:p>
        </w:tc>
        <w:tc>
          <w:tcPr>
            <w:tcW w:w="1320" w:type="dxa"/>
            <w:vAlign w:val="bottom"/>
          </w:tcPr>
          <w:p>
            <w:pPr>
              <w:jc w:val="center"/>
              <w:ind w:left="84"/>
              <w:spacing w:after="0"/>
              <w:rPr>
                <w:sz w:val="20"/>
                <w:szCs w:val="20"/>
                <w:color w:val="auto"/>
              </w:rPr>
            </w:pPr>
            <w:r>
              <w:rPr>
                <w:rFonts w:ascii="Courier New" w:cs="Courier New" w:eastAsia="Courier New" w:hAnsi="Courier New"/>
                <w:sz w:val="15"/>
                <w:szCs w:val="15"/>
                <w:color w:val="auto"/>
              </w:rPr>
              <w:t>H/W</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OF H/W</w:t>
            </w:r>
          </w:p>
        </w:tc>
      </w:tr>
      <w:tr>
        <w:trPr>
          <w:trHeight w:val="0"/>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ECO#</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MFG)</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rPr>
              <w:t>RANGE</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REVISION</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VERSION</w:t>
            </w: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CHANGE</w:t>
            </w:r>
          </w:p>
        </w:tc>
        <w:tc>
          <w:tcPr>
            <w:tcW w:w="1320" w:type="dxa"/>
            <w:vAlign w:val="bottom"/>
          </w:tcPr>
          <w:p>
            <w:pPr>
              <w:jc w:val="center"/>
              <w:ind w:left="84"/>
              <w:spacing w:after="0"/>
              <w:rPr>
                <w:sz w:val="20"/>
                <w:szCs w:val="20"/>
                <w:color w:val="auto"/>
              </w:rPr>
            </w:pPr>
            <w:r>
              <w:rPr>
                <w:rFonts w:ascii="Courier New" w:cs="Courier New" w:eastAsia="Courier New" w:hAnsi="Courier New"/>
                <w:sz w:val="15"/>
                <w:szCs w:val="15"/>
                <w:color w:val="auto"/>
              </w:rPr>
              <w:t>VERSION</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CHANGE</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267"/>
        <w:spacing w:after="0"/>
        <w:tabs>
          <w:tab w:leader="none" w:pos="1346" w:val="left"/>
          <w:tab w:leader="none" w:pos="2346" w:val="left"/>
          <w:tab w:leader="none" w:pos="3246" w:val="left"/>
          <w:tab w:leader="none" w:pos="4066" w:val="left"/>
          <w:tab w:leader="none" w:pos="4606" w:val="left"/>
          <w:tab w:leader="none" w:pos="6426" w:val="left"/>
          <w:tab w:leader="none" w:pos="7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1367"/>
        <w:spacing w:after="0"/>
        <w:tabs>
          <w:tab w:leader="none" w:pos="1986" w:val="left"/>
        </w:tabs>
        <w:rPr>
          <w:sz w:val="20"/>
          <w:szCs w:val="20"/>
          <w:color w:val="auto"/>
        </w:rPr>
      </w:pPr>
      <w:r>
        <w:rPr>
          <w:rFonts w:ascii="Courier New" w:cs="Courier New" w:eastAsia="Courier New" w:hAnsi="Courier New"/>
          <w:sz w:val="15"/>
          <w:szCs w:val="15"/>
          <w:color w:val="auto"/>
        </w:rPr>
        <w:t>5.2.3</w:t>
      </w:r>
      <w:r>
        <w:rPr>
          <w:sz w:val="20"/>
          <w:szCs w:val="20"/>
          <w:color w:val="auto"/>
        </w:rPr>
        <w:tab/>
      </w:r>
      <w:r>
        <w:rPr>
          <w:rFonts w:ascii="Courier New" w:cs="Courier New" w:eastAsia="Courier New" w:hAnsi="Courier New"/>
          <w:sz w:val="14"/>
          <w:szCs w:val="14"/>
          <w:color w:val="auto"/>
        </w:rPr>
        <w:t>WEEKLY REPORTING</w:t>
      </w:r>
    </w:p>
    <w:p>
      <w:pPr>
        <w:spacing w:after="0" w:line="180" w:lineRule="exact"/>
        <w:rPr>
          <w:sz w:val="20"/>
          <w:szCs w:val="20"/>
          <w:color w:val="auto"/>
        </w:rPr>
      </w:pPr>
    </w:p>
    <w:p>
      <w:pPr>
        <w:ind w:left="1367" w:right="3039"/>
        <w:spacing w:after="0" w:line="247" w:lineRule="auto"/>
        <w:rPr>
          <w:sz w:val="20"/>
          <w:szCs w:val="20"/>
          <w:color w:val="auto"/>
        </w:rPr>
      </w:pPr>
      <w:r>
        <w:rPr>
          <w:rFonts w:ascii="Courier New" w:cs="Courier New" w:eastAsia="Courier New" w:hAnsi="Courier New"/>
          <w:sz w:val="15"/>
          <w:szCs w:val="15"/>
          <w:color w:val="auto"/>
        </w:rPr>
        <w:t>Supplier shall provide the following reports to HP Fibre Channel Materials Engineer on a [*] basis:</w:t>
      </w:r>
    </w:p>
    <w:p>
      <w:pPr>
        <w:spacing w:after="0" w:line="175" w:lineRule="exact"/>
        <w:rPr>
          <w:sz w:val="20"/>
          <w:szCs w:val="20"/>
          <w:color w:val="auto"/>
        </w:rPr>
      </w:pPr>
    </w:p>
    <w:p>
      <w:pPr>
        <w:ind w:left="1827" w:hanging="464"/>
        <w:spacing w:after="0"/>
        <w:tabs>
          <w:tab w:leader="none" w:pos="182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1986" w:val="left"/>
        </w:tabs>
        <w:rPr>
          <w:sz w:val="20"/>
          <w:szCs w:val="20"/>
          <w:color w:val="auto"/>
        </w:rPr>
      </w:pPr>
      <w:r>
        <w:rPr>
          <w:rFonts w:ascii="Courier New" w:cs="Courier New" w:eastAsia="Courier New" w:hAnsi="Courier New"/>
          <w:sz w:val="15"/>
          <w:szCs w:val="15"/>
          <w:color w:val="auto"/>
        </w:rPr>
        <w:t>5.2.4</w:t>
        <w:tab/>
        <w:t>OTHER REPORTING</w:t>
      </w:r>
    </w:p>
    <w:p>
      <w:pPr>
        <w:spacing w:after="0" w:line="180" w:lineRule="exact"/>
        <w:rPr>
          <w:sz w:val="20"/>
          <w:szCs w:val="20"/>
          <w:color w:val="auto"/>
        </w:rPr>
      </w:pPr>
    </w:p>
    <w:p>
      <w:pPr>
        <w:ind w:left="1367" w:right="3219"/>
        <w:spacing w:after="0" w:line="247" w:lineRule="auto"/>
        <w:rPr>
          <w:sz w:val="20"/>
          <w:szCs w:val="20"/>
          <w:color w:val="auto"/>
        </w:rPr>
      </w:pPr>
      <w:r>
        <w:rPr>
          <w:rFonts w:ascii="Courier New" w:cs="Courier New" w:eastAsia="Courier New" w:hAnsi="Courier New"/>
          <w:sz w:val="15"/>
          <w:szCs w:val="15"/>
          <w:color w:val="auto"/>
        </w:rPr>
        <w:t>Supplier shall provide the following additional information to the HP Fibre Channel Materials Engineer.</w:t>
      </w:r>
    </w:p>
    <w:p>
      <w:pPr>
        <w:spacing w:after="0" w:line="175" w:lineRule="exact"/>
        <w:rPr>
          <w:sz w:val="20"/>
          <w:szCs w:val="20"/>
          <w:color w:val="auto"/>
        </w:rPr>
      </w:pPr>
    </w:p>
    <w:p>
      <w:pPr>
        <w:ind w:left="1367"/>
        <w:spacing w:after="0"/>
        <w:tabs>
          <w:tab w:leader="none" w:pos="18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Failure Analysis (FA) Report upon completion.</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143" w:name="page144"/>
    <w:bookmarkEnd w:id="143"/>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367" w:hanging="367"/>
        <w:spacing w:after="0"/>
        <w:tabs>
          <w:tab w:leader="none" w:pos="367"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EXPECTATIONS</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6.1 PRODUCT CHANGES REQUIRING HP APPROVAL</w:t>
      </w:r>
    </w:p>
    <w:p>
      <w:pPr>
        <w:spacing w:after="0" w:line="180" w:lineRule="exact"/>
        <w:rPr>
          <w:sz w:val="20"/>
          <w:szCs w:val="20"/>
          <w:color w:val="auto"/>
        </w:rPr>
      </w:pPr>
    </w:p>
    <w:p>
      <w:pPr>
        <w:ind w:left="727" w:right="3039"/>
        <w:spacing w:after="0" w:line="246" w:lineRule="auto"/>
        <w:rPr>
          <w:sz w:val="20"/>
          <w:szCs w:val="20"/>
          <w:color w:val="auto"/>
        </w:rPr>
      </w:pPr>
      <w:r>
        <w:rPr>
          <w:rFonts w:ascii="Courier New" w:cs="Courier New" w:eastAsia="Courier New" w:hAnsi="Courier New"/>
          <w:sz w:val="15"/>
          <w:szCs w:val="15"/>
          <w:color w:val="auto"/>
        </w:rPr>
        <w:t>The evaluation period for changes is covered in the HP/BROCADE Purchase Agreement. The intent is to allow HP [*] to review the proposed change and Supplier [*] and to perform [*] if necessary. Supplier must [*] of upcoming changes in order to assure a smooth implementation. Changes must be communicated in writing in the form of an Engineering Change Request (ECR) document and sent to the Materials Engineer. Changes that must be communicated in writing are:</w:t>
      </w:r>
    </w:p>
    <w:p>
      <w:pPr>
        <w:spacing w:after="0" w:line="17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 3. [*].</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6.2 PROCESS CHANGES REQUIRING HP APPROVAL</w:t>
      </w:r>
    </w:p>
    <w:p>
      <w:pPr>
        <w:spacing w:after="0" w:line="180" w:lineRule="exact"/>
        <w:rPr>
          <w:sz w:val="20"/>
          <w:szCs w:val="20"/>
          <w:color w:val="auto"/>
        </w:rPr>
      </w:pPr>
    </w:p>
    <w:p>
      <w:pPr>
        <w:ind w:left="727" w:right="3039"/>
        <w:spacing w:after="0" w:line="247" w:lineRule="auto"/>
        <w:rPr>
          <w:sz w:val="20"/>
          <w:szCs w:val="20"/>
          <w:color w:val="auto"/>
        </w:rPr>
      </w:pPr>
      <w:r>
        <w:rPr>
          <w:rFonts w:ascii="Courier New" w:cs="Courier New" w:eastAsia="Courier New" w:hAnsi="Courier New"/>
          <w:sz w:val="15"/>
          <w:szCs w:val="15"/>
          <w:color w:val="auto"/>
        </w:rPr>
        <w:t>Supplier shall notify HP of any major changes to the manufacturing process in writing [*] prior to proposed implementation. These include:</w:t>
      </w:r>
    </w:p>
    <w:p>
      <w:pPr>
        <w:spacing w:after="0" w:line="175" w:lineRule="exact"/>
        <w:rPr>
          <w:sz w:val="20"/>
          <w:szCs w:val="20"/>
          <w:color w:val="auto"/>
        </w:rPr>
      </w:pPr>
    </w:p>
    <w:p>
      <w:pPr>
        <w:ind w:left="2007" w:hanging="644"/>
        <w:spacing w:after="0"/>
        <w:tabs>
          <w:tab w:leader="none" w:pos="2007"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6.3 SHIPMENT HOLD NOTIFICATION</w:t>
      </w:r>
    </w:p>
    <w:p>
      <w:pPr>
        <w:spacing w:after="0" w:line="180" w:lineRule="exact"/>
        <w:rPr>
          <w:sz w:val="20"/>
          <w:szCs w:val="20"/>
          <w:color w:val="auto"/>
        </w:rPr>
      </w:pPr>
    </w:p>
    <w:p>
      <w:pPr>
        <w:ind w:left="727" w:right="2959"/>
        <w:spacing w:after="0" w:line="246" w:lineRule="auto"/>
        <w:rPr>
          <w:sz w:val="20"/>
          <w:szCs w:val="20"/>
          <w:color w:val="auto"/>
        </w:rPr>
      </w:pPr>
      <w:r>
        <w:rPr>
          <w:rFonts w:ascii="Courier New" w:cs="Courier New" w:eastAsia="Courier New" w:hAnsi="Courier New"/>
          <w:sz w:val="15"/>
          <w:szCs w:val="15"/>
          <w:color w:val="auto"/>
        </w:rPr>
        <w:t>Supplier shall notify HP verbally of any line-down or ship hold situations that will adversely affect HP shipments or HP's installed base within [*] of such situation occurring. A written analysis of HP's inventory exposure and a recovery plan, if applicable, shall be provided within [*] of such situation occurring.</w:t>
      </w:r>
    </w:p>
    <w:p>
      <w:pPr>
        <w:spacing w:after="0" w:line="178"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6.4 [*]</w:t>
      </w:r>
    </w:p>
    <w:p>
      <w:pPr>
        <w:spacing w:after="0" w:line="180" w:lineRule="exact"/>
        <w:rPr>
          <w:sz w:val="20"/>
          <w:szCs w:val="20"/>
          <w:color w:val="auto"/>
        </w:rPr>
      </w:pPr>
    </w:p>
    <w:p>
      <w:pPr>
        <w:ind w:left="727" w:right="2959"/>
        <w:spacing w:after="0" w:line="247" w:lineRule="auto"/>
        <w:rPr>
          <w:sz w:val="20"/>
          <w:szCs w:val="20"/>
          <w:color w:val="auto"/>
        </w:rPr>
      </w:pPr>
      <w:r>
        <w:rPr>
          <w:rFonts w:ascii="Courier New" w:cs="Courier New" w:eastAsia="Courier New" w:hAnsi="Courier New"/>
          <w:sz w:val="15"/>
          <w:szCs w:val="15"/>
          <w:color w:val="auto"/>
        </w:rPr>
        <w:t>Supplier will maintain a [*] with HP to address all open issues and will [*]</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144" w:name="page145"/>
    <w:bookmarkEnd w:id="144"/>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367" w:hanging="367"/>
        <w:spacing w:after="0"/>
        <w:tabs>
          <w:tab w:leader="none" w:pos="367"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QUALITY SYSTEM</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w:t>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145" w:name="page146"/>
    <w:bookmarkEnd w:id="145"/>
    <w:p>
      <w:pPr>
        <w:ind w:left="2720"/>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(I)</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HP END USER SOFTWARE LICENSE AGREEMENT</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NOTICE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ATTENTION: USE OF THE SOFTWARE IS SUBJECT TO THE HP SOFTWARE LICENSE TERMS CONTAINED IN THE ACCOMPANYING DOCUMENTATION. USING THE SOFTWARE INDICATES YOUR ACCEPTANCE OF THESE LICENSE TERMS. IF YOU DO NOT ACCEPT THESE LICENSE TERMS, YOU MAY RETURN THE SOFTWARE FOR A FULL REFUND. IF THE SOFTWARE IS BUNDLED WITH ANOTHER PRODUCT, YOU MAY RETURN THE ENTIRE UNUSED PRODUCT FOR A FULL REFUND.</w:t>
      </w:r>
    </w:p>
    <w:p>
      <w:pPr>
        <w:sectPr>
          <w:pgSz w:w="11900" w:h="16838" w:orient="portrait"/>
          <w:cols w:equalWidth="0" w:num="1">
            <w:col w:w="10219"/>
          </w:cols>
          <w:pgMar w:left="240" w:top="642" w:right="1440" w:bottom="1440" w:gutter="0" w:footer="0" w:header="0"/>
        </w:sectPr>
      </w:pPr>
    </w:p>
    <w:bookmarkStart w:id="146" w:name="page147"/>
    <w:bookmarkEnd w:id="146"/>
    <w:p>
      <w:pPr>
        <w:ind w:left="2720"/>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ATTENTION: USE OF THE SOFTWARE IS SUBJECT TO THE HP SOFTWARE LICENSE TERMS SET FORTH BELOW. USING THE SOFTWARE INDICATES YOUR ACCEPTANCE OF THESE LICENSE TERMS. IF YOU DO NOT ACCEPT THESE LICENSE TERMS, YOU MAY RETURN THE SOFTWARE FOR A FULL REFUND. IF THE SOFTWARE IS BUNDLED WITH ANOTHER PRODUCT, YOU MAY RETURN THE ENTIRE UNUSED PRODUCT FOR A FULL REFUND.</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HP SOFTWARE LICENSE TERMS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following License Terms govern your use of the accompanying Software unless you have a separate written agreement with HP.</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LICENSE GRANT. HP grants you a license to Use one copy of the Software. "Use" means storing, loading, installing, executing or displaying the Software. You may not modify the Software or disable any licensing or control features of the Software. If the Software is licensed for "concurrent use", you may not allow more than the maximum number of authorized users to Use the Software concurrently.</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OWNERSHIP. The Software is owned and copyrighted by HP or its third party suppliers. Your license confers no title or ownership and is not a sale of any rights in the Software, its documentation or the media on which they are recorded or printed. Third party suppliers may protect their rights in the Software in the event of any infringement.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COPIES AND ADAPTATIONS. You may only make copies or adaptations of the Software for archival purposes or when copying or adaptation is an essential step in the authorized Use of the Software on a backup product, provided that copies and adaptations are used in no other manner and provided further that Use on the backup product is discontinued when the original or replacement product becomes operable. You must reproduce all copyright notices in the original Software on all copies or adaptations. You may not copy the Software onto any public or distributed network.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 DISASSEMBLY OR DECRYPTION. You may not disassemble or decompile the Software without HP's prior written consent. Where you have other rights under statute, you will provide HP with reasonably detailed information regarding any intended disassembly or decompilation. You may not decrypt the Software unless necessary for the legitimate use of the Software.</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TRANSFER. Your license will automatically terminate upon any transfer of the Software. Upon transfer, you must deliver the Software, including any copies and related documentation, to the transferee. The transferee must accept these License Terms as a condition to the transfer.</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TERMINATION. HP may terminate your license upon notice for failure to comply with any of these License Terms. Upon termination, you must immediately destroy the Software, together with all copies, adaptations and merged portions in any form.</w:t>
      </w:r>
    </w:p>
    <w:p>
      <w:pPr>
        <w:spacing w:after="0" w:line="177"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EXPORT REQUIREMENTS. You may not export or re-export the Software or any copy or adaptation in violation of any applicable laws or regulations.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U.S. GOVERNMENT RESTRICTED RIGHTS. The Software and any accompanying documentation have been developed entirely at private expense. They are delivered and licensed as "commercial computer software" as defined in DFARS 252.227-7013 (Oct 1988), DFARS 252.211-7015 (May 1991) or DFARS 252.227-7014 (Jun 1995), as a "commercial item" as defined in FAR 2.101(a), or as "Restricted computer software" as defined in FAR 52.337-19 (Jun 1987) (or any equivalent agency regulation or contract clause), whichever is applicable. You have only those rights provided for such Software and any accompanying documentation by the applicable FAR or DFARS clause or the HP standard software agreement for the product involved.</w:t>
      </w:r>
    </w:p>
    <w:p>
      <w:pPr>
        <w:sectPr>
          <w:pgSz w:w="11900" w:h="16838" w:orient="portrait"/>
          <w:cols w:equalWidth="0" w:num="1">
            <w:col w:w="10219"/>
          </w:cols>
          <w:pgMar w:left="240" w:top="642" w:right="1440" w:bottom="1440" w:gutter="0" w:footer="0" w:header="0"/>
        </w:sectPr>
      </w:pPr>
    </w:p>
    <w:bookmarkStart w:id="147" w:name="page148"/>
    <w:bookmarkEnd w:id="147"/>
    <w:p>
      <w:pPr>
        <w:ind w:left="6087"/>
        <w:spacing w:after="0"/>
        <w:rPr>
          <w:sz w:val="20"/>
          <w:szCs w:val="20"/>
          <w:color w:val="auto"/>
        </w:rPr>
      </w:pPr>
      <w:r>
        <w:rPr>
          <w:rFonts w:ascii="Courier New" w:cs="Courier New" w:eastAsia="Courier New" w:hAnsi="Courier New"/>
          <w:sz w:val="15"/>
          <w:szCs w:val="15"/>
          <w:color w:val="auto"/>
        </w:rPr>
        <w:t>EXHIBIT 10.39</w:t>
      </w:r>
    </w:p>
    <w:p>
      <w:pPr>
        <w:spacing w:after="0" w:line="200" w:lineRule="exact"/>
        <w:rPr>
          <w:sz w:val="20"/>
          <w:szCs w:val="20"/>
          <w:color w:val="auto"/>
        </w:rPr>
      </w:pPr>
    </w:p>
    <w:p>
      <w:pPr>
        <w:spacing w:after="0" w:line="329"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BROCADE/HP CONFIDENTIAL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AMENDMENT</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OEM PURCHASE AGREEMENT</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BETWEEN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HEWLETT-PACKARD COMPANY</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BROCADE COMMUNICATIONS SYSTEMS, INC.</w:t>
      </w:r>
    </w:p>
    <w:p>
      <w:pPr>
        <w:spacing w:after="0" w:line="35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This document (the "Amendment") is an amendment to the OEM Purchase Agreement (the "Agreement") with an effective date of January 28, 2000, by and between Brocade Communications Systems, Inc. ("Supplier") and Hewlett-Packard Company ("HP"). If there are any inconsistencies or conflicts between the terms and conditions of the Agreement and this Amendment, the terms and conditions of this Amendment shall govern and prevail.</w:t>
      </w:r>
    </w:p>
    <w:p>
      <w:pPr>
        <w:spacing w:after="0" w:line="178"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This Amendment entered into on April 20, 2001, is intended to further document the mutual understandings and promises between both parties.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and HP hereby agree to amend the Agreement as follows:</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OEM Product Software Pricing. All software products listed in this Amendment shall be included in the Agreement as listed and referenced as both OEM Products and Software in Exhibit (A) therein. Subject to the terms and conditions of the Agreement, [*] made available by Supplier to HP are as set forth in this Amendment. All prices listed below are in United States Dollars (USD) and are for [*] OEM Product units only. All OEM Product pricing herein is subject to all nonconflicting terms and conditions of the Agreement and more particularly those of Exhibit (C) therein.</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New Silkworm 2400 / [*]-[*]. All new Orders for Supplier's 2400 and [*] OEM Products submitted to Supplier by HP on or after the Effective Date of this Amendment will [*] as [*] under the applicable [*] set forth below, with such</w:t>
      </w:r>
    </w:p>
    <w:p>
      <w:pPr>
        <w:spacing w:after="0" w:line="2" w:lineRule="exact"/>
        <w:rPr>
          <w:sz w:val="20"/>
          <w:szCs w:val="20"/>
          <w:color w:val="auto"/>
        </w:rPr>
      </w:pPr>
    </w:p>
    <w:p>
      <w:pPr>
        <w:ind w:left="7" w:right="3499" w:hanging="7"/>
        <w:spacing w:after="0" w:line="246" w:lineRule="auto"/>
        <w:tabs>
          <w:tab w:leader="none" w:pos="37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provided by Supplier to HP as a [*] and [*] with each Silkworm 2400 and [*] OEM Product unit ordered by HP. HP may also purchase, [*], additional [*] as may be required to upgrade existing Silkworm 2400 or [*] customer OEM Product units at the applicable [*] listed below.</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 Distribution Obligation. Notwithstanding anything to the contrary herein,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187" w:hanging="187"/>
        <w:spacing w:after="0"/>
        <w:tabs>
          <w:tab w:leader="none" w:pos="18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Page 1 of 1</w:t>
      </w:r>
    </w:p>
    <w:p>
      <w:pPr>
        <w:sectPr>
          <w:pgSz w:w="11900" w:h="16838" w:orient="portrait"/>
          <w:cols w:equalWidth="0" w:num="1">
            <w:col w:w="10226"/>
          </w:cols>
          <w:pgMar w:left="233" w:top="316" w:right="1440" w:bottom="1440" w:gutter="0" w:footer="0" w:header="0"/>
        </w:sectPr>
      </w:pPr>
    </w:p>
    <w:bookmarkStart w:id="148" w:name="page149"/>
    <w:bookmarkEnd w:id="148"/>
    <w:p>
      <w:pPr>
        <w:jc w:val="center"/>
        <w:ind w:right="2852"/>
        <w:spacing w:after="0"/>
        <w:rPr>
          <w:sz w:val="20"/>
          <w:szCs w:val="20"/>
          <w:color w:val="auto"/>
        </w:rPr>
      </w:pPr>
      <w:r>
        <w:rPr>
          <w:rFonts w:ascii="Courier New" w:cs="Courier New" w:eastAsia="Courier New" w:hAnsi="Courier New"/>
          <w:sz w:val="15"/>
          <w:szCs w:val="15"/>
          <w:color w:val="auto"/>
        </w:rPr>
        <w:t>BROCADE/HP CONFIDENTIAL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orders is expressly subject to the provisions of Section 13.1 (Marketing and Distribution) of the Agreement.</w:t>
      </w:r>
    </w:p>
    <w:p>
      <w:pPr>
        <w:spacing w:after="0" w:line="17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Installed Base Software Licenses. Upon the Effective Date of this Amendment, Supplier will promptly provide to HP, [*], all paper-printed [*] necessary to enable the [*] for [*], and [*] Software in a quantity equal to [*] of combined Silkworm 2400 and Silkworm [*] OEM product units that [*] or [*] be [*] by HP without [*] Software [*] and [*], whether such units are distributed [*] the Effective Date of this Amendment.</w:t>
      </w:r>
    </w:p>
    <w:p>
      <w:pPr>
        <w:spacing w:after="0" w:line="178"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All Other Software License Fees. For the Term of this Agreement and any extension(s) thereof, Supplier will provide to HP [*] all [*] releases and upgrades of: [*] and upgrades (up to but not including version [*]); [*] Software; [*] Software; and [*] Software for use in conjunction with OEM products provided by Supplier. [*] Software will be released to HP at [*] upon</w:t>
      </w:r>
    </w:p>
    <w:p>
      <w:pPr>
        <w:spacing w:after="0" w:line="3" w:lineRule="exact"/>
        <w:rPr>
          <w:sz w:val="20"/>
          <w:szCs w:val="20"/>
          <w:color w:val="auto"/>
        </w:rPr>
      </w:pPr>
    </w:p>
    <w:p>
      <w:pPr>
        <w:ind w:left="7" w:right="3139" w:hanging="7"/>
        <w:spacing w:after="0" w:line="246" w:lineRule="auto"/>
        <w:tabs>
          <w:tab w:leader="none" w:pos="37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such Software by Supplier for the Silkworm 2400 and [*] OEM Products. Supplier shall provide such copies and/or all required digital license keys of the Software listed in this Section [*] and [*] as necessary [*] HP's [*] distribution of Silkworm 2400 and [*] OEM Products.</w:t>
      </w:r>
    </w:p>
    <w:p>
      <w:pPr>
        <w:spacing w:after="0" w:line="177"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Security Software. If or when this Software product is offered to any of [*], Supplier will [*] to HP at [*].</w:t>
      </w:r>
    </w:p>
    <w:p>
      <w:pPr>
        <w:spacing w:after="0" w:line="17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Internal-use Copies. [*] shall be due for copies of the Software used by HP for [*]</w:t>
      </w:r>
    </w:p>
    <w:p>
      <w:pPr>
        <w:spacing w:after="0" w:line="17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Software Delivery. All Software provided by Supplier under this Agreement shall be offered to HP [*]</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 OEM Products and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PART DESCRIPTION: [HP private-label name here]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MODEL NO. / DESCRIPTION: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986" w:val="left"/>
        </w:tabs>
        <w:rPr>
          <w:sz w:val="20"/>
          <w:szCs w:val="20"/>
          <w:color w:val="auto"/>
        </w:rPr>
      </w:pPr>
      <w:r>
        <w:rPr>
          <w:rFonts w:ascii="Courier New" w:cs="Courier New" w:eastAsia="Courier New" w:hAnsi="Courier New"/>
          <w:sz w:val="15"/>
          <w:szCs w:val="15"/>
          <w:color w:val="auto"/>
        </w:rPr>
        <w:t>HP per-license fee:</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187" w:hanging="187"/>
        <w:spacing w:after="0"/>
        <w:tabs>
          <w:tab w:leader="none" w:pos="1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Page 2 of 2</w:t>
      </w:r>
    </w:p>
    <w:p>
      <w:pPr>
        <w:sectPr>
          <w:pgSz w:w="11900" w:h="16838" w:orient="portrait"/>
          <w:cols w:equalWidth="0" w:num="1">
            <w:col w:w="10226"/>
          </w:cols>
          <w:pgMar w:left="233" w:top="642" w:right="1440" w:bottom="1440" w:gutter="0" w:footer="0" w:header="0"/>
        </w:sectPr>
      </w:pPr>
    </w:p>
    <w:bookmarkStart w:id="149" w:name="page150"/>
    <w:bookmarkEnd w:id="149"/>
    <w:p>
      <w:pPr>
        <w:jc w:val="center"/>
        <w:ind w:right="2852"/>
        <w:spacing w:after="0"/>
        <w:rPr>
          <w:sz w:val="20"/>
          <w:szCs w:val="20"/>
          <w:color w:val="auto"/>
        </w:rPr>
      </w:pPr>
      <w:r>
        <w:rPr>
          <w:rFonts w:ascii="Courier New" w:cs="Courier New" w:eastAsia="Courier New" w:hAnsi="Courier New"/>
          <w:sz w:val="15"/>
          <w:szCs w:val="15"/>
          <w:color w:val="auto"/>
        </w:rPr>
        <w:t>BROCADE / HP CONFIDENTIAL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Except as expressly set forth herein, the Agreement and each and every provision thereof shall continue in full force and effect.</w:t>
      </w:r>
    </w:p>
    <w:p>
      <w:pPr>
        <w:spacing w:after="0" w:line="17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IN WITNESS WHEREOF, the parties have caused this instrument to be executed by their duly authorized representatives on the dates indicated below.</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right="540"/>
        <w:spacing w:after="0" w:line="247" w:lineRule="auto"/>
        <w:rPr>
          <w:sz w:val="20"/>
          <w:szCs w:val="20"/>
          <w:color w:val="auto"/>
        </w:rPr>
      </w:pPr>
      <w:r>
        <w:rPr>
          <w:rFonts w:ascii="Courier New" w:cs="Courier New" w:eastAsia="Courier New" w:hAnsi="Courier New"/>
          <w:sz w:val="15"/>
          <w:szCs w:val="15"/>
          <w:color w:val="auto"/>
        </w:rPr>
        <w:t>BROCADE COMMUNICATIONS SYSTEMS,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379" w:lineRule="exact"/>
        <w:rPr>
          <w:sz w:val="20"/>
          <w:szCs w:val="20"/>
          <w:color w:val="auto"/>
        </w:rPr>
      </w:pPr>
    </w:p>
    <w:p>
      <w:pPr>
        <w:sectPr>
          <w:pgSz w:w="11900" w:h="16838" w:orient="portrait"/>
          <w:cols w:equalWidth="0" w:num="2">
            <w:col w:w="3367" w:space="720"/>
            <w:col w:w="6139"/>
          </w:cols>
          <w:pgMar w:left="233" w:top="642" w:right="1440" w:bottom="1440" w:gutter="0" w:footer="0" w:header="0"/>
          <w:type w:val="continuous"/>
        </w:sectPr>
      </w:pPr>
    </w:p>
    <w:p>
      <w:pPr>
        <w:spacing w:after="0" w:line="1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By: /s/ Charles Smith</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Charles Smith</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Title: Vice President, Sales</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April 26, 2001</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Don Kleinschnitz</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Don Kleinschnitz</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GM SNS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5-22-01</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367" w:space="720"/>
            <w:col w:w="6139"/>
          </w:cols>
          <w:pgMar w:left="233" w:top="642"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87" w:hanging="187"/>
        <w:spacing w:after="0"/>
        <w:tabs>
          <w:tab w:leader="none" w:pos="18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Page 3 of 3</w:t>
      </w:r>
    </w:p>
    <w:p>
      <w:pPr>
        <w:sectPr>
          <w:pgSz w:w="11900" w:h="16838" w:orient="portrait"/>
          <w:cols w:equalWidth="0" w:num="1">
            <w:col w:w="10226"/>
          </w:cols>
          <w:pgMar w:left="233" w:top="642" w:right="1440" w:bottom="1440" w:gutter="0" w:footer="0" w:header="0"/>
          <w:type w:val="continuous"/>
        </w:sectPr>
      </w:pPr>
    </w:p>
    <w:bookmarkStart w:id="150" w:name="page151"/>
    <w:bookmarkEnd w:id="150"/>
    <w:p>
      <w:pPr>
        <w:jc w:val="right"/>
        <w:ind w:right="2959"/>
        <w:spacing w:after="0"/>
        <w:rPr>
          <w:sz w:val="20"/>
          <w:szCs w:val="20"/>
          <w:color w:val="auto"/>
        </w:rPr>
      </w:pPr>
      <w:r>
        <w:rPr>
          <w:rFonts w:ascii="Courier New" w:cs="Courier New" w:eastAsia="Courier New" w:hAnsi="Courier New"/>
          <w:sz w:val="15"/>
          <w:szCs w:val="15"/>
          <w:color w:val="auto"/>
        </w:rPr>
        <w:t>Exhibit 10.40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LOGO]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2002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Communications Systems,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1745 Technology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 95110</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Charlie Leeming</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RE: OEM PURCHASE AGREEMENT BY AND BETWEEN HEWLETT-PACKARD COMPANY AND BROCADE COMMUNICATIONS SYSTEMS DATED JANUARY 28,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Mr. Leeming:</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term of the OEM Purchase Agreement by and between Hewlett-Packard Company ("HP") and Brocade Communications Systems, Inc. ("Brocade") dated January 28,2000 expires on or about January 28, 2002. HP and Brocade agree to extend the term of that agreement until January 28, 2003.</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Please indicate your agreement with the above by having an authorized representative of Brocade sign this letter. A copy of the agreement should be sent by fax to Brian Tippens at (916) 785-3081 and the letter with your original signature should then be mailed to Brian.</w:t>
      </w:r>
    </w:p>
    <w:p>
      <w:pPr>
        <w:spacing w:after="0" w:line="177"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Please do not hesitate to call Brian on (916) 785-0936 if you have any questions or concerns.</w:t>
      </w:r>
    </w:p>
    <w:p>
      <w:pPr>
        <w:sectPr>
          <w:pgSz w:w="11900" w:h="16838" w:orient="portrait"/>
          <w:cols w:equalWidth="0" w:num="1">
            <w:col w:w="10219"/>
          </w:cols>
          <w:pgMar w:left="240" w:top="49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w:t>
      </w:r>
    </w:p>
    <w:p>
      <w:pPr>
        <w:spacing w:after="0" w:line="180" w:lineRule="exact"/>
        <w:rPr>
          <w:sz w:val="20"/>
          <w:szCs w:val="20"/>
          <w:color w:val="auto"/>
        </w:rPr>
      </w:pPr>
    </w:p>
    <w:p>
      <w:pPr>
        <w:sectPr>
          <w:pgSz w:w="11900" w:h="16838" w:orient="portrait"/>
          <w:cols w:equalWidth="0" w:num="2">
            <w:col w:w="3280" w:space="720"/>
            <w:col w:w="6219"/>
          </w:cols>
          <w:pgMar w:left="240" w:top="4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BROCADE COMMUNICATIONS SYSTEMS, INC.</w:t>
      </w:r>
    </w:p>
    <w:p>
      <w:pPr>
        <w:spacing w:after="0" w:line="180" w:lineRule="exact"/>
        <w:rPr>
          <w:sz w:val="20"/>
          <w:szCs w:val="20"/>
          <w:color w:val="auto"/>
        </w:rPr>
      </w:pPr>
    </w:p>
    <w:p>
      <w:pPr>
        <w:sectPr>
          <w:pgSz w:w="11900" w:h="16838" w:orient="portrait"/>
          <w:cols w:equalWidth="0" w:num="2">
            <w:col w:w="3280" w:space="720"/>
            <w:col w:w="6219"/>
          </w:cols>
          <w:pgMar w:left="240" w:top="4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380"/>
        <w:spacing w:after="0" w:line="247" w:lineRule="auto"/>
        <w:rPr>
          <w:sz w:val="20"/>
          <w:szCs w:val="20"/>
          <w:color w:val="auto"/>
        </w:rPr>
      </w:pPr>
      <w:r>
        <w:rPr>
          <w:rFonts w:ascii="Courier New" w:cs="Courier New" w:eastAsia="Courier New" w:hAnsi="Courier New"/>
          <w:sz w:val="15"/>
          <w:szCs w:val="15"/>
          <w:color w:val="auto"/>
        </w:rPr>
        <w:t>Don Kleinshnitz NSSO-SNS General Manager January 27,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____________________________</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(Authorized Representative)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Typed Name 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____________________________</w:t>
      </w:r>
    </w:p>
    <w:p>
      <w:pPr>
        <w:sectPr>
          <w:pgSz w:w="11900" w:h="16838" w:orient="portrait"/>
          <w:cols w:equalWidth="0" w:num="3">
            <w:col w:w="180" w:space="540"/>
            <w:col w:w="2560" w:space="720"/>
            <w:col w:w="6219"/>
          </w:cols>
          <w:pgMar w:left="240" w:top="491" w:right="1440" w:bottom="1440" w:gutter="0" w:footer="0" w:header="0"/>
          <w:type w:val="continuous"/>
        </w:sectPr>
      </w:pPr>
    </w:p>
    <w:bookmarkStart w:id="151" w:name="page152"/>
    <w:bookmarkEnd w:id="151"/>
    <w:p>
      <w:pPr>
        <w:ind w:left="1340"/>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10.41</w:t>
      </w:r>
    </w:p>
    <w:p>
      <w:pPr>
        <w:spacing w:after="0" w:line="180"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5"/>
          <w:szCs w:val="15"/>
          <w:color w:val="auto"/>
        </w:rPr>
        <w:t>OEM PURCHASE AGREEMENT</w:t>
      </w:r>
    </w:p>
    <w:p>
      <w:pPr>
        <w:spacing w:after="0" w:line="18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BY AND BETWEEN</w:t>
      </w:r>
    </w:p>
    <w:p>
      <w:pPr>
        <w:spacing w:after="0" w:line="180"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HEWLETT-PACKARD COMPANY</w:t>
      </w:r>
    </w:p>
    <w:p>
      <w:pPr>
        <w:spacing w:after="0" w:line="180"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BROCADE COMMUNICATIONS SYSTEMS, INC.</w:t>
      </w:r>
    </w:p>
    <w:p>
      <w:pPr>
        <w:sectPr>
          <w:pgSz w:w="11900" w:h="16838" w:orient="portrait"/>
          <w:cols w:equalWidth="0" w:num="1">
            <w:col w:w="9019"/>
          </w:cols>
          <w:pgMar w:left="1440" w:top="316" w:right="1440" w:bottom="1440" w:gutter="0" w:footer="0" w:header="0"/>
        </w:sectPr>
      </w:pPr>
    </w:p>
    <w:bookmarkStart w:id="152" w:name="page153"/>
    <w:bookmarkEnd w:id="152"/>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OEM PURCHASE AGREEMENT</w:t>
      </w:r>
    </w:p>
    <w:p>
      <w:pPr>
        <w:spacing w:after="0" w:line="180" w:lineRule="exact"/>
        <w:rPr>
          <w:sz w:val="20"/>
          <w:szCs w:val="20"/>
          <w:color w:val="auto"/>
        </w:rPr>
      </w:pPr>
    </w:p>
    <w:p>
      <w:pPr>
        <w:ind w:left="727" w:right="2959"/>
        <w:spacing w:after="0" w:line="246" w:lineRule="auto"/>
        <w:rPr>
          <w:sz w:val="20"/>
          <w:szCs w:val="20"/>
          <w:color w:val="auto"/>
        </w:rPr>
      </w:pPr>
      <w:r>
        <w:rPr>
          <w:rFonts w:ascii="Courier New" w:cs="Courier New" w:eastAsia="Courier New" w:hAnsi="Courier New"/>
          <w:sz w:val="15"/>
          <w:szCs w:val="15"/>
          <w:color w:val="auto"/>
        </w:rPr>
        <w:t>THIS AGREEMENT (the "Agreement") is entered into between HEWLETT-PACKARD COMPANY, a Delaware corporation ("HP") and BROCADE COMMUNICATIONS SYSTEMS, INC., a Delaware corporation, having its principal place of business at 1745 Technology Drive, San Jose, California 95110, and Brocade Communications Switzerland SarL., a corporation organized under the laws of Geneva, and having its principal place of business at 29-31 Route de l'Aeroport, CH-1205 Geneva, Switzerland, (collectively "Supplier") ("Supplier"), effective as of April 20, 2001, (the "Effective Date"). The parties hereby agree as follows:</w:t>
      </w:r>
    </w:p>
    <w:p>
      <w:pPr>
        <w:spacing w:after="0" w:line="180" w:lineRule="exact"/>
        <w:rPr>
          <w:sz w:val="20"/>
          <w:szCs w:val="20"/>
          <w:color w:val="auto"/>
        </w:rPr>
      </w:pPr>
    </w:p>
    <w:p>
      <w:pPr>
        <w:ind w:left="727" w:hanging="727"/>
        <w:spacing w:after="0"/>
        <w:tabs>
          <w:tab w:leader="none" w:pos="72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AGREEMENT</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1.1General. This Agreement specifies the terms and conditions under which Supplier will sell, license, and support the OEM Products listed in Exhibit (A) to this Agreement. The OEM Products are regarded as "Original Equipment Manufacturer" products that will either be sold separately or incorporated into HP Products for resale worldwide under HP's private label or, at HP's sole election, under Supplier's label, as set forth herein. The OEM Products and the HP Products will be marketed, serviced, and supported by HP's field organization and channel partners, subject to the marketing, service, and support obligations of Supplier pursuant to this Agreement.</w:t>
      </w:r>
    </w:p>
    <w:p>
      <w:pPr>
        <w:spacing w:after="0" w:line="181"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1.2Eligible Purchasers. This Agreement enables HP, HP Subsidiaries, and [*] to purchase OEM Products from Supplier under the terms of this Agreement or any subsequent Product Addendum. The terms and conditions of this Agreement will control and take precedence over any conflicting terms in a Product Addendum unless a Product Addendum specifically refers to and amends a term of this Agreement.</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1.3Term Of Agreement. This Agreement will commence as of the Effective Date and continue for a two-year period (the "Term"), unless terminated earlier under the terms of this Agreement. After the initial Term, this Agreement will continue automatically for additional one-year periods. This Agreement may be terminated at the end of the initial Term or at the end of any subsequent renewal period if one party provides the other at least [*] prior written notice of its intent to terminate.</w:t>
      </w:r>
    </w:p>
    <w:p>
      <w:pPr>
        <w:spacing w:after="0" w:line="35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following capitalized terms will have these meanings throughout this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"Days" means business days.</w:t>
      </w:r>
    </w:p>
    <w:p>
      <w:pPr>
        <w:spacing w:after="0" w:line="180"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"Delivery Date" means the date specified in an Order for the delivery of OEM Products by Supplier to the destination required under the Order.</w:t>
      </w:r>
    </w:p>
    <w:p>
      <w:pPr>
        <w:spacing w:after="0" w:line="174" w:lineRule="exact"/>
        <w:rPr>
          <w:sz w:val="20"/>
          <w:szCs w:val="20"/>
          <w:color w:val="auto"/>
        </w:rPr>
      </w:pPr>
    </w:p>
    <w:p>
      <w:pPr>
        <w:ind w:left="447" w:right="2959" w:hanging="447"/>
        <w:spacing w:after="0" w:line="247" w:lineRule="auto"/>
        <w:tabs>
          <w:tab w:leader="none" w:pos="44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643" w:right="1440" w:bottom="1440" w:gutter="0" w:footer="0" w:header="0"/>
        </w:sectPr>
      </w:pPr>
    </w:p>
    <w:bookmarkStart w:id="153" w:name="page154"/>
    <w:bookmarkEnd w:id="153"/>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1447" w:right="31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"Documentation" means the user and technical manuals and other documentation that Supplier will make available with the OEM Products.</w:t>
      </w:r>
    </w:p>
    <w:p>
      <w:pPr>
        <w:spacing w:after="0" w:line="174" w:lineRule="exact"/>
        <w:rPr>
          <w:sz w:val="20"/>
          <w:szCs w:val="20"/>
          <w:color w:val="auto"/>
        </w:rPr>
      </w:pPr>
    </w:p>
    <w:p>
      <w:pPr>
        <w:ind w:left="1447" w:right="30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"Eligible Purchasers" mean those parties authorized to purchase OEM Products under this Agreement as listed in Exhibit B attached hereto.</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"E-Room" means that secure, password-protected web application accessible by Supplier and HP that indicates [*] of OEM Products between Supplier and HP under this Agreement.</w:t>
      </w:r>
    </w:p>
    <w:p>
      <w:pPr>
        <w:spacing w:after="0" w:line="17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"Failure" means an instance where the OEM Product does not conform to specifications in Exhibit (A) or contains a defect in workmanship, materials, or design that prevents the OEM Product from fully performing as set forth in Exhibit A.</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"Forecast" means HP's estimate, submitted to Supplier in writing, of its stocking requirements for OEM Products (including, without limitation, Parts) over a [*] period or such other period designated by the parties.</w:t>
      </w:r>
    </w:p>
    <w:p>
      <w:pPr>
        <w:spacing w:after="0" w:line="177"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 [*] " means HP's [*] and purchase of OEM Products from an [*]</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to [*] inventory and the event upon which title to such</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units passes to HP. [*] of OEM Product unit(s) is confirmed upon</w:t>
      </w:r>
    </w:p>
    <w:p>
      <w:pPr>
        <w:spacing w:after="0" w:line="5" w:lineRule="exact"/>
        <w:rPr>
          <w:sz w:val="20"/>
          <w:szCs w:val="20"/>
          <w:color w:val="auto"/>
        </w:rPr>
      </w:pPr>
    </w:p>
    <w:p>
      <w:pPr>
        <w:ind w:left="1447" w:right="3039" w:firstLine="7"/>
        <w:spacing w:after="0" w:line="247" w:lineRule="auto"/>
        <w:tabs>
          <w:tab w:leader="none" w:pos="181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 of [*] movement-type transaction indicating such unit [*].</w:t>
      </w:r>
    </w:p>
    <w:p>
      <w:pPr>
        <w:spacing w:after="0" w:line="175" w:lineRule="exact"/>
        <w:rPr>
          <w:sz w:val="20"/>
          <w:szCs w:val="20"/>
          <w:color w:val="auto"/>
        </w:rPr>
      </w:pPr>
    </w:p>
    <w:p>
      <w:pPr>
        <w:ind w:left="1447" w:right="359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"HP Products" means those products or systems that will incorporate or be distributed in conjunction with the OEM Products and that will be marketed and sold to end-user customers by HP and its distributors.</w:t>
      </w:r>
    </w:p>
    <w:p>
      <w:pPr>
        <w:spacing w:after="0" w:line="177"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"HP Property" means all property, including without limitation, models, tools, equipment, copies of designs and documentation and other materials that may be furnished to Supplier by HP or on HP's behalf or separately paid for by HP for use by Supplier in connection with this Agreement.</w:t>
      </w:r>
    </w:p>
    <w:p>
      <w:pPr>
        <w:spacing w:after="0" w:line="178" w:lineRule="exact"/>
        <w:rPr>
          <w:sz w:val="20"/>
          <w:szCs w:val="20"/>
          <w:color w:val="auto"/>
        </w:rPr>
      </w:pPr>
    </w:p>
    <w:p>
      <w:pPr>
        <w:ind w:left="1447" w:right="30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"Intellectual Property Rights" means all rights in patents, copyrights, moral rights, trade secrets, mask works, Marks, and other similar rights.</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"Lead Time" means the time between the date an Order is received by Supplier and the Delivery Date.</w:t>
      </w:r>
    </w:p>
    <w:p>
      <w:pPr>
        <w:spacing w:after="0" w:line="175"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"Marks" means the trademarks, service marks, trademark and service mark applications, trade dress, trade names, logos, insignia, symbols, designs, or other marks identifying a party or its products.</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"Noncomplying Product" means any OEM Product received by HP that does not comply with the [*] as set forth in Exhibit (A) or does not otherwise comply with the requirements of an accepted Order as set forth in Section 3.1 herein, and the provisions of this Agreement. Noncomplying Products include, without limitation, dead-on-arrival products.</w:t>
      </w:r>
    </w:p>
    <w:p>
      <w:pPr>
        <w:spacing w:after="0" w:line="353" w:lineRule="exact"/>
        <w:rPr>
          <w:sz w:val="20"/>
          <w:szCs w:val="20"/>
          <w:color w:val="auto"/>
        </w:rPr>
      </w:pPr>
    </w:p>
    <w:p>
      <w:pPr>
        <w:ind w:left="447" w:right="2959" w:hanging="447"/>
        <w:spacing w:after="0" w:line="247" w:lineRule="auto"/>
        <w:tabs>
          <w:tab w:leader="none" w:pos="447"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sectPr>
      </w:pPr>
    </w:p>
    <w:bookmarkStart w:id="154" w:name="page155"/>
    <w:bookmarkEnd w:id="154"/>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1447" w:right="31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5"/>
          <w:szCs w:val="15"/>
          <w:color w:val="auto"/>
        </w:rPr>
        <w:t>"OEM Products" means the products listed in Exhibit (A), all related Documentation, Software licenses and media, Parts, and other deliverables provided pursuant to this Agreement.</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5"/>
          <w:szCs w:val="15"/>
          <w:color w:val="auto"/>
        </w:rPr>
        <w:t>"Orders" means a written or electronic purchase order or release issued by HP to Supplier for purchase of the OEM Products.</w:t>
      </w:r>
    </w:p>
    <w:p>
      <w:pPr>
        <w:spacing w:after="0" w:line="175"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2.17</w:t>
      </w:r>
      <w:r>
        <w:rPr>
          <w:sz w:val="20"/>
          <w:szCs w:val="20"/>
          <w:color w:val="auto"/>
        </w:rPr>
        <w:tab/>
      </w:r>
      <w:r>
        <w:rPr>
          <w:rFonts w:ascii="Courier New" w:cs="Courier New" w:eastAsia="Courier New" w:hAnsi="Courier New"/>
          <w:sz w:val="15"/>
          <w:szCs w:val="15"/>
          <w:color w:val="auto"/>
        </w:rPr>
        <w:t>"Parts" means the replacement parts (FRUs), components, consumables, or other products that are to be supplied under this Agreement or that may be supplied in conjunction with or as additions to the OEM Products.</w:t>
      </w:r>
    </w:p>
    <w:p>
      <w:pPr>
        <w:spacing w:after="0" w:line="177"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5"/>
          <w:szCs w:val="15"/>
          <w:color w:val="auto"/>
        </w:rPr>
        <w:t>"Product Addendum" means an addendum to this Agreement entered</w:t>
      </w:r>
    </w:p>
    <w:p>
      <w:pPr>
        <w:spacing w:after="0" w:line="5" w:lineRule="exact"/>
        <w:rPr>
          <w:sz w:val="20"/>
          <w:szCs w:val="20"/>
          <w:color w:val="auto"/>
        </w:rPr>
      </w:pPr>
    </w:p>
    <w:p>
      <w:pPr>
        <w:ind w:left="1447" w:right="3319"/>
        <w:spacing w:after="0" w:line="247" w:lineRule="auto"/>
        <w:rPr>
          <w:sz w:val="20"/>
          <w:szCs w:val="20"/>
          <w:color w:val="auto"/>
        </w:rPr>
      </w:pPr>
      <w:r>
        <w:rPr>
          <w:rFonts w:ascii="Courier New" w:cs="Courier New" w:eastAsia="Courier New" w:hAnsi="Courier New"/>
          <w:sz w:val="15"/>
          <w:szCs w:val="15"/>
          <w:color w:val="auto"/>
        </w:rPr>
        <w:t>into between Supplier and an Eligible Purchaser naming additional OEM Products and product specific requirements in addition to those requirements specified in this Agreement.</w:t>
      </w:r>
    </w:p>
    <w:p>
      <w:pPr>
        <w:spacing w:after="0" w:line="174"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2.19</w:t>
      </w:r>
      <w:r>
        <w:rPr>
          <w:sz w:val="20"/>
          <w:szCs w:val="20"/>
          <w:color w:val="auto"/>
        </w:rPr>
        <w:tab/>
      </w:r>
      <w:r>
        <w:rPr>
          <w:rFonts w:ascii="Courier New" w:cs="Courier New" w:eastAsia="Courier New" w:hAnsi="Courier New"/>
          <w:sz w:val="15"/>
          <w:szCs w:val="15"/>
          <w:color w:val="auto"/>
        </w:rPr>
        <w:t>"Shipment Date" means the date confirmed to HP by Supplier regarding a particular Order for the shipment of OEM Products by Supplier to the destination required under the Order.</w:t>
      </w:r>
    </w:p>
    <w:p>
      <w:pPr>
        <w:spacing w:after="0" w:line="174" w:lineRule="exact"/>
        <w:rPr>
          <w:sz w:val="20"/>
          <w:szCs w:val="20"/>
          <w:color w:val="auto"/>
        </w:rPr>
      </w:pPr>
    </w:p>
    <w:p>
      <w:pPr>
        <w:ind w:left="1447" w:right="30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2.20</w:t>
      </w:r>
      <w:r>
        <w:rPr>
          <w:sz w:val="20"/>
          <w:szCs w:val="20"/>
          <w:color w:val="auto"/>
        </w:rPr>
        <w:tab/>
      </w:r>
      <w:r>
        <w:rPr>
          <w:rFonts w:ascii="Courier New" w:cs="Courier New" w:eastAsia="Courier New" w:hAnsi="Courier New"/>
          <w:sz w:val="15"/>
          <w:szCs w:val="15"/>
          <w:color w:val="auto"/>
        </w:rPr>
        <w:t>" [*] " means those [*] as listed in Exhibit (B) to which Supplier shall deliver OEM Products as ordered by HP under this Agreement and more particularly in Exhibit (J) attached hereto.</w:t>
      </w:r>
    </w:p>
    <w:p>
      <w:pPr>
        <w:spacing w:after="0" w:line="174"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5"/>
          <w:szCs w:val="15"/>
          <w:color w:val="auto"/>
        </w:rPr>
        <w:t>"Software" means any software or firmware included, bundled, or licensed in conjunction with the OEM Products, as listed in Exhibit A. The Software described herein is licensed and not sold.</w:t>
      </w:r>
    </w:p>
    <w:p>
      <w:pPr>
        <w:spacing w:after="0" w:line="177" w:lineRule="exact"/>
        <w:rPr>
          <w:sz w:val="20"/>
          <w:szCs w:val="20"/>
          <w:color w:val="auto"/>
        </w:rPr>
      </w:pPr>
    </w:p>
    <w:p>
      <w:pPr>
        <w:jc w:val="both"/>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5"/>
          <w:szCs w:val="15"/>
          <w:color w:val="auto"/>
        </w:rPr>
        <w:t>"Specifications" means the technical and functional requirements for the OEM Products as specified or referenced in Exhibit A or as agreed to in writing by the parties.</w:t>
      </w:r>
    </w:p>
    <w:p>
      <w:pPr>
        <w:spacing w:after="0" w:line="174"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2.23</w:t>
      </w:r>
      <w:r>
        <w:rPr>
          <w:sz w:val="20"/>
          <w:szCs w:val="20"/>
          <w:color w:val="auto"/>
        </w:rPr>
        <w:tab/>
      </w:r>
      <w:r>
        <w:rPr>
          <w:rFonts w:ascii="Courier New" w:cs="Courier New" w:eastAsia="Courier New" w:hAnsi="Courier New"/>
          <w:sz w:val="15"/>
          <w:szCs w:val="15"/>
          <w:color w:val="auto"/>
        </w:rPr>
        <w:t>"Stocking Level" means the actual [*] inventory stocking level to be [*] at each designated [*] by Supplier for a given planning period which shall be equal to the then-current Forecast volume [*], subject to the limitation in Section 3.5 below.</w:t>
      </w:r>
    </w:p>
    <w:p>
      <w:pPr>
        <w:spacing w:after="0" w:line="178"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2.24</w:t>
      </w:r>
      <w:r>
        <w:rPr>
          <w:sz w:val="20"/>
          <w:szCs w:val="20"/>
          <w:color w:val="auto"/>
        </w:rPr>
        <w:tab/>
      </w:r>
      <w:r>
        <w:rPr>
          <w:rFonts w:ascii="Courier New" w:cs="Courier New" w:eastAsia="Courier New" w:hAnsi="Courier New"/>
          <w:sz w:val="15"/>
          <w:szCs w:val="15"/>
          <w:color w:val="auto"/>
        </w:rPr>
        <w:t>"Subcontractor" means a third party listed in Exhibit B that may purchase OEM Products under the terms of this Agreement on behalf of HP.</w:t>
      </w:r>
    </w:p>
    <w:p>
      <w:pPr>
        <w:spacing w:after="0" w:line="174"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2.25</w:t>
      </w:r>
      <w:r>
        <w:rPr>
          <w:sz w:val="20"/>
          <w:szCs w:val="20"/>
          <w:color w:val="auto"/>
        </w:rPr>
        <w:tab/>
      </w:r>
      <w:r>
        <w:rPr>
          <w:rFonts w:ascii="Courier New" w:cs="Courier New" w:eastAsia="Courier New" w:hAnsi="Courier New"/>
          <w:sz w:val="15"/>
          <w:szCs w:val="15"/>
          <w:color w:val="auto"/>
        </w:rPr>
        <w:t>"Subsidiary" means an entity controlled by or under common control with a party to this Agreement, through ownership or control of more than 50% of the voting power of the shares or other means of ownership or control, provided that such control continues to exist.</w:t>
      </w:r>
    </w:p>
    <w:p>
      <w:pPr>
        <w:spacing w:after="0" w:line="178" w:lineRule="exact"/>
        <w:rPr>
          <w:sz w:val="20"/>
          <w:szCs w:val="20"/>
          <w:color w:val="auto"/>
        </w:rPr>
      </w:pPr>
    </w:p>
    <w:p>
      <w:pPr>
        <w:ind w:left="1447" w:right="321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2.26</w:t>
      </w:r>
      <w:r>
        <w:rPr>
          <w:sz w:val="20"/>
          <w:szCs w:val="20"/>
          <w:color w:val="auto"/>
        </w:rPr>
        <w:tab/>
      </w:r>
      <w:r>
        <w:rPr>
          <w:rFonts w:ascii="Courier New" w:cs="Courier New" w:eastAsia="Courier New" w:hAnsi="Courier New"/>
          <w:sz w:val="15"/>
          <w:szCs w:val="15"/>
          <w:color w:val="auto"/>
        </w:rPr>
        <w:t>"Support" means ongoing maintenance and technical support for the OEM Products provided by Supplier to HP as more fully described in Exhibit D.</w:t>
      </w:r>
    </w:p>
    <w:p>
      <w:pPr>
        <w:spacing w:after="0" w:line="349" w:lineRule="exact"/>
        <w:rPr>
          <w:sz w:val="20"/>
          <w:szCs w:val="20"/>
          <w:color w:val="auto"/>
        </w:rPr>
      </w:pPr>
    </w:p>
    <w:p>
      <w:pPr>
        <w:ind w:left="447" w:right="2959" w:hanging="447"/>
        <w:spacing w:after="0" w:line="247" w:lineRule="auto"/>
        <w:tabs>
          <w:tab w:leader="none" w:pos="447"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43" w:right="1440" w:bottom="1440" w:gutter="0" w:footer="0" w:header="0"/>
        </w:sectPr>
      </w:pPr>
    </w:p>
    <w:bookmarkStart w:id="155" w:name="page156"/>
    <w:bookmarkEnd w:id="155"/>
    <w:p>
      <w:pPr>
        <w:jc w:val="center"/>
        <w:ind w:right="2872"/>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1447" w:right="295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2.27</w:t>
      </w:r>
      <w:r>
        <w:rPr>
          <w:sz w:val="20"/>
          <w:szCs w:val="20"/>
          <w:color w:val="auto"/>
        </w:rPr>
        <w:tab/>
      </w:r>
      <w:r>
        <w:rPr>
          <w:rFonts w:ascii="Courier New" w:cs="Courier New" w:eastAsia="Courier New" w:hAnsi="Courier New"/>
          <w:sz w:val="15"/>
          <w:szCs w:val="15"/>
          <w:color w:val="auto"/>
        </w:rPr>
        <w:t>"Technical Information" means Supplier's information and technology necessary to support OEM Products and to exercise any other rights provided under this Agreement.</w:t>
      </w:r>
    </w:p>
    <w:p>
      <w:pPr>
        <w:spacing w:after="0" w:line="174" w:lineRule="exact"/>
        <w:rPr>
          <w:sz w:val="20"/>
          <w:szCs w:val="20"/>
          <w:color w:val="auto"/>
        </w:rPr>
      </w:pPr>
    </w:p>
    <w:p>
      <w:pPr>
        <w:ind w:left="727" w:hanging="727"/>
        <w:spacing w:after="0"/>
        <w:tabs>
          <w:tab w:leader="none" w:pos="72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SHIPMENT, AND INVENTORY OF OEM PRODUCTS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3.1Orders. Each delivery of OEM Products to [*] will be initiated by a non-binding blanket Order issued [*] to Supplier by HP. Each Order will include: (i) unit quantity; (ii) shipping destination; (iii) Delivery Date; and (iv) other instructions or requirements pertinent to the Order. HP may schedule regular intervals for deliveries by an appropriate Order setting forth the intervals. To the extent of any inconsistency between the terms of an Order and the terms of this Agreement, the terms specified in this Agreement will control and take precedence. Any additional terms contained in Orders or Supplier's Order acknowledgements shall not be binding unless accepted by the other party in writing. At the end of each month, Supplier will close each Order based on actual [*] of OEM Products from the [*]).</w:t>
      </w:r>
    </w:p>
    <w:p>
      <w:pPr>
        <w:spacing w:after="0" w:line="183"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3.2Order Acknowledgment. An Order will be deemed to have been placed as of the date of receipt of the Order by Supplier. Supplier will promptly confirm the receipt of an Order either electronically or by facsimile transmission within Forecasts and Lead Time requirements of this Agreement either electronically or by facsimile to HP within [*]. For Orders exceeding Forecast, Supplier will have [*] in which to reject the Order with respect to the excess. If an HP Order exceeds the Forecast or shortens the Lead Time, Supplier will use its reasonable efforts to fill such excess or accommodate such shorter Lead Time.</w:t>
      </w:r>
    </w:p>
    <w:p>
      <w:pPr>
        <w:spacing w:after="0" w:line="355"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3.3Emergency Orders. If HP deems it necessary, HP may order OEM Products by facsimile on an emergency basis ("Emergency Order") subject to the availability of such OEM Products in Supplier's inventory. Supplier will use its reasonable efforts to ship the Emergency Order to HP's designated Eligible Purchaser(s) immediately upon receipt of such Emergency Order by Supplier. Subject to HP's approval, HP will pay any additional expenses related to such Emergency Orders.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3.4Forecasts. HP will provide a [*] rolling Forecast [*] of its projected Orders per [*], to be provided to Supplier between the [*] of the [*] applicable to such Forecast. Any quantities listed in any Forecast or other correspondence between the parties are only estimates made as an accommodation for planning purposes and do not constitute a commitment on HP's part to purchase such quantity. HP may, at its sole discretion, revise any such Forecasts, provided that such revisions occur at least</w:t>
      </w:r>
    </w:p>
    <w:p>
      <w:pPr>
        <w:spacing w:after="0" w:line="4" w:lineRule="exact"/>
        <w:rPr>
          <w:rFonts w:ascii="Courier New" w:cs="Courier New" w:eastAsia="Courier New" w:hAnsi="Courier New"/>
          <w:sz w:val="15"/>
          <w:szCs w:val="15"/>
          <w:color w:val="auto"/>
        </w:rPr>
      </w:pPr>
    </w:p>
    <w:p>
      <w:pPr>
        <w:ind w:left="1827" w:hanging="373"/>
        <w:spacing w:after="0"/>
        <w:tabs>
          <w:tab w:leader="none" w:pos="1827"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projected Order Shipment Date.</w:t>
      </w:r>
    </w:p>
    <w:p>
      <w:pPr>
        <w:spacing w:after="0" w:line="180" w:lineRule="exact"/>
        <w:rPr>
          <w:sz w:val="20"/>
          <w:szCs w:val="20"/>
          <w:color w:val="auto"/>
        </w:rPr>
      </w:pPr>
    </w:p>
    <w:p>
      <w:pPr>
        <w:ind w:left="1447" w:right="349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Lead Time. Lead Time for each OEM Product within the then-current Forecast unit volume will be no more than [*] without prior written consent from HP. Lead Time for FRU products within the then-current Forecast unit volume from Supplier to the designated HP global service support organization will be no</w:t>
      </w:r>
    </w:p>
    <w:p>
      <w:pPr>
        <w:spacing w:after="0" w:line="353" w:lineRule="exact"/>
        <w:rPr>
          <w:sz w:val="20"/>
          <w:szCs w:val="20"/>
          <w:color w:val="auto"/>
        </w:rPr>
      </w:pPr>
    </w:p>
    <w:p>
      <w:pPr>
        <w:ind w:left="447" w:right="2959" w:hanging="447"/>
        <w:spacing w:after="0" w:line="247" w:lineRule="auto"/>
        <w:tabs>
          <w:tab w:leader="none" w:pos="44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3" w:right="1440" w:bottom="1440" w:gutter="0" w:footer="0" w:header="0"/>
        </w:sectPr>
      </w:pPr>
    </w:p>
    <w:bookmarkStart w:id="156" w:name="page157"/>
    <w:bookmarkEnd w:id="156"/>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more than [*].</w:t>
      </w:r>
    </w:p>
    <w:p>
      <w:pPr>
        <w:spacing w:after="0" w:line="180" w:lineRule="exact"/>
        <w:rPr>
          <w:sz w:val="20"/>
          <w:szCs w:val="20"/>
          <w:color w:val="auto"/>
        </w:rPr>
      </w:pPr>
    </w:p>
    <w:p>
      <w:pPr>
        <w:ind w:left="1440" w:right="303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Inventory Requirements. Subject to the terms and conditions of this Article (3), Supplier will carry an inventory of the OEM Products sufficient to accommodate HP's Order requirements as defined by the most current HP Forecast. Supplier will [*] inventory [*] to [*] the [*] outlined in Order changes. If this inventory is depleted, Supplier will replenish the inventory as soon as reasonable after depletion. Additionally, Supplier will</w:t>
      </w:r>
    </w:p>
    <w:p>
      <w:pPr>
        <w:spacing w:after="0" w:line="4" w:lineRule="exact"/>
        <w:rPr>
          <w:sz w:val="20"/>
          <w:szCs w:val="20"/>
          <w:color w:val="auto"/>
        </w:rPr>
      </w:pPr>
    </w:p>
    <w:p>
      <w:pPr>
        <w:ind w:left="1440" w:right="3039" w:firstLine="7"/>
        <w:spacing w:after="0" w:line="247" w:lineRule="auto"/>
        <w:tabs>
          <w:tab w:leader="none" w:pos="180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 of OEM Products in inventory to [*] the [*] of inventory for each [*]. Supplier will ship ordered OEM Products to HP-designated [*]. HP may request change drop locations.</w:t>
      </w:r>
    </w:p>
    <w:p>
      <w:pPr>
        <w:spacing w:after="0" w:line="174" w:lineRule="exact"/>
        <w:rPr>
          <w:sz w:val="20"/>
          <w:szCs w:val="20"/>
          <w:color w:val="auto"/>
        </w:rPr>
      </w:pPr>
    </w:p>
    <w:p>
      <w:pPr>
        <w:ind w:left="1440" w:right="295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Stocking Level Requirements. Supplier shall deliver the then-current Stocking Level volumes to the respective [*] locations as specified in the then-current Forecast by the [*] for which the current Forecast shall apply (or the [*] as specified in advance by HP). Supplier may make advance shipments of OEM Products or ship excess units to the [*].</w:t>
      </w:r>
    </w:p>
    <w:p>
      <w:pPr>
        <w:spacing w:after="0" w:line="178" w:lineRule="exact"/>
        <w:rPr>
          <w:sz w:val="20"/>
          <w:szCs w:val="20"/>
          <w:color w:val="auto"/>
        </w:rPr>
      </w:pPr>
    </w:p>
    <w:p>
      <w:pPr>
        <w:ind w:left="1440" w:right="303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5"/>
          <w:szCs w:val="15"/>
          <w:color w:val="auto"/>
        </w:rPr>
        <w:t>Product Supply Assurance. Supplier agrees that, during the Term of the Agreement and specifically in the event of any allocated OEM Product status initiated or experienced by Supplier, Supplier will [*] order fulfillment and shipping [*] that given to [*] OEM Products [*] basis between [*]</w:t>
      </w:r>
    </w:p>
    <w:p>
      <w:pPr>
        <w:spacing w:after="0" w:line="178" w:lineRule="exact"/>
        <w:rPr>
          <w:sz w:val="20"/>
          <w:szCs w:val="20"/>
          <w:color w:val="auto"/>
        </w:rPr>
      </w:pPr>
    </w:p>
    <w:p>
      <w:pPr>
        <w:ind w:left="1440" w:right="303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Inactive Inventory. (a) In the event any OEM Product unit(s) shall remain within an [*] for greater than [*], then, upon written notification from Supplier to HP of Supplier's request to release such inactive units from the [*] inventory, HP will, within [*] or receipt of Supplier's notice, elect to either purchase such inactive units through [*] of such units from the [*], or release the inactive units to Supplier for Supplier's recall of the units from the [*] inventory, at Supplier's option.</w:t>
      </w:r>
    </w:p>
    <w:p>
      <w:pPr>
        <w:spacing w:after="0" w:line="180" w:lineRule="exact"/>
        <w:rPr>
          <w:sz w:val="20"/>
          <w:szCs w:val="20"/>
          <w:color w:val="auto"/>
        </w:rPr>
      </w:pPr>
    </w:p>
    <w:p>
      <w:pPr>
        <w:ind w:left="1440" w:right="2959" w:firstLine="7"/>
        <w:spacing w:after="0" w:line="247" w:lineRule="auto"/>
        <w:tabs>
          <w:tab w:leader="none" w:pos="1804"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HP does not confirm its intent to purchase such units within [*] of receipt of Supplier's notice, such units shall be deemed released by HP for [*] by Supplier from the [*].</w:t>
      </w:r>
    </w:p>
    <w:p>
      <w:pPr>
        <w:spacing w:after="0" w:line="174" w:lineRule="exact"/>
        <w:rPr>
          <w:rFonts w:ascii="Courier New" w:cs="Courier New" w:eastAsia="Courier New" w:hAnsi="Courier New"/>
          <w:sz w:val="15"/>
          <w:szCs w:val="15"/>
          <w:color w:val="auto"/>
        </w:rPr>
      </w:pPr>
    </w:p>
    <w:p>
      <w:pPr>
        <w:ind w:left="1440" w:right="2959" w:firstLine="7"/>
        <w:spacing w:after="0" w:line="247" w:lineRule="auto"/>
        <w:tabs>
          <w:tab w:leader="none" w:pos="1804"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by Supplier of OEM Product units released by HP from the [*] under this Section shall be at [*]</w:t>
      </w:r>
    </w:p>
    <w:p>
      <w:pPr>
        <w:spacing w:after="0" w:line="174" w:lineRule="exact"/>
        <w:rPr>
          <w:rFonts w:ascii="Courier New" w:cs="Courier New" w:eastAsia="Courier New" w:hAnsi="Courier New"/>
          <w:sz w:val="15"/>
          <w:szCs w:val="15"/>
          <w:color w:val="auto"/>
        </w:rPr>
      </w:pPr>
    </w:p>
    <w:p>
      <w:pPr>
        <w:ind w:left="1440" w:right="2959" w:firstLine="7"/>
        <w:spacing w:after="0" w:line="246" w:lineRule="auto"/>
        <w:tabs>
          <w:tab w:leader="none" w:pos="1804"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OEM Product unit(s) remain within the respective [*] greater than [*] due to lack of [*] will bear [*] costs of upgrading such inventory units to any subsequent Software revisions or upgrades if, in [*] determination, such upgrade is required.</w:t>
      </w:r>
    </w:p>
    <w:p>
      <w:pPr>
        <w:spacing w:after="0" w:line="35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57" w:name="page158"/>
    <w:bookmarkEnd w:id="157"/>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1440" w:right="295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5"/>
          <w:szCs w:val="15"/>
          <w:color w:val="auto"/>
        </w:rPr>
        <w:t>Order Changes. HP may, [*], postpone, decrease, or increase any Order within Forecast, subject to the following Order increase limitations: [*] permissible [*] in Forecast [*] permissible [*] in Forecast [*] permissible [*] in Forecast. In the event HP increases any Order, Supplier will use reasonable efforts to fulfill such Order for the Delivery Date requested by HP.</w:t>
      </w:r>
    </w:p>
    <w:p>
      <w:pPr>
        <w:spacing w:after="0" w:line="178" w:lineRule="exact"/>
        <w:rPr>
          <w:sz w:val="20"/>
          <w:szCs w:val="20"/>
          <w:color w:val="auto"/>
        </w:rPr>
      </w:pPr>
    </w:p>
    <w:p>
      <w:pPr>
        <w:ind w:left="1440" w:right="295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Shipment Requirements. All Orders are required to be shipped complete. Supplier will give HP [*] notice if it knows or reasonably anticipates that it will not meet a Delivery Date or that only a portion of the OEM Products will be available for shipment to meet a Delivery Date. For partial shipments, Supplier will ship the available OEM Products unless directed by HP to reschedule shipment. If Supplier ships any OEM Product by a method other than as specified in the corresponding Order, [*] any [*] in the [*] of freight. Upon mutual agreement by the parties, HP may utilize drop shipment options to any HP-designated delivery destination in the same manner as delivered to an inventory location unless otherwise mutually agreed by the parties. If HP designates a drop shipment location outside the country in which the Order is placed, [*] associated with the shipment.</w:t>
      </w:r>
    </w:p>
    <w:p>
      <w:pPr>
        <w:spacing w:after="0" w:line="184" w:lineRule="exact"/>
        <w:rPr>
          <w:sz w:val="20"/>
          <w:szCs w:val="20"/>
          <w:color w:val="auto"/>
        </w:rPr>
      </w:pPr>
    </w:p>
    <w:p>
      <w:pPr>
        <w:ind w:left="1440" w:right="295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Meeting Delivery Dates. If due to Supplier's failure to make a timely shipment, the specified method of transportation would not permit Supplier to meet the Delivery Date, the OEM Products affected will be shipped by air transportation or other expedient means acceptable to HP. [*] for any [*] in the freight</w:t>
      </w:r>
    </w:p>
    <w:p>
      <w:pPr>
        <w:spacing w:after="0" w:line="3" w:lineRule="exact"/>
        <w:rPr>
          <w:sz w:val="20"/>
          <w:szCs w:val="20"/>
          <w:color w:val="auto"/>
        </w:rPr>
      </w:pPr>
    </w:p>
    <w:p>
      <w:pPr>
        <w:ind w:left="1440" w:right="4219" w:firstLine="7"/>
        <w:spacing w:after="0" w:line="247" w:lineRule="auto"/>
        <w:tabs>
          <w:tab w:leader="none" w:pos="1804"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that which [*] by the specified method of transportation.</w:t>
      </w:r>
    </w:p>
    <w:p>
      <w:pPr>
        <w:spacing w:after="0" w:line="175" w:lineRule="exact"/>
        <w:rPr>
          <w:sz w:val="20"/>
          <w:szCs w:val="20"/>
          <w:color w:val="auto"/>
        </w:rPr>
      </w:pPr>
    </w:p>
    <w:p>
      <w:pPr>
        <w:jc w:val="both"/>
        <w:ind w:left="1440" w:right="295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5"/>
          <w:szCs w:val="15"/>
          <w:color w:val="auto"/>
        </w:rPr>
        <w:t>Title And Risk Of Loss. Title to OEM Product hardware and media ordered under this Agreement and risk of loss or damage for each OEM Product unit will pass from Supplier to HP [*] as more fully described in Exhibit (J) attached hereto.</w:t>
      </w:r>
    </w:p>
    <w:p>
      <w:pPr>
        <w:spacing w:after="0" w:line="177" w:lineRule="exact"/>
        <w:rPr>
          <w:sz w:val="20"/>
          <w:szCs w:val="20"/>
          <w:color w:val="auto"/>
        </w:rPr>
      </w:pPr>
    </w:p>
    <w:p>
      <w:pPr>
        <w:jc w:val="both"/>
        <w:ind w:left="1440" w:right="295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5"/>
          <w:szCs w:val="15"/>
          <w:color w:val="auto"/>
        </w:rPr>
        <w:t>Packing List. Each delivery of OEM Products to HP must include a packing list that contains at least:</w:t>
      </w:r>
    </w:p>
    <w:p>
      <w:pPr>
        <w:spacing w:after="0" w:line="1" w:lineRule="exact"/>
        <w:rPr>
          <w:sz w:val="20"/>
          <w:szCs w:val="20"/>
          <w:color w:val="auto"/>
        </w:rPr>
      </w:pPr>
    </w:p>
    <w:p>
      <w:pPr>
        <w:ind w:left="2180" w:hanging="733"/>
        <w:spacing w:after="0"/>
        <w:tabs>
          <w:tab w:leader="none" w:pos="218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Order number and the HP part number;</w:t>
      </w:r>
    </w:p>
    <w:p>
      <w:pPr>
        <w:spacing w:after="0" w:line="4" w:lineRule="exact"/>
        <w:rPr>
          <w:rFonts w:ascii="Courier New" w:cs="Courier New" w:eastAsia="Courier New" w:hAnsi="Courier New"/>
          <w:sz w:val="15"/>
          <w:szCs w:val="15"/>
          <w:color w:val="auto"/>
        </w:rPr>
      </w:pPr>
    </w:p>
    <w:p>
      <w:pPr>
        <w:ind w:left="2180" w:hanging="733"/>
        <w:spacing w:after="0"/>
        <w:tabs>
          <w:tab w:leader="none" w:pos="218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quantity of OEM Products or Parts shipped; and,</w:t>
      </w:r>
    </w:p>
    <w:p>
      <w:pPr>
        <w:spacing w:after="0" w:line="4" w:lineRule="exact"/>
        <w:rPr>
          <w:rFonts w:ascii="Courier New" w:cs="Courier New" w:eastAsia="Courier New" w:hAnsi="Courier New"/>
          <w:sz w:val="15"/>
          <w:szCs w:val="15"/>
          <w:color w:val="auto"/>
        </w:rPr>
      </w:pPr>
    </w:p>
    <w:p>
      <w:pPr>
        <w:ind w:left="2180" w:hanging="733"/>
        <w:spacing w:after="0"/>
        <w:tabs>
          <w:tab w:leader="none" w:pos="218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shipment.</w:t>
      </w:r>
    </w:p>
    <w:p>
      <w:pPr>
        <w:spacing w:after="0" w:line="180" w:lineRule="exact"/>
        <w:rPr>
          <w:sz w:val="20"/>
          <w:szCs w:val="20"/>
          <w:color w:val="auto"/>
        </w:rPr>
      </w:pPr>
    </w:p>
    <w:p>
      <w:pPr>
        <w:ind w:left="1440" w:right="2959" w:hanging="726"/>
        <w:spacing w:after="0" w:line="247" w:lineRule="auto"/>
        <w:tabs>
          <w:tab w:leader="none" w:pos="1420"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5"/>
          <w:szCs w:val="15"/>
          <w:color w:val="auto"/>
        </w:rPr>
        <w:t>Packaging. Supplier must preserve, package, handle, and pack all OEM Products as specified in Exhibit A-3.</w:t>
      </w:r>
    </w:p>
    <w:p>
      <w:pPr>
        <w:spacing w:after="0" w:line="175" w:lineRule="exact"/>
        <w:rPr>
          <w:sz w:val="20"/>
          <w:szCs w:val="20"/>
          <w:color w:val="auto"/>
        </w:rPr>
      </w:pPr>
    </w:p>
    <w:p>
      <w:pPr>
        <w:ind w:left="1440" w:right="3139" w:hanging="726"/>
        <w:spacing w:after="0" w:line="246" w:lineRule="auto"/>
        <w:tabs>
          <w:tab w:leader="none" w:pos="1420" w:val="left"/>
        </w:tabs>
        <w:rPr>
          <w:sz w:val="20"/>
          <w:szCs w:val="20"/>
          <w:color w:val="auto"/>
        </w:rPr>
      </w:pPr>
      <w:r>
        <w:rPr>
          <w:rFonts w:ascii="Courier New" w:cs="Courier New" w:eastAsia="Courier New" w:hAnsi="Courier New"/>
          <w:sz w:val="15"/>
          <w:szCs w:val="15"/>
          <w:color w:val="auto"/>
        </w:rPr>
        <w:t>3.16</w:t>
      </w:r>
      <w:r>
        <w:rPr>
          <w:sz w:val="20"/>
          <w:szCs w:val="20"/>
          <w:color w:val="auto"/>
        </w:rPr>
        <w:tab/>
      </w:r>
      <w:r>
        <w:rPr>
          <w:rFonts w:ascii="Courier New" w:cs="Courier New" w:eastAsia="Courier New" w:hAnsi="Courier New"/>
          <w:sz w:val="15"/>
          <w:szCs w:val="15"/>
          <w:color w:val="auto"/>
        </w:rPr>
        <w:t>Responsibility For [*]. [*] will be [*] for [*] due to its [*] to [*] preserve, package, handle, or pack OEM Products in accordance with Exhibit A. In order to assert a claim against</w:t>
      </w:r>
    </w:p>
    <w:p>
      <w:pPr>
        <w:spacing w:after="0" w:line="2" w:lineRule="exact"/>
        <w:rPr>
          <w:sz w:val="20"/>
          <w:szCs w:val="20"/>
          <w:color w:val="auto"/>
        </w:rPr>
      </w:pPr>
    </w:p>
    <w:p>
      <w:pPr>
        <w:ind w:left="1440" w:right="3139" w:firstLine="7"/>
        <w:spacing w:after="0" w:line="246" w:lineRule="auto"/>
        <w:tabs>
          <w:tab w:leader="none" w:pos="1804"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provisions of this Section 3.16, [*] be required to first assert any claims for such loss or damage against the common carrier involved. Further, [*] be [*] for [*] due to a release of chemicals or other hazardous materials to the environment [*] release of the corresponding</w:t>
      </w:r>
    </w:p>
    <w:p>
      <w:pPr>
        <w:spacing w:after="0" w:line="35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58" w:name="page159"/>
    <w:bookmarkEnd w:id="158"/>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OEM Product to the designated carrier.</w:t>
      </w:r>
    </w:p>
    <w:p>
      <w:pPr>
        <w:spacing w:after="0" w:line="180" w:lineRule="exact"/>
        <w:rPr>
          <w:sz w:val="20"/>
          <w:szCs w:val="20"/>
          <w:color w:val="auto"/>
        </w:rPr>
      </w:pPr>
    </w:p>
    <w:p>
      <w:pPr>
        <w:ind w:left="727" w:hanging="727"/>
        <w:spacing w:after="0"/>
        <w:tabs>
          <w:tab w:leader="none" w:pos="72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AND PAYMENT TERMS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4.1OEM Product Prices. Supplier's prices for the OEM Products and Parts are listed in Exhibit C, payable in U.S. currency unless otherwise agreed, and may not be increased without HP's consent. Supplier and HP agree to review OEM Product prices [*].</w:t>
      </w:r>
    </w:p>
    <w:p>
      <w:pPr>
        <w:spacing w:after="0" w:line="177" w:lineRule="exact"/>
        <w:rPr>
          <w:rFonts w:ascii="Courier New" w:cs="Courier New" w:eastAsia="Courier New" w:hAnsi="Courier New"/>
          <w:sz w:val="15"/>
          <w:szCs w:val="15"/>
          <w:color w:val="auto"/>
        </w:rPr>
      </w:pPr>
    </w:p>
    <w:p>
      <w:pPr>
        <w:ind w:left="1447" w:right="31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4.2Changed Prices. Subject to the terms and conditions of Section 4.4 below, if during the Term and any extensions thereof, changed prices or price formulas are put in effect by mutual agreement of HP and Supplier, or reduced prices or price formulas are otherwise put in effect by Supplier, then such prices or price formulas (if resulting in [*] than the [*]) will apply to all Orders accepted by Supplier after the effective date of such prices or price formulas and to all unshipped Orders.</w:t>
      </w:r>
    </w:p>
    <w:p>
      <w:pPr>
        <w:spacing w:after="0" w:line="180"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4.3Payment Procedure. Payment for OEM Products will be [*] of each OEM Product unit(s) from an [*]. Except as otherwise provided in this Agreement, associated freight expenses and duties will be paid directly by [*] related to or payments for unordered or Noncomplying Products provided that HP does not retain such unordered or Noncomplying Product(s).</w:t>
      </w:r>
    </w:p>
    <w:p>
      <w:pPr>
        <w:spacing w:after="0" w:line="178"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4.4[*] Warranty. If during the Term or any extensions thereof, Supplier provides [*] of OEM Products or newer OEM Products as set forth in Section 10.3 herein [*] Supplier's most recent [*], then Supplier agrees to [*] to HP [*] provided to the [*] Supplier agrees to fulfill its obligations in this Section in good faith and further agrees that it will not create any OEM Product, purchasing programs, pricing formulas, or other conditions that serve to deny HP the [*] In addition, HP may credit any amounts due under this Agreement against future invoices.</w:t>
      </w:r>
    </w:p>
    <w:p>
      <w:pPr>
        <w:spacing w:after="0" w:line="180"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4.5Sales Taxes And Duties. Prices are exclusive of all taxes or duties imposed after [*] of the respective OEM Product units (other than taxes levied on Supplier's income) that Supplier may be required to collect or pay upon shipment of the OEM Products.</w:t>
      </w:r>
    </w:p>
    <w:p>
      <w:pPr>
        <w:spacing w:after="0" w:line="2" w:lineRule="exact"/>
        <w:rPr>
          <w:rFonts w:ascii="Courier New" w:cs="Courier New" w:eastAsia="Courier New" w:hAnsi="Courier New"/>
          <w:sz w:val="15"/>
          <w:szCs w:val="15"/>
          <w:color w:val="auto"/>
        </w:rPr>
      </w:pPr>
    </w:p>
    <w:p>
      <w:pPr>
        <w:ind w:left="1447" w:right="2959" w:firstLine="7"/>
        <w:spacing w:after="0" w:line="246" w:lineRule="auto"/>
        <w:tabs>
          <w:tab w:leader="none" w:pos="1810"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responsible for all such taxes or duties imposed on OEM Products before [*]. Any taxes or duties applicable to HP under this Section 4.5 must appear as a separate item on Supplier's invoice. [*] agrees to pay such taxes or duties unless [*] is exempt from such taxes or duties. Where applicable, [*] will provide [*] with an exemption resale certificate.</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NONCOMPLYING PRODUCTS</w:t>
      </w:r>
    </w:p>
    <w:p>
      <w:pPr>
        <w:spacing w:after="0" w:line="354" w:lineRule="exact"/>
        <w:rPr>
          <w:sz w:val="20"/>
          <w:szCs w:val="20"/>
          <w:color w:val="auto"/>
        </w:rPr>
      </w:pPr>
    </w:p>
    <w:p>
      <w:pPr>
        <w:ind w:left="447" w:right="2959" w:hanging="447"/>
        <w:spacing w:after="0" w:line="247" w:lineRule="auto"/>
        <w:tabs>
          <w:tab w:leader="none" w:pos="4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3" w:right="1440" w:bottom="1440" w:gutter="0" w:footer="0" w:header="0"/>
        </w:sectPr>
      </w:pPr>
    </w:p>
    <w:bookmarkStart w:id="159" w:name="page160"/>
    <w:bookmarkEnd w:id="159"/>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Repair Or Replacement. HP's acceptance of each OEM Product unit shall occur upon [*] of such unit(s) unless HP notifies Supplier in writing sent by mail, facsimile, or other electronic means within [*] after [*] that such OEM Product unit is a Noncomplying Product. Supplier shall repair or replace (at Supplier's sole expense) each such Noncomplying Product pursuant to the warranty provisions under Article (9) herein. HP may elect [*], subject to the provisions of Article 18 below, to return a Noncomplying Product for replacement or repair at [*]. Determination of whether to repair or replace such Noncomplying Products shall be at Supplier's sole option. Additionally, HP may return for repair or replacement an entire lot of OEM Products if a tested sample (consisting of not less than [*] of that lot contains greater than [*] Noncomplying Products. In the event of an overshipment, HP may elect to keep the additional units, subject to the payment procedures in Section 4.3.</w:t>
      </w:r>
    </w:p>
    <w:p>
      <w:pPr>
        <w:spacing w:after="0" w:line="184"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Replacement and Repair Period. Supplier will return the replacement or repaired OEM Products as soon as possible but in no event later than [*] after receipt of the Noncomplying Product from HP. Supplier's opportunity to cure any failure to meet such deadline, pursuant to Article 18 below, will apply to</w:t>
      </w:r>
    </w:p>
    <w:p>
      <w:pPr>
        <w:spacing w:after="0" w:line="3" w:lineRule="exact"/>
        <w:rPr>
          <w:sz w:val="20"/>
          <w:szCs w:val="20"/>
          <w:color w:val="auto"/>
        </w:rPr>
      </w:pPr>
    </w:p>
    <w:p>
      <w:pPr>
        <w:ind w:left="1827" w:hanging="373"/>
        <w:spacing w:after="0"/>
        <w:tabs>
          <w:tab w:leader="none" w:pos="1827"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PRODUCTS</w:t>
      </w:r>
    </w:p>
    <w:p>
      <w:pPr>
        <w:spacing w:after="0" w:line="179"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6.1Return Materials Authorization. All OEM Products returned by HP to Supplier must be accompanied by a Return Materials Authorization ("RMA"). Supplier will issue an RMA for OEM Products for which HP has verified Failure [*] of HP's request.</w:t>
      </w:r>
    </w:p>
    <w:p>
      <w:pPr>
        <w:spacing w:after="0" w:line="177"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6.2Return Charges. All Noncomplying Products returned by HP to Supplier within the respective warranty period for each OEM Product, and all replacement or repaired OEM Products shipped by Supplier to HP to replace Noncomplying Products will [*].</w:t>
      </w:r>
    </w:p>
    <w:p>
      <w:pPr>
        <w:spacing w:after="0" w:line="177"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6.3Duty To Remove Marks Or Destroy Noncomplying Products. Supplier agrees not to sell, transfer, distribute, or otherwise convey any part, component, product, or service bearing or incorporating HP Marks, part numbers, or other identifiers, including any HP packaging, copyrights, or code (that are human-readable and physically appear thereon) to any party other than to Eligible Purchasers. Supplier will remove from all rejected, returned, or unpurchased OEM Products any such HP Marks or identifiers, even if such removal would require destruction of the OEM Products. Supplier further agrees not to represent that such OEM Products that are Noncomplying Products are built for HP or to HP specifications. Supplier will defend and indemnify HP against any claims, losses, liabilities, costs, or expenses that HP may incur as a result of Supplier's breach of its obligations under this Section 6.3.</w:t>
      </w:r>
    </w:p>
    <w:p>
      <w:pPr>
        <w:spacing w:after="0" w:line="359" w:lineRule="exact"/>
        <w:rPr>
          <w:sz w:val="20"/>
          <w:szCs w:val="20"/>
          <w:color w:val="auto"/>
        </w:rPr>
      </w:pPr>
    </w:p>
    <w:p>
      <w:pPr>
        <w:ind w:left="447" w:right="2959" w:hanging="447"/>
        <w:spacing w:after="0" w:line="247" w:lineRule="auto"/>
        <w:tabs>
          <w:tab w:leader="none" w:pos="44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160" w:name="page161"/>
    <w:bookmarkEnd w:id="160"/>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727" w:hanging="727"/>
        <w:spacing w:after="0"/>
        <w:tabs>
          <w:tab w:leader="none" w:pos="72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ENGINEERING PROCESS OR DESIGN CHANGES</w:t>
      </w:r>
    </w:p>
    <w:p>
      <w:pPr>
        <w:spacing w:after="0" w:line="179"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7.1Supplier Proposed Changes. Supplier will not, without the prior written consent of HP (which such consent shall not be unreasonably withheld), make or incorporate in OEM Products any of the following changes (collectively, "Engineering Changes"):</w:t>
      </w:r>
    </w:p>
    <w:p>
      <w:pPr>
        <w:spacing w:after="0" w:line="177" w:lineRule="exact"/>
        <w:rPr>
          <w:rFonts w:ascii="Courier New" w:cs="Courier New" w:eastAsia="Courier New" w:hAnsi="Courier New"/>
          <w:sz w:val="15"/>
          <w:szCs w:val="15"/>
          <w:color w:val="auto"/>
        </w:rPr>
      </w:pPr>
    </w:p>
    <w:p>
      <w:pPr>
        <w:ind w:left="2187" w:hanging="733"/>
        <w:spacing w:after="0"/>
        <w:tabs>
          <w:tab w:leader="none" w:pos="2187"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w:t>
      </w:r>
    </w:p>
    <w:p>
      <w:pPr>
        <w:spacing w:after="0" w:line="179" w:lineRule="exact"/>
        <w:rPr>
          <w:rFonts w:ascii="Courier New" w:cs="Courier New" w:eastAsia="Courier New" w:hAnsi="Courier New"/>
          <w:sz w:val="15"/>
          <w:szCs w:val="15"/>
          <w:color w:val="auto"/>
        </w:rPr>
      </w:pPr>
    </w:p>
    <w:p>
      <w:pPr>
        <w:ind w:left="2187" w:right="3039" w:hanging="733"/>
        <w:spacing w:after="0" w:line="247" w:lineRule="auto"/>
        <w:tabs>
          <w:tab w:leader="none" w:pos="2187"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affecting: (a) the [*] form, fit, or function [*] that affects form, fit, or function; and (b) the [*] of OEM Products.</w:t>
      </w:r>
    </w:p>
    <w:p>
      <w:pPr>
        <w:spacing w:after="0" w:line="17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Notice Of Proposed Change. Supplier will give HP notice of any proposed Engineering Change, and will provide [*] and other appropriate information as specified by HP at least [*] prior to the first scheduled release of any OEM products involving a change to the respective firmware that would affect OEM Product form, fit, or function, and at least [*] prior to the first proposed shipment of any OEM Products involving any other Engineering Change. Regardless of whether HP approves a proposed Engineering Change, Lead Time will not be changed except as provided in Section 3.4 above.</w:t>
      </w:r>
    </w:p>
    <w:p>
      <w:pPr>
        <w:spacing w:after="0" w:line="181"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Request for Enhancement. HP proposed changes and enhancement requests will be reviewed, as appropriate, by the Software Steering Committee and/or the Hardware Engineering core teams of Supplier. Where feasible and mutually agreed by HP and Supplier, such changes will be implemented in the [*] or as otherwise specifically agreed.</w:t>
      </w:r>
    </w:p>
    <w:p>
      <w:pPr>
        <w:spacing w:after="0" w:line="178"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HP Proposed Changes. HP may change HP-supplied drawings, designs, or Specifications at any time prior to manufacture of corresponding released OEM Products. Any such change will be</w:t>
      </w:r>
    </w:p>
    <w:p>
      <w:pPr>
        <w:spacing w:after="0" w:line="2" w:lineRule="exact"/>
        <w:rPr>
          <w:sz w:val="20"/>
          <w:szCs w:val="20"/>
          <w:color w:val="auto"/>
        </w:rPr>
      </w:pPr>
    </w:p>
    <w:p>
      <w:pPr>
        <w:ind w:left="1447" w:right="3039" w:firstLine="7"/>
        <w:spacing w:after="0" w:line="246" w:lineRule="auto"/>
        <w:tabs>
          <w:tab w:leader="none" w:pos="1901"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 If any such change reasonably and directly [*] of OEM Products, an [*] will be made provided that Supplier makes a written claim for an [*] within [*] from the date HP gives notice to Supplier of the change and HP agrees in writing to the [*]</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Option To Terminate. If the parties are unable to agree, acting reasonably and in good faith, upon an adjustment pursuant to Section 7.3 above, HP may [*] terminate this Agreement as to any OEM Products affected, subject to the terms and conditions of Article (22) herein.</w:t>
      </w:r>
    </w:p>
    <w:p>
      <w:pPr>
        <w:spacing w:after="0" w:line="178"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Safety Standard Changes. Supplier will promptly give notice to HP if any upgrade, substitution, or other change to an OEM Product is required to make that product meet applicable safety standards or other governmental statutes, rules,</w:t>
      </w:r>
    </w:p>
    <w:p>
      <w:pPr>
        <w:spacing w:after="0" w:line="352" w:lineRule="exact"/>
        <w:rPr>
          <w:sz w:val="20"/>
          <w:szCs w:val="20"/>
          <w:color w:val="auto"/>
        </w:rPr>
      </w:pPr>
    </w:p>
    <w:p>
      <w:pPr>
        <w:ind w:left="447" w:right="2959" w:hanging="447"/>
        <w:spacing w:after="0" w:line="247" w:lineRule="auto"/>
        <w:tabs>
          <w:tab w:leader="none" w:pos="44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2" w:right="1440" w:bottom="1440" w:gutter="0" w:footer="0" w:header="0"/>
        </w:sectPr>
      </w:pPr>
    </w:p>
    <w:bookmarkStart w:id="161" w:name="page162"/>
    <w:bookmarkEnd w:id="161"/>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ind w:left="1447" w:right="3139"/>
        <w:spacing w:after="0" w:line="246" w:lineRule="auto"/>
        <w:rPr>
          <w:sz w:val="20"/>
          <w:szCs w:val="20"/>
          <w:color w:val="auto"/>
        </w:rPr>
      </w:pPr>
      <w:r>
        <w:rPr>
          <w:rFonts w:ascii="Courier New" w:cs="Courier New" w:eastAsia="Courier New" w:hAnsi="Courier New"/>
          <w:sz w:val="15"/>
          <w:szCs w:val="15"/>
          <w:color w:val="auto"/>
        </w:rPr>
        <w:t>orders, or regulations, even those that are not defined as Engineering Changes in Section 7.1 above. All affected OEM Products already purchased by HP may, at HP's election, either be returned to Supplier for upgrade to current revisions or upgraded by Supplier or HP in the field pursuant to the procedures outlined in Section 10.4 below. If an OEM Product meets applicable safety standards and other governmental requirements at the time of manufacture, HP and Supplier will</w:t>
      </w:r>
    </w:p>
    <w:p>
      <w:pPr>
        <w:spacing w:after="0" w:line="5" w:lineRule="exact"/>
        <w:rPr>
          <w:sz w:val="20"/>
          <w:szCs w:val="20"/>
          <w:color w:val="auto"/>
        </w:rPr>
      </w:pPr>
    </w:p>
    <w:p>
      <w:pPr>
        <w:ind w:left="1447" w:right="3039" w:firstLine="7"/>
        <w:spacing w:after="0" w:line="246" w:lineRule="auto"/>
        <w:tabs>
          <w:tab w:leader="none" w:pos="181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 of any subsequent upgrade, substitution, or other required change required in an [*] based on good faith discussions between the parties. If such discussions render no [*], the parties may either mutually agree to escalate the matter to their respective vice presidents or general managers, as applicable, or in the alternative, [*] the [*].</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Technical Cooperation. Subject to the confidentiality provisions in Article 19 below, during the term of the Agreement, the parties will discuss architecture and explore the possibilities for technically integrating Supplier and HP products. Each party will designate a technical representative to lead these discussions as well as to address other technical issues relating to the product enhancements and [*]. Supplier agrees to share and review with HP engineers the following for current and future products (which such information shall not be unreasonably withheld or delayed):</w:t>
      </w:r>
    </w:p>
    <w:p>
      <w:pPr>
        <w:spacing w:after="0" w:line="181" w:lineRule="exact"/>
        <w:rPr>
          <w:sz w:val="20"/>
          <w:szCs w:val="20"/>
          <w:color w:val="auto"/>
        </w:rPr>
      </w:pPr>
    </w:p>
    <w:p>
      <w:pPr>
        <w:ind w:left="1827" w:hanging="373"/>
        <w:spacing w:after="0"/>
        <w:tabs>
          <w:tab w:leader="none" w:pos="182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27" w:hanging="373"/>
        <w:spacing w:after="0"/>
        <w:tabs>
          <w:tab w:leader="none" w:pos="182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information necessary for HP to (i) understand the</w:t>
      </w:r>
    </w:p>
    <w:p>
      <w:pPr>
        <w:spacing w:after="0" w:line="4" w:lineRule="exact"/>
        <w:rPr>
          <w:rFonts w:ascii="Courier New" w:cs="Courier New" w:eastAsia="Courier New" w:hAnsi="Courier New"/>
          <w:sz w:val="15"/>
          <w:szCs w:val="15"/>
          <w:color w:val="auto"/>
        </w:rPr>
      </w:pPr>
    </w:p>
    <w:p>
      <w:pPr>
        <w:ind w:left="1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related architecture and to develop test suites for resolution of potential problems, and (ii) to understand the implications of such potential problems with the ability to implement meshed configurations efficiently;</w:t>
      </w:r>
    </w:p>
    <w:p>
      <w:pPr>
        <w:spacing w:after="0" w:line="177" w:lineRule="exact"/>
        <w:rPr>
          <w:rFonts w:ascii="Courier New" w:cs="Courier New" w:eastAsia="Courier New" w:hAnsi="Courier New"/>
          <w:sz w:val="15"/>
          <w:szCs w:val="15"/>
          <w:color w:val="auto"/>
        </w:rPr>
      </w:pPr>
    </w:p>
    <w:p>
      <w:pPr>
        <w:ind w:left="1447" w:right="3419" w:firstLine="7"/>
        <w:spacing w:after="0" w:line="247" w:lineRule="auto"/>
        <w:tabs>
          <w:tab w:leader="none" w:pos="181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information necessary for HP to implement efficient meshed configurations free of any significant performance problems;</w:t>
      </w:r>
    </w:p>
    <w:p>
      <w:pPr>
        <w:spacing w:after="0" w:line="174" w:lineRule="exact"/>
        <w:rPr>
          <w:rFonts w:ascii="Courier New" w:cs="Courier New" w:eastAsia="Courier New" w:hAnsi="Courier New"/>
          <w:sz w:val="15"/>
          <w:szCs w:val="15"/>
          <w:color w:val="auto"/>
        </w:rPr>
      </w:pPr>
    </w:p>
    <w:p>
      <w:pPr>
        <w:ind w:left="1827" w:hanging="373"/>
        <w:spacing w:after="0"/>
        <w:tabs>
          <w:tab w:leader="none" w:pos="182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 for such items, and;</w:t>
      </w:r>
    </w:p>
    <w:p>
      <w:pPr>
        <w:spacing w:after="0" w:line="179" w:lineRule="exact"/>
        <w:rPr>
          <w:rFonts w:ascii="Courier New" w:cs="Courier New" w:eastAsia="Courier New" w:hAnsi="Courier New"/>
          <w:sz w:val="15"/>
          <w:szCs w:val="15"/>
          <w:color w:val="auto"/>
        </w:rPr>
      </w:pPr>
    </w:p>
    <w:p>
      <w:pPr>
        <w:ind w:left="1827" w:hanging="373"/>
        <w:spacing w:after="0"/>
        <w:tabs>
          <w:tab w:leader="none" w:pos="1827"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27" w:hanging="727"/>
        <w:spacing w:after="0"/>
        <w:tabs>
          <w:tab w:leader="none" w:pos="727"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8.1Quality Programs. Supplier agrees to maintain an objective quality program for all OEM Products. Supplier's program will be in accordance with the current version of HP's Supplier Quality System as specified in Exhibit H and if applicable, any additional or substitute quality requirements agreed to by the parties in writing. Supplier will, upon HP's request, provide to HP copies of Supplier's program and supporting test documentation.</w:t>
      </w:r>
    </w:p>
    <w:p>
      <w:pPr>
        <w:spacing w:after="0" w:line="354" w:lineRule="exact"/>
        <w:rPr>
          <w:sz w:val="20"/>
          <w:szCs w:val="20"/>
          <w:color w:val="auto"/>
        </w:rPr>
      </w:pPr>
    </w:p>
    <w:p>
      <w:pPr>
        <w:ind w:left="447" w:right="2959" w:hanging="447"/>
        <w:spacing w:after="0" w:line="247" w:lineRule="auto"/>
        <w:tabs>
          <w:tab w:leader="none" w:pos="447"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642" w:right="1440" w:bottom="1440" w:gutter="0" w:footer="0" w:header="0"/>
        </w:sectPr>
      </w:pPr>
    </w:p>
    <w:bookmarkStart w:id="162" w:name="page163"/>
    <w:bookmarkEnd w:id="162"/>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HP's Right To [*]. Supplier grants HP the right to [*] hours) at Supplier's [*] and all associated [*] may be [*] any time during the Term or any extensions thereof. HP's [*] may be for any reason [*] related to this Agreement, [*]. HP's right of [*] will apply as well to [*] of Supplier. Supplier will inform [*] of HP's right to [*], and, if necessary, use all [*] such rights for HP.</w:t>
      </w:r>
    </w:p>
    <w:p>
      <w:pPr>
        <w:spacing w:after="0" w:line="179" w:lineRule="exact"/>
        <w:rPr>
          <w:sz w:val="20"/>
          <w:szCs w:val="20"/>
          <w:color w:val="auto"/>
        </w:rPr>
      </w:pPr>
    </w:p>
    <w:p>
      <w:pPr>
        <w:ind w:left="727" w:hanging="727"/>
        <w:spacing w:after="0"/>
        <w:tabs>
          <w:tab w:leader="none" w:pos="72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w:t>
      </w:r>
    </w:p>
    <w:p>
      <w:pPr>
        <w:spacing w:after="0" w:line="179" w:lineRule="exact"/>
        <w:rPr>
          <w:rFonts w:ascii="Courier New" w:cs="Courier New" w:eastAsia="Courier New" w:hAnsi="Courier New"/>
          <w:sz w:val="15"/>
          <w:szCs w:val="15"/>
          <w:color w:val="auto"/>
        </w:rPr>
      </w:pPr>
    </w:p>
    <w:p>
      <w:pPr>
        <w:ind w:left="1447" w:right="31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9.1Product Warranties. Supplier warrants to HP that, for a period of [*] from the date of [*] for each hardware OEM Product unit (excluding [*]) and [*] for each Software and [*] hardware OEM Product, that all OEM Products under this Agreement will:</w:t>
      </w:r>
    </w:p>
    <w:p>
      <w:pPr>
        <w:spacing w:after="0" w:line="177" w:lineRule="exact"/>
        <w:rPr>
          <w:rFonts w:ascii="Courier New" w:cs="Courier New" w:eastAsia="Courier New" w:hAnsi="Courier New"/>
          <w:sz w:val="15"/>
          <w:szCs w:val="15"/>
          <w:color w:val="auto"/>
        </w:rPr>
      </w:pPr>
    </w:p>
    <w:p>
      <w:pPr>
        <w:ind w:left="2187" w:right="2959" w:hanging="733"/>
        <w:spacing w:after="0" w:line="247" w:lineRule="auto"/>
        <w:tabs>
          <w:tab w:leader="none" w:pos="218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manufactured, processed, and assembled by Supplier or by companies under Supplier's direction;</w:t>
      </w:r>
    </w:p>
    <w:p>
      <w:pPr>
        <w:spacing w:after="0" w:line="174" w:lineRule="exact"/>
        <w:rPr>
          <w:rFonts w:ascii="Courier New" w:cs="Courier New" w:eastAsia="Courier New" w:hAnsi="Courier New"/>
          <w:sz w:val="15"/>
          <w:szCs w:val="15"/>
          <w:color w:val="auto"/>
        </w:rPr>
      </w:pPr>
    </w:p>
    <w:p>
      <w:pPr>
        <w:ind w:left="2187" w:right="3139" w:hanging="733"/>
        <w:spacing w:after="0" w:line="247" w:lineRule="auto"/>
        <w:tabs>
          <w:tab w:leader="none" w:pos="218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Conform to the then-current Specifications and other criteria referred to in this Agreement or agreed to by the parties in writing;</w:t>
      </w:r>
    </w:p>
    <w:p>
      <w:pPr>
        <w:spacing w:after="0" w:line="174" w:lineRule="exact"/>
        <w:rPr>
          <w:rFonts w:ascii="Courier New" w:cs="Courier New" w:eastAsia="Courier New" w:hAnsi="Courier New"/>
          <w:sz w:val="15"/>
          <w:szCs w:val="15"/>
          <w:color w:val="auto"/>
        </w:rPr>
      </w:pPr>
    </w:p>
    <w:p>
      <w:pPr>
        <w:ind w:left="2187" w:hanging="733"/>
        <w:spacing w:after="0"/>
        <w:tabs>
          <w:tab w:leader="none" w:pos="218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new, except as otherwise provided by the parties;</w:t>
      </w:r>
    </w:p>
    <w:p>
      <w:pPr>
        <w:spacing w:after="0" w:line="179" w:lineRule="exact"/>
        <w:rPr>
          <w:rFonts w:ascii="Courier New" w:cs="Courier New" w:eastAsia="Courier New" w:hAnsi="Courier New"/>
          <w:sz w:val="15"/>
          <w:szCs w:val="15"/>
          <w:color w:val="auto"/>
        </w:rPr>
      </w:pPr>
    </w:p>
    <w:p>
      <w:pPr>
        <w:ind w:left="2187" w:right="3219" w:hanging="733"/>
        <w:spacing w:after="0" w:line="247" w:lineRule="auto"/>
        <w:tabs>
          <w:tab w:leader="none" w:pos="218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Conform strictly to the requirements of all Orders as set forth under the terms and conditions of this Agreement;</w:t>
      </w:r>
    </w:p>
    <w:p>
      <w:pPr>
        <w:spacing w:after="0" w:line="174" w:lineRule="exact"/>
        <w:rPr>
          <w:rFonts w:ascii="Courier New" w:cs="Courier New" w:eastAsia="Courier New" w:hAnsi="Courier New"/>
          <w:sz w:val="15"/>
          <w:szCs w:val="15"/>
          <w:color w:val="auto"/>
        </w:rPr>
      </w:pPr>
    </w:p>
    <w:p>
      <w:pPr>
        <w:ind w:left="2187" w:right="3959" w:hanging="733"/>
        <w:spacing w:after="0" w:line="247" w:lineRule="auto"/>
        <w:tabs>
          <w:tab w:leader="none" w:pos="218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free from defects in design, material, and workmanship;</w:t>
      </w:r>
    </w:p>
    <w:p>
      <w:pPr>
        <w:spacing w:after="0" w:line="174" w:lineRule="exact"/>
        <w:rPr>
          <w:rFonts w:ascii="Courier New" w:cs="Courier New" w:eastAsia="Courier New" w:hAnsi="Courier New"/>
          <w:sz w:val="15"/>
          <w:szCs w:val="15"/>
          <w:color w:val="auto"/>
        </w:rPr>
      </w:pPr>
    </w:p>
    <w:p>
      <w:pPr>
        <w:ind w:left="2187" w:right="3779" w:hanging="733"/>
        <w:spacing w:after="0" w:line="247" w:lineRule="auto"/>
        <w:tabs>
          <w:tab w:leader="none" w:pos="218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free and clear of all liens, encumbrances, restrictions, and other claims against title or ownership;</w:t>
      </w:r>
    </w:p>
    <w:p>
      <w:pPr>
        <w:spacing w:after="0" w:line="174" w:lineRule="exact"/>
        <w:rPr>
          <w:rFonts w:ascii="Courier New" w:cs="Courier New" w:eastAsia="Courier New" w:hAnsi="Courier New"/>
          <w:sz w:val="15"/>
          <w:szCs w:val="15"/>
          <w:color w:val="auto"/>
        </w:rPr>
      </w:pPr>
    </w:p>
    <w:p>
      <w:pPr>
        <w:ind w:left="2187" w:right="3039" w:hanging="733"/>
        <w:spacing w:after="0" w:line="246" w:lineRule="auto"/>
        <w:tabs>
          <w:tab w:leader="none" w:pos="218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"Year 2000 Compliant." Year 2000 Compliant products will perform without error, loss of data or loss of functionality arising from any failure to process, calculate, compare or sequence date data accurately. In addition, Year 2000 Compliant products will not cause any associated products or systems in which they may be used to fail in any of the ways described above. This Year 2000 Compliance Warranty will remain in effect through December 31, 2000, notwithstanding any other warranty period specified in this Agreement;</w:t>
      </w:r>
    </w:p>
    <w:p>
      <w:pPr>
        <w:spacing w:after="0" w:line="180" w:lineRule="exact"/>
        <w:rPr>
          <w:rFonts w:ascii="Courier New" w:cs="Courier New" w:eastAsia="Courier New" w:hAnsi="Courier New"/>
          <w:sz w:val="15"/>
          <w:szCs w:val="15"/>
          <w:color w:val="auto"/>
        </w:rPr>
      </w:pPr>
    </w:p>
    <w:p>
      <w:pPr>
        <w:ind w:left="2187" w:right="2959" w:hanging="733"/>
        <w:spacing w:after="0" w:line="246" w:lineRule="auto"/>
        <w:tabs>
          <w:tab w:leader="none" w:pos="2187"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Article (14) herein, not to Supplier's reasonable knowledge, violate or infringe any third party Intellectual Property Rights and Supplier warrants that it is not aware of any facts upon which such claim could be made. If Supplier learns of any claim or any facts upon which claim could be made, it will [*] notify HP of such information.</w:t>
      </w:r>
    </w:p>
    <w:p>
      <w:pPr>
        <w:spacing w:after="0" w:line="354" w:lineRule="exact"/>
        <w:rPr>
          <w:sz w:val="20"/>
          <w:szCs w:val="20"/>
          <w:color w:val="auto"/>
        </w:rPr>
      </w:pPr>
    </w:p>
    <w:p>
      <w:pPr>
        <w:ind w:left="447" w:right="2959" w:hanging="447"/>
        <w:spacing w:after="0" w:line="247" w:lineRule="auto"/>
        <w:tabs>
          <w:tab w:leader="none" w:pos="447"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3" w:right="1440" w:bottom="1440" w:gutter="0" w:footer="0" w:header="0"/>
        </w:sectPr>
      </w:pPr>
    </w:p>
    <w:bookmarkStart w:id="163" w:name="page164"/>
    <w:bookmarkEnd w:id="163"/>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Survival Of Warranties. All warranties specified above will survive any inspection, delivery, acceptance, or payment by HP and be in effect for the applicable warranty period for each OEM Product.</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Epidemic Failure Warranty. In addition to the warranties specified above, Supplier warrants to HP all OEM Products at the FRU level and system (unit) level against epidemic failure for a period of [*] after [*] of such OEM Product unit. An epidemic failure means:</w:t>
      </w:r>
    </w:p>
    <w:p>
      <w:pPr>
        <w:spacing w:after="0" w:line="178" w:lineRule="exact"/>
        <w:rPr>
          <w:sz w:val="20"/>
          <w:szCs w:val="20"/>
          <w:color w:val="auto"/>
        </w:rPr>
      </w:pPr>
    </w:p>
    <w:p>
      <w:pPr>
        <w:ind w:left="1447" w:right="3139" w:firstLine="7"/>
        <w:spacing w:after="0" w:line="246" w:lineRule="auto"/>
        <w:tabs>
          <w:tab w:leader="none" w:pos="181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 failures that (i) are caused by the same component failure or defect, provided that such failure or defect is attributable to Supplier, and (ii) occur at a rate equal to or less than [*] (as listed in Exhibit (H), Section 4.1), over a [*], or;</w:t>
      </w:r>
    </w:p>
    <w:p>
      <w:pPr>
        <w:spacing w:after="0" w:line="177" w:lineRule="exact"/>
        <w:rPr>
          <w:rFonts w:ascii="Courier New" w:cs="Courier New" w:eastAsia="Courier New" w:hAnsi="Courier New"/>
          <w:sz w:val="15"/>
          <w:szCs w:val="15"/>
          <w:color w:val="auto"/>
        </w:rPr>
      </w:pPr>
    </w:p>
    <w:p>
      <w:pPr>
        <w:ind w:left="1447" w:right="2959" w:firstLine="7"/>
        <w:spacing w:after="0" w:line="246" w:lineRule="auto"/>
        <w:tabs>
          <w:tab w:leader="none" w:pos="181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more than [*] classified as a [*] or higher safety incident defined as (i) a marginal condition that is likely to produce only minor bodily injury or property damage and is likely to occur after a [*] event, or (ii) a noncompliance event involving a safety-related standard, license, or testing agency evaluation, or;</w:t>
      </w:r>
    </w:p>
    <w:p>
      <w:pPr>
        <w:spacing w:after="0" w:line="178" w:lineRule="exact"/>
        <w:rPr>
          <w:rFonts w:ascii="Courier New" w:cs="Courier New" w:eastAsia="Courier New" w:hAnsi="Courier New"/>
          <w:sz w:val="15"/>
          <w:szCs w:val="15"/>
          <w:color w:val="auto"/>
        </w:rPr>
      </w:pPr>
    </w:p>
    <w:p>
      <w:pPr>
        <w:ind w:left="1447" w:right="3039" w:firstLine="7"/>
        <w:spacing w:after="0" w:line="246" w:lineRule="auto"/>
        <w:tabs>
          <w:tab w:leader="none" w:pos="181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known problem which, in HP's reasonable opinion subject to Supplier's concurrence (which such concurrence shall not be unreasonably withheld or delayed) creates a significant risk to the health or safety of individuals who operate the OEM Product or to the continuous business operations of companies or organizations that employ the OEM Product for an intended or reasonably foreseeable use.</w:t>
      </w:r>
    </w:p>
    <w:p>
      <w:pPr>
        <w:spacing w:after="0" w:line="179"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DISCLAIMER. EXCEPT AS EXPRESSLY PROVIDED IN THIS AGREEMENT, SUPPLIER EXPRESSLY DISCLAIMS ALL OTHER REPRESENTATIONS, WARRANTIES, OR CONDITIONS, EITHER EXPRESS OR IMPLIED, REGARDING ANY OEM PRODUCTS OR REGARDING THEIR MERCHANTABILITY, FITNESS FOR A PARTICULAR PURPOSE, AND NONINFRINGEMENT OF THIRD PARTY INTELLECTUAL PROPERTY RIGHTS.</w:t>
      </w:r>
    </w:p>
    <w:p>
      <w:pPr>
        <w:spacing w:after="0" w:line="178" w:lineRule="exact"/>
        <w:rPr>
          <w:sz w:val="20"/>
          <w:szCs w:val="20"/>
          <w:color w:val="auto"/>
        </w:rPr>
      </w:pPr>
    </w:p>
    <w:p>
      <w:pPr>
        <w:ind w:left="727" w:hanging="727"/>
        <w:spacing w:after="0"/>
        <w:tabs>
          <w:tab w:leader="none" w:pos="72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SERVICES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10.1General. Supplier will provide trained HP support personnel with Support for the OEM Products as specified in Exhibit D. Supplier will maintain such number of qualified personnel as is necessary to provide timely and knowledgeable maintenance and support service in accordance with the terms and conditions of Exhibit D. Supplier warrants that all Support will be provided in a professional and workmanlike manner. HP will provide direct maintenance and support to HP's customers with respect to the use of the OEM Product as distributed with HP Products. Supplier and HP will maintain and support each OEM Product distributed by HP for [*] after the date of last Shipment</w:t>
      </w:r>
    </w:p>
    <w:p>
      <w:pPr>
        <w:spacing w:after="0" w:line="356" w:lineRule="exact"/>
        <w:rPr>
          <w:sz w:val="20"/>
          <w:szCs w:val="20"/>
          <w:color w:val="auto"/>
        </w:rPr>
      </w:pPr>
    </w:p>
    <w:p>
      <w:pPr>
        <w:ind w:left="447" w:right="2959" w:hanging="447"/>
        <w:spacing w:after="0" w:line="247" w:lineRule="auto"/>
        <w:tabs>
          <w:tab w:leader="none" w:pos="44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643" w:right="1440" w:bottom="1440" w:gutter="0" w:footer="0" w:header="0"/>
        </w:sectPr>
      </w:pPr>
    </w:p>
    <w:bookmarkStart w:id="164" w:name="page165"/>
    <w:bookmarkEnd w:id="164"/>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3039"/>
        <w:spacing w:after="0" w:line="246" w:lineRule="auto"/>
        <w:rPr>
          <w:sz w:val="20"/>
          <w:szCs w:val="20"/>
          <w:color w:val="auto"/>
        </w:rPr>
      </w:pPr>
      <w:r>
        <w:rPr>
          <w:rFonts w:ascii="Courier New" w:cs="Courier New" w:eastAsia="Courier New" w:hAnsi="Courier New"/>
          <w:sz w:val="15"/>
          <w:szCs w:val="15"/>
          <w:color w:val="auto"/>
        </w:rPr>
        <w:t>Date by Supplier to an [*] of each OEM Product unit. HP acknowledges that Supplier may independently offer and provide support services to OEM Product customers; however, in no event may Supplier use HP Confidential Information or HP Property to direct or provide such support without HP's prior consent. Response times and problem classification for the OEM Products are as set forth in Exhibit D.</w:t>
      </w:r>
    </w:p>
    <w:p>
      <w:pPr>
        <w:spacing w:after="0" w:line="179"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New HP Products. Upon request by HP, Supplier will use reasonable efforts to provide HP with the OEM Products adapted for use with new releases of HP Products [*] and [*], if any, to be negotiated by the parties, provided that HP makes available to Supplier such HP Property as may be reasonably necessary for Supplier to develop any adaptation.</w:t>
      </w:r>
    </w:p>
    <w:p>
      <w:pPr>
        <w:spacing w:after="0" w:line="178"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New Product Supply [*]. Supplier agrees that, during the term of</w:t>
      </w:r>
    </w:p>
    <w:p>
      <w:pPr>
        <w:spacing w:after="0" w:line="5" w:lineRule="exact"/>
        <w:rPr>
          <w:sz w:val="20"/>
          <w:szCs w:val="20"/>
          <w:color w:val="auto"/>
        </w:rPr>
      </w:pPr>
    </w:p>
    <w:p>
      <w:pPr>
        <w:ind w:left="1447" w:right="2959"/>
        <w:spacing w:after="0" w:line="246" w:lineRule="auto"/>
        <w:rPr>
          <w:sz w:val="20"/>
          <w:szCs w:val="20"/>
          <w:color w:val="auto"/>
        </w:rPr>
      </w:pPr>
      <w:r>
        <w:rPr>
          <w:rFonts w:ascii="Courier New" w:cs="Courier New" w:eastAsia="Courier New" w:hAnsi="Courier New"/>
          <w:sz w:val="15"/>
          <w:szCs w:val="15"/>
          <w:color w:val="auto"/>
        </w:rPr>
        <w:t>the Agreement and any extensions thereof, any such newer products will be made available to HP for shipment [*] shipment date made [*] by Supplier [*] with [*] OEM Products [*] most recent [*], and shall be made available [*] in [*] to [*] all HP Orders within Forecast designating such newer products. In the event of any allocated OEM product status initiated by Supplier, Supplier will promptly give all HP Orders [*] that given [*] OEM Products [*] Supplier's most recent [*], with such [*] to be made on a [*] basis [*] HP and [*].</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HP Property. HP may, at HP's sole election, provide to Supplier HP Property under the terms of an HP Equipment Loan Agreement attached as Exhibit E to this Agreement, solely for use in Supplier's manufacturing, testing, adapting and supporting the OEM Products. All HP Property will be clearly segregated from Supplier's property and identified as the sole property of HP. HP Property may not be transferred, assigned, loaned or otherwise encumbered in any way. HP Property may be provided to third parties for fulfillment of Supplier's obligations hereunder only upon HP's prior written consent. HP property will be returned to HP, at [*], upon termination of this Agreement.</w:t>
      </w:r>
    </w:p>
    <w:p>
      <w:pPr>
        <w:spacing w:after="0" w:line="181"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Substitute Products. If Supplier develops any generally available products that are to replace the OEM Product(s) or that are the same or substantially similar to the OEM Products available under this Agreement, HP will have the right to substitute the newer products at [*] as the substantially similar OEM Products for all subsequent purchases under this Agreement. Such substitute products must be compatible with the current version of the OEM Products.</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Failure Rate. Notwithstanding that the warranties given in Section 9.1 above apply to 100% of the hardware components of OEM Products, Supplier and HP acknowledge that a failure rate equivalent to the rates as measured [*] set forth in Section 4.1 of Exhibit (H) is expected. If the actual failure rate for OEM Products exceeds this expected rate, Supplier will provide</w:t>
      </w:r>
    </w:p>
    <w:p>
      <w:pPr>
        <w:spacing w:after="0" w:line="353" w:lineRule="exact"/>
        <w:rPr>
          <w:sz w:val="20"/>
          <w:szCs w:val="20"/>
          <w:color w:val="auto"/>
        </w:rPr>
      </w:pPr>
    </w:p>
    <w:p>
      <w:pPr>
        <w:ind w:left="447" w:right="2959" w:hanging="447"/>
        <w:spacing w:after="0" w:line="247" w:lineRule="auto"/>
        <w:tabs>
          <w:tab w:leader="none" w:pos="447"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3" w:right="1440" w:bottom="1440" w:gutter="0" w:footer="0" w:header="0"/>
        </w:sectPr>
      </w:pPr>
    </w:p>
    <w:bookmarkStart w:id="165" w:name="page166"/>
    <w:bookmarkEnd w:id="165"/>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2959"/>
        <w:spacing w:after="0" w:line="247" w:lineRule="auto"/>
        <w:rPr>
          <w:sz w:val="20"/>
          <w:szCs w:val="20"/>
          <w:color w:val="auto"/>
        </w:rPr>
      </w:pPr>
      <w:r>
        <w:rPr>
          <w:rFonts w:ascii="Courier New" w:cs="Courier New" w:eastAsia="Courier New" w:hAnsi="Courier New"/>
          <w:sz w:val="15"/>
          <w:szCs w:val="15"/>
          <w:color w:val="auto"/>
        </w:rPr>
        <w:t>additional engineering and technical support needed to bring the actual failure rate within the specified failure rate.</w:t>
      </w:r>
    </w:p>
    <w:p>
      <w:pPr>
        <w:spacing w:after="0" w:line="175"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Class Failure Remedies. Upon the occurrence of any of the following events: (i) a failure rate exceeding the rate specified in Section 10.6 above; (ii) an epidemic failure as described in Section 9.3 above; or (iii) a safety standard change under Section 7.5 above (each referred to as a "Class Failure"), HP will have the following additional remedies for a [*] after [*] of such OEM Product unit:</w:t>
      </w:r>
    </w:p>
    <w:p>
      <w:pPr>
        <w:spacing w:after="0" w:line="179" w:lineRule="exact"/>
        <w:rPr>
          <w:sz w:val="20"/>
          <w:szCs w:val="20"/>
          <w:color w:val="auto"/>
        </w:rPr>
      </w:pPr>
    </w:p>
    <w:p>
      <w:pPr>
        <w:ind w:left="2187" w:right="3139" w:hanging="733"/>
        <w:spacing w:after="0" w:line="246" w:lineRule="auto"/>
        <w:tabs>
          <w:tab w:leader="none" w:pos="218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Class Failure, Supplier will use its reasonable efforts to provide an initial root cause analysis, failure analysis, and corrective action plan to HP no later than [*] following the receipt of the Class Failure part. HP will make available such information and assistance as reasonably required to allow Supplier to conduct its root cause analysis and provide its corrective action plan.</w:t>
      </w:r>
    </w:p>
    <w:p>
      <w:pPr>
        <w:spacing w:after="0" w:line="179" w:lineRule="exact"/>
        <w:rPr>
          <w:rFonts w:ascii="Courier New" w:cs="Courier New" w:eastAsia="Courier New" w:hAnsi="Courier New"/>
          <w:sz w:val="15"/>
          <w:szCs w:val="15"/>
          <w:color w:val="auto"/>
        </w:rPr>
      </w:pPr>
    </w:p>
    <w:p>
      <w:pPr>
        <w:ind w:left="2187" w:right="2959" w:hanging="733"/>
        <w:spacing w:after="0" w:line="246" w:lineRule="auto"/>
        <w:tabs>
          <w:tab w:leader="none" w:pos="218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review of the root cause analysis and corrective action plan, HP determines in its reasonable opinion that the Class Failure necessitates a field stocking recall or customer based recall or retrofit, HP may then elect to have the OEM Products: (i) returned to Supplier for repair or replacement; (ii) repaired or replaced by Supplier in the field; or (iii) repaired or replaced by HP in the field, including products in distributor inventory and HP's installed base. If HP chooses to perform a field repair, Supplier will provide the appropriate replacement OEM Products, spares, or upgrades [*] to HP and will, within [*] after completion of the recalls or retrofits, reimburse HP for [*] in performing such field repair. Supplier will give such OEM products, spares, or upgrades the [*].</w:t>
      </w:r>
    </w:p>
    <w:p>
      <w:pPr>
        <w:spacing w:after="0" w:line="183" w:lineRule="exact"/>
        <w:rPr>
          <w:rFonts w:ascii="Courier New" w:cs="Courier New" w:eastAsia="Courier New" w:hAnsi="Courier New"/>
          <w:sz w:val="15"/>
          <w:szCs w:val="15"/>
          <w:color w:val="auto"/>
        </w:rPr>
      </w:pPr>
    </w:p>
    <w:p>
      <w:pPr>
        <w:ind w:left="2187" w:right="2959" w:hanging="733"/>
        <w:spacing w:after="0" w:line="246" w:lineRule="auto"/>
        <w:tabs>
          <w:tab w:leader="none" w:pos="218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7.6 above regarding safety standard changes, Supplier will, [*] after completion of the recalls or retrofits, reimburse HP for [*] in performing such services.</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Survival Of Support Obligations. Supplier's maintenance and support obligations specified in this Article 10, and in the Support Terms in Exhibit D will run for the Term and any additional periods under Section 1.3 above and will continue for a period of [*] after the date of last Shipment Date by Supplier to an [*] of each OEM Product unit. This obligation includes, without limitation, making necessary Parts available to HP as further provided in the Support Terms.</w:t>
      </w:r>
    </w:p>
    <w:p>
      <w:pPr>
        <w:spacing w:after="0" w:line="180" w:lineRule="exact"/>
        <w:rPr>
          <w:sz w:val="20"/>
          <w:szCs w:val="20"/>
          <w:color w:val="auto"/>
        </w:rPr>
      </w:pPr>
    </w:p>
    <w:p>
      <w:pPr>
        <w:ind w:left="727" w:hanging="727"/>
        <w:spacing w:after="0"/>
        <w:tabs>
          <w:tab w:leader="none" w:pos="727"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OBSOLESCENCE AND MANUFACTURING RIGHTS</w:t>
      </w:r>
    </w:p>
    <w:p>
      <w:pPr>
        <w:spacing w:after="0" w:line="179" w:lineRule="exact"/>
        <w:rPr>
          <w:rFonts w:ascii="Courier New" w:cs="Courier New" w:eastAsia="Courier New" w:hAnsi="Courier New"/>
          <w:sz w:val="15"/>
          <w:szCs w:val="15"/>
          <w:color w:val="auto"/>
        </w:rPr>
      </w:pPr>
    </w:p>
    <w:p>
      <w:pPr>
        <w:ind w:left="1447" w:right="331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11.1Lifetime Buy Rights. Supplier acknowledges its obligation to manufacture, supply and support the OEM Products without interruption for the Term. If, however,</w:t>
      </w:r>
    </w:p>
    <w:p>
      <w:pPr>
        <w:spacing w:after="0" w:line="349" w:lineRule="exact"/>
        <w:rPr>
          <w:sz w:val="20"/>
          <w:szCs w:val="20"/>
          <w:color w:val="auto"/>
        </w:rPr>
      </w:pPr>
    </w:p>
    <w:p>
      <w:pPr>
        <w:ind w:left="447" w:right="2959" w:hanging="447"/>
        <w:spacing w:after="0" w:line="247" w:lineRule="auto"/>
        <w:tabs>
          <w:tab w:leader="none" w:pos="447"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643" w:right="1440" w:bottom="1440" w:gutter="0" w:footer="0" w:header="0"/>
        </w:sectPr>
      </w:pPr>
    </w:p>
    <w:bookmarkStart w:id="166" w:name="page167"/>
    <w:bookmarkEnd w:id="166"/>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2959"/>
        <w:spacing w:after="0" w:line="246" w:lineRule="auto"/>
        <w:rPr>
          <w:sz w:val="20"/>
          <w:szCs w:val="20"/>
          <w:color w:val="auto"/>
        </w:rPr>
      </w:pPr>
      <w:r>
        <w:rPr>
          <w:rFonts w:ascii="Courier New" w:cs="Courier New" w:eastAsia="Courier New" w:hAnsi="Courier New"/>
          <w:sz w:val="15"/>
          <w:szCs w:val="15"/>
          <w:color w:val="auto"/>
        </w:rPr>
        <w:t>after the [*] of shipment of such products, Supplier seeks to discontinue the supply or support of any OEM Product (a "Discontinued Product"), Supplier will give notice to HP no less than [*] in advance of the last date the Discontinued Product can be ordered. After receipt of notice of discontinuance, HP may place orders for any demand during the [*] of such notice for delivery of Discontinued Products prior to the end of the notice period. To the extent that such orders exceed HP's previous Forecast for such Discontinued Products, the orders shall be [*]. Supplier shall accept only forecasted orders in the [*] of the stated notice period, and such orders shall be non-cancelable. All shipments must be completed prior to the end-of-life date stated in such notice by Supplier to HP above. In addition, during such notice period, Supplier shall have the right, in its sole discretion, to [*] for OEM Products from HP at the time such Orders are submitted.</w:t>
      </w:r>
    </w:p>
    <w:p>
      <w:pPr>
        <w:spacing w:after="0" w:line="18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Alternative Supply Rights. In the event HP becomes entitled to terminate this Agreement or any portion thereof in accordance with Article (18) hereunder, then Supplier shall [*] purchase orders from HP for such OEM Products at [*] and [*] until Supplier can demonstrate to [*] that its performance is no longer impaired. This Section is not intended to grant HP [*] a royalty-free license to use, manufacture, sell or import the Products. Instead, it is intended to permit HP to directly order Products [*] in limited circumstances; under such circumstances, HP will directly [*] the [*] set forth hereunder for the OEM Products ordered pursuant to this Section.</w:t>
      </w:r>
    </w:p>
    <w:p>
      <w:pPr>
        <w:spacing w:after="0" w:line="181"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Consulting Services. In support of Technical Information or other services provided to HP herein, Supplier will, upon HP's request, provide additional consulting services at the rate of the lesser of either [*], or that rate [*] as mutually agreed.</w:t>
      </w:r>
    </w:p>
    <w:p>
      <w:pPr>
        <w:spacing w:after="0" w:line="177" w:lineRule="exact"/>
        <w:rPr>
          <w:sz w:val="20"/>
          <w:szCs w:val="20"/>
          <w:color w:val="auto"/>
        </w:rPr>
      </w:pPr>
    </w:p>
    <w:p>
      <w:pPr>
        <w:ind w:left="727" w:hanging="727"/>
        <w:spacing w:after="0"/>
        <w:tabs>
          <w:tab w:leader="none" w:pos="727"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TRAINING</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12.1Technical Training. Supplier will provide to HP [*] technical training classes for HP technical personnel. The schedule for such classes will be as mutually agreed in writing by the parties, with the first of such training provided by Supplier no later than May 15, 2001. Each class provided by Supplier under this Section will accommodate at least [*] HP personnel, and will be made available at Supplier's designated training site in San Jose, California. At HP's sole election and upon not less than [*] advance notice, after May 15, 2001, to Supplier, Supplier will provide [*] to HP at HP's Roseville, California site. All such training provided by Supplier will be [*] to HP except for travel expenses of HP personnel. Supplier will maintain a designated training contact for HP learning products personnel, and will provide technical support to an HP trainer for the [*] classes taught by HP utilizing</w:t>
      </w:r>
    </w:p>
    <w:p>
      <w:pPr>
        <w:spacing w:after="0" w:line="359" w:lineRule="exact"/>
        <w:rPr>
          <w:sz w:val="20"/>
          <w:szCs w:val="20"/>
          <w:color w:val="auto"/>
        </w:rPr>
      </w:pPr>
    </w:p>
    <w:p>
      <w:pPr>
        <w:ind w:left="447" w:right="2959" w:hanging="447"/>
        <w:spacing w:after="0" w:line="247" w:lineRule="auto"/>
        <w:tabs>
          <w:tab w:leader="none" w:pos="44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642" w:right="1440" w:bottom="1440" w:gutter="0" w:footer="0" w:header="0"/>
        </w:sectPr>
      </w:pPr>
    </w:p>
    <w:bookmarkStart w:id="167" w:name="page168"/>
    <w:bookmarkEnd w:id="167"/>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3139"/>
        <w:spacing w:after="0" w:line="246" w:lineRule="auto"/>
        <w:rPr>
          <w:sz w:val="20"/>
          <w:szCs w:val="20"/>
          <w:color w:val="auto"/>
        </w:rPr>
      </w:pPr>
      <w:r>
        <w:rPr>
          <w:rFonts w:ascii="Courier New" w:cs="Courier New" w:eastAsia="Courier New" w:hAnsi="Courier New"/>
          <w:sz w:val="15"/>
          <w:szCs w:val="15"/>
          <w:color w:val="auto"/>
        </w:rPr>
        <w:t>the training provided hereunder by Supplier. HP may further request and Supplier will provide, for up to [*] HP technical personnel, additional training [*] as reasonably necessary to inform HP personnel of each upgraded, enhanced, or new version of the OEM Products. Other training (including without limitation Supplier's Educational Services technical training) will be provided upon mutually agreed terms and conditions.</w:t>
      </w:r>
    </w:p>
    <w:p>
      <w:pPr>
        <w:spacing w:after="0" w:line="179"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Presales Training. Supplier will provide to HP no later than May 15, 2001, presales training at Supplier's San Jose, California facility sufficient to cover up to [*] HP trainers in order to allow HP to become fully familiar with the OEM Product and its market. Such training will be [*] to HP. HP may further request and Supplier will provide additional training [*] to inform up to [*] HP personnel of each upgraded, enhanced, or new version of the OEM Products.</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HP's Rights in Training Classes and Materials. Subject to the provisions of Article (19) herein, HP may [*] use, reproduce, display, and perform, either internally or for HP's customers, all training classes, methods, and materials supplied or developed by Supplier under this Agreement (excluding Supplier's Educational Services classes, methods, and materials). None of the training materials provided [*] by Supplier to HP under this Article (12) may be offered for resale by HP to HP's Customers. Supplier will provide such presales training materials to HP no later than May 1, 2001, and technical training materials no later than May 15, 2001.</w:t>
      </w:r>
    </w:p>
    <w:p>
      <w:pPr>
        <w:spacing w:after="0" w:line="356" w:lineRule="exact"/>
        <w:rPr>
          <w:sz w:val="20"/>
          <w:szCs w:val="20"/>
          <w:color w:val="auto"/>
        </w:rPr>
      </w:pPr>
    </w:p>
    <w:p>
      <w:pPr>
        <w:ind w:left="727" w:hanging="727"/>
        <w:spacing w:after="0"/>
        <w:tabs>
          <w:tab w:leader="none" w:pos="72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LICENSING</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13.1Marketing and Distribution. HP will have the authority to market the OEM Products and the HP Products containing the OEM Products to the extent it deems appropriate and in its sole discretion.</w:t>
      </w:r>
    </w:p>
    <w:p>
      <w:pPr>
        <w:spacing w:after="0" w:line="1" w:lineRule="exact"/>
        <w:rPr>
          <w:rFonts w:ascii="Courier New" w:cs="Courier New" w:eastAsia="Courier New" w:hAnsi="Courier New"/>
          <w:sz w:val="15"/>
          <w:szCs w:val="15"/>
          <w:color w:val="auto"/>
        </w:rPr>
      </w:pPr>
    </w:p>
    <w:p>
      <w:pPr>
        <w:ind w:left="1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sentence, nothing in this Agreement shall be construed or interpreted to place a "best efforts" obligation upon HP with respect to marketing or distributing the HP Products or OEM Products or to preclude HP from independently developing, purchasing, licensing, or marketing any product which performs the same or similar function as the OEM Products. HP will have the right to use its own business and license terms for all marketing and distribution of the OEM Products and HP Products. HP will take all reasonable steps to describe OEM Products accurately.</w:t>
      </w:r>
    </w:p>
    <w:p>
      <w:pPr>
        <w:spacing w:after="0" w:line="180"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13.2Distribution Rights. During the Term of this Agreement and any extension(s) thereof, Supplier hereby agrees not to sell directly to End Users the OEM Products or any other OEM products that HP has distributed, provided that nothing in this Section 13.2 shall be construed to prevent Supplier from selling or distributing through or to Supplier's current and future indirect channels of distribution that are: (i) resellers, service bureaus, third party distributors, or third party OEMs (not owned or controlled in whole or in part by Supplier) which in turn sell or distribute the OEM Products to End Users, or;</w:t>
      </w:r>
    </w:p>
    <w:p>
      <w:pPr>
        <w:spacing w:after="0" w:line="6" w:lineRule="exact"/>
        <w:rPr>
          <w:rFonts w:ascii="Courier New" w:cs="Courier New" w:eastAsia="Courier New" w:hAnsi="Courier New"/>
          <w:sz w:val="15"/>
          <w:szCs w:val="15"/>
          <w:color w:val="auto"/>
        </w:rPr>
      </w:pPr>
    </w:p>
    <w:p>
      <w:pPr>
        <w:ind w:left="1447" w:right="3679" w:firstLine="7"/>
        <w:spacing w:after="0" w:line="247" w:lineRule="auto"/>
        <w:tabs>
          <w:tab w:leader="none" w:pos="1901"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End User to whom Supplier has directly sold OEM Products or directly related precursor</w:t>
      </w:r>
    </w:p>
    <w:p>
      <w:pPr>
        <w:spacing w:after="0" w:line="349" w:lineRule="exact"/>
        <w:rPr>
          <w:sz w:val="20"/>
          <w:szCs w:val="20"/>
          <w:color w:val="auto"/>
        </w:rPr>
      </w:pPr>
    </w:p>
    <w:p>
      <w:pPr>
        <w:ind w:left="447" w:right="2959" w:hanging="447"/>
        <w:spacing w:after="0" w:line="247" w:lineRule="auto"/>
        <w:tabs>
          <w:tab w:leader="none" w:pos="44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642" w:right="1440" w:bottom="1440" w:gutter="0" w:footer="0" w:header="0"/>
        </w:sectPr>
      </w:pPr>
    </w:p>
    <w:bookmarkStart w:id="168" w:name="page169"/>
    <w:bookmarkEnd w:id="168"/>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3319"/>
        <w:spacing w:after="0" w:line="246" w:lineRule="auto"/>
        <w:rPr>
          <w:sz w:val="20"/>
          <w:szCs w:val="20"/>
          <w:color w:val="auto"/>
        </w:rPr>
      </w:pPr>
      <w:r>
        <w:rPr>
          <w:rFonts w:ascii="Courier New" w:cs="Courier New" w:eastAsia="Courier New" w:hAnsi="Courier New"/>
          <w:sz w:val="15"/>
          <w:szCs w:val="15"/>
          <w:color w:val="auto"/>
        </w:rPr>
        <w:t>products prior to the Effective Date. For purposes of this Section 13.2, an "End User" is any person or entity who purchases the OEM Product solely for its own use and not for reselling purposes.</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Sales and Marketing Activity. During the Term of this Agreement and any extension(s) thereof, Supplier shall, upon request of HP, deliver to HP all sales, training, product, and marketing collateral intended by Supplier for use in the distribution, sale, or marketing of the OEM Products. All such collateral content intended by Supplier for use with the OEM Products shall be developed by Supplier and provided to HP in electronic form. All such collateral and related sales activity from or by Supplier, its employees, agents, and subcontractors (excluding Supplier's current and future indirect channels of distribution that are resellers, service bureaus, third party distributors, or third party OEMs (any of which who are neither owned nor controlled in whole or in part by Supplier) which in turn sell or distribute the OEM Products to End Users), which is intended by Supplier for current [*] shall be first coordinated through the [*] contact as listed in Exhibit (G) attached hereto and subject to HP's prior written approval, at HP's sole discretion, before Supplier may [*] such collateral or sales activity to [*].</w:t>
      </w:r>
    </w:p>
    <w:p>
      <w:pPr>
        <w:spacing w:after="0" w:line="186"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Software License. Supplier hereby grants to HP, under Supplier's intellectual property rights, a non-exclusive, worldwide, license to use, display, distribute, import, and disclose the Software both separately and in combination, in object code format for use in conjunction with the support and distribution of OEM Products or associated HP Products. Such use limitation will not apply in the case of [*] purposes. The license grant under this Section 13.4 includes the right of HP to sublicense distributors, resellers, and other third parties to achieve the foregoing. The rights granted to HP under this Section 13.4 also include the right of End Users to continue use of the Software in conjunction with the operation of the OEM Products so long as they are not in breach of the HP End-User license agreement issued with the particular OEM Product(s), and HP shall retain the license set forth above for the sole purpose of assisting End-Users with the maintenance and support of the OEM Products.</w:t>
      </w:r>
    </w:p>
    <w:p>
      <w:pPr>
        <w:spacing w:after="0" w:line="18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5"/>
          <w:szCs w:val="15"/>
          <w:color w:val="auto"/>
        </w:rPr>
        <w:t>Device Object License. Supplier will use all reasonable efforts to develop, test, and distribute to HP (at Supplier's sole expense) a device object applicable to HP's OpenView Storage software product according to the specifications and requirements set forth in HP OpenView Storage Area Manager Developer's Guide, Edition 1200, as referenced in Exhibit (A-6) attached hereto. Supplier hereby grants to HP, under Supplier's intellectual property rights, a non-exclusive, worldwide license to use, reproduce, display, translate, import, disclose, distribute, modify and prepare derivative works or compilations of such device object as developed by Supplier, for use with OEM Products and HP Products. These rights are exercisable in any medium. Such license will include the right of HP to sublicense distributors, resellers, and other third parties to achieve the foregoing.</w:t>
      </w:r>
    </w:p>
    <w:p>
      <w:pPr>
        <w:spacing w:after="0" w:line="359" w:lineRule="exact"/>
        <w:rPr>
          <w:sz w:val="20"/>
          <w:szCs w:val="20"/>
          <w:color w:val="auto"/>
        </w:rPr>
      </w:pPr>
    </w:p>
    <w:p>
      <w:pPr>
        <w:ind w:left="447" w:right="2959" w:hanging="447"/>
        <w:spacing w:after="0" w:line="247" w:lineRule="auto"/>
        <w:tabs>
          <w:tab w:leader="none" w:pos="447"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43" w:right="1440" w:bottom="1440" w:gutter="0" w:footer="0" w:header="0"/>
        </w:sectPr>
      </w:pPr>
    </w:p>
    <w:bookmarkStart w:id="169" w:name="page170"/>
    <w:bookmarkEnd w:id="169"/>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5"/>
          <w:szCs w:val="15"/>
          <w:color w:val="auto"/>
        </w:rPr>
        <w:t>License to the Documentation. Supplier hereby grants to HP, under Supplier's intellectual property rights, a non-exclusive, worldwide license to [*] of the [*] and [*] based upon the [*] for use in conjunction with the support and distribution of Software. These rights are exercisable in [*]. Such license will include the right of HP to sublicense distributors, resellers, and other third parties to achieve the foregoing. The right to</w:t>
      </w:r>
    </w:p>
    <w:p>
      <w:pPr>
        <w:spacing w:after="0" w:line="4" w:lineRule="exact"/>
        <w:rPr>
          <w:sz w:val="20"/>
          <w:szCs w:val="20"/>
          <w:color w:val="auto"/>
        </w:rPr>
      </w:pPr>
    </w:p>
    <w:p>
      <w:pPr>
        <w:ind w:left="1447" w:right="2959" w:firstLine="7"/>
        <w:spacing w:after="0" w:line="246" w:lineRule="auto"/>
        <w:tabs>
          <w:tab w:leader="none" w:pos="181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granted solely for the purposes of [*] of more than one Software, condensing [*] on, and formatting and [*] for user accessibility. The rights granted to HP under this Section 13.6 are subject to the payment obligations as generally set forth in Article (4) above and more particularly in Exhibit (C) attached hereto provided, however, that (a) End-Users shall be permitted</w:t>
      </w:r>
    </w:p>
    <w:p>
      <w:pPr>
        <w:spacing w:after="0" w:line="3" w:lineRule="exact"/>
        <w:rPr>
          <w:rFonts w:ascii="Courier New" w:cs="Courier New" w:eastAsia="Courier New" w:hAnsi="Courier New"/>
          <w:sz w:val="15"/>
          <w:szCs w:val="15"/>
          <w:color w:val="auto"/>
        </w:rPr>
      </w:pPr>
    </w:p>
    <w:p>
      <w:pPr>
        <w:ind w:left="1447" w:right="3039" w:firstLine="7"/>
        <w:spacing w:after="0" w:line="246" w:lineRule="auto"/>
        <w:tabs>
          <w:tab w:leader="none" w:pos="181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 in conjunction with the operation of the OEM Products so long as they are not in breach of the HP End-User license agreement issued with the particular OEM Product(s),and</w:t>
      </w:r>
    </w:p>
    <w:p>
      <w:pPr>
        <w:spacing w:after="0" w:line="1" w:lineRule="exact"/>
        <w:rPr>
          <w:rFonts w:ascii="Courier New" w:cs="Courier New" w:eastAsia="Courier New" w:hAnsi="Courier New"/>
          <w:sz w:val="15"/>
          <w:szCs w:val="15"/>
          <w:color w:val="auto"/>
        </w:rPr>
      </w:pPr>
    </w:p>
    <w:p>
      <w:pPr>
        <w:ind w:left="1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HP shall retain the license set forth above for the purpose of assisting End-Users with the maintenance and support of the OEM Products.</w:t>
      </w:r>
    </w:p>
    <w:p>
      <w:pPr>
        <w:spacing w:after="0" w:line="17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13.7</w:t>
      </w:r>
      <w:r>
        <w:rPr>
          <w:sz w:val="20"/>
          <w:szCs w:val="20"/>
          <w:color w:val="auto"/>
        </w:rPr>
        <w:tab/>
      </w:r>
      <w:r>
        <w:rPr>
          <w:rFonts w:ascii="Courier New" w:cs="Courier New" w:eastAsia="Courier New" w:hAnsi="Courier New"/>
          <w:sz w:val="15"/>
          <w:szCs w:val="15"/>
          <w:color w:val="auto"/>
        </w:rPr>
        <w:t>License to [*]. Supplier hereby grants to HP, under Supplier's intellectual property rights, a non-exclusive, worldwide license to [*] if any, and to [*] solely in connection with HP's marketing and support of the Software and training with respect to the Software. Such license will include the right of HP to</w:t>
      </w:r>
    </w:p>
    <w:p>
      <w:pPr>
        <w:spacing w:after="0" w:line="3" w:lineRule="exact"/>
        <w:rPr>
          <w:sz w:val="20"/>
          <w:szCs w:val="20"/>
          <w:color w:val="auto"/>
        </w:rPr>
      </w:pPr>
    </w:p>
    <w:p>
      <w:pPr>
        <w:ind w:left="1447" w:right="3039" w:firstLine="7"/>
        <w:spacing w:after="0" w:line="246" w:lineRule="auto"/>
        <w:tabs>
          <w:tab w:leader="none" w:pos="181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achieve the foregoing. The rights granted to HP under this Section 13.7 are subject to Supplier's right to review and approve (which such approval shall not be unreasonably withheld [*]) any [*] submitted by HP (excluding HP's standard then-current trademarks, servicemarks, and logos), and the payment obligations as generally set forth in Article (4) above and more particularly in Exhibit (C) attached hereto.</w:t>
      </w:r>
    </w:p>
    <w:p>
      <w:pPr>
        <w:spacing w:after="0" w:line="179" w:lineRule="exact"/>
        <w:rPr>
          <w:sz w:val="20"/>
          <w:szCs w:val="20"/>
          <w:color w:val="auto"/>
        </w:rPr>
      </w:pPr>
    </w:p>
    <w:p>
      <w:pPr>
        <w:ind w:left="1447" w:right="321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13.8</w:t>
      </w:r>
      <w:r>
        <w:rPr>
          <w:sz w:val="20"/>
          <w:szCs w:val="20"/>
          <w:color w:val="auto"/>
        </w:rPr>
        <w:tab/>
      </w:r>
      <w:r>
        <w:rPr>
          <w:rFonts w:ascii="Courier New" w:cs="Courier New" w:eastAsia="Courier New" w:hAnsi="Courier New"/>
          <w:sz w:val="15"/>
          <w:szCs w:val="15"/>
          <w:color w:val="auto"/>
        </w:rPr>
        <w:t>Restrictions. HP will not decompile, reverse engineer, disassemble, or otherwise modify any Software without written authorization from Supplier, except as permitted by law.</w:t>
      </w:r>
    </w:p>
    <w:p>
      <w:pPr>
        <w:spacing w:after="0" w:line="174"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13.9</w:t>
      </w:r>
      <w:r>
        <w:rPr>
          <w:sz w:val="20"/>
          <w:szCs w:val="20"/>
          <w:color w:val="auto"/>
        </w:rPr>
        <w:tab/>
      </w:r>
      <w:r>
        <w:rPr>
          <w:rFonts w:ascii="Courier New" w:cs="Courier New" w:eastAsia="Courier New" w:hAnsi="Courier New"/>
          <w:sz w:val="15"/>
          <w:szCs w:val="15"/>
          <w:color w:val="auto"/>
        </w:rPr>
        <w:t>Localized Versions. The licenses granted hereunder with respect to the Software and associated Documentation will include all localized versions thereof available from Supplier. In the event HP reasonably requires a localized version of the Software, then Supplier agrees to negotiate in good faith the commercial terms and conditions under which such localized version would be produced for HP. All of the licensing terms for such localized version would be consistent with this Agreement.</w:t>
      </w:r>
    </w:p>
    <w:p>
      <w:pPr>
        <w:spacing w:after="0" w:line="180" w:lineRule="exact"/>
        <w:rPr>
          <w:sz w:val="20"/>
          <w:szCs w:val="20"/>
          <w:color w:val="auto"/>
        </w:rPr>
      </w:pPr>
    </w:p>
    <w:p>
      <w:pPr>
        <w:ind w:left="1447" w:right="31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13.10</w:t>
        <w:tab/>
        <w:t>Limited Right of Sublicense and License. The parties expressly agree that no right of sublicense to the Software is hereby granted under this Agreement by Supplier to HP except for the right of HP to sublicense the Documentation and object code</w:t>
      </w:r>
    </w:p>
    <w:p>
      <w:pPr>
        <w:spacing w:after="0" w:line="352" w:lineRule="exact"/>
        <w:rPr>
          <w:sz w:val="20"/>
          <w:szCs w:val="20"/>
          <w:color w:val="auto"/>
        </w:rPr>
      </w:pPr>
    </w:p>
    <w:p>
      <w:pPr>
        <w:ind w:left="447" w:right="2959" w:hanging="447"/>
        <w:spacing w:after="0" w:line="247" w:lineRule="auto"/>
        <w:tabs>
          <w:tab w:leader="none" w:pos="447"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3" w:right="1440" w:bottom="1440" w:gutter="0" w:footer="0" w:header="0"/>
        </w:sectPr>
      </w:pPr>
    </w:p>
    <w:bookmarkStart w:id="170" w:name="page171"/>
    <w:bookmarkEnd w:id="170"/>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2959"/>
        <w:spacing w:after="0" w:line="246" w:lineRule="auto"/>
        <w:rPr>
          <w:sz w:val="20"/>
          <w:szCs w:val="20"/>
          <w:color w:val="auto"/>
        </w:rPr>
      </w:pPr>
      <w:r>
        <w:rPr>
          <w:rFonts w:ascii="Courier New" w:cs="Courier New" w:eastAsia="Courier New" w:hAnsi="Courier New"/>
          <w:sz w:val="15"/>
          <w:szCs w:val="15"/>
          <w:color w:val="auto"/>
        </w:rPr>
        <w:t>of the Software directly to End-User Customers. Based on Supplier's representations herein, HP agrees that Supplier is the owner of the Software and Documentation contained in the OEM Products.</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13.11</w:t>
        <w:tab/>
        <w:t>Localized Software. The licenses granted hereunder for the Software and Documentation shall include any localized version(s) thereof which Supplier publishes or makes generally available during the Term of this Agreement and any extension(s) thereof.</w:t>
      </w:r>
    </w:p>
    <w:p>
      <w:pPr>
        <w:spacing w:after="0" w:line="178"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13.12</w:t>
        <w:tab/>
        <w:t>End User License Terms. Supplier hereby grants to HP the right to use and HP will use its then-current standard form software license terms for marketing and licensing Software under this Agreement. Such terms will be substantially in the form of that as set forth in Exhibit (I) attached hereto.</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13.13</w:t>
        <w:tab/>
        <w:t>No Rights In Marks. Except as otherwise specified in this Agreement, nothing in this Agreement should be construed to grant either party any rights in the Marks of the other party. HP and Supplier acknowledge, however, that HP may use the name of Supplier and the name of the OEM Products in advertising and marketing the OEM Products or the HP Products. The OEM Products will be affixed with copyright notices sufficient to give notice as to the rights of the parties in their respective products.</w:t>
      </w:r>
    </w:p>
    <w:p>
      <w:pPr>
        <w:spacing w:after="0" w:line="180"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13.14</w:t>
        <w:tab/>
        <w:t>HP Marks. Supplier will ensure that the OEM Products contain the HP Marks, serial number, format, and packaging specified by HP and conforming to the HP specifications as set forth in Exhibit A. Except as provided herein, Supplier will have no other right or license in any HP Marks.</w:t>
      </w:r>
    </w:p>
    <w:p>
      <w:pPr>
        <w:spacing w:after="0" w:line="178" w:lineRule="exact"/>
        <w:rPr>
          <w:sz w:val="20"/>
          <w:szCs w:val="20"/>
          <w:color w:val="auto"/>
        </w:rPr>
      </w:pPr>
    </w:p>
    <w:p>
      <w:pPr>
        <w:ind w:left="727" w:hanging="727"/>
        <w:spacing w:after="0"/>
        <w:tabs>
          <w:tab w:leader="none" w:pos="72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PROTECTION</w:t>
      </w:r>
    </w:p>
    <w:p>
      <w:pPr>
        <w:spacing w:after="0" w:line="179"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14.1Supplier's Duty To Defend. Except as provided in Section 14.4 below and provided that HP has complied with the provisions of Section 14.2 below, Supplier will defend and hold harmless HP and its Subsidiaries, subcontractors, and customers from any claim that any OEM Product, any combination of an OEM Product with an HP Product (to the extent damages asserted from such claim(s) are attributable to Supplier or the OEM Products), any Software, Documentation or a Supplier Mark, or any product provided as part of Supplier's Support services constitutes an unauthorized use or infringement of any third party's Intellectual Property Rights. Supplier will pay [*] incurred by HP, its Subsidiaries, subcontractors or customers and will pay</w:t>
      </w:r>
    </w:p>
    <w:p>
      <w:pPr>
        <w:spacing w:after="0" w:line="7" w:lineRule="exact"/>
        <w:rPr>
          <w:rFonts w:ascii="Courier New" w:cs="Courier New" w:eastAsia="Courier New" w:hAnsi="Courier New"/>
          <w:sz w:val="15"/>
          <w:szCs w:val="15"/>
          <w:color w:val="auto"/>
        </w:rPr>
      </w:pPr>
    </w:p>
    <w:p>
      <w:pPr>
        <w:ind w:left="1447" w:right="3859" w:firstLine="7"/>
        <w:spacing w:after="0" w:line="247" w:lineRule="auto"/>
        <w:tabs>
          <w:tab w:leader="none" w:pos="1810"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such claim or agreed to in any settlement of that claim.</w:t>
      </w:r>
    </w:p>
    <w:p>
      <w:pPr>
        <w:spacing w:after="0" w:line="175" w:lineRule="exact"/>
        <w:rPr>
          <w:sz w:val="20"/>
          <w:szCs w:val="20"/>
          <w:color w:val="auto"/>
        </w:rPr>
      </w:pPr>
    </w:p>
    <w:p>
      <w:pPr>
        <w:ind w:left="1447" w:right="303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5"/>
          <w:szCs w:val="15"/>
          <w:color w:val="auto"/>
        </w:rPr>
        <w:t>HP's Duty To Notify. HP will give Supplier prompt notice of any such claim or action, and will give Supplier the authority, information, and reasonable assistance (at Supplier's expense) necessary to defend. If Supplier does not diligently pursue resolution of the claim nor provide HP with reasonable assurances that it will diligently pursue resolution, then HP may, without in any way limiting its other rights and remedies, defend the claim.</w:t>
      </w:r>
    </w:p>
    <w:p>
      <w:pPr>
        <w:spacing w:after="0" w:line="354" w:lineRule="exact"/>
        <w:rPr>
          <w:sz w:val="20"/>
          <w:szCs w:val="20"/>
          <w:color w:val="auto"/>
        </w:rPr>
      </w:pPr>
    </w:p>
    <w:p>
      <w:pPr>
        <w:ind w:left="447" w:right="2959" w:hanging="447"/>
        <w:spacing w:after="0" w:line="247" w:lineRule="auto"/>
        <w:tabs>
          <w:tab w:leader="none" w:pos="447"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43" w:right="1440" w:bottom="1440" w:gutter="0" w:footer="0" w:header="0"/>
        </w:sectPr>
      </w:pPr>
    </w:p>
    <w:bookmarkStart w:id="171" w:name="page172"/>
    <w:bookmarkEnd w:id="171"/>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3139" w:hanging="726"/>
        <w:spacing w:after="0" w:line="247" w:lineRule="auto"/>
        <w:tabs>
          <w:tab w:leader="none" w:pos="1426"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5"/>
          <w:szCs w:val="15"/>
          <w:color w:val="auto"/>
        </w:rPr>
        <w:t>Remedies For Infringing Products. If the use or combination of any product provided hereunder is enjoined (the "Infringing Product"), Supplier will, [*] either:</w:t>
      </w:r>
    </w:p>
    <w:p>
      <w:pPr>
        <w:spacing w:after="0" w:line="174" w:lineRule="exact"/>
        <w:rPr>
          <w:sz w:val="20"/>
          <w:szCs w:val="20"/>
          <w:color w:val="auto"/>
        </w:rPr>
      </w:pPr>
    </w:p>
    <w:p>
      <w:pPr>
        <w:ind w:left="2187" w:right="3139" w:hanging="733"/>
        <w:spacing w:after="0" w:line="247" w:lineRule="auto"/>
        <w:tabs>
          <w:tab w:leader="none" w:pos="218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Procure for HP and its customers the right to continue using or combining the Infringing Product; or,</w:t>
      </w:r>
    </w:p>
    <w:p>
      <w:pPr>
        <w:spacing w:after="0" w:line="174" w:lineRule="exact"/>
        <w:rPr>
          <w:rFonts w:ascii="Courier New" w:cs="Courier New" w:eastAsia="Courier New" w:hAnsi="Courier New"/>
          <w:sz w:val="15"/>
          <w:szCs w:val="15"/>
          <w:color w:val="auto"/>
        </w:rPr>
      </w:pPr>
    </w:p>
    <w:p>
      <w:pPr>
        <w:ind w:left="2187" w:right="3319" w:hanging="733"/>
        <w:spacing w:after="0" w:line="247" w:lineRule="auto"/>
        <w:tabs>
          <w:tab w:leader="none" w:pos="218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 the Infringing Product with a non-infringing product of equivalent function and performance; or,</w:t>
      </w:r>
    </w:p>
    <w:p>
      <w:pPr>
        <w:spacing w:after="0" w:line="174" w:lineRule="exact"/>
        <w:rPr>
          <w:rFonts w:ascii="Courier New" w:cs="Courier New" w:eastAsia="Courier New" w:hAnsi="Courier New"/>
          <w:sz w:val="15"/>
          <w:szCs w:val="15"/>
          <w:color w:val="auto"/>
        </w:rPr>
      </w:pPr>
    </w:p>
    <w:p>
      <w:pPr>
        <w:ind w:left="2187" w:right="3419" w:hanging="733"/>
        <w:spacing w:after="0" w:line="247" w:lineRule="auto"/>
        <w:tabs>
          <w:tab w:leader="none" w:pos="2187"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Infringing Product to be non-infringing, without detracting from function or performance.</w:t>
      </w:r>
    </w:p>
    <w:p>
      <w:pPr>
        <w:spacing w:after="0" w:line="175"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Limitations. Supplier will be relieved of its indemnification obligations under this Article 14 to the extent that the claim arises solely and directly from Supplier's compliance with an HP Specification provided that all implementations of that Specification constitute an unauthorized use or infringement of a third party Intellectual Property Right.</w:t>
      </w:r>
    </w:p>
    <w:p>
      <w:pPr>
        <w:spacing w:after="0" w:line="178" w:lineRule="exact"/>
        <w:rPr>
          <w:sz w:val="20"/>
          <w:szCs w:val="20"/>
          <w:color w:val="auto"/>
        </w:rPr>
      </w:pPr>
    </w:p>
    <w:p>
      <w:pPr>
        <w:ind w:left="727" w:hanging="727"/>
        <w:spacing w:after="0"/>
        <w:tabs>
          <w:tab w:leader="none" w:pos="72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COUNTRY OF MANUFACTURE AND  [*]</w:t>
      </w:r>
    </w:p>
    <w:p>
      <w:pPr>
        <w:spacing w:after="0" w:line="179" w:lineRule="exact"/>
        <w:rPr>
          <w:rFonts w:ascii="Courier New" w:cs="Courier New" w:eastAsia="Courier New" w:hAnsi="Courier New"/>
          <w:sz w:val="15"/>
          <w:szCs w:val="15"/>
          <w:color w:val="auto"/>
        </w:rPr>
      </w:pPr>
    </w:p>
    <w:p>
      <w:pPr>
        <w:ind w:left="1447" w:right="321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15.1Country Of Origin Certification. Upon HP's request, Supplier will provide HP with an appropriate certification stating the country of origin for OEM Products, sufficient to satisfy the requirements of the customs authorities of the country of receipt and any applicable export licensing regulations, including those of the United States.</w:t>
      </w:r>
    </w:p>
    <w:p>
      <w:pPr>
        <w:spacing w:after="0" w:line="178"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15.2Country Of Origin Marking. Supplier will mark each OEM Product, or the container if there is no room on the OEM Product, with the country of origin. Supplier will, in marking OEM Products, comply with the requirements of the customs authorities of the country of receipt.</w:t>
      </w:r>
    </w:p>
    <w:p>
      <w:pPr>
        <w:spacing w:after="0" w:line="177"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15.3[*]. If OEM Products delivered under this Agreement are imported, Supplier will when possible allow HP to be the [*]. If HP is not the [*] and Supplier obtains [*] rights to OEM Products, Supplier will, upon HP's request, provide HP with documents required by the [*] of the [*] of receipt to prove [*] and to transfer [*] rights to HP.</w:t>
      </w:r>
    </w:p>
    <w:p>
      <w:pPr>
        <w:spacing w:after="0" w:line="178"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COMPLIANCE</w:t>
      </w:r>
    </w:p>
    <w:p>
      <w:pPr>
        <w:spacing w:after="0" w:line="179"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16.1Duty to Comply. The parties shall in the performance of this Agreement comply with all applicable laws, executive orders, regulations, ordinances, rules, proclamations, demands, and requisitions of all applicable state, local, national, or other governmental authority which may now or hereafter govern performance</w:t>
      </w:r>
    </w:p>
    <w:p>
      <w:pPr>
        <w:spacing w:after="0" w:line="353" w:lineRule="exact"/>
        <w:rPr>
          <w:sz w:val="20"/>
          <w:szCs w:val="20"/>
          <w:color w:val="auto"/>
        </w:rPr>
      </w:pPr>
    </w:p>
    <w:p>
      <w:pPr>
        <w:ind w:left="447" w:right="2959" w:hanging="447"/>
        <w:spacing w:after="0" w:line="247" w:lineRule="auto"/>
        <w:tabs>
          <w:tab w:leader="none" w:pos="44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6"/>
          </w:cols>
          <w:pgMar w:left="233" w:top="643" w:right="1440" w:bottom="1440" w:gutter="0" w:footer="0" w:header="0"/>
        </w:sectPr>
      </w:pPr>
    </w:p>
    <w:bookmarkStart w:id="172" w:name="page173"/>
    <w:bookmarkEnd w:id="172"/>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1447" w:right="3319"/>
        <w:spacing w:after="0" w:line="246" w:lineRule="auto"/>
        <w:rPr>
          <w:sz w:val="20"/>
          <w:szCs w:val="20"/>
          <w:color w:val="auto"/>
        </w:rPr>
      </w:pPr>
      <w:r>
        <w:rPr>
          <w:rFonts w:ascii="Courier New" w:cs="Courier New" w:eastAsia="Courier New" w:hAnsi="Courier New"/>
          <w:sz w:val="15"/>
          <w:szCs w:val="15"/>
          <w:color w:val="auto"/>
        </w:rPr>
        <w:t>hereunder including, without limitation, all laws, executive orders, regulations, ordinances, rules, and proclamations regarding Equal Employment Opportunity, the exporting of technology, and withholding for income taxes.</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16.2</w:t>
      </w:r>
      <w:r>
        <w:rPr>
          <w:sz w:val="20"/>
          <w:szCs w:val="20"/>
          <w:color w:val="auto"/>
        </w:rPr>
        <w:tab/>
      </w:r>
      <w:r>
        <w:rPr>
          <w:rFonts w:ascii="Courier New" w:cs="Courier New" w:eastAsia="Courier New" w:hAnsi="Courier New"/>
          <w:sz w:val="15"/>
          <w:szCs w:val="15"/>
          <w:color w:val="auto"/>
        </w:rPr>
        <w:t>Procurement Regulations. The Software is "commercial computer software" as defined in the applicable provisions of the Federal Acquisition Regulation (the "FAR") and supplements thereto, including the Department of Defense ("DoD") FAR Supplements (the "DFARS"). The parties acknowledge that the Software was developed entirely at private expense and that no part of the Software was first produced in the performance of a Government contract. If HP supplies the Software to a U.S. Government agency, in accordance with FAR 12.212 and its successors or DFARS 227.7202 and its successors, as applicable, HP shall license the Software to the Government subject to the terms of this Agreement.</w:t>
      </w:r>
    </w:p>
    <w:p>
      <w:pPr>
        <w:spacing w:after="0" w:line="182"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16.3</w:t>
      </w:r>
      <w:r>
        <w:rPr>
          <w:sz w:val="20"/>
          <w:szCs w:val="20"/>
          <w:color w:val="auto"/>
        </w:rPr>
        <w:tab/>
      </w:r>
      <w:r>
        <w:rPr>
          <w:rFonts w:ascii="Courier New" w:cs="Courier New" w:eastAsia="Courier New" w:hAnsi="Courier New"/>
          <w:sz w:val="15"/>
          <w:szCs w:val="15"/>
          <w:color w:val="auto"/>
        </w:rPr>
        <w:t>Ozone Depleting Substances. Supplier hereby certifies that no</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OEM Product nor any component of any OEM Product:</w:t>
      </w:r>
    </w:p>
    <w:p>
      <w:pPr>
        <w:spacing w:after="0" w:line="180" w:lineRule="exact"/>
        <w:rPr>
          <w:sz w:val="20"/>
          <w:szCs w:val="20"/>
          <w:color w:val="auto"/>
        </w:rPr>
      </w:pPr>
    </w:p>
    <w:p>
      <w:pPr>
        <w:ind w:left="2187" w:right="2959" w:hanging="733"/>
        <w:spacing w:after="0" w:line="246" w:lineRule="auto"/>
        <w:tabs>
          <w:tab w:leader="none" w:pos="2187"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any "Class 1 Substance" or "Class 2 Substance", as those term are defined in 42 USC Section 7671 and implementing regulations of the United States Environmental Protection Agency at 40 CFR Part 82, as now in existence or hereafter amended; or,</w:t>
      </w:r>
    </w:p>
    <w:p>
      <w:pPr>
        <w:spacing w:after="0" w:line="177" w:lineRule="exact"/>
        <w:rPr>
          <w:rFonts w:ascii="Courier New" w:cs="Courier New" w:eastAsia="Courier New" w:hAnsi="Courier New"/>
          <w:sz w:val="15"/>
          <w:szCs w:val="15"/>
          <w:color w:val="auto"/>
        </w:rPr>
      </w:pPr>
    </w:p>
    <w:p>
      <w:pPr>
        <w:ind w:left="2187" w:right="2959" w:hanging="733"/>
        <w:spacing w:after="0" w:line="246" w:lineRule="auto"/>
        <w:tabs>
          <w:tab w:leader="none" w:pos="2187"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manufactured with a process that uses any Class 1 or Class 2 Substance within the meaning of 42 USC Section 7671 and implementing regulations of the United States Environmental Protection Agency at 40 CFR Part 82, as now in existence or hereafter amended.</w:t>
      </w:r>
    </w:p>
    <w:p>
      <w:pPr>
        <w:spacing w:after="0" w:line="177"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 EVENTS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17.1Delaying Causes. Subject to the provisions of this Article 17, Supplier will not be liable for any delay in performance under this Agreement caused by any "act of God" or other cause beyond Supplier's control and without Supplier's fault or negligence (a "delaying cause"). Notwithstanding the above, Supplier will not be relieved of any liability for any delay or failure to perform its defense obligations with respect to third party Intellectual Property Rights or furnish remedies for Infringing Products as described in Article 14 above.</w:t>
      </w:r>
    </w:p>
    <w:p>
      <w:pPr>
        <w:spacing w:after="0" w:line="180" w:lineRule="exact"/>
        <w:rPr>
          <w:rFonts w:ascii="Courier New" w:cs="Courier New" w:eastAsia="Courier New" w:hAnsi="Courier New"/>
          <w:sz w:val="15"/>
          <w:szCs w:val="15"/>
          <w:color w:val="auto"/>
        </w:rPr>
      </w:pPr>
    </w:p>
    <w:p>
      <w:pPr>
        <w:jc w:val="both"/>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17.2HP Option. Supplier will immediately give HP notice of any delaying cause and its best estimate of the expected duration of such cause. In the event of a delaying cause which continues for a period of [*], HP may act in [*] to</w:t>
      </w:r>
    </w:p>
    <w:p>
      <w:pPr>
        <w:spacing w:after="0" w:line="177" w:lineRule="exact"/>
        <w:rPr>
          <w:rFonts w:ascii="Courier New" w:cs="Courier New" w:eastAsia="Courier New" w:hAnsi="Courier New"/>
          <w:sz w:val="15"/>
          <w:szCs w:val="15"/>
          <w:color w:val="auto"/>
        </w:rPr>
      </w:pPr>
    </w:p>
    <w:p>
      <w:pPr>
        <w:ind w:left="2187" w:right="3219" w:hanging="733"/>
        <w:spacing w:after="0" w:line="247" w:lineRule="auto"/>
        <w:tabs>
          <w:tab w:leader="none" w:pos="21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this Agreement or any part hereof as to OEM Products not shipped or,</w:t>
      </w:r>
    </w:p>
    <w:p>
      <w:pPr>
        <w:spacing w:after="0" w:line="174" w:lineRule="exact"/>
        <w:rPr>
          <w:rFonts w:ascii="Courier New" w:cs="Courier New" w:eastAsia="Courier New" w:hAnsi="Courier New"/>
          <w:sz w:val="15"/>
          <w:szCs w:val="15"/>
          <w:color w:val="auto"/>
        </w:rPr>
      </w:pPr>
    </w:p>
    <w:p>
      <w:pPr>
        <w:ind w:left="2187" w:right="3319" w:hanging="733"/>
        <w:spacing w:after="0" w:line="247" w:lineRule="auto"/>
        <w:tabs>
          <w:tab w:leader="none" w:pos="218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Suspend this Agreement in whole or in part for the duration of the delaying cause, buy similar products elsewhere, and deduct from any</w:t>
      </w:r>
    </w:p>
    <w:p>
      <w:pPr>
        <w:spacing w:after="0" w:line="349" w:lineRule="exact"/>
        <w:rPr>
          <w:sz w:val="20"/>
          <w:szCs w:val="20"/>
          <w:color w:val="auto"/>
        </w:rPr>
      </w:pPr>
    </w:p>
    <w:p>
      <w:pPr>
        <w:ind w:left="447" w:right="2959" w:hanging="447"/>
        <w:spacing w:after="0" w:line="247" w:lineRule="auto"/>
        <w:tabs>
          <w:tab w:leader="none" w:pos="44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643" w:right="1440" w:bottom="1440" w:gutter="0" w:footer="0" w:header="0"/>
        </w:sectPr>
      </w:pPr>
    </w:p>
    <w:bookmarkStart w:id="173" w:name="page174"/>
    <w:bookmarkEnd w:id="173"/>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3599"/>
        <w:spacing w:after="0" w:line="247" w:lineRule="auto"/>
        <w:rPr>
          <w:sz w:val="20"/>
          <w:szCs w:val="20"/>
          <w:color w:val="auto"/>
        </w:rPr>
      </w:pPr>
      <w:r>
        <w:rPr>
          <w:rFonts w:ascii="Courier New" w:cs="Courier New" w:eastAsia="Courier New" w:hAnsi="Courier New"/>
          <w:sz w:val="15"/>
          <w:szCs w:val="15"/>
          <w:color w:val="auto"/>
        </w:rPr>
        <w:t>quantities specified under this Agreement the quantity so purchased.</w:t>
      </w:r>
    </w:p>
    <w:p>
      <w:pPr>
        <w:spacing w:after="0" w:line="175"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17.3</w:t>
      </w:r>
      <w:r>
        <w:rPr>
          <w:sz w:val="20"/>
          <w:szCs w:val="20"/>
          <w:color w:val="auto"/>
        </w:rPr>
        <w:tab/>
      </w:r>
      <w:r>
        <w:rPr>
          <w:rFonts w:ascii="Courier New" w:cs="Courier New" w:eastAsia="Courier New" w:hAnsi="Courier New"/>
          <w:sz w:val="15"/>
          <w:szCs w:val="15"/>
          <w:color w:val="auto"/>
        </w:rPr>
        <w:t>Resumption Of Agreement. If HP elects to purchase other similar products in the event of a delaying cause, HP may resume performance under this Agreement once the delaying cause ceases and extend the Term up to the length of time the delaying cause endured. Unless HP gives notice of termination as provided above within [*] after notice from Supplier of the delaying cause, HP will be deemed to have elected to suspend this Agreement for the duration of the delaying cause.</w:t>
      </w:r>
    </w:p>
    <w:p>
      <w:pPr>
        <w:spacing w:after="0" w:line="180" w:lineRule="exact"/>
        <w:rPr>
          <w:sz w:val="20"/>
          <w:szCs w:val="20"/>
          <w:color w:val="auto"/>
        </w:rPr>
      </w:pPr>
    </w:p>
    <w:p>
      <w:pPr>
        <w:ind w:left="727" w:hanging="727"/>
        <w:spacing w:after="0"/>
        <w:tabs>
          <w:tab w:leader="none" w:pos="727"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18.1Notice Of Breach. If either party is in breach of any provision of this Agreement, the non-breaching party may, by written notice to the breaching party, except as otherwise prohibited by the United States bankruptcy laws, terminate the whole or any part of this Agreement or any Order, unless the breaching party cures the breach within [*] after receipt of such written notice.</w:t>
      </w:r>
    </w:p>
    <w:p>
      <w:pPr>
        <w:spacing w:after="0" w:line="179" w:lineRule="exact"/>
        <w:rPr>
          <w:rFonts w:ascii="Courier New" w:cs="Courier New" w:eastAsia="Courier New" w:hAnsi="Courier New"/>
          <w:sz w:val="15"/>
          <w:szCs w:val="15"/>
          <w:color w:val="auto"/>
        </w:rPr>
      </w:pPr>
    </w:p>
    <w:p>
      <w:pPr>
        <w:ind w:left="1447" w:right="3139" w:hanging="727"/>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18.2Causes Of Breach. For purposes of Section 18.1 above, the term "breach" includes without limitation any:</w:t>
      </w:r>
    </w:p>
    <w:p>
      <w:pPr>
        <w:spacing w:after="0" w:line="174" w:lineRule="exact"/>
        <w:rPr>
          <w:rFonts w:ascii="Courier New" w:cs="Courier New" w:eastAsia="Courier New" w:hAnsi="Courier New"/>
          <w:sz w:val="15"/>
          <w:szCs w:val="15"/>
          <w:color w:val="auto"/>
        </w:rPr>
      </w:pPr>
    </w:p>
    <w:p>
      <w:pPr>
        <w:ind w:left="2187" w:right="3679" w:hanging="733"/>
        <w:spacing w:after="0" w:line="247" w:lineRule="auto"/>
        <w:tabs>
          <w:tab w:leader="none" w:pos="2187"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 whether voluntary or involuntary, in bankruptcy or insolvency by or against a party;</w:t>
      </w:r>
    </w:p>
    <w:p>
      <w:pPr>
        <w:spacing w:after="0" w:line="174" w:lineRule="exact"/>
        <w:rPr>
          <w:rFonts w:ascii="Courier New" w:cs="Courier New" w:eastAsia="Courier New" w:hAnsi="Courier New"/>
          <w:sz w:val="15"/>
          <w:szCs w:val="15"/>
          <w:color w:val="auto"/>
        </w:rPr>
      </w:pPr>
    </w:p>
    <w:p>
      <w:pPr>
        <w:ind w:left="2187" w:right="3219" w:hanging="733"/>
        <w:spacing w:after="0" w:line="247" w:lineRule="auto"/>
        <w:tabs>
          <w:tab w:leader="none" w:pos="2187"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with or without a party's consent, of a receiver or an assignee for the benefit of creditors;</w:t>
      </w:r>
    </w:p>
    <w:p>
      <w:pPr>
        <w:spacing w:after="0" w:line="174" w:lineRule="exact"/>
        <w:rPr>
          <w:rFonts w:ascii="Courier New" w:cs="Courier New" w:eastAsia="Courier New" w:hAnsi="Courier New"/>
          <w:sz w:val="15"/>
          <w:szCs w:val="15"/>
          <w:color w:val="auto"/>
        </w:rPr>
      </w:pPr>
    </w:p>
    <w:p>
      <w:pPr>
        <w:ind w:left="2187" w:right="2959" w:hanging="733"/>
        <w:spacing w:after="0" w:line="247" w:lineRule="auto"/>
        <w:tabs>
          <w:tab w:leader="none" w:pos="2187"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Supplier to make a delivery of OEM Products in accordance with the requirements of this Agreement or any accepted Order;</w:t>
      </w:r>
    </w:p>
    <w:p>
      <w:pPr>
        <w:spacing w:after="0" w:line="174" w:lineRule="exact"/>
        <w:rPr>
          <w:rFonts w:ascii="Courier New" w:cs="Courier New" w:eastAsia="Courier New" w:hAnsi="Courier New"/>
          <w:sz w:val="15"/>
          <w:szCs w:val="15"/>
          <w:color w:val="auto"/>
        </w:rPr>
      </w:pPr>
    </w:p>
    <w:p>
      <w:pPr>
        <w:ind w:left="2187" w:right="3219" w:hanging="733"/>
        <w:spacing w:after="0" w:line="247" w:lineRule="auto"/>
        <w:tabs>
          <w:tab w:leader="none" w:pos="2187"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Supplier to replace or repair Noncomplying Products in a timely manner as required by Article 5 above; or</w:t>
      </w:r>
    </w:p>
    <w:p>
      <w:pPr>
        <w:spacing w:after="0" w:line="174" w:lineRule="exact"/>
        <w:rPr>
          <w:rFonts w:ascii="Courier New" w:cs="Courier New" w:eastAsia="Courier New" w:hAnsi="Courier New"/>
          <w:sz w:val="15"/>
          <w:szCs w:val="15"/>
          <w:color w:val="auto"/>
        </w:rPr>
      </w:pPr>
    </w:p>
    <w:p>
      <w:pPr>
        <w:ind w:left="2187" w:right="3139" w:hanging="733"/>
        <w:spacing w:after="0" w:line="246" w:lineRule="auto"/>
        <w:tabs>
          <w:tab w:leader="none" w:pos="2187"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failure by a party to comply with any material provision of this Agreement with additional failure to provide the non-breaching party, upon written request, with reasonable assurances of future performance.</w:t>
      </w:r>
    </w:p>
    <w:p>
      <w:pPr>
        <w:spacing w:after="0" w:line="177"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18.3</w:t>
      </w:r>
      <w:r>
        <w:rPr>
          <w:sz w:val="20"/>
          <w:szCs w:val="20"/>
          <w:color w:val="auto"/>
        </w:rPr>
        <w:tab/>
      </w:r>
      <w:r>
        <w:rPr>
          <w:rFonts w:ascii="Courier New" w:cs="Courier New" w:eastAsia="Courier New" w:hAnsi="Courier New"/>
          <w:sz w:val="15"/>
          <w:szCs w:val="15"/>
          <w:color w:val="auto"/>
        </w:rPr>
        <w:t>HP's Rights Upon Breach. In the event HP terminates this Agreement in whole or in part as provided above for a material breach by Supplier, in [*] provided HP under this Agreement, HP may [*] upon [*] and in such [*] as [*] deems [*] to the [*] and</w:t>
      </w:r>
    </w:p>
    <w:p>
      <w:pPr>
        <w:spacing w:after="0" w:line="2" w:lineRule="exact"/>
        <w:rPr>
          <w:sz w:val="20"/>
          <w:szCs w:val="20"/>
          <w:color w:val="auto"/>
        </w:rPr>
      </w:pPr>
    </w:p>
    <w:p>
      <w:pPr>
        <w:ind w:left="1827" w:hanging="373"/>
        <w:spacing w:after="0"/>
        <w:tabs>
          <w:tab w:leader="none" w:pos="1827" w:val="left"/>
        </w:tabs>
        <w:numPr>
          <w:ilvl w:val="2"/>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this Agreement is terminated. Supplier agrees to</w:t>
      </w:r>
    </w:p>
    <w:p>
      <w:pPr>
        <w:spacing w:after="0" w:line="4" w:lineRule="exact"/>
        <w:rPr>
          <w:rFonts w:ascii="Courier New" w:cs="Courier New" w:eastAsia="Courier New" w:hAnsi="Courier New"/>
          <w:sz w:val="15"/>
          <w:szCs w:val="15"/>
          <w:color w:val="auto"/>
        </w:rPr>
      </w:pPr>
    </w:p>
    <w:p>
      <w:pPr>
        <w:ind w:left="1447" w:right="2959" w:firstLine="7"/>
        <w:spacing w:after="0" w:line="247" w:lineRule="auto"/>
        <w:tabs>
          <w:tab w:leader="none" w:pos="1810" w:val="left"/>
        </w:tabs>
        <w:numPr>
          <w:ilvl w:val="2"/>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 of this Agreement to the [*] under the provisions of this Section.</w:t>
      </w:r>
    </w:p>
    <w:p>
      <w:pPr>
        <w:spacing w:after="0" w:line="174" w:lineRule="exact"/>
        <w:rPr>
          <w:rFonts w:ascii="Courier New" w:cs="Courier New" w:eastAsia="Courier New" w:hAnsi="Courier New"/>
          <w:sz w:val="15"/>
          <w:szCs w:val="15"/>
          <w:color w:val="auto"/>
        </w:rPr>
      </w:pPr>
    </w:p>
    <w:p>
      <w:pPr>
        <w:ind w:left="1447" w:right="3039" w:hanging="720"/>
        <w:spacing w:after="0" w:line="247" w:lineRule="auto"/>
        <w:tabs>
          <w:tab w:leader="none" w:pos="1447"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If any Eligible Purchaser having the right to purchase an OEM Product under this Agreement or under any other agreement with Supplier</w:t>
      </w:r>
    </w:p>
    <w:p>
      <w:pPr>
        <w:spacing w:after="0" w:line="34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643" w:right="1440" w:bottom="1440" w:gutter="0" w:footer="0" w:header="0"/>
        </w:sectPr>
      </w:pPr>
    </w:p>
    <w:bookmarkStart w:id="174" w:name="page175"/>
    <w:bookmarkEnd w:id="174"/>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3039" w:firstLine="7"/>
        <w:spacing w:after="0" w:line="246" w:lineRule="auto"/>
        <w:tabs>
          <w:tab w:leader="none" w:pos="181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 OEM Product is [*], then, irrespective of any other rights provided HP hereunder, HP may implement a [*] to [*] of such OEM Products [*] Such [*] may be [*] if HP [*] that Supplier has taken [*] the [*] or given [*] that such [*] will be [*] within a [*]</w:t>
      </w:r>
    </w:p>
    <w:p>
      <w:pPr>
        <w:spacing w:after="0" w:line="178"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18.5</w:t>
      </w:r>
      <w:r>
        <w:rPr>
          <w:sz w:val="20"/>
          <w:szCs w:val="20"/>
          <w:color w:val="auto"/>
        </w:rPr>
        <w:tab/>
      </w:r>
      <w:r>
        <w:rPr>
          <w:rFonts w:ascii="Courier New" w:cs="Courier New" w:eastAsia="Courier New" w:hAnsi="Courier New"/>
          <w:sz w:val="15"/>
          <w:szCs w:val="15"/>
          <w:color w:val="auto"/>
        </w:rPr>
        <w:t>Escalated Resolution Process. In the event of any dispute arising from or regarding the subject matter of this Agreement, the parties agree to negotiate in good faith an equitable resolution of the disputed matter. If the parties are not able to resolve the dispute within [*] of first written communication of the dispute, then the parties agree to escalate such resolution process [*] as designated in Exhibit G. The [*] shall meet within [*] of escalation to resolve the disputed matter. If the dispute is not resolved within an additional [*] day period from the end of the [*] period set forth above, then either HP or Supplier may commence legal, equitable, or other action upon providing the other party not less than [*] prior written notice of such intent.</w:t>
      </w:r>
    </w:p>
    <w:p>
      <w:pPr>
        <w:spacing w:after="0" w:line="183" w:lineRule="exact"/>
        <w:rPr>
          <w:sz w:val="20"/>
          <w:szCs w:val="20"/>
          <w:color w:val="auto"/>
        </w:rPr>
      </w:pPr>
    </w:p>
    <w:p>
      <w:pPr>
        <w:ind w:left="727" w:hanging="727"/>
        <w:spacing w:after="0"/>
        <w:tabs>
          <w:tab w:leader="none" w:pos="727"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19.1Confidential Information. During the Term, a party (the "Recipient") may receive or have access to certain information of the other party (the "Discloser") that is marked as "Confidential Information," subject to a nondisclosure or confidentiality agreement between the parties, or otherwise by its very nature reasonably and clearly considered as confidential information, including, though not limited to, information or data concerning the Discloser's products or product plans, business operations, strategies, customers and related business information. The Recipient will protect the confidentiality of Confidential Information with the same degree of care as the Recipient uses for its own similar information, but no less than a reasonable degree of care, under the terms of the Confidential Disclosure Agreement attached as Exhibit F (the "CDA"). To the extent any term of this Agreement conflicts with any term in the CDA, the terms of this Agreement will control and take precedence. Confidential Information may only be used by those employees of the Recipient who have a need to know such information for the purposes related to this Agreement. The parties acknowledge that all Technical Information and Forecasts are deemed Confidential Information to be protected for a term of [*] from the date of disclosure.</w:t>
      </w:r>
    </w:p>
    <w:p>
      <w:pPr>
        <w:spacing w:after="0" w:line="188"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19.2Exclusions. The foregoing confidentiality obligations will not apply to any information that is (a) already known by the Recipient prior to disclosure, (b) independently developed by the Recipient prior to or independent of the disclosure, (c) publicly available through no fault of the Recipient, (d) rightfully received from a third party with no duty of confidentiality, (e) disclosed by the Recipient with the Discloser's prior written approval, or (f) disclosed under operation of law. In the event that a party becomes aware that disclosure is likely to be required by operation of law, the party having knowledge of such possible disclosure will provide the other with ample notice and opportunity to seek a</w:t>
      </w:r>
    </w:p>
    <w:p>
      <w:pPr>
        <w:spacing w:after="0" w:line="357" w:lineRule="exact"/>
        <w:rPr>
          <w:sz w:val="20"/>
          <w:szCs w:val="20"/>
          <w:color w:val="auto"/>
        </w:rPr>
      </w:pPr>
    </w:p>
    <w:p>
      <w:pPr>
        <w:ind w:left="447" w:right="2959" w:hanging="447"/>
        <w:spacing w:after="0" w:line="247" w:lineRule="auto"/>
        <w:tabs>
          <w:tab w:leader="none" w:pos="447"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43" w:right="1440" w:bottom="1440" w:gutter="0" w:footer="0" w:header="0"/>
        </w:sectPr>
      </w:pPr>
    </w:p>
    <w:bookmarkStart w:id="175" w:name="page176"/>
    <w:bookmarkEnd w:id="175"/>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protective order.</w:t>
      </w:r>
    </w:p>
    <w:p>
      <w:pPr>
        <w:spacing w:after="0" w:line="180" w:lineRule="exact"/>
        <w:rPr>
          <w:sz w:val="20"/>
          <w:szCs w:val="20"/>
          <w:color w:val="auto"/>
        </w:rPr>
      </w:pPr>
    </w:p>
    <w:p>
      <w:pPr>
        <w:ind w:left="727" w:hanging="727"/>
        <w:spacing w:after="0"/>
        <w:tabs>
          <w:tab w:leader="none" w:pos="727"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REQUIREMENTS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20.1Insurance Coverage. Supplier will maintain Comprehensive or Commercial General Liability Insurance (including but not limited to products and completed operations, broad form contractual liability, broad form property damage and personal injury liability) with a minimum limit of [*] combined single limit per occurrence and [*] in the aggregate, for claims of bodily injury, including death, and property damage that may arise from use of the OEM Products or acts or omissions of Supplier under this Agreement. Each policy obtained by Supplier will [*] ([*] in performing [*] or [*] herein) as [*]. Such insurance will apply as [*] and no other [*] will be called upon to contribute to a [*] thereunder. In addition, such policies will permit Supplier to waive, on its own behalf and on behalf of its insurers, any rights of subrogation against HP. Such insurance policies will be written with appropriately licensed and financially responsible insurer, and Supplier will provide for a minimum of [*] written notice to HP of any cancellation or reduction in coverage. Certificates of insurance evidencing the required coverage and limits will be furnished to HP before any work is commenced hereunder, and Supplier will deliver copies of policies or certificates to the HP contact listed in Exhibit G.</w:t>
      </w:r>
    </w:p>
    <w:p>
      <w:pPr>
        <w:spacing w:after="0" w:line="187"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20.2Claims Made Coverage. If any applicable Comprehensive or General Liability policies have "claims made" coverage, Supplier will maintain such coverage with [*] as an [*] for a minimum of [*] after termination of this Agreement. Any such coverage must have a retroactive date no later than the date upon which work commenced under this Agreement.</w:t>
      </w:r>
    </w:p>
    <w:p>
      <w:pPr>
        <w:spacing w:after="0" w:line="178"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20.3Additional Requirements. All deductibles on policies providing coverage will be paid by Supplier. In the event Supplier is self-insured for matters described in Section 20.1, Supplier agrees to respond to any claims or losses made against or incurred [*] had been purchased with the [*] than what is generally available to similar suppliers. In no event will the coverage or limits of any insurance required under this Article, or the lack or unavailability of any other insurance, be deemed to limit or diminish Supplier's obligations or liability to HP under this Agreement. Supplier's obligations under this Article</w:t>
      </w:r>
    </w:p>
    <w:p>
      <w:pPr>
        <w:spacing w:after="0" w:line="6" w:lineRule="exact"/>
        <w:rPr>
          <w:rFonts w:ascii="Courier New" w:cs="Courier New" w:eastAsia="Courier New" w:hAnsi="Courier New"/>
          <w:sz w:val="15"/>
          <w:szCs w:val="15"/>
          <w:color w:val="auto"/>
        </w:rPr>
      </w:pPr>
    </w:p>
    <w:p>
      <w:pPr>
        <w:ind w:left="1447" w:right="3599" w:firstLine="7"/>
        <w:spacing w:after="0" w:line="247" w:lineRule="auto"/>
        <w:tabs>
          <w:tab w:leader="none" w:pos="1901" w:val="left"/>
        </w:tabs>
        <w:numPr>
          <w:ilvl w:val="1"/>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also include those as set forth in Exhibit (J) attached hereto.</w:t>
      </w:r>
    </w:p>
    <w:p>
      <w:pPr>
        <w:spacing w:after="0" w:line="17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4" w:lineRule="exact"/>
        <w:rPr>
          <w:rFonts w:ascii="Courier New" w:cs="Courier New" w:eastAsia="Courier New" w:hAnsi="Courier New"/>
          <w:sz w:val="15"/>
          <w:szCs w:val="15"/>
          <w:color w:val="auto"/>
        </w:rPr>
      </w:pPr>
    </w:p>
    <w:p>
      <w:pPr>
        <w:ind w:left="72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STATED HEREIN, NEITHER PARTY WILL BE LIABLE FOR ANY SPECIAL, INCIDENTAL, INDIRECT, OR CONSEQUENTIAL DAMAGES (INCLUDING LOST PROFITS) OF THE OTHER ARISING OUT OF ANY PERFORMANCE OF THIS AGREEMENT OR IN FURTHERANCE OF THE</w:t>
      </w:r>
    </w:p>
    <w:p>
      <w:pPr>
        <w:spacing w:after="0" w:line="352" w:lineRule="exact"/>
        <w:rPr>
          <w:sz w:val="20"/>
          <w:szCs w:val="20"/>
          <w:color w:val="auto"/>
        </w:rPr>
      </w:pPr>
    </w:p>
    <w:p>
      <w:pPr>
        <w:ind w:left="447" w:right="2959" w:hanging="447"/>
        <w:spacing w:after="0" w:line="247" w:lineRule="auto"/>
        <w:tabs>
          <w:tab w:leader="none" w:pos="447"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6"/>
          </w:cols>
          <w:pgMar w:left="233" w:top="643" w:right="1440" w:bottom="1440" w:gutter="0" w:footer="0" w:header="0"/>
        </w:sectPr>
      </w:pPr>
    </w:p>
    <w:bookmarkStart w:id="176" w:name="page177"/>
    <w:bookmarkEnd w:id="176"/>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727" w:right="2959"/>
        <w:spacing w:after="0" w:line="246" w:lineRule="auto"/>
        <w:rPr>
          <w:sz w:val="20"/>
          <w:szCs w:val="20"/>
          <w:color w:val="auto"/>
        </w:rPr>
      </w:pPr>
      <w:r>
        <w:rPr>
          <w:rFonts w:ascii="Courier New" w:cs="Courier New" w:eastAsia="Courier New" w:hAnsi="Courier New"/>
          <w:sz w:val="15"/>
          <w:szCs w:val="15"/>
          <w:color w:val="auto"/>
        </w:rPr>
        <w:t>PROVISIONS OR OBJECTIVES OF THIS AGREEMENT, REGARDLESS OF WHETHER SUCH DAMAGES ARE BASED ON TORT, WARRANTY, CONTRACT OR ANY OTHER LEGAL THEORY, EVEN IF ADVISED OF THE POSSIBILITY OF SUCH DAMAGES. NOTWITHSTANDING THE ABOVE, THE PARTIES WILL BE RESPONSIBLE FOR ANY DAMAGES OF ANY KIND INCLUDED IN AN AWARD OR SETTLEMENT OF A THIRD PARTY CLAIM UNDER ARTICLES 9, 14, OR 19 ABOVE. EXCEPT FOR THE PARTIES' RESPECTIVE OBLIGATIONS UNDER SECTIONS 14 OR 19 ABOVE, THE PARTIES' RESPECTIVE AGGREGATE LIABILITY UNDER THIS AGREEMENT SHALL BE LIMITED TO THE GREATER OF (i) [*], OR (ii)</w:t>
      </w:r>
    </w:p>
    <w:p>
      <w:pPr>
        <w:spacing w:after="0" w:line="5" w:lineRule="exact"/>
        <w:rPr>
          <w:sz w:val="20"/>
          <w:szCs w:val="20"/>
          <w:color w:val="auto"/>
        </w:rPr>
      </w:pPr>
    </w:p>
    <w:p>
      <w:pPr>
        <w:ind w:left="727" w:right="3139"/>
        <w:spacing w:after="0" w:line="247" w:lineRule="auto"/>
        <w:rPr>
          <w:sz w:val="20"/>
          <w:szCs w:val="20"/>
          <w:color w:val="auto"/>
        </w:rPr>
      </w:pPr>
      <w:r>
        <w:rPr>
          <w:rFonts w:ascii="Courier New" w:cs="Courier New" w:eastAsia="Courier New" w:hAnsi="Courier New"/>
          <w:sz w:val="15"/>
          <w:szCs w:val="15"/>
          <w:color w:val="auto"/>
        </w:rPr>
        <w:t>THE [*] BY SUPPLIER FROM HP UNDER THIS AGREEMENT IMMEDIATELY PRECEDING THE EVENTS GIVING RISE TO THE IMPOSITION OF LIABILITY.</w:t>
      </w:r>
    </w:p>
    <w:p>
      <w:pPr>
        <w:spacing w:after="0" w:line="175" w:lineRule="exact"/>
        <w:rPr>
          <w:sz w:val="20"/>
          <w:szCs w:val="20"/>
          <w:color w:val="auto"/>
        </w:rPr>
      </w:pPr>
    </w:p>
    <w:p>
      <w:pPr>
        <w:ind w:left="727" w:hanging="727"/>
        <w:spacing w:after="0"/>
        <w:tabs>
          <w:tab w:leader="none" w:pos="72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22.1Outstanding Orders. All accepted Orders issued prior to the expiration of this Agreement must be fulfilled pursuant to and subject to the terms of this Agreement, even if the Delivery Dates are after expiration. Upon termination of this Agreement for Supplier's breach, HP may cancel any outstanding Order or require Orders to be fulfilled even if a Delivery Date is after the date of termination. If this Agreement is terminated due to HP's breach, then HP will reimburse Supplier for [*] OEM Product units within the [*] back to Supplier's standard product, as described in Exhibit (A-1) attached hereto. Such reimbursement costs shall specifically [*] used in connection with the customization of OEM Products.</w:t>
      </w:r>
    </w:p>
    <w:p>
      <w:pPr>
        <w:spacing w:after="0" w:line="182"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22.2Return Of HP Property. Supplier must return all HP Property to HP upon expiration or termination. All such property must be in good condition, normal wear and tear excepted. [*] will determine the [*] for [*] HP will [*]. Otherwise, Supplier will [*].</w:t>
      </w:r>
    </w:p>
    <w:p>
      <w:pPr>
        <w:spacing w:after="0" w:line="177"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22.3Surviving Provisions. Notwithstanding the expiration or early termination of this Agreement, the provisions regarding Warranties in Article 9, Support in Article 10, Marketing and Licensing in Article 13, Intellectual Property in Article 14, Confidentiality in Article 19, Insurance Requirements in Article 20, Limitation of Liability in Article 21, and the Miscellaneous provisions below will each survive in accordance with their terms.</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23.1Notices. All notices to be given under this Agreement must be in writing addressed to the receiving party's designated recipient specified in Exhibit G. Notices are validly given upon the earlier of confirmed receipt by the receiving party or three days after dispatch by courier or certified mail, postage prepaid, properly addressed to the receiving party. Notices may also be delivered by</w:t>
      </w:r>
    </w:p>
    <w:p>
      <w:pPr>
        <w:spacing w:after="0" w:line="354" w:lineRule="exact"/>
        <w:rPr>
          <w:sz w:val="20"/>
          <w:szCs w:val="20"/>
          <w:color w:val="auto"/>
        </w:rPr>
      </w:pPr>
    </w:p>
    <w:p>
      <w:pPr>
        <w:ind w:left="447" w:right="2959" w:hanging="447"/>
        <w:spacing w:after="0" w:line="247" w:lineRule="auto"/>
        <w:tabs>
          <w:tab w:leader="none" w:pos="447"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6"/>
          </w:cols>
          <w:pgMar w:left="233" w:top="643" w:right="1440" w:bottom="1440" w:gutter="0" w:footer="0" w:header="0"/>
        </w:sectPr>
      </w:pPr>
    </w:p>
    <w:bookmarkStart w:id="177" w:name="page178"/>
    <w:bookmarkEnd w:id="177"/>
    <w:p>
      <w:pPr>
        <w:ind w:left="1340"/>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240" w:right="2959"/>
        <w:spacing w:after="0" w:line="246" w:lineRule="auto"/>
        <w:rPr>
          <w:sz w:val="20"/>
          <w:szCs w:val="20"/>
          <w:color w:val="auto"/>
        </w:rPr>
      </w:pPr>
      <w:r>
        <w:rPr>
          <w:rFonts w:ascii="Courier New" w:cs="Courier New" w:eastAsia="Courier New" w:hAnsi="Courier New"/>
          <w:sz w:val="15"/>
          <w:szCs w:val="15"/>
          <w:color w:val="auto"/>
        </w:rPr>
        <w:t>telefax and will be validly given upon oral or written confirmation of receipt. Either party may change its address for purposes of notice by giving notice to the other party in accordance with these provisions.</w:t>
      </w:r>
    </w:p>
    <w:p>
      <w:pPr>
        <w:spacing w:after="0" w:line="177" w:lineRule="exact"/>
        <w:rPr>
          <w:sz w:val="20"/>
          <w:szCs w:val="20"/>
          <w:color w:val="auto"/>
        </w:rPr>
      </w:pPr>
    </w:p>
    <w:p>
      <w:pPr>
        <w:ind w:left="240" w:right="3219" w:hanging="726"/>
        <w:spacing w:after="0" w:line="247" w:lineRule="auto"/>
        <w:tabs>
          <w:tab w:leader="none" w:pos="22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Exhibits. Each Exhibit attached to this Agreement is deemed a part of this Agreement and incorporated herein wherever reference to it is made.</w:t>
      </w:r>
    </w:p>
    <w:p>
      <w:pPr>
        <w:spacing w:after="0" w:line="174"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Independent Contractors. The relationship of the parties established under this Agreement is that of independent contractors and neither party is a partner, employee, agent or joint-venturer of or with the other. Nothing in this Agreement precludes either party from independently developing, manufacturing, selling or supporting products similar to the OEM Products.</w:t>
      </w:r>
    </w:p>
    <w:p>
      <w:pPr>
        <w:spacing w:after="0" w:line="179"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Assignment. Neither party may, directly or indirectly, in whole or in part, either by operation of law or otherwise, assign or transfer this Agreement or delegate any of its obligations under this Agreement without the other party's written consent, which such consent shall not be unreasonably withheld or untimely delayed. Any attempted assignment, transfer, or delegation without such prior written consent will be void. Notwithstanding the foregoing, HP or its permitted successive assignees or transferees may assign or transfer this Agreement or delegate any rights or obligations hereunder without consent: (1) to any entity controlled by, or under common control with, HP, or its permitted successive assignees or transferees; or (2) in connection with a merger, reorganization, transfer, sale of assets or product lines, or change of control or ownership of HP, or its permitted successive assignees or transferees. Without limiting the foregoing, this Agreement will be binding upon and inure to the benefit of the parties and their permitted successors and assigns.</w:t>
      </w:r>
    </w:p>
    <w:p>
      <w:pPr>
        <w:spacing w:after="0" w:line="186"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No Waiver. The waiver of any term, condition, or provision of this Agreement must be in writing and signed by an authorized representative of the waiving party. Any such waiver will not be construed as a waiver of any other term, condition, or provision except as provided in writing, nor as a waiver of any subsequent breach of the same term, condition, or provision. Other than as expressly agreed herein, all remedies of a party provided herein, together with all remedies available at law or in equity, shall be cumulative.</w:t>
      </w:r>
    </w:p>
    <w:p>
      <w:pPr>
        <w:spacing w:after="0" w:line="180"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5"/>
          <w:szCs w:val="15"/>
          <w:color w:val="auto"/>
        </w:rPr>
        <w:t>Headings. The Section headings used in this Agreement are for convenience of reference only. They will not limit or extend the meaning of any provision of this Agreement, and will not be relevant in interpreting any provision of this Agreement.</w:t>
      </w:r>
    </w:p>
    <w:p>
      <w:pPr>
        <w:spacing w:after="0" w:line="177" w:lineRule="exact"/>
        <w:rPr>
          <w:sz w:val="20"/>
          <w:szCs w:val="20"/>
          <w:color w:val="auto"/>
        </w:rPr>
      </w:pPr>
    </w:p>
    <w:p>
      <w:pPr>
        <w:ind w:left="240" w:right="303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Publicity. Subject to the terms and conditions of Article 19 above, neither party may publicize or disclose to any third party, without the written consent of the other party, the existence or terms of this Agreement except as required under applicable federal securities laws. In the event that Supplier becomes aware that disclosure is likely to be required by operation of law, Supplier shall promptly provide HP with ample notice and opportunity to seek a protective order. Supplier agrees that in the event that disclosure to the SEC is likely, Supplier will file a request for confidential treatment. Such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019"/>
          </w:cols>
          <w:pgMar w:left="1440" w:top="643" w:right="1440" w:bottom="1440" w:gutter="0" w:footer="0" w:header="0"/>
        </w:sectPr>
      </w:pPr>
    </w:p>
    <w:bookmarkStart w:id="178" w:name="page179"/>
    <w:bookmarkEnd w:id="178"/>
    <w:p>
      <w:pPr>
        <w:ind w:left="1340"/>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240" w:right="2959"/>
        <w:spacing w:after="0" w:line="246" w:lineRule="auto"/>
        <w:rPr>
          <w:sz w:val="20"/>
          <w:szCs w:val="20"/>
          <w:color w:val="auto"/>
        </w:rPr>
      </w:pPr>
      <w:r>
        <w:rPr>
          <w:rFonts w:ascii="Courier New" w:cs="Courier New" w:eastAsia="Courier New" w:hAnsi="Courier New"/>
          <w:sz w:val="15"/>
          <w:szCs w:val="15"/>
          <w:color w:val="auto"/>
        </w:rPr>
        <w:t>will include a request that, at a minimum, Exhibits C, D, F, H, and J to this Agreement be deemed confidential. Without limiting the generality of the foregoing sentence, no press releases may be made without the prior mutual written consent of each party.</w:t>
      </w:r>
    </w:p>
    <w:p>
      <w:pPr>
        <w:spacing w:after="0" w:line="177"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5"/>
          <w:szCs w:val="15"/>
          <w:color w:val="auto"/>
        </w:rPr>
        <w:t>Severability. If any provision in this Agreement is held invalid or unenforceable by a body of competent jurisdiction, such provision will be construed, limited or, if necessary, severed to the extent necessary to eliminate such invalidity or unenforceability. The parties agree to negotiate in good faith a valid, enforceable substitute provision that most nearly effects the parties' original intent in entering into this Agreement or to provide an equitable adjustment in the event no such provision can be added. The other provisions of this Agreement will remain in full force and effect.</w:t>
      </w:r>
    </w:p>
    <w:p>
      <w:pPr>
        <w:spacing w:after="0" w:line="181"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23.9</w:t>
      </w:r>
      <w:r>
        <w:rPr>
          <w:sz w:val="20"/>
          <w:szCs w:val="20"/>
          <w:color w:val="auto"/>
        </w:rPr>
        <w:tab/>
      </w:r>
      <w:r>
        <w:rPr>
          <w:rFonts w:ascii="Courier New" w:cs="Courier New" w:eastAsia="Courier New" w:hAnsi="Courier New"/>
          <w:sz w:val="15"/>
          <w:szCs w:val="15"/>
          <w:color w:val="auto"/>
        </w:rPr>
        <w:t>Subcontractors and Subsidiaries. Each party unconditionally guarantees to the other party the performance of all obligations by any of its subcontractors and Subsidiaries under the Agreement (including, without limitation, payment obligations), as amended from time to time, or any other obligation of any subcontractors or Subsidiary to the other party, now existing or hereafter arising. If either party's subcontractors or Subsidiary does not perform such obligation, such party shall immediately perform such obligation.</w:t>
      </w:r>
    </w:p>
    <w:p>
      <w:pPr>
        <w:spacing w:after="0" w:line="180" w:lineRule="exact"/>
        <w:rPr>
          <w:sz w:val="20"/>
          <w:szCs w:val="20"/>
          <w:color w:val="auto"/>
        </w:rPr>
      </w:pPr>
    </w:p>
    <w:p>
      <w:pPr>
        <w:ind w:left="240" w:right="2959" w:hanging="726"/>
        <w:spacing w:after="0" w:line="246" w:lineRule="auto"/>
        <w:tabs>
          <w:tab w:leader="none" w:pos="220" w:val="left"/>
        </w:tabs>
        <w:rPr>
          <w:sz w:val="20"/>
          <w:szCs w:val="20"/>
          <w:color w:val="auto"/>
        </w:rPr>
      </w:pPr>
      <w:r>
        <w:rPr>
          <w:rFonts w:ascii="Courier New" w:cs="Courier New" w:eastAsia="Courier New" w:hAnsi="Courier New"/>
          <w:sz w:val="15"/>
          <w:szCs w:val="15"/>
          <w:color w:val="auto"/>
        </w:rPr>
        <w:t>23.10</w:t>
        <w:tab/>
        <w:t>Entire Agreement. This Agreement comprises the entire understanding between the parties with respect to its subject matters and supersedes any previous or contemporaneous communications, representations, or agreements, whether oral or written. For purposes of construction, this Agreement will be deemed to have been drafted by both parties. No modification of this Agreement will be binding on either party unless in writing and signed by an authorized representative of each party.</w:t>
      </w:r>
    </w:p>
    <w:p>
      <w:pPr>
        <w:spacing w:after="0" w:line="180" w:lineRule="exact"/>
        <w:rPr>
          <w:sz w:val="20"/>
          <w:szCs w:val="20"/>
          <w:color w:val="auto"/>
        </w:rPr>
      </w:pPr>
    </w:p>
    <w:p>
      <w:pPr>
        <w:jc w:val="both"/>
        <w:ind w:left="240" w:right="2959" w:hanging="726"/>
        <w:spacing w:after="0" w:line="247" w:lineRule="auto"/>
        <w:tabs>
          <w:tab w:leader="none" w:pos="220" w:val="left"/>
        </w:tabs>
        <w:rPr>
          <w:sz w:val="20"/>
          <w:szCs w:val="20"/>
          <w:color w:val="auto"/>
        </w:rPr>
      </w:pPr>
      <w:r>
        <w:rPr>
          <w:rFonts w:ascii="Courier New" w:cs="Courier New" w:eastAsia="Courier New" w:hAnsi="Courier New"/>
          <w:sz w:val="15"/>
          <w:szCs w:val="15"/>
          <w:color w:val="auto"/>
        </w:rPr>
        <w:t>23.11</w:t>
        <w:tab/>
        <w:t>Governing Law. This Agreement shall be governed and interpreted according to the laws of the State of New York, exclusive of its choice-of-law provisions.</w:t>
      </w:r>
    </w:p>
    <w:p>
      <w:pPr>
        <w:spacing w:after="0" w:line="174" w:lineRule="exact"/>
        <w:rPr>
          <w:sz w:val="20"/>
          <w:szCs w:val="20"/>
          <w:color w:val="auto"/>
        </w:rPr>
      </w:pPr>
    </w:p>
    <w:p>
      <w:pPr>
        <w:jc w:val="both"/>
        <w:ind w:left="240" w:right="3319" w:hanging="726"/>
        <w:spacing w:after="0" w:line="247" w:lineRule="auto"/>
        <w:tabs>
          <w:tab w:leader="none" w:pos="220" w:val="left"/>
        </w:tabs>
        <w:rPr>
          <w:sz w:val="20"/>
          <w:szCs w:val="20"/>
          <w:color w:val="auto"/>
        </w:rPr>
      </w:pPr>
      <w:r>
        <w:rPr>
          <w:rFonts w:ascii="Courier New" w:cs="Courier New" w:eastAsia="Courier New" w:hAnsi="Courier New"/>
          <w:sz w:val="15"/>
          <w:szCs w:val="15"/>
          <w:color w:val="auto"/>
        </w:rPr>
        <w:t>23.12</w:t>
        <w:tab/>
        <w:t>Exhibits. Each of the following Exhibits referred to in this Agreement is incorporated in full in this Agreement wherever reference to it is made:</w:t>
      </w:r>
    </w:p>
    <w:p>
      <w:pPr>
        <w:spacing w:after="0" w:line="349" w:lineRule="exact"/>
        <w:rPr>
          <w:sz w:val="20"/>
          <w:szCs w:val="20"/>
          <w:color w:val="auto"/>
        </w:rPr>
      </w:pPr>
    </w:p>
    <w:p>
      <w:pPr>
        <w:ind w:left="800"/>
        <w:spacing w:after="0"/>
        <w:tabs>
          <w:tab w:leader="none" w:pos="214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5"/>
          <w:szCs w:val="15"/>
          <w:color w:val="auto"/>
        </w:rPr>
        <w:t>OEM PRODUCTS AND SPECIFICATIONS</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(A-1)</w:t>
        <w:tab/>
        <w:t>Supplier Product Specifications</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(A-2)</w:t>
        <w:tab/>
        <w:t>HP Configuration Specification Document</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(A-3)</w:t>
        <w:tab/>
        <w:t>Packaging</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(A-4)</w:t>
        <w:tab/>
        <w:t>Documentation</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(A-5)</w:t>
        <w:tab/>
        <w:t>HP OpenView SDK Developers' Guide</w:t>
      </w:r>
    </w:p>
    <w:p>
      <w:pPr>
        <w:spacing w:after="0" w:line="5" w:lineRule="exact"/>
        <w:rPr>
          <w:sz w:val="20"/>
          <w:szCs w:val="20"/>
          <w:color w:val="auto"/>
        </w:rPr>
      </w:pPr>
    </w:p>
    <w:p>
      <w:pPr>
        <w:ind w:left="1520"/>
        <w:spacing w:after="0"/>
        <w:tabs>
          <w:tab w:leader="none" w:pos="2140" w:val="left"/>
        </w:tabs>
        <w:rPr>
          <w:sz w:val="20"/>
          <w:szCs w:val="20"/>
          <w:color w:val="auto"/>
        </w:rPr>
      </w:pPr>
      <w:r>
        <w:rPr>
          <w:rFonts w:ascii="Courier New" w:cs="Courier New" w:eastAsia="Courier New" w:hAnsi="Courier New"/>
          <w:sz w:val="15"/>
          <w:szCs w:val="15"/>
          <w:color w:val="auto"/>
        </w:rPr>
        <w:t>(A-6)</w:t>
        <w:tab/>
        <w:t>OEM Product Interoperability Requirements</w:t>
      </w:r>
    </w:p>
    <w:p>
      <w:pPr>
        <w:sectPr>
          <w:pgSz w:w="11900" w:h="16838" w:orient="portrait"/>
          <w:cols w:equalWidth="0" w:num="1">
            <w:col w:w="9019"/>
          </w:cols>
          <w:pgMar w:left="1440" w:top="643" w:right="1440" w:bottom="1440" w:gutter="0" w:footer="0" w:header="0"/>
        </w:sectPr>
      </w:pP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(F)</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5"/>
          <w:szCs w:val="15"/>
          <w:color w:val="auto"/>
        </w:rPr>
        <w:t>ELIGIBLE PURCHASERS &amp;</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 AND FEES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MAINTENANCE AND SUPPORT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EQUIPMENT LOAN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 DISCLOSURE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RECIPIENTS FOR RECEIPT OF NOTICES</w:t>
      </w:r>
    </w:p>
    <w:p>
      <w:pPr>
        <w:spacing w:after="0" w:line="200" w:lineRule="exact"/>
        <w:rPr>
          <w:sz w:val="20"/>
          <w:szCs w:val="20"/>
          <w:color w:val="auto"/>
        </w:rPr>
      </w:pPr>
    </w:p>
    <w:p>
      <w:pPr>
        <w:sectPr>
          <w:pgSz w:w="11900" w:h="16838" w:orient="portrait"/>
          <w:cols w:equalWidth="0" w:num="2">
            <w:col w:w="1800" w:space="360"/>
            <w:col w:w="6859"/>
          </w:cols>
          <w:pgMar w:left="1440"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643" w:right="1440" w:bottom="1440" w:gutter="0" w:footer="0" w:header="0"/>
          <w:type w:val="continuous"/>
        </w:sectPr>
      </w:pPr>
    </w:p>
    <w:bookmarkStart w:id="179" w:name="page180"/>
    <w:bookmarkEnd w:id="179"/>
    <w:p>
      <w:pPr>
        <w:ind w:left="1820"/>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EXHIBIT (H) HP SUPPLIER QUALITY SYSTEM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EXHIBIT (I) HP END USER SOFTWARE LICENSE AGREEMENT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EXHIBIT (J) SUPPLIER-MANAGED INVENTORY REQUIREMENT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w:t>
      </w:r>
    </w:p>
    <w:p>
      <w:pPr>
        <w:sectPr>
          <w:pgSz w:w="11900" w:h="16838" w:orient="portrait"/>
          <w:cols w:equalWidth="0" w:num="1">
            <w:col w:w="9499"/>
          </w:cols>
          <w:pgMar w:left="960" w:top="643" w:right="1440" w:bottom="1440" w:gutter="0" w:footer="0" w:header="0"/>
        </w:sectPr>
      </w:pPr>
    </w:p>
    <w:p>
      <w:pPr>
        <w:spacing w:after="0" w:line="180" w:lineRule="exact"/>
        <w:rPr>
          <w:sz w:val="20"/>
          <w:szCs w:val="20"/>
          <w:color w:val="auto"/>
        </w:rPr>
      </w:pPr>
    </w:p>
    <w:p>
      <w:pPr>
        <w:ind w:right="820"/>
        <w:spacing w:after="0" w:line="247" w:lineRule="auto"/>
        <w:rPr>
          <w:sz w:val="20"/>
          <w:szCs w:val="20"/>
          <w:color w:val="auto"/>
        </w:rPr>
      </w:pPr>
      <w:r>
        <w:rPr>
          <w:rFonts w:ascii="Courier New" w:cs="Courier New" w:eastAsia="Courier New" w:hAnsi="Courier New"/>
          <w:sz w:val="15"/>
          <w:szCs w:val="15"/>
          <w:color w:val="auto"/>
        </w:rPr>
        <w:t>BROCADE COMMUNICATIONS SYSTEMS,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354" w:lineRule="exact"/>
        <w:rPr>
          <w:sz w:val="20"/>
          <w:szCs w:val="20"/>
          <w:color w:val="auto"/>
        </w:rPr>
      </w:pPr>
    </w:p>
    <w:p>
      <w:pPr>
        <w:sectPr>
          <w:pgSz w:w="11900" w:h="16838" w:orient="portrait"/>
          <w:cols w:equalWidth="0" w:num="2">
            <w:col w:w="2820" w:space="720"/>
            <w:col w:w="5959"/>
          </w:cols>
          <w:pgMar w:left="96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ectPr>
          <w:pgSz w:w="11900" w:h="16838" w:orient="portrait"/>
          <w:cols w:equalWidth="0" w:num="2">
            <w:col w:w="2820" w:space="720"/>
            <w:col w:w="5959"/>
          </w:cols>
          <w:pgMar w:left="960" w:top="64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460" w:space="720"/>
            <w:col w:w="5319"/>
          </w:cols>
          <w:pgMar w:left="96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ectPr>
          <w:pgSz w:w="11900" w:h="16838" w:orient="portrait"/>
          <w:cols w:equalWidth="0" w:num="2">
            <w:col w:w="2820" w:space="720"/>
            <w:col w:w="5959"/>
          </w:cols>
          <w:pgMar w:left="960" w:top="64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460" w:space="720"/>
            <w:col w:w="5319"/>
          </w:cols>
          <w:pgMar w:left="96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2820" w:space="720"/>
            <w:col w:w="5959"/>
          </w:cols>
          <w:pgMar w:left="960" w:top="64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460" w:space="720"/>
            <w:col w:w="5319"/>
          </w:cols>
          <w:pgMar w:left="960"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 SARL.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499"/>
          </w:cols>
          <w:pgMar w:left="960" w:top="643" w:right="1440" w:bottom="1440" w:gutter="0" w:footer="0" w:header="0"/>
          <w:type w:val="continuous"/>
        </w:sectPr>
      </w:pPr>
    </w:p>
    <w:bookmarkStart w:id="180" w:name="page181"/>
    <w:bookmarkEnd w:id="180"/>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jc w:val="center"/>
        <w:ind w:right="-307"/>
        <w:spacing w:after="0"/>
        <w:rPr>
          <w:sz w:val="20"/>
          <w:szCs w:val="20"/>
          <w:color w:val="auto"/>
        </w:rPr>
      </w:pPr>
      <w:r>
        <w:rPr>
          <w:rFonts w:ascii="Courier New" w:cs="Courier New" w:eastAsia="Courier New" w:hAnsi="Courier New"/>
          <w:sz w:val="15"/>
          <w:szCs w:val="15"/>
          <w:color w:val="auto"/>
        </w:rPr>
        <w:t>EXHIBIT A-1 - Supplier Product Specification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HIGHLIGHTS</w:t>
      </w:r>
    </w:p>
    <w:p>
      <w:pPr>
        <w:spacing w:after="0" w:line="180" w:lineRule="exact"/>
        <w:rPr>
          <w:sz w:val="20"/>
          <w:szCs w:val="20"/>
          <w:color w:val="auto"/>
        </w:rPr>
      </w:pPr>
    </w:p>
    <w:p>
      <w:pPr>
        <w:ind w:left="727" w:right="3419" w:hanging="727"/>
        <w:spacing w:after="0" w:line="247" w:lineRule="auto"/>
        <w:tabs>
          <w:tab w:leader="none" w:pos="18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SilkWorm 6400 Integrated Fabric delivers a high-density port, rack-ready solution to drive cost-effective SANs.</w:t>
      </w:r>
    </w:p>
    <w:p>
      <w:pPr>
        <w:spacing w:after="0" w:line="174" w:lineRule="exact"/>
        <w:rPr>
          <w:rFonts w:ascii="Courier New" w:cs="Courier New" w:eastAsia="Courier New" w:hAnsi="Courier New"/>
          <w:sz w:val="15"/>
          <w:szCs w:val="15"/>
          <w:color w:val="auto"/>
        </w:rPr>
      </w:pPr>
    </w:p>
    <w:p>
      <w:pPr>
        <w:ind w:left="727" w:right="3039" w:hanging="727"/>
        <w:spacing w:after="0" w:line="247" w:lineRule="auto"/>
        <w:tabs>
          <w:tab w:leader="none" w:pos="18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simplifies the deployment of large SANs by providing high port density and integrated cable management to facilitate SAN implementation and administration.</w:t>
      </w:r>
    </w:p>
    <w:p>
      <w:pPr>
        <w:spacing w:after="0" w:line="174" w:lineRule="exact"/>
        <w:rPr>
          <w:rFonts w:ascii="Courier New" w:cs="Courier New" w:eastAsia="Courier New" w:hAnsi="Courier New"/>
          <w:sz w:val="15"/>
          <w:szCs w:val="15"/>
          <w:color w:val="auto"/>
        </w:rPr>
      </w:pPr>
    </w:p>
    <w:p>
      <w:pPr>
        <w:ind w:left="727" w:right="2859" w:hanging="727"/>
        <w:spacing w:after="0" w:line="247" w:lineRule="auto"/>
        <w:tabs>
          <w:tab w:leader="none" w:pos="18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 design consists of six switch modules preconfigured in a highly available, networked switch fabric enclosed in a well-designed cabinet.</w:t>
      </w:r>
    </w:p>
    <w:p>
      <w:pPr>
        <w:spacing w:after="0" w:line="174" w:lineRule="exact"/>
        <w:rPr>
          <w:rFonts w:ascii="Courier New" w:cs="Courier New" w:eastAsia="Courier New" w:hAnsi="Courier New"/>
          <w:sz w:val="15"/>
          <w:szCs w:val="15"/>
          <w:color w:val="auto"/>
        </w:rPr>
      </w:pPr>
    </w:p>
    <w:p>
      <w:pPr>
        <w:ind w:left="727" w:right="3499" w:hanging="727"/>
        <w:spacing w:after="0" w:line="247" w:lineRule="auto"/>
        <w:tabs>
          <w:tab w:leader="none" w:pos="18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Integrated Fabric is fully networkable for "pay-as-you-grow" migration to larger SAN environments.</w:t>
      </w:r>
    </w:p>
    <w:p>
      <w:pPr>
        <w:spacing w:after="0" w:line="174" w:lineRule="exact"/>
        <w:rPr>
          <w:rFonts w:ascii="Courier New" w:cs="Courier New" w:eastAsia="Courier New" w:hAnsi="Courier New"/>
          <w:sz w:val="15"/>
          <w:szCs w:val="15"/>
          <w:color w:val="auto"/>
        </w:rPr>
      </w:pPr>
    </w:p>
    <w:p>
      <w:pPr>
        <w:ind w:left="727" w:right="2859" w:hanging="727"/>
        <w:spacing w:after="0" w:line="247" w:lineRule="auto"/>
        <w:tabs>
          <w:tab w:leader="none" w:pos="18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no single point of failure within the overall Fabric, the SilkWorm 6400 offers a highly available platform for mission-critical SAN-designed applications.</w:t>
      </w:r>
    </w:p>
    <w:p>
      <w:pPr>
        <w:spacing w:after="0" w:line="174" w:lineRule="exact"/>
        <w:rPr>
          <w:rFonts w:ascii="Courier New" w:cs="Courier New" w:eastAsia="Courier New" w:hAnsi="Courier New"/>
          <w:sz w:val="15"/>
          <w:szCs w:val="15"/>
          <w:color w:val="auto"/>
        </w:rPr>
      </w:pPr>
    </w:p>
    <w:p>
      <w:pPr>
        <w:ind w:left="727" w:right="3039" w:hanging="727"/>
        <w:spacing w:after="0" w:line="247" w:lineRule="auto"/>
        <w:tabs>
          <w:tab w:leader="none" w:pos="18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offers proven forward and backward compatibility with all Brocade SilkWorm switches.</w:t>
      </w:r>
    </w:p>
    <w:p>
      <w:pPr>
        <w:spacing w:after="0" w:line="174" w:lineRule="exact"/>
        <w:rPr>
          <w:rFonts w:ascii="Courier New" w:cs="Courier New" w:eastAsia="Courier New" w:hAnsi="Courier New"/>
          <w:sz w:val="15"/>
          <w:szCs w:val="15"/>
          <w:color w:val="auto"/>
        </w:rPr>
      </w:pPr>
    </w:p>
    <w:p>
      <w:pPr>
        <w:ind w:left="727" w:right="3139" w:hanging="727"/>
        <w:spacing w:after="0" w:line="247" w:lineRule="auto"/>
        <w:tabs>
          <w:tab w:leader="none" w:pos="18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Fabric Manager(TM) offers a centralized view of the SilkWorm 6400 switch modules to simplify SAN administration and maintenance.</w:t>
      </w:r>
    </w:p>
    <w:p>
      <w:pPr>
        <w:spacing w:after="0" w:line="174" w:lineRule="exact"/>
        <w:rPr>
          <w:rFonts w:ascii="Courier New" w:cs="Courier New" w:eastAsia="Courier New" w:hAnsi="Courier New"/>
          <w:sz w:val="15"/>
          <w:szCs w:val="15"/>
          <w:color w:val="auto"/>
        </w:rPr>
      </w:pPr>
    </w:p>
    <w:p>
      <w:pPr>
        <w:ind w:left="727" w:right="2779" w:hanging="727"/>
        <w:spacing w:after="0" w:line="247" w:lineRule="auto"/>
        <w:tabs>
          <w:tab w:leader="none" w:pos="18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included Brocade Fabric OS(TM) provides distributed intelligence for the switch modules.</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SilkWorm 6400 enterprise-class Fibre Channel Integrated Fabric extends the Brocade SilkWorm intelligent storage networking infrastructure for Storage Area Networks (SANs) by providing a cost-effective means of meeting the large-port-count requirements of workgroups and enterprises. The product comprises six integrated switch modules in an enclosure with a removable steel door that represents the latest thinking in industrial design. With preconfigured switch interconnection and management software, the SilkWorm 6400 significantly simplifies the deployment and management of SAN fabrics. The 64 user ports of the SilkWorm 6400 can be managed as a single switch entity in the SAN Fabric. The SilkWorm 6400 Integrated Fabric supports business-critical SAN applications, such as LAN-free backup, server and storage consolidation, remote mirroring and data replication, high-availability clustering configurations, and new SAN-enabled applications such as dynamic storage resource and volume management.</w:t>
      </w:r>
    </w:p>
    <w:p>
      <w:pPr>
        <w:spacing w:after="0" w:line="35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SEAMLESS UPGRADES AND COST-EFFECTIVE MIGRATION</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This product provides a seamless upgrade path for customers. The SilkWorm 6400 offers proven backward and forward compatibility with the entire Brocade SilkWorm family. It is fully per-workable in larger SANs, enabling a cost-effective</w:t>
      </w:r>
    </w:p>
    <w:p>
      <w:pPr>
        <w:spacing w:after="0" w:line="35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SilkWorm(R) 6400</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High-Port-Count Fibre Channel Integrated Fabric</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SilkWorm 6400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Integrated Fabric</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"pay-as-you-grow" migration to more advanced SAN environments while reducing the need to configure and integrate multiple low-port-count switches.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EASE OF CONFIGURATION AND HIGH AVAILABILITY</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integrated design of the SilkWorm 6400 Integrated Fabric accelerates the configuration of the cables and ISL (InterSwitch Link) GBICs (Gigabit Interface Converters) that make up the fabric with 32 pre-installed and wired ISLs and associated cable management. The 64-port SilkWorm 6400 Integrated Fabric delivers high-density connectivity for large SAN fabrics and simplifies the task of designing and building high-availability enterprise SANs.</w:t>
      </w:r>
    </w:p>
    <w:p>
      <w:pPr>
        <w:spacing w:after="0" w:line="178"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With the proven reliability of the Brocade SilkWorm family and its integrated fabric foundation, the SilkWorm 6400 modules combine to deliver a SAN fabric with built-in redundancy and no single point of failure within the overall Fabric. Based on Brocade tests, the MTBF (mean time between failures) of the individual components of the SilkWorm 6400 is estimated to be more than 50 years, and the MTTR (mean time to repair) is estimated at less than one hour. The modular architecture of the SilkWorm 6400 Integrated Fabric results in an overall availability greater than 99.999 percent.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643" w:right="1440" w:bottom="0" w:gutter="0" w:footer="0" w:header="0"/>
        </w:sectPr>
      </w:pPr>
    </w:p>
    <w:bookmarkStart w:id="181" w:name="page182"/>
    <w:bookmarkEnd w:id="181"/>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SOFTWARE FOR SIMPLIFIED MANAGEMENT</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SilkWarm 6400 Integrated Fabric supports scalability and simplifies management by networking multiple switches under Brocade Fabric OS, the embedded real-time operating system of the industry-leading SilkWarm switch family. This enables heterogeneous device connectivity, automatic data routing and rerouting, self-healing, and scalable connectivity. The product leverages the distributed intelligence in Brocade SANs to enable more feature-rich SAN applications.</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product includes the Brocade Fabric Manager, a portable, Java-based management application that is easy to install on a Windows management station. Fabric Manager makes it easy to view the status of all switch modules, drill down to individual switch modules, and access the Brocade WEB TOOLS GUI (graphical user interface). Brocade Fabric Watch(TM) enables pro-active SAN monitoring and intelligent integration with SNMP Enterprise Management Consoles. The SilkWorm 6400 also offers both hardware- and software-enforced SAN zoning, to give SAN administrators comprehensive control over data. Brocade QuickLoop(TM) provides for connection of legacy Fibre Channel arbitrated loop devices to the SilkWorm 6400 and enables them to participate fully as members of the fabric.</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BEST-OF-CLASS PRODUCTS FOR ENTERPRISE SAN FABRICS</w:t>
      </w:r>
    </w:p>
    <w:p>
      <w:pPr>
        <w:spacing w:after="0" w:line="180" w:lineRule="exact"/>
        <w:rPr>
          <w:sz w:val="20"/>
          <w:szCs w:val="20"/>
          <w:color w:val="auto"/>
        </w:rPr>
      </w:pPr>
    </w:p>
    <w:p>
      <w:pPr>
        <w:ind w:left="727" w:right="2859" w:hanging="727"/>
        <w:spacing w:after="0" w:line="247" w:lineRule="auto"/>
        <w:tabs>
          <w:tab w:leader="none" w:pos="182"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64 user parts deliver 100 MB/sec in each direction (full duplex) to meet the most demanding bandwidth requirements for enterprise applications.</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-Universal parts automatically determine the part type for a loop,</w:t>
      </w:r>
    </w:p>
    <w:p>
      <w:pPr>
        <w:spacing w:after="0" w:line="5" w:lineRule="exact"/>
        <w:rPr>
          <w:sz w:val="20"/>
          <w:szCs w:val="20"/>
          <w:color w:val="auto"/>
        </w:rPr>
      </w:pPr>
    </w:p>
    <w:p>
      <w:pPr>
        <w:ind w:left="727" w:right="3039"/>
        <w:spacing w:after="0" w:line="247" w:lineRule="auto"/>
        <w:rPr>
          <w:sz w:val="20"/>
          <w:szCs w:val="20"/>
          <w:color w:val="auto"/>
        </w:rPr>
      </w:pPr>
      <w:r>
        <w:rPr>
          <w:rFonts w:ascii="Courier New" w:cs="Courier New" w:eastAsia="Courier New" w:hAnsi="Courier New"/>
          <w:sz w:val="15"/>
          <w:szCs w:val="15"/>
          <w:color w:val="auto"/>
        </w:rPr>
        <w:t>point-to-point devices, or an ISL to provide flexible connectivity with a wide variety of host, storage, and other switch types.</w:t>
      </w:r>
    </w:p>
    <w:p>
      <w:pPr>
        <w:spacing w:after="0" w:line="175" w:lineRule="exact"/>
        <w:rPr>
          <w:sz w:val="20"/>
          <w:szCs w:val="20"/>
          <w:color w:val="auto"/>
        </w:rPr>
      </w:pPr>
    </w:p>
    <w:p>
      <w:pPr>
        <w:ind w:left="727" w:right="2779" w:hanging="727"/>
        <w:spacing w:after="0" w:line="247" w:lineRule="auto"/>
        <w:tabs>
          <w:tab w:leader="none" w:pos="182"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-Buffer-pool management and use of mini-buffers for small frames optimize overall performance.</w:t>
      </w:r>
    </w:p>
    <w:p>
      <w:pPr>
        <w:spacing w:after="0" w:line="174" w:lineRule="exact"/>
        <w:rPr>
          <w:rFonts w:ascii="Courier New" w:cs="Courier New" w:eastAsia="Courier New" w:hAnsi="Courier New"/>
          <w:sz w:val="15"/>
          <w:szCs w:val="15"/>
          <w:color w:val="auto"/>
        </w:rPr>
      </w:pPr>
    </w:p>
    <w:p>
      <w:pPr>
        <w:ind w:left="727" w:right="3039" w:hanging="727"/>
        <w:spacing w:after="0" w:line="247" w:lineRule="auto"/>
        <w:tabs>
          <w:tab w:leader="none" w:pos="182"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-Hardware-enforced Brocade Zoning(TM) secures data access among switch parts to prevent unauthorized access to important data.</w:t>
      </w:r>
    </w:p>
    <w:p>
      <w:pPr>
        <w:spacing w:after="0" w:line="174" w:lineRule="exact"/>
        <w:rPr>
          <w:rFonts w:ascii="Courier New" w:cs="Courier New" w:eastAsia="Courier New" w:hAnsi="Courier New"/>
          <w:sz w:val="15"/>
          <w:szCs w:val="15"/>
          <w:color w:val="auto"/>
        </w:rPr>
      </w:pPr>
    </w:p>
    <w:p>
      <w:pPr>
        <w:ind w:left="727" w:right="2859" w:hanging="727"/>
        <w:spacing w:after="0" w:line="247" w:lineRule="auto"/>
        <w:tabs>
          <w:tab w:leader="none" w:pos="182"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are distributed across the entire Fabric, which means there is no single point of failure.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INDUSTRY-LEADING RELIABILITY AND SERVICEABILITY</w:t>
      </w:r>
    </w:p>
    <w:p>
      <w:pPr>
        <w:spacing w:after="0" w:line="180" w:lineRule="exact"/>
        <w:rPr>
          <w:sz w:val="20"/>
          <w:szCs w:val="20"/>
          <w:color w:val="auto"/>
        </w:rPr>
      </w:pPr>
    </w:p>
    <w:p>
      <w:pPr>
        <w:ind w:left="727" w:right="3039" w:hanging="727"/>
        <w:spacing w:after="0" w:line="247" w:lineRule="auto"/>
        <w:tabs>
          <w:tab w:leader="none" w:pos="182"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-ISLs are prewired and installed with 32 short-wave-length (SWL) GBICs and cable management harnesses to make the unit easier to install, upgrade, and manage.</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329" w:lineRule="exact"/>
        <w:rPr>
          <w:sz w:val="20"/>
          <w:szCs w:val="20"/>
          <w:color w:val="auto"/>
        </w:rPr>
      </w:pPr>
    </w:p>
    <w:p>
      <w:pPr>
        <w:ind w:left="727" w:right="2779" w:hanging="727"/>
        <w:spacing w:after="0" w:line="247" w:lineRule="auto"/>
        <w:tabs>
          <w:tab w:leader="none" w:pos="182"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-GBIC based modular design makes it easy to hot-swap connections quickly. Media may be mixed on the same switch in any combination.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sectPr>
      </w:pPr>
    </w:p>
    <w:bookmarkStart w:id="182" w:name="page183"/>
    <w:bookmarkEnd w:id="182"/>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87" w:hanging="187"/>
        <w:spacing w:after="0"/>
        <w:tabs>
          <w:tab w:leader="none" w:pos="18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-Highly reliable components, continuous monitoring of environmental</w:t>
      </w:r>
    </w:p>
    <w:p>
      <w:pPr>
        <w:spacing w:after="0" w:line="4" w:lineRule="exact"/>
        <w:rPr>
          <w:rFonts w:ascii="Courier New" w:cs="Courier New" w:eastAsia="Courier New" w:hAnsi="Courier New"/>
          <w:sz w:val="15"/>
          <w:szCs w:val="15"/>
          <w:color w:val="auto"/>
        </w:rPr>
      </w:pPr>
    </w:p>
    <w:p>
      <w:pPr>
        <w:ind w:left="727"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components (fan status and temperature), and extremely durable construction all maximize MTBF to reduce service costs.</w:t>
      </w:r>
    </w:p>
    <w:p>
      <w:pPr>
        <w:spacing w:after="0" w:line="174" w:lineRule="exact"/>
        <w:rPr>
          <w:rFonts w:ascii="Courier New" w:cs="Courier New" w:eastAsia="Courier New" w:hAnsi="Courier New"/>
          <w:sz w:val="15"/>
          <w:szCs w:val="15"/>
          <w:color w:val="auto"/>
        </w:rPr>
      </w:pPr>
    </w:p>
    <w:p>
      <w:pPr>
        <w:ind w:left="727" w:right="2959" w:hanging="727"/>
        <w:spacing w:after="0" w:line="247" w:lineRule="auto"/>
        <w:tabs>
          <w:tab w:leader="none" w:pos="182"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 (Power-On Self-Test) and online diagnostics enable administrators to monitor and test parts while the switch is in operation.</w:t>
      </w:r>
    </w:p>
    <w:p>
      <w:pPr>
        <w:spacing w:after="0" w:line="174" w:lineRule="exact"/>
        <w:rPr>
          <w:rFonts w:ascii="Courier New" w:cs="Courier New" w:eastAsia="Courier New" w:hAnsi="Courier New"/>
          <w:sz w:val="15"/>
          <w:szCs w:val="15"/>
          <w:color w:val="auto"/>
        </w:rPr>
      </w:pPr>
    </w:p>
    <w:p>
      <w:pPr>
        <w:ind w:left="727" w:right="2959" w:hanging="727"/>
        <w:spacing w:after="0" w:line="247" w:lineRule="auto"/>
        <w:tabs>
          <w:tab w:leader="none" w:pos="182"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-Per-part statistics help administrators diagnose and isolate problem parts for ease of service. The switch will continue to operate even when individual parts have been removed.</w:t>
      </w:r>
    </w:p>
    <w:p>
      <w:pPr>
        <w:spacing w:after="0" w:line="174" w:lineRule="exact"/>
        <w:rPr>
          <w:rFonts w:ascii="Courier New" w:cs="Courier New" w:eastAsia="Courier New" w:hAnsi="Courier New"/>
          <w:sz w:val="15"/>
          <w:szCs w:val="15"/>
          <w:color w:val="auto"/>
        </w:rPr>
      </w:pPr>
    </w:p>
    <w:p>
      <w:pPr>
        <w:ind w:left="727" w:right="2859" w:hanging="727"/>
        <w:spacing w:after="0" w:line="247" w:lineRule="auto"/>
        <w:tabs>
          <w:tab w:leader="none" w:pos="182"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-Embedded port-monitoring facilities automatically disable failing parts and restart them when the problem has cleared, reducing administrative overhead.</w:t>
      </w:r>
    </w:p>
    <w:p>
      <w:pPr>
        <w:spacing w:after="0" w:line="174" w:lineRule="exact"/>
        <w:rPr>
          <w:rFonts w:ascii="Courier New" w:cs="Courier New" w:eastAsia="Courier New" w:hAnsi="Courier New"/>
          <w:sz w:val="15"/>
          <w:szCs w:val="15"/>
          <w:color w:val="auto"/>
        </w:rPr>
      </w:pPr>
    </w:p>
    <w:p>
      <w:pPr>
        <w:ind w:left="727" w:right="2959" w:hanging="727"/>
        <w:spacing w:after="0" w:line="247" w:lineRule="auto"/>
        <w:tabs>
          <w:tab w:leader="none" w:pos="182"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-Swappable switch modules in an integrated switch fabric provide redundancy. With host-based failover support, automatic rerouting across switch modules ensures continued operation if one module fails.</w:t>
      </w:r>
    </w:p>
    <w:p>
      <w:pPr>
        <w:spacing w:after="0" w:line="174" w:lineRule="exact"/>
        <w:rPr>
          <w:rFonts w:ascii="Courier New" w:cs="Courier New" w:eastAsia="Courier New" w:hAnsi="Courier New"/>
          <w:sz w:val="15"/>
          <w:szCs w:val="15"/>
          <w:color w:val="auto"/>
        </w:rPr>
      </w:pPr>
    </w:p>
    <w:p>
      <w:pPr>
        <w:ind w:left="727" w:right="3139" w:hanging="727"/>
        <w:spacing w:after="0" w:line="247" w:lineRule="auto"/>
        <w:tabs>
          <w:tab w:leader="none" w:pos="182"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-Color-coded ISL cable diagrams and cables, along with the ability to replace a single switch module, reduce service costs and minimize downtime in the event of a failure.</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ADVANCED SAN CONTROL AND MANAGEMENT</w:t>
      </w:r>
    </w:p>
    <w:p>
      <w:pPr>
        <w:spacing w:after="0" w:line="180" w:lineRule="exact"/>
        <w:rPr>
          <w:sz w:val="20"/>
          <w:szCs w:val="20"/>
          <w:color w:val="auto"/>
        </w:rPr>
      </w:pPr>
    </w:p>
    <w:p>
      <w:pPr>
        <w:ind w:left="727" w:right="2779" w:hanging="727"/>
        <w:spacing w:after="0" w:line="247" w:lineRule="auto"/>
        <w:tabs>
          <w:tab w:leader="none" w:pos="182"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Brocade Fabric Manager software enables the switch to be defined and viewed as a single entity to simplify administration.</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Fabric OS API (application programming interface) supports</w:t>
      </w:r>
    </w:p>
    <w:p>
      <w:pPr>
        <w:spacing w:after="0" w:line="5" w:lineRule="exact"/>
        <w:rPr>
          <w:sz w:val="20"/>
          <w:szCs w:val="20"/>
          <w:color w:val="auto"/>
        </w:rPr>
      </w:pPr>
    </w:p>
    <w:p>
      <w:pPr>
        <w:ind w:left="727" w:right="3319"/>
        <w:spacing w:after="0" w:line="247" w:lineRule="auto"/>
        <w:rPr>
          <w:sz w:val="20"/>
          <w:szCs w:val="20"/>
          <w:color w:val="auto"/>
        </w:rPr>
      </w:pPr>
      <w:r>
        <w:rPr>
          <w:rFonts w:ascii="Courier New" w:cs="Courier New" w:eastAsia="Courier New" w:hAnsi="Courier New"/>
          <w:sz w:val="15"/>
          <w:szCs w:val="15"/>
          <w:color w:val="auto"/>
        </w:rPr>
        <w:t>feature-rich SAN applications and management capabilities, including VERITAS SANPoint Control.</w:t>
      </w:r>
    </w:p>
    <w:p>
      <w:pPr>
        <w:spacing w:after="0" w:line="175" w:lineRule="exact"/>
        <w:rPr>
          <w:sz w:val="20"/>
          <w:szCs w:val="20"/>
          <w:color w:val="auto"/>
        </w:rPr>
      </w:pPr>
    </w:p>
    <w:p>
      <w:pPr>
        <w:ind w:left="727" w:right="3219" w:hanging="727"/>
        <w:spacing w:after="0" w:line="247" w:lineRule="auto"/>
        <w:tabs>
          <w:tab w:leader="none" w:pos="182"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for industry-standard MIBs (Management Information Bases) enables SNMP (Simple Network Management Protocol)-based interfaces to access switch information.</w:t>
      </w:r>
    </w:p>
    <w:p>
      <w:pPr>
        <w:spacing w:after="0" w:line="174" w:lineRule="exact"/>
        <w:rPr>
          <w:rFonts w:ascii="Courier New" w:cs="Courier New" w:eastAsia="Courier New" w:hAnsi="Courier New"/>
          <w:sz w:val="15"/>
          <w:szCs w:val="15"/>
          <w:color w:val="auto"/>
        </w:rPr>
      </w:pPr>
    </w:p>
    <w:p>
      <w:pPr>
        <w:ind w:left="727" w:right="3599" w:hanging="727"/>
        <w:spacing w:after="0" w:line="247" w:lineRule="auto"/>
        <w:tabs>
          <w:tab w:leader="none" w:pos="182"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administrators can manage switch configuration using a command-line interface or the Web-based administrative capability offered by Brocade WEB TOOLS(TM) and Brocade Zoning.</w:t>
      </w:r>
    </w:p>
    <w:p>
      <w:pPr>
        <w:spacing w:after="0" w:line="174" w:lineRule="exact"/>
        <w:rPr>
          <w:rFonts w:ascii="Courier New" w:cs="Courier New" w:eastAsia="Courier New" w:hAnsi="Courier New"/>
          <w:sz w:val="15"/>
          <w:szCs w:val="15"/>
          <w:color w:val="auto"/>
        </w:rPr>
      </w:pPr>
    </w:p>
    <w:p>
      <w:pPr>
        <w:ind w:left="727" w:right="3219" w:hanging="727"/>
        <w:spacing w:after="0" w:line="247" w:lineRule="auto"/>
        <w:tabs>
          <w:tab w:leader="none" w:pos="182"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-Self-healing feature enables the fabric to isolate a problem switch module or part and reroute traffic onto alternate paths to ensure availability with enterprise applications.</w:t>
      </w:r>
    </w:p>
    <w:p>
      <w:pPr>
        <w:spacing w:after="0" w:line="174" w:lineRule="exact"/>
        <w:rPr>
          <w:rFonts w:ascii="Courier New" w:cs="Courier New" w:eastAsia="Courier New" w:hAnsi="Courier New"/>
          <w:sz w:val="15"/>
          <w:szCs w:val="15"/>
          <w:color w:val="auto"/>
        </w:rPr>
      </w:pPr>
    </w:p>
    <w:p>
      <w:pPr>
        <w:ind w:left="727" w:right="2859" w:hanging="727"/>
        <w:spacing w:after="0" w:line="247" w:lineRule="auto"/>
        <w:tabs>
          <w:tab w:leader="none" w:pos="182"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Fabric Watch, a time-based threshold-monitoring feature, allows advanced management of the SAN Fabric, including monitoring of the internal ISLs for congestion.</w:t>
      </w:r>
    </w:p>
    <w:p>
      <w:pPr>
        <w:spacing w:after="0" w:line="174" w:lineRule="exact"/>
        <w:rPr>
          <w:rFonts w:ascii="Courier New" w:cs="Courier New" w:eastAsia="Courier New" w:hAnsi="Courier New"/>
          <w:sz w:val="15"/>
          <w:szCs w:val="15"/>
          <w:color w:val="auto"/>
        </w:rPr>
      </w:pPr>
    </w:p>
    <w:p>
      <w:pPr>
        <w:ind w:left="727" w:right="3039" w:hanging="727"/>
        <w:spacing w:after="0" w:line="247" w:lineRule="auto"/>
        <w:tabs>
          <w:tab w:leader="none" w:pos="182"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-Self-learning feature allows the fabric to automatically discover and register host and storage devices.</w:t>
      </w:r>
    </w:p>
    <w:p>
      <w:pPr>
        <w:spacing w:after="0" w:line="174" w:lineRule="exact"/>
        <w:rPr>
          <w:rFonts w:ascii="Courier New" w:cs="Courier New" w:eastAsia="Courier New" w:hAnsi="Courier New"/>
          <w:sz w:val="15"/>
          <w:szCs w:val="15"/>
          <w:color w:val="auto"/>
        </w:rPr>
      </w:pPr>
    </w:p>
    <w:p>
      <w:pPr>
        <w:ind w:left="7" w:right="3219" w:hanging="7"/>
        <w:spacing w:after="0" w:line="247" w:lineRule="auto"/>
        <w:tabs>
          <w:tab w:leader="none" w:pos="18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Brocade QuickLoop enables enhanced connectivity and management of private devices.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sectPr>
      </w:pPr>
    </w:p>
    <w:bookmarkStart w:id="183" w:name="page184"/>
    <w:bookmarkEnd w:id="183"/>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SILKWORM 6400 INTEGRATED FABRIC SPECIFICATIONS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FIBRE CHANNEL STANDARDS</w:t>
      </w:r>
    </w:p>
    <w:p>
      <w:pPr>
        <w:sectPr>
          <w:pgSz w:w="11900" w:h="16838" w:orient="portrait"/>
          <w:cols w:equalWidth="0" w:num="1">
            <w:col w:w="10226"/>
          </w:cols>
          <w:pgMar w:left="233" w:top="643" w:right="1440" w:bottom="256" w:gutter="0" w:footer="0" w:header="0"/>
        </w:sectPr>
      </w:pPr>
    </w:p>
    <w:p>
      <w:pPr>
        <w:spacing w:after="0" w:line="354" w:lineRule="exact"/>
        <w:rPr>
          <w:sz w:val="20"/>
          <w:szCs w:val="20"/>
          <w:color w:val="auto"/>
        </w:rPr>
      </w:pPr>
    </w:p>
    <w:p>
      <w:pPr>
        <w:ind w:left="7"/>
        <w:spacing w:after="0" w:line="246" w:lineRule="auto"/>
        <w:rPr>
          <w:sz w:val="20"/>
          <w:szCs w:val="20"/>
          <w:color w:val="auto"/>
        </w:rPr>
      </w:pPr>
      <w:r>
        <w:rPr>
          <w:rFonts w:ascii="Courier New" w:cs="Courier New" w:eastAsia="Courier New" w:hAnsi="Courier New"/>
          <w:sz w:val="15"/>
          <w:szCs w:val="15"/>
          <w:color w:val="auto"/>
        </w:rPr>
        <w:t>STANDARD FC-AL FC-AL-2 FC-FLA FC-GS-2 FC-FG FC-PH FC-PH-2 FC-PH-3 FC-PLDA FC-SW FC-VI IPFC</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7.4*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RFC 2625</w:t>
      </w:r>
    </w:p>
    <w:p>
      <w:pPr>
        <w:spacing w:after="0" w:line="200" w:lineRule="exact"/>
        <w:rPr>
          <w:sz w:val="20"/>
          <w:szCs w:val="20"/>
          <w:color w:val="auto"/>
        </w:rPr>
      </w:pPr>
    </w:p>
    <w:p>
      <w:pPr>
        <w:sectPr>
          <w:pgSz w:w="11900" w:h="16838" w:orient="portrait"/>
          <w:cols w:equalWidth="0" w:num="2">
            <w:col w:w="727" w:space="640"/>
            <w:col w:w="8859"/>
          </w:cols>
          <w:pgMar w:left="233" w:top="643" w:right="1440" w:bottom="256" w:gutter="0" w:footer="0" w:header="0"/>
          <w:type w:val="continuous"/>
        </w:sectPr>
      </w:pPr>
    </w:p>
    <w:p>
      <w:pPr>
        <w:spacing w:after="0" w:line="329" w:lineRule="exact"/>
        <w:rPr>
          <w:sz w:val="20"/>
          <w:szCs w:val="20"/>
          <w:color w:val="auto"/>
        </w:rPr>
      </w:pPr>
    </w:p>
    <w:p>
      <w:pPr>
        <w:ind w:left="187" w:hanging="187"/>
        <w:spacing w:after="0"/>
        <w:tabs>
          <w:tab w:leader="none" w:pos="187"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an approved standard</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SYSTEMS ARCHITECTURE</w:t>
      </w:r>
    </w:p>
    <w:p>
      <w:pPr>
        <w:sectPr>
          <w:pgSz w:w="11900" w:h="16838" w:orient="portrait"/>
          <w:cols w:equalWidth="0" w:num="1">
            <w:col w:w="10226"/>
          </w:cols>
          <w:pgMar w:left="233" w:top="643" w:right="1440" w:bottom="256"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7"/>
        <w:spacing w:after="0" w:line="247" w:lineRule="auto"/>
        <w:rPr>
          <w:sz w:val="20"/>
          <w:szCs w:val="20"/>
          <w:color w:val="auto"/>
        </w:rPr>
      </w:pPr>
      <w:r>
        <w:rPr>
          <w:rFonts w:ascii="Courier New" w:cs="Courier New" w:eastAsia="Courier New" w:hAnsi="Courier New"/>
          <w:sz w:val="15"/>
          <w:szCs w:val="15"/>
          <w:color w:val="auto"/>
        </w:rPr>
        <w:t>FIBRE CHANNEL PARTS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user ports</w:t>
      </w:r>
    </w:p>
    <w:p>
      <w:pPr>
        <w:spacing w:after="0" w:line="354" w:lineRule="exact"/>
        <w:rPr>
          <w:sz w:val="20"/>
          <w:szCs w:val="20"/>
          <w:color w:val="auto"/>
        </w:rPr>
      </w:pPr>
    </w:p>
    <w:p>
      <w:pPr>
        <w:sectPr>
          <w:pgSz w:w="11900" w:h="16838" w:orient="portrait"/>
          <w:cols w:equalWidth="0" w:num="2">
            <w:col w:w="1187" w:space="64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SCALABILITY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Full Fabric Architecture: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239 switches maximum</w:t>
      </w:r>
    </w:p>
    <w:p>
      <w:pPr>
        <w:spacing w:after="0" w:line="180" w:lineRule="exact"/>
        <w:rPr>
          <w:sz w:val="20"/>
          <w:szCs w:val="20"/>
          <w:color w:val="auto"/>
        </w:rPr>
      </w:pPr>
    </w:p>
    <w:p>
      <w:pPr>
        <w:sectPr>
          <w:pgSz w:w="11900" w:h="16838" w:orient="portrait"/>
          <w:cols w:equalWidth="0" w:num="2">
            <w:col w:w="1107" w:space="72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CERTIFIED 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 switches, 7 hops. Larger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Fabrics certified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w:t>
      </w:r>
    </w:p>
    <w:p>
      <w:pPr>
        <w:spacing w:after="0" w:line="180" w:lineRule="exact"/>
        <w:rPr>
          <w:sz w:val="20"/>
          <w:szCs w:val="20"/>
          <w:color w:val="auto"/>
        </w:rPr>
      </w:pPr>
    </w:p>
    <w:p>
      <w:pPr>
        <w:sectPr>
          <w:pgSz w:w="11900" w:h="16838" w:orient="portrait"/>
          <w:cols w:equalWidth="0" w:num="2">
            <w:col w:w="1547" w:space="28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INTEROPERABILITY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SilkWorm II, SilkWorm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Express, or any SilkWorm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Family switch</w:t>
      </w:r>
    </w:p>
    <w:p>
      <w:pPr>
        <w:spacing w:after="0" w:line="180" w:lineRule="exact"/>
        <w:rPr>
          <w:sz w:val="20"/>
          <w:szCs w:val="20"/>
          <w:color w:val="auto"/>
        </w:rPr>
      </w:pPr>
    </w:p>
    <w:p>
      <w:pPr>
        <w:sectPr>
          <w:pgSz w:w="11900" w:h="16838" w:orient="portrait"/>
          <w:cols w:equalWidth="0" w:num="2">
            <w:col w:w="1447" w:space="38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1.0625 Gb/sec line speed,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duplex</w:t>
      </w:r>
    </w:p>
    <w:p>
      <w:pPr>
        <w:spacing w:after="0" w:line="180" w:lineRule="exact"/>
        <w:rPr>
          <w:sz w:val="20"/>
          <w:szCs w:val="20"/>
          <w:color w:val="auto"/>
        </w:rPr>
      </w:pPr>
    </w:p>
    <w:p>
      <w:pPr>
        <w:sectPr>
          <w:pgSz w:w="11900" w:h="16838" w:orient="portrait"/>
          <w:cols w:equalWidth="0" w:num="2">
            <w:col w:w="1107" w:space="72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SWITCH BANDWIDTH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 Gb/sec end to end</w:t>
      </w:r>
    </w:p>
    <w:p>
      <w:pPr>
        <w:spacing w:after="0" w:line="191" w:lineRule="exact"/>
        <w:rPr>
          <w:sz w:val="20"/>
          <w:szCs w:val="20"/>
          <w:color w:val="auto"/>
        </w:rPr>
      </w:pPr>
    </w:p>
    <w:p>
      <w:pPr>
        <w:sectPr>
          <w:pgSz w:w="11900" w:h="16838" w:orient="portrait"/>
          <w:cols w:equalWidth="0" w:num="2">
            <w:col w:w="1447" w:space="38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SWITCH MODULES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Nonblocking</w:t>
      </w:r>
    </w:p>
    <w:p>
      <w:pPr>
        <w:spacing w:after="0" w:line="180" w:lineRule="exact"/>
        <w:rPr>
          <w:sz w:val="20"/>
          <w:szCs w:val="20"/>
          <w:color w:val="auto"/>
        </w:rPr>
      </w:pPr>
    </w:p>
    <w:p>
      <w:pPr>
        <w:sectPr>
          <w:pgSz w:w="11900" w:h="16838" w:orient="portrait"/>
          <w:cols w:equalWidth="0" w:num="2">
            <w:col w:w="1267" w:space="56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FABRIC LATENCY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&lt;2 (micro)sec within each module,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cut-through routing</w:t>
      </w:r>
    </w:p>
    <w:p>
      <w:pPr>
        <w:spacing w:after="0" w:line="180" w:lineRule="exact"/>
        <w:rPr>
          <w:sz w:val="20"/>
          <w:szCs w:val="20"/>
          <w:color w:val="auto"/>
        </w:rPr>
      </w:pPr>
    </w:p>
    <w:p>
      <w:pPr>
        <w:sectPr>
          <w:pgSz w:w="11900" w:h="16838" w:orient="portrait"/>
          <w:cols w:equalWidth="0" w:num="2">
            <w:col w:w="1267" w:space="56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MAXIMUM FRAME 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2112-byte payload</w:t>
      </w:r>
    </w:p>
    <w:p>
      <w:pPr>
        <w:spacing w:after="0" w:line="180" w:lineRule="exact"/>
        <w:rPr>
          <w:sz w:val="20"/>
          <w:szCs w:val="20"/>
          <w:color w:val="auto"/>
        </w:rPr>
      </w:pPr>
    </w:p>
    <w:p>
      <w:pPr>
        <w:sectPr>
          <w:pgSz w:w="11900" w:h="16838" w:orient="portrait"/>
          <w:cols w:equalWidth="0" w:num="2">
            <w:col w:w="1627" w:space="20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FRAME BUFFERS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Each switch module contains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448 dynamically allocated</w:t>
      </w:r>
    </w:p>
    <w:p>
      <w:pPr>
        <w:spacing w:after="0" w:line="180" w:lineRule="exact"/>
        <w:rPr>
          <w:sz w:val="20"/>
          <w:szCs w:val="20"/>
          <w:color w:val="auto"/>
        </w:rPr>
      </w:pPr>
    </w:p>
    <w:p>
      <w:pPr>
        <w:sectPr>
          <w:pgSz w:w="11900" w:h="16838" w:orient="portrait"/>
          <w:cols w:equalWidth="0" w:num="2">
            <w:col w:w="1187" w:space="64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CLASSES OF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Class 2, Class 3, Class 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(InterSwitch Frames)</w:t>
      </w:r>
    </w:p>
    <w:p>
      <w:pPr>
        <w:spacing w:after="0" w:line="180" w:lineRule="exact"/>
        <w:rPr>
          <w:sz w:val="20"/>
          <w:szCs w:val="20"/>
          <w:color w:val="auto"/>
        </w:rPr>
      </w:pPr>
    </w:p>
    <w:p>
      <w:pPr>
        <w:sectPr>
          <w:pgSz w:w="11900" w:h="16838" w:orient="portrait"/>
          <w:cols w:equalWidth="0" w:num="2">
            <w:col w:w="1627" w:space="20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PORT TYPES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FL_Port, F_Port,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E_Port. Self-discovery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switch 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(U_Port)</w:t>
      </w:r>
    </w:p>
    <w:p>
      <w:pPr>
        <w:spacing w:after="0" w:line="180" w:lineRule="exact"/>
        <w:rPr>
          <w:sz w:val="20"/>
          <w:szCs w:val="20"/>
          <w:color w:val="auto"/>
        </w:rPr>
      </w:pPr>
    </w:p>
    <w:p>
      <w:pPr>
        <w:sectPr>
          <w:pgSz w:w="11900" w:h="16838" w:orient="portrait"/>
          <w:cols w:equalWidth="0" w:num="2">
            <w:col w:w="1107" w:space="72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DATA TRAFFIC TYPES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Fabric switches support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unicast, multi-cast (256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groups), and broadcast</w:t>
      </w:r>
    </w:p>
    <w:p>
      <w:pPr>
        <w:spacing w:after="0" w:line="180" w:lineRule="exact"/>
        <w:rPr>
          <w:sz w:val="20"/>
          <w:szCs w:val="20"/>
          <w:color w:val="auto"/>
        </w:rPr>
      </w:pPr>
    </w:p>
    <w:p>
      <w:pPr>
        <w:sectPr>
          <w:pgSz w:w="11900" w:h="16838" w:orient="portrait"/>
          <w:cols w:equalWidth="0" w:num="2">
            <w:col w:w="1627" w:space="20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MEDIA TYPES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Hot-pluggable,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industry-standard GBICs.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SWL, up to 500 m (1,640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ft). Longwave laser (LWL),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 to 10 km (6.2 mi).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Passive copper, up to 13 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 ft).</w:t>
      </w:r>
    </w:p>
    <w:p>
      <w:pPr>
        <w:spacing w:after="0" w:line="180" w:lineRule="exact"/>
        <w:rPr>
          <w:sz w:val="20"/>
          <w:szCs w:val="20"/>
          <w:color w:val="auto"/>
        </w:rPr>
      </w:pPr>
    </w:p>
    <w:p>
      <w:pPr>
        <w:sectPr>
          <w:pgSz w:w="11900" w:h="16838" w:orient="portrait"/>
          <w:cols w:equalWidth="0" w:num="2">
            <w:col w:w="1107" w:space="72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FABRIC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Simple Name Server,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State 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Notification (RSN), Alias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Server, multicast);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Zoning, WEB TOOLS.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Fabric Watch, QuickLoop,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Extended Fabrics(TM) Remote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Switch(TM)</w:t>
      </w:r>
    </w:p>
    <w:p>
      <w:pPr>
        <w:spacing w:after="0" w:line="180" w:lineRule="exact"/>
        <w:rPr>
          <w:sz w:val="20"/>
          <w:szCs w:val="20"/>
          <w:color w:val="auto"/>
        </w:rPr>
      </w:pPr>
    </w:p>
    <w:p>
      <w:pPr>
        <w:sectPr>
          <w:pgSz w:w="11900" w:h="16838" w:orient="portrait"/>
          <w:cols w:equalWidth="0" w:num="2">
            <w:col w:w="1367" w:space="460"/>
            <w:col w:w="8399"/>
          </w:cols>
          <w:pgMar w:left="233" w:top="643" w:right="1440" w:bottom="256"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User port GBICs</w:t>
      </w:r>
    </w:p>
    <w:p>
      <w:pPr>
        <w:sectPr>
          <w:pgSz w:w="11900" w:h="16838" w:orient="portrait"/>
          <w:cols w:equalWidth="0" w:num="2">
            <w:col w:w="1107" w:space="720"/>
            <w:col w:w="8399"/>
          </w:cols>
          <w:pgMar w:left="233" w:top="643" w:right="1440" w:bottom="256" w:gutter="0" w:footer="0" w:header="0"/>
          <w:type w:val="continuous"/>
        </w:sectPr>
      </w:pPr>
    </w:p>
    <w:bookmarkStart w:id="184" w:name="page185"/>
    <w:bookmarkEnd w:id="184"/>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Telnet, SNMP, Brocade WEB</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TOOLS, Brocade Zoning,</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Brocade SES (optional),</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Fabric Watch, Extended</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Fabrics, Remote Switch</w:t>
            </w:r>
          </w:p>
        </w:tc>
      </w:tr>
      <w:tr>
        <w:trPr>
          <w:trHeight w:val="350"/>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MANAGEMENT ACCESS</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10/100 Ethernet (RJ-45),</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in-band over a Fibre Channel</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(requires Fabric), Fabric</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Manager</w:t>
            </w:r>
          </w:p>
        </w:tc>
        <w:tc>
          <w:tcPr>
            <w:tcW w:w="1540" w:type="dxa"/>
            <w:vAlign w:val="bottom"/>
          </w:tcPr>
          <w:p>
            <w:pPr>
              <w:spacing w:after="0"/>
              <w:rPr>
                <w:sz w:val="15"/>
                <w:szCs w:val="15"/>
                <w:color w:val="auto"/>
              </w:rPr>
            </w:pP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DIAGNOSTICS</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POST and embedded</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online/off-line diagnostics</w:t>
            </w:r>
          </w:p>
        </w:tc>
      </w:tr>
      <w:tr>
        <w:trPr>
          <w:trHeight w:val="874"/>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MECHANICAL SPECIFICATIONS</w:t>
            </w:r>
          </w:p>
        </w:tc>
        <w:tc>
          <w:tcPr>
            <w:tcW w:w="1540" w:type="dxa"/>
            <w:vAlign w:val="bottom"/>
          </w:tcPr>
          <w:p>
            <w:pPr>
              <w:spacing w:after="0"/>
              <w:rPr>
                <w:sz w:val="24"/>
                <w:szCs w:val="24"/>
                <w:color w:val="auto"/>
              </w:rPr>
            </w:pP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MOUNTING</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Rack mountable in a standard</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 in. EIA rack with</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removable door</w:t>
            </w:r>
          </w:p>
        </w:tc>
        <w:tc>
          <w:tcPr>
            <w:tcW w:w="1540" w:type="dxa"/>
            <w:vAlign w:val="bottom"/>
          </w:tcPr>
          <w:p>
            <w:pPr>
              <w:spacing w:after="0"/>
              <w:rPr>
                <w:sz w:val="15"/>
                <w:szCs w:val="15"/>
                <w:color w:val="auto"/>
              </w:rPr>
            </w:pP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ENCLOSURE</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Rear panel-to-door airflow,</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power from rear panel</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SIZE</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44.5 cm (17.5 in.) width,</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62.2 cm (24.5 in.) height,</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62.2 cm (24.5 in.) depth</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WEIGHT</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81.6-90.7 kg (180-200 lb)</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ENVIRONMENT</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TEMPERATURE</w:t>
            </w:r>
          </w:p>
        </w:tc>
        <w:tc>
          <w:tcPr>
            <w:tcW w:w="32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Operating:</w:t>
            </w:r>
          </w:p>
        </w:tc>
        <w:tc>
          <w:tcPr>
            <w:tcW w:w="154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10(Degree)C-40(Degree)C</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(50(Degree)F-104(Degree)F)</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Nonoperating:</w:t>
            </w:r>
          </w:p>
        </w:tc>
        <w:tc>
          <w:tcPr>
            <w:tcW w:w="154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-35(Degree)C-65(Degree)C</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(-31(Degree)F-147(Degree)F)</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HUMIDITY</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Operating: 5%-85%</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noncondensing @40(Degree)C</w:t>
            </w:r>
          </w:p>
        </w:tc>
      </w:tr>
      <w:tr>
        <w:trPr>
          <w:trHeight w:val="350"/>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(104(Degree)F)</w:t>
            </w:r>
          </w:p>
        </w:tc>
        <w:tc>
          <w:tcPr>
            <w:tcW w:w="1540" w:type="dxa"/>
            <w:vAlign w:val="bottom"/>
          </w:tcPr>
          <w:p>
            <w:pPr>
              <w:spacing w:after="0"/>
              <w:rPr>
                <w:sz w:val="24"/>
                <w:szCs w:val="24"/>
                <w:color w:val="auto"/>
              </w:rPr>
            </w:pP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ALTITUDE</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*Up to 3,000 m (9,800 ft)</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SHOCK</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 G, 11 ms_sine low impulse</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VIBRATION</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Operating: 5 G, 0-3 kHz</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Nonoperating: 10 G, 0-5 kHz</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POWER</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SUPPORTED POWER</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Nominal: 100-230 VAC contiguous</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RANGE</w:t>
            </w:r>
          </w:p>
        </w:tc>
        <w:tc>
          <w:tcPr>
            <w:tcW w:w="3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Operational: 85-264 VAC</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FREQUENCY</w:t>
            </w:r>
          </w:p>
        </w:tc>
        <w:tc>
          <w:tcPr>
            <w:tcW w:w="32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47-63 Hz</w:t>
            </w:r>
          </w:p>
        </w:tc>
        <w:tc>
          <w:tcPr>
            <w:tcW w:w="1540" w:type="dxa"/>
            <w:vAlign w:val="bottom"/>
          </w:tcPr>
          <w:p>
            <w:pPr>
              <w:spacing w:after="0"/>
              <w:rPr>
                <w:sz w:val="24"/>
                <w:szCs w:val="24"/>
                <w:color w:val="auto"/>
              </w:rPr>
            </w:pPr>
          </w:p>
        </w:tc>
      </w:tr>
      <w:tr>
        <w:trPr>
          <w:trHeight w:val="874"/>
        </w:trPr>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REGULATORY COMPLIANCE</w:t>
            </w:r>
          </w:p>
        </w:tc>
        <w:tc>
          <w:tcPr>
            <w:tcW w:w="1540" w:type="dxa"/>
            <w:vAlign w:val="bottom"/>
          </w:tcPr>
          <w:p>
            <w:pPr>
              <w:spacing w:after="0"/>
              <w:rPr>
                <w:sz w:val="24"/>
                <w:szCs w:val="24"/>
                <w:color w:val="auto"/>
              </w:rPr>
            </w:pPr>
          </w:p>
        </w:tc>
      </w:tr>
      <w:tr>
        <w:trPr>
          <w:trHeight w:val="350"/>
        </w:trPr>
        <w:tc>
          <w:tcPr>
            <w:tcW w:w="136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SAFETY</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EMC</w:t>
            </w:r>
          </w:p>
        </w:tc>
      </w:tr>
      <w:tr>
        <w:trPr>
          <w:trHeight w:val="350"/>
        </w:trPr>
        <w:tc>
          <w:tcPr>
            <w:tcW w:w="136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CSA</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950 ICES-003</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Class A</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UL 1950 FCC Part</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15 Class A</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IEC60950 A4</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VCCI Class A</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EUROPEAN</w:t>
            </w: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EN60950</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EN55022 Level A</w:t>
            </w:r>
          </w:p>
        </w:tc>
      </w:tr>
      <w:tr>
        <w:trPr>
          <w:trHeight w:val="175"/>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COMMUNITY</w:t>
            </w: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TUV, NEMKO</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EN55082-2</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(Immunity)</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AS/NZS 3548</w:t>
            </w:r>
          </w:p>
        </w:tc>
        <w:tc>
          <w:tcPr>
            <w:tcW w:w="1540" w:type="dxa"/>
            <w:vAlign w:val="bottom"/>
          </w:tcPr>
          <w:p>
            <w:pPr>
              <w:spacing w:after="0"/>
              <w:rPr>
                <w:sz w:val="15"/>
                <w:szCs w:val="15"/>
                <w:color w:val="auto"/>
              </w:rPr>
            </w:pPr>
          </w:p>
        </w:tc>
      </w:tr>
      <w:tr>
        <w:trPr>
          <w:trHeight w:val="1049"/>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0219"/>
          </w:cols>
          <w:pgMar w:left="240" w:top="317" w:right="1440"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BROCADE/HP</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w w:val="98"/>
              </w:rPr>
              <w:t>CONFIDENTIAL</w:t>
            </w:r>
          </w:p>
        </w:tc>
      </w:tr>
      <w:tr>
        <w:trPr>
          <w:trHeight w:val="699"/>
        </w:trPr>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NEW ZEALAND</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INTERNATIONAL</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EC 60950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CISPR</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186" w:name="page187"/>
    <w:bookmarkEnd w:id="186"/>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A-2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[BROCADE(R) LOGO]</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Communications Systems, Inc.</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WWW.BROCADE.COM</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Corporate Headquarters</w:t>
            </w:r>
          </w:p>
        </w:tc>
        <w:tc>
          <w:tcPr>
            <w:tcW w:w="340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European Headquarters</w:t>
            </w:r>
          </w:p>
        </w:tc>
        <w:tc>
          <w:tcPr>
            <w:tcW w:w="30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Asia-Pacific Headquarters</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1745 Technology Drive</w:t>
            </w:r>
          </w:p>
        </w:tc>
        <w:tc>
          <w:tcPr>
            <w:tcW w:w="340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400 Thames Valley Park Drive</w:t>
            </w:r>
          </w:p>
        </w:tc>
        <w:tc>
          <w:tcPr>
            <w:tcW w:w="30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Level 21, 201 Miller Street</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San Jose, CA 95110</w:t>
            </w:r>
          </w:p>
        </w:tc>
        <w:tc>
          <w:tcPr>
            <w:tcW w:w="340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Thames Valley Park, Reading</w:t>
            </w:r>
          </w:p>
        </w:tc>
        <w:tc>
          <w:tcPr>
            <w:tcW w:w="30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North Sydney, NSW 2060</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T 408 487-8000</w:t>
            </w:r>
          </w:p>
        </w:tc>
        <w:tc>
          <w:tcPr>
            <w:tcW w:w="340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United Kingdom, RG6 1PT</w:t>
            </w:r>
          </w:p>
        </w:tc>
        <w:tc>
          <w:tcPr>
            <w:tcW w:w="30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Australia</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F 408-487-8101</w:t>
            </w:r>
          </w:p>
        </w:tc>
        <w:tc>
          <w:tcPr>
            <w:tcW w:w="800" w:type="dxa"/>
            <w:vAlign w:val="bottom"/>
          </w:tcPr>
          <w:p>
            <w:pPr>
              <w:ind w:left="300"/>
              <w:spacing w:after="0"/>
              <w:rPr>
                <w:sz w:val="20"/>
                <w:szCs w:val="20"/>
                <w:color w:val="auto"/>
              </w:rPr>
            </w:pPr>
            <w:r>
              <w:rPr>
                <w:rFonts w:ascii="Courier New" w:cs="Courier New" w:eastAsia="Courier New" w:hAnsi="Courier New"/>
                <w:sz w:val="15"/>
                <w:szCs w:val="15"/>
                <w:color w:val="auto"/>
              </w:rPr>
              <w:t>T +44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118 965</w:t>
            </w:r>
          </w:p>
        </w:tc>
        <w:tc>
          <w:tcPr>
            <w:tcW w:w="15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3419</w:t>
            </w:r>
          </w:p>
        </w:tc>
        <w:tc>
          <w:tcPr>
            <w:tcW w:w="1040" w:type="dxa"/>
            <w:vAlign w:val="bottom"/>
          </w:tcPr>
          <w:p>
            <w:pPr>
              <w:ind w:left="540"/>
              <w:spacing w:after="0"/>
              <w:rPr>
                <w:sz w:val="20"/>
                <w:szCs w:val="20"/>
                <w:color w:val="auto"/>
              </w:rPr>
            </w:pPr>
            <w:r>
              <w:rPr>
                <w:rFonts w:ascii="Courier New" w:cs="Courier New" w:eastAsia="Courier New" w:hAnsi="Courier New"/>
                <w:sz w:val="15"/>
                <w:szCs w:val="15"/>
                <w:color w:val="auto"/>
              </w:rPr>
              <w:t>T +61</w:t>
            </w:r>
          </w:p>
        </w:tc>
        <w:tc>
          <w:tcPr>
            <w:tcW w:w="19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2 9025 3766</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info@brocade.com</w:t>
            </w:r>
          </w:p>
        </w:tc>
        <w:tc>
          <w:tcPr>
            <w:tcW w:w="800" w:type="dxa"/>
            <w:vAlign w:val="bottom"/>
          </w:tcPr>
          <w:p>
            <w:pPr>
              <w:ind w:left="300"/>
              <w:spacing w:after="0"/>
              <w:rPr>
                <w:sz w:val="20"/>
                <w:szCs w:val="20"/>
                <w:color w:val="auto"/>
              </w:rPr>
            </w:pPr>
            <w:r>
              <w:rPr>
                <w:rFonts w:ascii="Courier New" w:cs="Courier New" w:eastAsia="Courier New" w:hAnsi="Courier New"/>
                <w:sz w:val="15"/>
                <w:szCs w:val="15"/>
                <w:color w:val="auto"/>
              </w:rPr>
              <w:t>F +44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118 965</w:t>
            </w:r>
          </w:p>
        </w:tc>
        <w:tc>
          <w:tcPr>
            <w:tcW w:w="15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3519</w:t>
            </w:r>
          </w:p>
        </w:tc>
        <w:tc>
          <w:tcPr>
            <w:tcW w:w="1040" w:type="dxa"/>
            <w:vAlign w:val="bottom"/>
          </w:tcPr>
          <w:p>
            <w:pPr>
              <w:ind w:left="540"/>
              <w:spacing w:after="0"/>
              <w:rPr>
                <w:sz w:val="20"/>
                <w:szCs w:val="20"/>
                <w:color w:val="auto"/>
              </w:rPr>
            </w:pPr>
            <w:r>
              <w:rPr>
                <w:rFonts w:ascii="Courier New" w:cs="Courier New" w:eastAsia="Courier New" w:hAnsi="Courier New"/>
                <w:sz w:val="15"/>
                <w:szCs w:val="15"/>
                <w:color w:val="auto"/>
              </w:rPr>
              <w:t>F +61</w:t>
            </w:r>
          </w:p>
        </w:tc>
        <w:tc>
          <w:tcPr>
            <w:tcW w:w="19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2 9521 6995</w:t>
            </w:r>
          </w:p>
        </w:tc>
      </w:tr>
    </w:tbl>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europe-info@brocade.com</w:t>
      </w:r>
    </w:p>
    <w:p>
      <w:pPr>
        <w:spacing w:after="0" w:line="200" w:lineRule="exact"/>
        <w:rPr>
          <w:sz w:val="20"/>
          <w:szCs w:val="20"/>
          <w:color w:val="auto"/>
        </w:rPr>
      </w:pPr>
    </w:p>
    <w:p>
      <w:pPr>
        <w:spacing w:after="0" w:line="329" w:lineRule="exact"/>
        <w:rPr>
          <w:sz w:val="20"/>
          <w:szCs w:val="20"/>
          <w:color w:val="auto"/>
        </w:rPr>
      </w:pPr>
    </w:p>
    <w:p>
      <w:pPr>
        <w:ind w:left="7" w:right="3419" w:hanging="7"/>
        <w:spacing w:after="0" w:line="247" w:lineRule="auto"/>
        <w:tabs>
          <w:tab w:leader="none" w:pos="37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by Brocade Communications Systems, Inc. All Rights Reserved. 10/00 GA-DS-070-00</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Brocade, SilkWorm, Extended Fabrics. Remote Switch, Fabric Aware, Fabric CS Fabric Watch. QuickLoop, WEB TOOLS, and Zoning are Trademarks or registered trademarks of Brocade Communications Systems Inc. In the United States and/or in other countries. All other brands, products, or service names are or may be trademarks or service marks of and are used to identify, products of services of their respective owners.</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Notice: This document is for informational purposes only and does not set forth any warranty expressed or implied, concerning any equipment, equipment feature or service offered or to be offered by Brocade. Brocade reserves the right to make changes to this document at any time without notice and assumes no responsibility for its use. This information document describes features that may not be currently available. Contact a Brocade sales office for information on feature and product availability.</w:t>
      </w:r>
    </w:p>
    <w:p>
      <w:pPr>
        <w:spacing w:after="0" w:line="179" w:lineRule="exact"/>
        <w:rPr>
          <w:sz w:val="20"/>
          <w:szCs w:val="20"/>
          <w:color w:val="auto"/>
        </w:rPr>
      </w:pPr>
    </w:p>
    <w:p>
      <w:pPr>
        <w:ind w:left="7" w:right="3599"/>
        <w:spacing w:after="0" w:line="247" w:lineRule="auto"/>
        <w:rPr>
          <w:sz w:val="20"/>
          <w:szCs w:val="20"/>
          <w:color w:val="auto"/>
        </w:rPr>
      </w:pPr>
      <w:r>
        <w:rPr>
          <w:rFonts w:ascii="Courier New" w:cs="Courier New" w:eastAsia="Courier New" w:hAnsi="Courier New"/>
          <w:sz w:val="15"/>
          <w:szCs w:val="15"/>
          <w:color w:val="auto"/>
        </w:rPr>
        <w:t>Export or technical data contained in this document may feature on export license from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(A-2)</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Page 1 of 5</w:t>
      </w:r>
    </w:p>
    <w:p>
      <w:pPr>
        <w:sectPr>
          <w:pgSz w:w="11900" w:h="16838" w:orient="portrait"/>
          <w:cols w:equalWidth="0" w:num="1">
            <w:col w:w="10226"/>
          </w:cols>
          <w:pgMar w:left="233" w:top="643" w:right="1440" w:bottom="1440" w:gutter="0" w:footer="0" w:header="0"/>
        </w:sectPr>
      </w:pPr>
    </w:p>
    <w:bookmarkStart w:id="187" w:name="page188"/>
    <w:bookmarkEnd w:id="187"/>
    <w:p>
      <w:pPr>
        <w:jc w:val="center"/>
        <w:ind w:right="2852"/>
        <w:spacing w:after="0"/>
        <w:rPr>
          <w:sz w:val="20"/>
          <w:szCs w:val="20"/>
          <w:color w:val="auto"/>
        </w:rPr>
      </w:pPr>
      <w:r>
        <w:rPr>
          <w:rFonts w:ascii="Courier New" w:cs="Courier New" w:eastAsia="Courier New" w:hAnsi="Courier New"/>
          <w:sz w:val="15"/>
          <w:szCs w:val="15"/>
          <w:color w:val="auto"/>
        </w:rPr>
        <w:t>EXHIBIT A-2</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HP CONFIGURATION SPECIFICATION DOCUMENT</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This document describes the customizations that BROCADE will perform for HP for the SW-6400 Integrated Fabric product.</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PHYSICAL CUSTOMIZATION</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The product will conform to HP standard customization requirements including but not limited to the following.</w:t>
      </w:r>
    </w:p>
    <w:p>
      <w:pPr>
        <w:spacing w:after="0" w:line="175" w:lineRule="exact"/>
        <w:rPr>
          <w:sz w:val="20"/>
          <w:szCs w:val="20"/>
          <w:color w:val="auto"/>
        </w:rPr>
      </w:pPr>
    </w:p>
    <w:p>
      <w:pPr>
        <w:ind w:left="727" w:hanging="727"/>
        <w:spacing w:after="0"/>
        <w:tabs>
          <w:tab w:leader="none" w:pos="72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front door will be painted HP Quartz Gray.</w:t>
      </w:r>
    </w:p>
    <w:p>
      <w:pPr>
        <w:spacing w:after="0" w:line="4" w:lineRule="exact"/>
        <w:rPr>
          <w:rFonts w:ascii="Courier New" w:cs="Courier New" w:eastAsia="Courier New" w:hAnsi="Courier New"/>
          <w:sz w:val="15"/>
          <w:szCs w:val="15"/>
          <w:color w:val="auto"/>
        </w:rPr>
      </w:pPr>
    </w:p>
    <w:p>
      <w:pPr>
        <w:ind w:left="727" w:right="3139" w:hanging="727"/>
        <w:spacing w:after="0" w:line="246" w:lineRule="auto"/>
        <w:tabs>
          <w:tab w:leader="none" w:pos="72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Additionally there will be a HP Logo Jewel on the front door, defined, designed and provided by HP.</w:t>
      </w:r>
    </w:p>
    <w:p>
      <w:pPr>
        <w:spacing w:after="0" w:line="1" w:lineRule="exact"/>
        <w:rPr>
          <w:rFonts w:ascii="Courier New" w:cs="Courier New" w:eastAsia="Courier New" w:hAnsi="Courier New"/>
          <w:sz w:val="15"/>
          <w:szCs w:val="15"/>
          <w:color w:val="auto"/>
        </w:rPr>
      </w:pPr>
    </w:p>
    <w:p>
      <w:pPr>
        <w:ind w:left="727" w:right="3039" w:hanging="727"/>
        <w:spacing w:after="0" w:line="246" w:lineRule="auto"/>
        <w:tabs>
          <w:tab w:leader="none" w:pos="72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will be an extra copy of the serial number (numeric and bar code) placed on the rear cover</w:t>
      </w:r>
    </w:p>
    <w:p>
      <w:pPr>
        <w:spacing w:after="0" w:line="1"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will provide mounting Rail kit for HP Rose Bowl cabinets.</w:t>
      </w:r>
    </w:p>
    <w:p>
      <w:pPr>
        <w:spacing w:after="0" w:line="4" w:lineRule="exact"/>
        <w:rPr>
          <w:rFonts w:ascii="Courier New" w:cs="Courier New" w:eastAsia="Courier New" w:hAnsi="Courier New"/>
          <w:sz w:val="15"/>
          <w:szCs w:val="15"/>
          <w:color w:val="auto"/>
        </w:rPr>
      </w:pPr>
    </w:p>
    <w:p>
      <w:pPr>
        <w:ind w:left="727" w:right="2959" w:hanging="727"/>
        <w:spacing w:after="0" w:line="246" w:lineRule="auto"/>
        <w:tabs>
          <w:tab w:leader="none" w:pos="72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FRUs will not be labeled with HP part numbers, though both packaging and the VPD will have HP numbers. (see below)</w:t>
      </w:r>
    </w:p>
    <w:p>
      <w:pPr>
        <w:spacing w:after="0" w:line="1"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chassis and AC power distribution assembly will remain BROCADE color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VITAL PRODUCT DATA (VPD) CUSTOMIZATION</w:t>
      </w:r>
    </w:p>
    <w:p>
      <w:pPr>
        <w:spacing w:after="0" w:line="180" w:lineRule="exact"/>
        <w:rPr>
          <w:sz w:val="20"/>
          <w:szCs w:val="20"/>
          <w:color w:val="auto"/>
        </w:rPr>
      </w:pPr>
    </w:p>
    <w:p>
      <w:pPr>
        <w:ind w:left="727" w:hanging="727"/>
        <w:spacing w:after="0"/>
        <w:tabs>
          <w:tab w:leader="none" w:pos="72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FRU HP Part numbers</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FRU Description</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BROCADE#</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HP Number</w:t>
            </w:r>
          </w:p>
        </w:tc>
        <w:tc>
          <w:tcPr>
            <w:tcW w:w="1640" w:type="dxa"/>
            <w:vAlign w:val="bottom"/>
          </w:tcPr>
          <w:p>
            <w:pPr>
              <w:ind w:left="500"/>
              <w:spacing w:after="0"/>
              <w:rPr>
                <w:sz w:val="20"/>
                <w:szCs w:val="20"/>
                <w:color w:val="auto"/>
              </w:rPr>
            </w:pPr>
            <w:r>
              <w:rPr>
                <w:rFonts w:ascii="Courier New" w:cs="Courier New" w:eastAsia="Courier New" w:hAnsi="Courier New"/>
                <w:sz w:val="15"/>
                <w:szCs w:val="15"/>
                <w:color w:val="auto"/>
              </w:rPr>
              <w:t># in full</w:t>
            </w:r>
          </w:p>
        </w:tc>
        <w:tc>
          <w:tcPr>
            <w:tcW w:w="6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VPD</w:t>
            </w:r>
          </w:p>
        </w:tc>
      </w:tr>
      <w:tr>
        <w:trPr>
          <w:trHeight w:val="175"/>
        </w:trPr>
        <w:tc>
          <w:tcPr>
            <w:tcW w:w="1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40" w:type="dxa"/>
            <w:vAlign w:val="bottom"/>
          </w:tcPr>
          <w:p>
            <w:pPr>
              <w:ind w:left="500"/>
              <w:spacing w:after="0"/>
              <w:rPr>
                <w:sz w:val="20"/>
                <w:szCs w:val="20"/>
                <w:color w:val="auto"/>
              </w:rPr>
            </w:pPr>
            <w:r>
              <w:rPr>
                <w:rFonts w:ascii="Courier New" w:cs="Courier New" w:eastAsia="Courier New" w:hAnsi="Courier New"/>
                <w:sz w:val="15"/>
                <w:szCs w:val="15"/>
                <w:color w:val="auto"/>
              </w:rPr>
              <w:t>unit</w:t>
            </w:r>
          </w:p>
        </w:tc>
        <w:tc>
          <w:tcPr>
            <w:tcW w:w="600" w:type="dxa"/>
            <w:vAlign w:val="bottom"/>
          </w:tcPr>
          <w:p>
            <w:pPr>
              <w:spacing w:after="0"/>
              <w:rPr>
                <w:sz w:val="15"/>
                <w:szCs w:val="15"/>
                <w:color w:val="auto"/>
              </w:rPr>
            </w:pPr>
          </w:p>
        </w:tc>
      </w:tr>
      <w:tr>
        <w:trPr>
          <w:trHeight w:val="350"/>
        </w:trPr>
        <w:tc>
          <w:tcPr>
            <w:tcW w:w="1680" w:type="dxa"/>
            <w:vAlign w:val="bottom"/>
          </w:tcPr>
          <w:p>
            <w:pPr>
              <w:spacing w:after="0"/>
              <w:rPr>
                <w:sz w:val="20"/>
                <w:szCs w:val="20"/>
                <w:color w:val="auto"/>
              </w:rPr>
            </w:pPr>
            <w:r>
              <w:rPr>
                <w:rFonts w:ascii="Courier New" w:cs="Courier New" w:eastAsia="Courier New" w:hAnsi="Courier New"/>
                <w:sz w:val="15"/>
                <w:szCs w:val="15"/>
                <w:color w:val="auto"/>
              </w:rPr>
              <w:t>Sw-2250 switch</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XBR-000057</w:t>
            </w: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88"/>
              </w:rPr>
              <w:t>Y</w:t>
            </w:r>
          </w:p>
        </w:tc>
      </w:tr>
      <w:tr>
        <w:trPr>
          <w:trHeight w:val="350"/>
        </w:trPr>
        <w:tc>
          <w:tcPr>
            <w:tcW w:w="1680" w:type="dxa"/>
            <w:vAlign w:val="bottom"/>
          </w:tcPr>
          <w:p>
            <w:pPr>
              <w:spacing w:after="0"/>
              <w:rPr>
                <w:sz w:val="20"/>
                <w:szCs w:val="20"/>
                <w:color w:val="auto"/>
              </w:rPr>
            </w:pPr>
            <w:r>
              <w:rPr>
                <w:rFonts w:ascii="Courier New" w:cs="Courier New" w:eastAsia="Courier New" w:hAnsi="Courier New"/>
                <w:sz w:val="15"/>
                <w:szCs w:val="15"/>
                <w:color w:val="auto"/>
              </w:rPr>
              <w:t>Front door</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XBR-000059</w:t>
            </w: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88"/>
              </w:rPr>
              <w:t>N</w:t>
            </w:r>
          </w:p>
        </w:tc>
      </w:tr>
      <w:tr>
        <w:trPr>
          <w:trHeight w:val="350"/>
        </w:trPr>
        <w:tc>
          <w:tcPr>
            <w:tcW w:w="1680" w:type="dxa"/>
            <w:vAlign w:val="bottom"/>
          </w:tcPr>
          <w:p>
            <w:pPr>
              <w:spacing w:after="0"/>
              <w:rPr>
                <w:sz w:val="20"/>
                <w:szCs w:val="20"/>
                <w:color w:val="auto"/>
              </w:rPr>
            </w:pPr>
            <w:r>
              <w:rPr>
                <w:rFonts w:ascii="Courier New" w:cs="Courier New" w:eastAsia="Courier New" w:hAnsi="Courier New"/>
                <w:sz w:val="15"/>
                <w:szCs w:val="15"/>
                <w:color w:val="auto"/>
              </w:rPr>
              <w:t>Rack Mount Kit</w:t>
            </w: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XBR-000061</w:t>
            </w: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88"/>
              </w:rPr>
              <w:t>N</w:t>
            </w:r>
          </w:p>
        </w:tc>
      </w:tr>
    </w:tbl>
    <w:p>
      <w:pPr>
        <w:spacing w:after="0" w:line="200" w:lineRule="exact"/>
        <w:rPr>
          <w:sz w:val="20"/>
          <w:szCs w:val="20"/>
          <w:color w:val="auto"/>
        </w:rPr>
      </w:pPr>
    </w:p>
    <w:p>
      <w:pPr>
        <w:spacing w:after="0" w:line="329" w:lineRule="exact"/>
        <w:rPr>
          <w:sz w:val="20"/>
          <w:szCs w:val="20"/>
          <w:color w:val="auto"/>
        </w:rPr>
      </w:pPr>
    </w:p>
    <w:p>
      <w:pPr>
        <w:ind w:left="727" w:hanging="727"/>
        <w:spacing w:after="0"/>
        <w:tabs>
          <w:tab w:leader="none" w:pos="727"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OEM Identifier: "HP"</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Chassis Serial Number: Range provided by HP.</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VPD Model Identifier: "pending final identifier from HP".</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SOFTWARE CUSTOMIZATION</w:t>
      </w:r>
    </w:p>
    <w:p>
      <w:pPr>
        <w:spacing w:after="0" w:line="180" w:lineRule="exact"/>
        <w:rPr>
          <w:sz w:val="20"/>
          <w:szCs w:val="20"/>
          <w:color w:val="auto"/>
        </w:rPr>
      </w:pPr>
    </w:p>
    <w:p>
      <w:pPr>
        <w:ind w:left="727" w:hanging="727"/>
        <w:spacing w:after="0"/>
        <w:tabs>
          <w:tab w:leader="none" w:pos="7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Fabric Model Number: [pending final determination from HP]</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Splash screen: Provided by HP</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Screen Headers: [pending final determination of HP] AS MUTUALLY AGREED.</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Fabric Manager agent for SAN management device manager.</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Help screens to be consistent with HP branding as mutually agreed.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PACKAGING</w:t>
      </w:r>
    </w:p>
    <w:p>
      <w:pPr>
        <w:spacing w:after="0" w:line="180" w:lineRule="exact"/>
        <w:rPr>
          <w:sz w:val="20"/>
          <w:szCs w:val="20"/>
          <w:color w:val="auto"/>
        </w:rPr>
      </w:pPr>
    </w:p>
    <w:p>
      <w:pPr>
        <w:ind w:left="727" w:right="3219"/>
        <w:spacing w:after="0" w:line="247" w:lineRule="auto"/>
        <w:tabs>
          <w:tab w:leader="none" w:pos="109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FRU Packaging Labeling: FRU packing material will be labeled with the HP part members and the BROCADE part number.</w:t>
      </w:r>
    </w:p>
    <w:p>
      <w:pPr>
        <w:spacing w:after="0" w:line="174" w:lineRule="exact"/>
        <w:rPr>
          <w:rFonts w:ascii="Courier New" w:cs="Courier New" w:eastAsia="Courier New" w:hAnsi="Courier New"/>
          <w:sz w:val="15"/>
          <w:szCs w:val="15"/>
          <w:color w:val="auto"/>
        </w:rPr>
      </w:pPr>
    </w:p>
    <w:p>
      <w:pPr>
        <w:ind w:left="727" w:right="2959"/>
        <w:spacing w:after="0" w:line="247" w:lineRule="auto"/>
        <w:tabs>
          <w:tab w:leader="none" w:pos="109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 Packaging Labeling: Units will be shipped in the standard brown shipping box. without BROCADE identification on the box. HP product identification will be placed outside the box in much the same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(A-2)</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Page 2 of 5</w:t>
      </w:r>
    </w:p>
    <w:p>
      <w:pPr>
        <w:sectPr>
          <w:pgSz w:w="11900" w:h="16838" w:orient="portrait"/>
          <w:cols w:equalWidth="0" w:num="1">
            <w:col w:w="10226"/>
          </w:cols>
          <w:pgMar w:left="233" w:top="817" w:right="1440" w:bottom="1440" w:gutter="0" w:footer="0" w:header="0"/>
        </w:sectPr>
      </w:pPr>
    </w:p>
    <w:bookmarkStart w:id="188" w:name="page189"/>
    <w:bookmarkEnd w:id="188"/>
    <w:p>
      <w:pPr>
        <w:ind w:left="727" w:right="3139"/>
        <w:spacing w:after="0" w:line="247" w:lineRule="auto"/>
        <w:rPr>
          <w:sz w:val="20"/>
          <w:szCs w:val="20"/>
          <w:color w:val="auto"/>
        </w:rPr>
      </w:pPr>
      <w:r>
        <w:rPr>
          <w:rFonts w:ascii="Courier New" w:cs="Courier New" w:eastAsia="Courier New" w:hAnsi="Courier New"/>
          <w:sz w:val="15"/>
          <w:szCs w:val="15"/>
          <w:color w:val="auto"/>
        </w:rPr>
        <w:t>manner as the FRU labeling. HP, for field installed units, may provide and apply HP color stickers to packaging.</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DOCUMENTATION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Documentation [*] covered in reference A-4.</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ENVIRONMENTAL/TRANSPORTATION REQUIREMENTS</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following is a summary of HP's internal environmental specifications for our products. It is expected that these tests or ones that provide the same results are performed on the product being considered. A joint effort where possible, will be used to complete the following tests. HP will be responsible for any tests not able to be completed by Supplier. Supplier has indicated their test specifications below as a reference point. For details on the testing, contact HP Quality Engineering.</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40" w:type="dxa"/>
            <w:vAlign w:val="bottom"/>
          </w:tcPr>
          <w:p>
            <w:pPr>
              <w:ind w:left="280"/>
              <w:spacing w:after="0"/>
              <w:rPr>
                <w:sz w:val="20"/>
                <w:szCs w:val="20"/>
                <w:color w:val="auto"/>
              </w:rPr>
            </w:pPr>
            <w:r>
              <w:rPr>
                <w:rFonts w:ascii="Courier New" w:cs="Courier New" w:eastAsia="Courier New" w:hAnsi="Courier New"/>
                <w:sz w:val="15"/>
                <w:szCs w:val="15"/>
                <w:color w:val="auto"/>
              </w:rPr>
              <w:t>SPECIFICATION</w:t>
            </w:r>
          </w:p>
        </w:tc>
        <w:tc>
          <w:tcPr>
            <w:tcW w:w="540" w:type="dxa"/>
            <w:vAlign w:val="bottom"/>
          </w:tcPr>
          <w:p>
            <w:pPr>
              <w:spacing w:after="0"/>
              <w:rPr>
                <w:sz w:val="14"/>
                <w:szCs w:val="14"/>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THERMAL MAPPING</w:t>
            </w:r>
          </w:p>
        </w:tc>
        <w:tc>
          <w:tcPr>
            <w:tcW w:w="2640" w:type="dxa"/>
            <w:vAlign w:val="bottom"/>
          </w:tcPr>
          <w:p>
            <w:pPr>
              <w:ind w:left="280"/>
              <w:spacing w:after="0"/>
              <w:rPr>
                <w:sz w:val="20"/>
                <w:szCs w:val="20"/>
                <w:color w:val="auto"/>
              </w:rPr>
            </w:pPr>
            <w:r>
              <w:rPr>
                <w:rFonts w:ascii="Courier New" w:cs="Courier New" w:eastAsia="Courier New" w:hAnsi="Courier New"/>
                <w:sz w:val="15"/>
                <w:szCs w:val="15"/>
                <w:color w:val="auto"/>
              </w:rPr>
              <w:t>TEMPERATURE PROFILE</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524"/>
        </w:trPr>
        <w:tc>
          <w:tcPr>
            <w:tcW w:w="2080" w:type="dxa"/>
            <w:vAlign w:val="bottom"/>
          </w:tcPr>
          <w:p>
            <w:pPr>
              <w:spacing w:after="0"/>
              <w:rPr>
                <w:sz w:val="20"/>
                <w:szCs w:val="20"/>
                <w:color w:val="auto"/>
              </w:rPr>
            </w:pPr>
            <w:r>
              <w:rPr>
                <w:rFonts w:ascii="Courier New" w:cs="Courier New" w:eastAsia="Courier New" w:hAnsi="Courier New"/>
                <w:sz w:val="15"/>
                <w:szCs w:val="15"/>
                <w:color w:val="auto"/>
              </w:rPr>
              <w:t>TEMPERATURE</w:t>
            </w:r>
          </w:p>
        </w:tc>
        <w:tc>
          <w:tcPr>
            <w:tcW w:w="264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524"/>
        </w:trPr>
        <w:tc>
          <w:tcPr>
            <w:tcW w:w="2080" w:type="dxa"/>
            <w:vAlign w:val="bottom"/>
          </w:tcPr>
          <w:p>
            <w:pPr>
              <w:spacing w:after="0"/>
              <w:rPr>
                <w:sz w:val="24"/>
                <w:szCs w:val="24"/>
                <w:color w:val="auto"/>
              </w:rPr>
            </w:pPr>
          </w:p>
        </w:tc>
        <w:tc>
          <w:tcPr>
            <w:tcW w:w="2640" w:type="dxa"/>
            <w:vAlign w:val="bottom"/>
          </w:tcPr>
          <w:p>
            <w:pPr>
              <w:ind w:left="280"/>
              <w:spacing w:after="0"/>
              <w:rPr>
                <w:sz w:val="20"/>
                <w:szCs w:val="20"/>
                <w:color w:val="auto"/>
              </w:rPr>
            </w:pPr>
            <w:r>
              <w:rPr>
                <w:rFonts w:ascii="Courier New" w:cs="Courier New" w:eastAsia="Courier New" w:hAnsi="Courier New"/>
                <w:sz w:val="15"/>
                <w:szCs w:val="15"/>
                <w:color w:val="auto"/>
              </w:rPr>
              <w:t>NON-OPERATING [*]</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524"/>
        </w:trPr>
        <w:tc>
          <w:tcPr>
            <w:tcW w:w="2080" w:type="dxa"/>
            <w:vAlign w:val="bottom"/>
          </w:tcPr>
          <w:p>
            <w:pPr>
              <w:spacing w:after="0"/>
              <w:rPr>
                <w:sz w:val="20"/>
                <w:szCs w:val="20"/>
                <w:color w:val="auto"/>
              </w:rPr>
            </w:pPr>
            <w:r>
              <w:rPr>
                <w:rFonts w:ascii="Courier New" w:cs="Courier New" w:eastAsia="Courier New" w:hAnsi="Courier New"/>
                <w:sz w:val="15"/>
                <w:szCs w:val="15"/>
                <w:color w:val="auto"/>
              </w:rPr>
              <w:t>TEMPERATURE</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STRESS</w:t>
            </w:r>
          </w:p>
        </w:tc>
        <w:tc>
          <w:tcPr>
            <w:tcW w:w="26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699"/>
        </w:trPr>
        <w:tc>
          <w:tcPr>
            <w:tcW w:w="2080" w:type="dxa"/>
            <w:vAlign w:val="bottom"/>
          </w:tcPr>
          <w:p>
            <w:pPr>
              <w:spacing w:after="0"/>
              <w:rPr>
                <w:sz w:val="20"/>
                <w:szCs w:val="20"/>
                <w:color w:val="auto"/>
              </w:rPr>
            </w:pPr>
            <w:r>
              <w:rPr>
                <w:rFonts w:ascii="Courier New" w:cs="Courier New" w:eastAsia="Courier New" w:hAnsi="Courier New"/>
                <w:sz w:val="15"/>
                <w:szCs w:val="15"/>
                <w:color w:val="auto"/>
              </w:rPr>
              <w:t>HUMIDITY</w:t>
            </w:r>
          </w:p>
        </w:tc>
        <w:tc>
          <w:tcPr>
            <w:tcW w:w="264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524"/>
        </w:trPr>
        <w:tc>
          <w:tcPr>
            <w:tcW w:w="2080" w:type="dxa"/>
            <w:vAlign w:val="bottom"/>
          </w:tcPr>
          <w:p>
            <w:pPr>
              <w:spacing w:after="0"/>
              <w:rPr>
                <w:sz w:val="24"/>
                <w:szCs w:val="24"/>
                <w:color w:val="auto"/>
              </w:rPr>
            </w:pPr>
          </w:p>
        </w:tc>
        <w:tc>
          <w:tcPr>
            <w:tcW w:w="2640" w:type="dxa"/>
            <w:vAlign w:val="bottom"/>
          </w:tcPr>
          <w:p>
            <w:pPr>
              <w:ind w:left="280"/>
              <w:spacing w:after="0"/>
              <w:rPr>
                <w:sz w:val="20"/>
                <w:szCs w:val="20"/>
                <w:color w:val="auto"/>
              </w:rPr>
            </w:pPr>
            <w:r>
              <w:rPr>
                <w:rFonts w:ascii="Courier New" w:cs="Courier New" w:eastAsia="Courier New" w:hAnsi="Courier New"/>
                <w:sz w:val="15"/>
                <w:szCs w:val="15"/>
                <w:color w:val="auto"/>
              </w:rPr>
              <w:t>NON-OPERATING</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524"/>
        </w:trPr>
        <w:tc>
          <w:tcPr>
            <w:tcW w:w="2080" w:type="dxa"/>
            <w:vAlign w:val="bottom"/>
          </w:tcPr>
          <w:p>
            <w:pPr>
              <w:spacing w:after="0"/>
              <w:rPr>
                <w:sz w:val="20"/>
                <w:szCs w:val="20"/>
                <w:color w:val="auto"/>
              </w:rPr>
            </w:pPr>
            <w:r>
              <w:rPr>
                <w:rFonts w:ascii="Courier New" w:cs="Courier New" w:eastAsia="Courier New" w:hAnsi="Courier New"/>
                <w:sz w:val="15"/>
                <w:szCs w:val="15"/>
                <w:color w:val="auto"/>
              </w:rPr>
              <w:t>ALTITUDE</w:t>
            </w:r>
          </w:p>
        </w:tc>
        <w:tc>
          <w:tcPr>
            <w:tcW w:w="2640" w:type="dxa"/>
            <w:vAlign w:val="bottom"/>
          </w:tcPr>
          <w:p>
            <w:pPr>
              <w:ind w:left="280"/>
              <w:spacing w:after="0"/>
              <w:rPr>
                <w:sz w:val="20"/>
                <w:szCs w:val="20"/>
                <w:color w:val="auto"/>
              </w:rPr>
            </w:pPr>
            <w:r>
              <w:rPr>
                <w:rFonts w:ascii="Courier New" w:cs="Courier New" w:eastAsia="Courier New" w:hAnsi="Courier New"/>
                <w:sz w:val="15"/>
                <w:szCs w:val="15"/>
                <w:color w:val="auto"/>
              </w:rPr>
              <w:t>OPERATING</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524"/>
        </w:trPr>
        <w:tc>
          <w:tcPr>
            <w:tcW w:w="2080" w:type="dxa"/>
            <w:vAlign w:val="bottom"/>
          </w:tcPr>
          <w:p>
            <w:pPr>
              <w:spacing w:after="0"/>
              <w:rPr>
                <w:sz w:val="24"/>
                <w:szCs w:val="24"/>
                <w:color w:val="auto"/>
              </w:rPr>
            </w:pPr>
          </w:p>
        </w:tc>
        <w:tc>
          <w:tcPr>
            <w:tcW w:w="2640" w:type="dxa"/>
            <w:vAlign w:val="bottom"/>
          </w:tcPr>
          <w:p>
            <w:pPr>
              <w:ind w:left="280"/>
              <w:spacing w:after="0"/>
              <w:rPr>
                <w:sz w:val="20"/>
                <w:szCs w:val="20"/>
                <w:color w:val="auto"/>
              </w:rPr>
            </w:pPr>
            <w:r>
              <w:rPr>
                <w:rFonts w:ascii="Courier New" w:cs="Courier New" w:eastAsia="Courier New" w:hAnsi="Courier New"/>
                <w:sz w:val="15"/>
                <w:szCs w:val="15"/>
                <w:color w:val="auto"/>
              </w:rPr>
              <w:t>NON-OPERATING</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874"/>
        </w:trPr>
        <w:tc>
          <w:tcPr>
            <w:tcW w:w="20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SPECIFICATION</w:t>
            </w:r>
          </w:p>
        </w:tc>
        <w:tc>
          <w:tcPr>
            <w:tcW w:w="540" w:type="dxa"/>
            <w:vAlign w:val="bottom"/>
          </w:tcPr>
          <w:p>
            <w:pPr>
              <w:spacing w:after="0"/>
              <w:rPr>
                <w:sz w:val="24"/>
                <w:szCs w:val="24"/>
                <w:color w:val="auto"/>
              </w:rPr>
            </w:pPr>
          </w:p>
        </w:tc>
      </w:tr>
      <w:tr>
        <w:trPr>
          <w:trHeight w:val="350"/>
        </w:trPr>
        <w:tc>
          <w:tcPr>
            <w:tcW w:w="2080" w:type="dxa"/>
            <w:vAlign w:val="bottom"/>
          </w:tcPr>
          <w:p>
            <w:pPr>
              <w:spacing w:after="0"/>
              <w:rPr>
                <w:sz w:val="20"/>
                <w:szCs w:val="20"/>
                <w:color w:val="auto"/>
              </w:rPr>
            </w:pPr>
            <w:r>
              <w:rPr>
                <w:rFonts w:ascii="Courier New" w:cs="Courier New" w:eastAsia="Courier New" w:hAnsi="Courier New"/>
                <w:sz w:val="15"/>
                <w:szCs w:val="15"/>
                <w:color w:val="auto"/>
              </w:rPr>
              <w:t>VIBRATION</w:t>
            </w: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SINE SWEEP SURVIVAL  [*]</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All axes to be tested</w:t>
            </w:r>
          </w:p>
        </w:tc>
        <w:tc>
          <w:tcPr>
            <w:tcW w:w="26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RANDOM SURVIVAL</w:t>
            </w: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POWER SPECTRAL DENSITY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0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350"/>
        </w:trPr>
        <w:tc>
          <w:tcPr>
            <w:tcW w:w="20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350"/>
        </w:trPr>
        <w:tc>
          <w:tcPr>
            <w:tcW w:w="20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350"/>
        </w:trPr>
        <w:tc>
          <w:tcPr>
            <w:tcW w:w="20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7" w:right="2959" w:hanging="447"/>
        <w:spacing w:after="0" w:line="247" w:lineRule="auto"/>
        <w:tabs>
          <w:tab w:leader="none" w:pos="447"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(A-2)</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Page 3 of 5</w:t>
      </w:r>
    </w:p>
    <w:p>
      <w:pPr>
        <w:sectPr>
          <w:pgSz w:w="11900" w:h="16838" w:orient="portrait"/>
          <w:cols w:equalWidth="0" w:num="1">
            <w:col w:w="10226"/>
          </w:cols>
          <w:pgMar w:left="233" w:top="643" w:right="1440" w:bottom="1440" w:gutter="0" w:footer="0" w:header="0"/>
        </w:sectPr>
      </w:pPr>
    </w:p>
    <w:bookmarkStart w:id="189" w:name="page190"/>
    <w:bookmarkEnd w:id="189"/>
    <w:tbl>
      <w:tblPr>
        <w:tblLayout w:type="fixed"/>
        <w:tblInd w:w="7"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RANDOM OPERATING</w:t>
            </w: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POWER SPECTRAL DENSITY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350"/>
        </w:trPr>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350"/>
        </w:trPr>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699"/>
        </w:trPr>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SPECIFICATION</w:t>
            </w:r>
          </w:p>
        </w:tc>
        <w:tc>
          <w:tcPr>
            <w:tcW w:w="540" w:type="dxa"/>
            <w:vAlign w:val="bottom"/>
          </w:tcPr>
          <w:p>
            <w:pPr>
              <w:spacing w:after="0"/>
              <w:rPr>
                <w:sz w:val="24"/>
                <w:szCs w:val="24"/>
                <w:color w:val="auto"/>
              </w:rPr>
            </w:pPr>
          </w:p>
        </w:tc>
      </w:tr>
      <w:tr>
        <w:trPr>
          <w:trHeight w:val="350"/>
        </w:trPr>
        <w:tc>
          <w:tcPr>
            <w:tcW w:w="1820" w:type="dxa"/>
            <w:vAlign w:val="bottom"/>
          </w:tcPr>
          <w:p>
            <w:pPr>
              <w:spacing w:after="0"/>
              <w:rPr>
                <w:sz w:val="20"/>
                <w:szCs w:val="20"/>
                <w:color w:val="auto"/>
              </w:rPr>
            </w:pPr>
            <w:r>
              <w:rPr>
                <w:rFonts w:ascii="Courier New" w:cs="Courier New" w:eastAsia="Courier New" w:hAnsi="Courier New"/>
                <w:sz w:val="15"/>
                <w:szCs w:val="15"/>
                <w:color w:val="auto"/>
              </w:rPr>
              <w:t>SHOCK</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OPERATING</w:t>
            </w: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350"/>
        </w:trPr>
        <w:tc>
          <w:tcPr>
            <w:tcW w:w="1820" w:type="dxa"/>
            <w:vAlign w:val="bottom"/>
          </w:tcPr>
          <w:p>
            <w:pPr>
              <w:spacing w:after="0"/>
              <w:rPr>
                <w:sz w:val="24"/>
                <w:szCs w:val="24"/>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END USE HANDLING</w:t>
            </w: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175"/>
        </w:trPr>
        <w:tc>
          <w:tcPr>
            <w:tcW w:w="1820" w:type="dxa"/>
            <w:vAlign w:val="bottom"/>
          </w:tcPr>
          <w:p>
            <w:pPr>
              <w:spacing w:after="0"/>
              <w:rPr>
                <w:sz w:val="15"/>
                <w:szCs w:val="15"/>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50"/>
        </w:trPr>
        <w:tc>
          <w:tcPr>
            <w:tcW w:w="1820" w:type="dxa"/>
            <w:vAlign w:val="bottom"/>
          </w:tcPr>
          <w:p>
            <w:pPr>
              <w:spacing w:after="0"/>
              <w:rPr>
                <w:sz w:val="24"/>
                <w:szCs w:val="24"/>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TRANSPORTATION (3)</w:t>
            </w: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tcPr>
          <w:p>
            <w:pPr>
              <w:spacing w:after="0"/>
              <w:rPr>
                <w:sz w:val="15"/>
                <w:szCs w:val="15"/>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874"/>
        </w:trPr>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SPECIFICATION</w:t>
            </w:r>
          </w:p>
        </w:tc>
        <w:tc>
          <w:tcPr>
            <w:tcW w:w="540" w:type="dxa"/>
            <w:vAlign w:val="bottom"/>
          </w:tcPr>
          <w:p>
            <w:pPr>
              <w:spacing w:after="0"/>
              <w:rPr>
                <w:sz w:val="24"/>
                <w:szCs w:val="24"/>
                <w:color w:val="auto"/>
              </w:rPr>
            </w:pPr>
          </w:p>
        </w:tc>
      </w:tr>
      <w:tr>
        <w:trPr>
          <w:trHeight w:val="350"/>
        </w:trPr>
        <w:tc>
          <w:tcPr>
            <w:tcW w:w="1820" w:type="dxa"/>
            <w:vAlign w:val="bottom"/>
          </w:tcPr>
          <w:p>
            <w:pPr>
              <w:spacing w:after="0"/>
              <w:rPr>
                <w:sz w:val="20"/>
                <w:szCs w:val="20"/>
                <w:color w:val="auto"/>
              </w:rPr>
            </w:pPr>
            <w:r>
              <w:rPr>
                <w:rFonts w:ascii="Courier New" w:cs="Courier New" w:eastAsia="Courier New" w:hAnsi="Courier New"/>
                <w:sz w:val="15"/>
                <w:szCs w:val="15"/>
                <w:color w:val="auto"/>
              </w:rPr>
              <w:t>SHIPPING CARTON</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VIBRATION</w:t>
            </w: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PERFORMANCE</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50"/>
        </w:trPr>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r>
      <w:tr>
        <w:trPr>
          <w:trHeight w:val="350"/>
        </w:trPr>
        <w:tc>
          <w:tcPr>
            <w:tcW w:w="1820" w:type="dxa"/>
            <w:vAlign w:val="bottom"/>
          </w:tcPr>
          <w:p>
            <w:pPr>
              <w:spacing w:after="0"/>
              <w:rPr>
                <w:sz w:val="24"/>
                <w:szCs w:val="24"/>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SWEPT SINE</w:t>
            </w: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tcPr>
          <w:p>
            <w:pPr>
              <w:spacing w:after="0"/>
              <w:rPr>
                <w:sz w:val="15"/>
                <w:szCs w:val="15"/>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1820" w:type="dxa"/>
            <w:vAlign w:val="bottom"/>
          </w:tcPr>
          <w:p>
            <w:pPr>
              <w:spacing w:after="0"/>
              <w:rPr>
                <w:sz w:val="15"/>
                <w:szCs w:val="15"/>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1820" w:type="dxa"/>
            <w:vAlign w:val="bottom"/>
          </w:tcPr>
          <w:p>
            <w:pPr>
              <w:spacing w:after="0"/>
              <w:rPr>
                <w:sz w:val="15"/>
                <w:szCs w:val="15"/>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SHOCK</w:t>
            </w: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820" w:type="dxa"/>
            <w:vAlign w:val="bottom"/>
          </w:tcPr>
          <w:p>
            <w:pPr>
              <w:spacing w:after="0"/>
              <w:rPr>
                <w:sz w:val="24"/>
                <w:szCs w:val="24"/>
                <w:color w:val="auto"/>
              </w:rPr>
            </w:pP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99"/>
        </w:trPr>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80" w:type="dxa"/>
            <w:vAlign w:val="bottom"/>
          </w:tcPr>
          <w:p>
            <w:pPr>
              <w:ind w:left="500"/>
              <w:spacing w:after="0"/>
              <w:rPr>
                <w:sz w:val="20"/>
                <w:szCs w:val="20"/>
                <w:color w:val="auto"/>
              </w:rPr>
            </w:pPr>
            <w:r>
              <w:rPr>
                <w:rFonts w:ascii="Courier New" w:cs="Courier New" w:eastAsia="Courier New" w:hAnsi="Courier New"/>
                <w:sz w:val="15"/>
                <w:szCs w:val="15"/>
                <w:color w:val="auto"/>
              </w:rPr>
              <w:t>SPECIFICATION</w:t>
            </w:r>
          </w:p>
        </w:tc>
        <w:tc>
          <w:tcPr>
            <w:tcW w:w="540" w:type="dxa"/>
            <w:vAlign w:val="bottom"/>
          </w:tcPr>
          <w:p>
            <w:pPr>
              <w:spacing w:after="0"/>
              <w:rPr>
                <w:sz w:val="24"/>
                <w:szCs w:val="24"/>
                <w:color w:val="auto"/>
              </w:rPr>
            </w:pPr>
          </w:p>
        </w:tc>
      </w:tr>
      <w:tr>
        <w:trPr>
          <w:trHeight w:val="350"/>
        </w:trPr>
        <w:tc>
          <w:tcPr>
            <w:tcW w:w="1820" w:type="dxa"/>
            <w:vAlign w:val="bottom"/>
          </w:tcPr>
          <w:p>
            <w:pPr>
              <w:spacing w:after="0"/>
              <w:rPr>
                <w:sz w:val="20"/>
                <w:szCs w:val="20"/>
                <w:color w:val="auto"/>
              </w:rPr>
            </w:pPr>
            <w:r>
              <w:rPr>
                <w:rFonts w:ascii="Courier New" w:cs="Courier New" w:eastAsia="Courier New" w:hAnsi="Courier New"/>
                <w:sz w:val="15"/>
                <w:szCs w:val="15"/>
                <w:color w:val="auto"/>
              </w:rPr>
              <w:t>ELECTOSTATIC</w:t>
            </w:r>
          </w:p>
        </w:tc>
        <w:tc>
          <w:tcPr>
            <w:tcW w:w="2580" w:type="dxa"/>
            <w:vAlign w:val="bottom"/>
          </w:tcPr>
          <w:p>
            <w:pPr>
              <w:spacing w:after="0"/>
              <w:rPr>
                <w:sz w:val="24"/>
                <w:szCs w:val="24"/>
                <w:color w:val="auto"/>
              </w:rPr>
            </w:pPr>
          </w:p>
        </w:tc>
        <w:tc>
          <w:tcPr>
            <w:tcW w:w="278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DISCHARGE</w:t>
            </w:r>
          </w:p>
        </w:tc>
        <w:tc>
          <w:tcPr>
            <w:tcW w:w="2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(A-2)</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Page 4 of 5</w:t>
      </w:r>
    </w:p>
    <w:p>
      <w:pPr>
        <w:sectPr>
          <w:pgSz w:w="11900" w:h="16838" w:orient="portrait"/>
          <w:cols w:equalWidth="0" w:num="1">
            <w:col w:w="10226"/>
          </w:cols>
          <w:pgMar w:left="233" w:top="818" w:right="1440" w:bottom="1440" w:gutter="0" w:footer="0" w:header="0"/>
        </w:sectPr>
      </w:pPr>
    </w:p>
    <w:bookmarkStart w:id="190" w:name="page191"/>
    <w:bookmarkEnd w:id="190"/>
    <w:tbl>
      <w:tblPr>
        <w:tblLayout w:type="fixed"/>
        <w:tblInd w:w="7"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w w:val="99"/>
              </w:rPr>
              <w:t>SPECIFICATION</w:t>
            </w:r>
          </w:p>
        </w:tc>
      </w:tr>
      <w:tr>
        <w:trPr>
          <w:trHeight w:val="699"/>
        </w:trPr>
        <w:tc>
          <w:tcPr>
            <w:tcW w:w="1760" w:type="dxa"/>
            <w:vAlign w:val="bottom"/>
          </w:tcPr>
          <w:p>
            <w:pPr>
              <w:spacing w:after="0"/>
              <w:rPr>
                <w:sz w:val="20"/>
                <w:szCs w:val="20"/>
                <w:color w:val="auto"/>
              </w:rPr>
            </w:pPr>
            <w:r>
              <w:rPr>
                <w:rFonts w:ascii="Courier New" w:cs="Courier New" w:eastAsia="Courier New" w:hAnsi="Courier New"/>
                <w:sz w:val="15"/>
                <w:szCs w:val="15"/>
                <w:color w:val="auto"/>
              </w:rPr>
              <w:t>POWER LINE:</w:t>
            </w: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VOLTAGE AND FREQUENCY</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OPERATING (4)</w:t>
            </w:r>
          </w:p>
        </w:tc>
        <w:tc>
          <w:tcPr>
            <w:tcW w:w="30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INRUSH CURRENT</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TOTAL HARMONIC DISTORTION</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TRANSIENT SURGE</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SURGE</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SAG</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DROP OUT</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TRANSIENT</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CHATTER TEST</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ON/OFF POWER-CYCLING</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BROWN OUT AND RECOVERY</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4"/>
                <w:szCs w:val="24"/>
                <w:color w:val="auto"/>
              </w:rPr>
            </w:pPr>
          </w:p>
        </w:tc>
        <w:tc>
          <w:tcPr>
            <w:tcW w:w="3040" w:type="dxa"/>
            <w:vAlign w:val="bottom"/>
          </w:tcPr>
          <w:p>
            <w:pPr>
              <w:ind w:left="600"/>
              <w:spacing w:after="0"/>
              <w:rPr>
                <w:sz w:val="20"/>
                <w:szCs w:val="20"/>
                <w:color w:val="auto"/>
              </w:rPr>
            </w:pPr>
            <w:r>
              <w:rPr>
                <w:rFonts w:ascii="Courier New" w:cs="Courier New" w:eastAsia="Courier New" w:hAnsi="Courier New"/>
                <w:sz w:val="15"/>
                <w:szCs w:val="15"/>
                <w:color w:val="auto"/>
              </w:rPr>
              <w:t>LINE CYCLE DROPOUT</w:t>
            </w: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SPECIFICATION</w:t>
      </w:r>
    </w:p>
    <w:p>
      <w:pPr>
        <w:sectPr>
          <w:pgSz w:w="11900" w:h="16838" w:orient="portrait"/>
          <w:cols w:equalWidth="0" w:num="1">
            <w:col w:w="10226"/>
          </w:cols>
          <w:pgMar w:left="233" w:top="1167" w:right="1440" w:bottom="1440" w:gutter="0" w:footer="0" w:header="0"/>
        </w:sectPr>
      </w:pPr>
    </w:p>
    <w:p>
      <w:pPr>
        <w:spacing w:after="0" w:line="354"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MARGIN TESTS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 EXPLORATION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86" w:lineRule="exact"/>
        <w:rPr>
          <w:sz w:val="20"/>
          <w:szCs w:val="20"/>
          <w:color w:val="auto"/>
        </w:rPr>
      </w:pPr>
    </w:p>
    <w:p>
      <w:pPr>
        <w:sectPr>
          <w:pgSz w:w="11900" w:h="16838" w:orient="portrait"/>
          <w:cols w:equalWidth="0" w:num="3">
            <w:col w:w="1647" w:space="720"/>
            <w:col w:w="1920" w:space="720"/>
            <w:col w:w="5219"/>
          </w:cols>
          <w:pgMar w:left="233" w:top="1167"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6"/>
          </w:cols>
          <w:pgMar w:left="233" w:top="1167" w:right="1440" w:bottom="1440" w:gutter="0" w:footer="0" w:header="0"/>
          <w:type w:val="continuous"/>
        </w:sectPr>
      </w:pPr>
    </w:p>
    <w:p>
      <w:pPr>
        <w:spacing w:after="0" w:line="366" w:lineRule="exact"/>
        <w:rPr>
          <w:sz w:val="20"/>
          <w:szCs w:val="20"/>
          <w:color w:val="auto"/>
        </w:rPr>
      </w:pPr>
    </w:p>
    <w:p>
      <w:pPr>
        <w:ind w:left="727" w:hanging="727"/>
        <w:spacing w:after="0"/>
        <w:tabs>
          <w:tab w:leader="none" w:pos="7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(A-2)</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5 of 5</w:t>
      </w:r>
    </w:p>
    <w:p>
      <w:pPr>
        <w:sectPr>
          <w:pgSz w:w="11900" w:h="16838" w:orient="portrait"/>
          <w:cols w:equalWidth="0" w:num="1">
            <w:col w:w="10226"/>
          </w:cols>
          <w:pgMar w:left="233" w:top="1167" w:right="1440" w:bottom="1440" w:gutter="0" w:footer="0" w:header="0"/>
          <w:type w:val="continuous"/>
        </w:sectPr>
      </w:pPr>
    </w:p>
    <w:bookmarkStart w:id="191" w:name="page192"/>
    <w:bookmarkEnd w:id="191"/>
    <w:p>
      <w:pPr>
        <w:ind w:left="2540"/>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(A-3)</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OEM PRODUCT PACKAGING INSTRUCTIONS</w:t>
      </w:r>
    </w:p>
    <w:p>
      <w:pPr>
        <w:spacing w:after="0" w:line="18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PACKAGING STANDARDS:</w:t>
      </w:r>
    </w:p>
    <w:p>
      <w:pPr>
        <w:spacing w:after="0" w:line="180" w:lineRule="exact"/>
        <w:rPr>
          <w:sz w:val="20"/>
          <w:szCs w:val="20"/>
          <w:color w:val="auto"/>
        </w:rPr>
      </w:pPr>
    </w:p>
    <w:p>
      <w:pPr>
        <w:ind w:left="1440" w:right="3219" w:hanging="720"/>
        <w:spacing w:after="0" w:line="247" w:lineRule="auto"/>
        <w:tabs>
          <w:tab w:leader="none" w:pos="144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to comply with all HP standard packaging and labeling requirements.</w:t>
      </w:r>
    </w:p>
    <w:p>
      <w:pPr>
        <w:spacing w:after="0" w:line="17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TOOLS REQUIRED:</w:t>
      </w:r>
    </w:p>
    <w:p>
      <w:pPr>
        <w:spacing w:after="0" w:line="180" w:lineRule="exact"/>
        <w:rPr>
          <w:sz w:val="20"/>
          <w:szCs w:val="20"/>
          <w:color w:val="auto"/>
        </w:rPr>
      </w:pPr>
    </w:p>
    <w:p>
      <w:pPr>
        <w:ind w:left="1440" w:right="3859" w:hanging="720"/>
        <w:spacing w:after="0" w:line="247" w:lineRule="auto"/>
        <w:tabs>
          <w:tab w:leader="none" w:pos="144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to inform HP of any tools required for product packaging.</w:t>
      </w:r>
    </w:p>
    <w:p>
      <w:pPr>
        <w:spacing w:after="0" w:line="17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5"/>
          <w:szCs w:val="15"/>
          <w:color w:val="auto"/>
        </w:rPr>
        <w:t>REFERENCE DOCUMENTS:</w:t>
      </w:r>
    </w:p>
    <w:p>
      <w:pPr>
        <w:spacing w:after="0" w:line="180" w:lineRule="exact"/>
        <w:rPr>
          <w:sz w:val="20"/>
          <w:szCs w:val="20"/>
          <w:color w:val="auto"/>
        </w:rPr>
      </w:pPr>
    </w:p>
    <w:p>
      <w:pPr>
        <w:ind w:left="1440" w:right="3319" w:hanging="720"/>
        <w:spacing w:after="0" w:line="247" w:lineRule="auto"/>
        <w:tabs>
          <w:tab w:leader="none" w:pos="144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to inform HP of any reference documents required for product packaging such as quality assurance and cosmetic requirement documents (ISO documentation).</w:t>
      </w:r>
    </w:p>
    <w:p>
      <w:pPr>
        <w:spacing w:after="0" w:line="174" w:lineRule="exact"/>
        <w:rPr>
          <w:rFonts w:ascii="Courier New" w:cs="Courier New" w:eastAsia="Courier New" w:hAnsi="Courier New"/>
          <w:sz w:val="15"/>
          <w:szCs w:val="15"/>
          <w:color w:val="auto"/>
        </w:rPr>
      </w:pPr>
    </w:p>
    <w:p>
      <w:pPr>
        <w:ind w:left="1440" w:right="4859" w:hanging="720"/>
        <w:spacing w:after="0" w:line="247" w:lineRule="auto"/>
        <w:tabs>
          <w:tab w:leader="none" w:pos="144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to provide HP with packaging design specifications/drawings for the SW 6400.</w:t>
      </w:r>
    </w:p>
    <w:p>
      <w:pPr>
        <w:spacing w:after="0" w:line="174" w:lineRule="exact"/>
        <w:rPr>
          <w:rFonts w:ascii="Courier New" w:cs="Courier New" w:eastAsia="Courier New" w:hAnsi="Courier New"/>
          <w:sz w:val="15"/>
          <w:szCs w:val="15"/>
          <w:color w:val="auto"/>
        </w:rPr>
      </w:pPr>
    </w:p>
    <w:p>
      <w:pPr>
        <w:ind w:left="1440" w:hanging="720"/>
        <w:spacing w:after="0"/>
        <w:tabs>
          <w:tab w:leader="none" w:pos="144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Unpacking and Installation Guide (see attached).</w:t>
      </w:r>
    </w:p>
    <w:p>
      <w:pPr>
        <w:spacing w:after="0" w:line="18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5"/>
          <w:szCs w:val="15"/>
          <w:color w:val="auto"/>
        </w:rPr>
        <w:t>PRODUCT ASSEMBLY:</w:t>
      </w:r>
    </w:p>
    <w:p>
      <w:pPr>
        <w:spacing w:after="0" w:line="180" w:lineRule="exact"/>
        <w:rPr>
          <w:sz w:val="20"/>
          <w:szCs w:val="20"/>
          <w:color w:val="auto"/>
        </w:rPr>
      </w:pPr>
    </w:p>
    <w:p>
      <w:pPr>
        <w:ind w:left="1440" w:right="3139" w:hanging="720"/>
        <w:spacing w:after="0" w:line="247" w:lineRule="auto"/>
        <w:tabs>
          <w:tab w:leader="none" w:pos="144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to provide HP with their product assembly requirements demonstrating ISO standards compliance.</w:t>
      </w:r>
    </w:p>
    <w:p>
      <w:pPr>
        <w:spacing w:after="0" w:line="174" w:lineRule="exact"/>
        <w:rPr>
          <w:rFonts w:ascii="Courier New" w:cs="Courier New" w:eastAsia="Courier New" w:hAnsi="Courier New"/>
          <w:sz w:val="15"/>
          <w:szCs w:val="15"/>
          <w:color w:val="auto"/>
        </w:rPr>
      </w:pPr>
    </w:p>
    <w:p>
      <w:pPr>
        <w:ind w:left="1440" w:right="3139" w:hanging="720"/>
        <w:spacing w:after="0" w:line="247" w:lineRule="auto"/>
        <w:tabs>
          <w:tab w:leader="none" w:pos="144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to provide HP with final packaging pictures for the SW 6400,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Exhibit A-3-1 follows immediately after this page.)</w:t>
      </w:r>
    </w:p>
    <w:p>
      <w:pPr>
        <w:spacing w:after="0" w:line="200" w:lineRule="exact"/>
        <w:rPr>
          <w:sz w:val="20"/>
          <w:szCs w:val="20"/>
          <w:color w:val="auto"/>
        </w:rPr>
      </w:pPr>
    </w:p>
    <w:p>
      <w:pPr>
        <w:spacing w:after="0" w:line="32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(A-3)</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19"/>
          </w:cols>
          <w:pgMar w:left="240" w:top="643" w:right="1440" w:bottom="1440" w:gutter="0" w:footer="0" w:header="0"/>
        </w:sectPr>
      </w:pPr>
    </w:p>
    <w:bookmarkStart w:id="192" w:name="page193"/>
    <w:bookmarkEnd w:id="192"/>
    <w:p>
      <w:pPr>
        <w:ind w:left="2540"/>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EXHIBIT (A-3-1)</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[BROCADE(R) LOGO]</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SILKWORM(R) 6400</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QUICKSTART GUIDE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(C)2001 Brocade Communications Systems. Incorporated.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RIGHTS RESERVED.</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Brocade, Silk Worm, Silk Worm Express, Fabric OS, Fabric Watch, QuickLoop, and the Brocade logo are trademarks or registered trademarks of Brocade Communications Systems, Inc., in the United States and/or in other countries.</w:t>
      </w:r>
    </w:p>
    <w:p>
      <w:pPr>
        <w:spacing w:after="0" w:line="174"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All other brands, products, or service names are or may be trademarks or service marks of, and are used to identify, products or services or their respective owners.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Notice: This document is or informational purposes only and does not set forth any warranty, express or implied, concerning any equipment, equipment feature, or service offered. Brocade reserves the right to make changes to this document at any time, without notice, and assumes no responsibility for its use.</w:t>
      </w:r>
    </w:p>
    <w:p>
      <w:pPr>
        <w:spacing w:after="0" w:line="177"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Export of technical data contained in this document may require an export license from the United States Government.</w:t>
      </w:r>
    </w:p>
    <w:p>
      <w:pPr>
        <w:spacing w:after="0" w:line="17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Publication Number 53-0000112-01</w:t>
      </w:r>
    </w:p>
    <w:p>
      <w:pPr>
        <w:sectPr>
          <w:pgSz w:w="11900" w:h="16838" w:orient="portrait"/>
          <w:cols w:equalWidth="0" w:num="1">
            <w:col w:w="10219"/>
          </w:cols>
          <w:pgMar w:left="240" w:top="643" w:right="1440" w:bottom="1440" w:gutter="0" w:footer="0" w:header="0"/>
        </w:sectPr>
      </w:pPr>
    </w:p>
    <w:bookmarkStart w:id="193" w:name="page194"/>
    <w:bookmarkEnd w:id="193"/>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SilkWorm 6400 QuickStart Guide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UNPACKING AND INSTALLING THE SILKWORM 6400</w:t>
      </w:r>
    </w:p>
    <w:p>
      <w:pPr>
        <w:spacing w:after="0" w:line="5" w:lineRule="exact"/>
        <w:rPr>
          <w:sz w:val="20"/>
          <w:szCs w:val="20"/>
          <w:color w:val="auto"/>
        </w:rPr>
      </w:pPr>
    </w:p>
    <w:p>
      <w:pPr>
        <w:ind w:left="187" w:hanging="187"/>
        <w:spacing w:after="0"/>
        <w:tabs>
          <w:tab w:leader="none" w:pos="187"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 this procedure to unpack and install a SilkWorm 6400 Integrated Fabric.</w:t>
      </w:r>
    </w:p>
    <w:p>
      <w:pPr>
        <w:spacing w:after="0" w:line="180" w:lineRule="exact"/>
        <w:rPr>
          <w:sz w:val="20"/>
          <w:szCs w:val="20"/>
          <w:color w:val="auto"/>
        </w:rPr>
      </w:pPr>
    </w:p>
    <w:p>
      <w:pPr>
        <w:ind w:left="1367" w:right="2959" w:hanging="639"/>
        <w:spacing w:after="0" w:line="246" w:lineRule="auto"/>
        <w:tabs>
          <w:tab w:leader="none" w:pos="1346" w:val="left"/>
        </w:tabs>
        <w:rPr>
          <w:sz w:val="20"/>
          <w:szCs w:val="20"/>
          <w:color w:val="auto"/>
        </w:rPr>
      </w:pPr>
      <w:r>
        <w:rPr>
          <w:rFonts w:ascii="Courier New" w:cs="Courier New" w:eastAsia="Courier New" w:hAnsi="Courier New"/>
          <w:sz w:val="15"/>
          <w:szCs w:val="15"/>
          <w:color w:val="auto"/>
        </w:rPr>
        <w:t>NOTE:</w:t>
        <w:tab/>
        <w:t>After unpacking and installing the SilkWorm 6400, the SilkWorm 6400 will need to be configured. Refer to the SilkWorm 6400 Product Guide, Publication Number 53-0000109-01 for configuration information, as well as all mechanical and software information.</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INSTALLATION CONSIDERATIONS AND SAFETY GUIDELINES</w:t>
      </w:r>
    </w:p>
    <w:p>
      <w:pPr>
        <w:spacing w:after="0" w:line="180"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2007"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WARNING</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The SilkWorm</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6400</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Integrated Fabric weighs</w:t>
            </w:r>
          </w:p>
        </w:tc>
      </w:tr>
      <w:tr>
        <w:trPr>
          <w:trHeight w:val="175"/>
        </w:trPr>
        <w:tc>
          <w:tcPr>
            <w:tcW w:w="9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approximately 200</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pounds. Use proper</w:t>
            </w:r>
          </w:p>
        </w:tc>
      </w:tr>
      <w:tr>
        <w:trPr>
          <w:trHeight w:val="175"/>
        </w:trPr>
        <w:tc>
          <w:tcPr>
            <w:tcW w:w="940" w:type="dxa"/>
            <w:vAlign w:val="bottom"/>
          </w:tcPr>
          <w:p>
            <w:pPr>
              <w:spacing w:after="0"/>
              <w:rPr>
                <w:sz w:val="15"/>
                <w:szCs w:val="15"/>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handling and</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lifting equipment, such as a</w:t>
            </w:r>
          </w:p>
        </w:tc>
      </w:tr>
      <w:tr>
        <w:trPr>
          <w:trHeight w:val="175"/>
        </w:trPr>
        <w:tc>
          <w:tcPr>
            <w:tcW w:w="940" w:type="dxa"/>
            <w:vAlign w:val="bottom"/>
          </w:tcPr>
          <w:p>
            <w:pPr>
              <w:spacing w:after="0"/>
              <w:rPr>
                <w:sz w:val="15"/>
                <w:szCs w:val="15"/>
                <w:color w:val="auto"/>
              </w:rPr>
            </w:pPr>
          </w:p>
        </w:tc>
        <w:tc>
          <w:tcPr>
            <w:tcW w:w="432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hydraulic lift, to reduce the possibility of</w:t>
            </w:r>
          </w:p>
        </w:tc>
      </w:tr>
      <w:tr>
        <w:trPr>
          <w:trHeight w:val="175"/>
        </w:trPr>
        <w:tc>
          <w:tcPr>
            <w:tcW w:w="9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injury or product</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damage.</w:t>
            </w:r>
          </w:p>
        </w:tc>
      </w:tr>
    </w:tbl>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right="3219"/>
        <w:spacing w:after="0" w:line="247" w:lineRule="auto"/>
        <w:rPr>
          <w:sz w:val="20"/>
          <w:szCs w:val="20"/>
          <w:color w:val="auto"/>
        </w:rPr>
      </w:pPr>
      <w:r>
        <w:rPr>
          <w:rFonts w:ascii="Courier New" w:cs="Courier New" w:eastAsia="Courier New" w:hAnsi="Courier New"/>
          <w:sz w:val="15"/>
          <w:szCs w:val="15"/>
          <w:color w:val="auto"/>
        </w:rPr>
        <w:t>The SilkWorm 6400 is a high-port count integrated fabric comprised of six switch modules in a rack mountable chassis.</w:t>
      </w:r>
    </w:p>
    <w:p>
      <w:pPr>
        <w:spacing w:after="0" w:line="175" w:lineRule="exact"/>
        <w:rPr>
          <w:sz w:val="20"/>
          <w:szCs w:val="20"/>
          <w:color w:val="auto"/>
        </w:rPr>
      </w:pPr>
    </w:p>
    <w:p>
      <w:pPr>
        <w:ind w:left="2007" w:right="3039" w:hanging="644"/>
        <w:spacing w:after="0" w:line="246" w:lineRule="auto"/>
        <w:tabs>
          <w:tab w:leader="none" w:pos="200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installing the SilkWorm 6400 in a closed or multi-rack assembly, ensure the air temperature measured inside the SilkWorm 6400 chassis door does not exceed 40 degrees C during operation.</w:t>
      </w:r>
    </w:p>
    <w:p>
      <w:pPr>
        <w:spacing w:after="0" w:line="177" w:lineRule="exact"/>
        <w:rPr>
          <w:rFonts w:ascii="Courier New" w:cs="Courier New" w:eastAsia="Courier New" w:hAnsi="Courier New"/>
          <w:sz w:val="15"/>
          <w:szCs w:val="15"/>
          <w:color w:val="auto"/>
        </w:rPr>
      </w:pPr>
    </w:p>
    <w:p>
      <w:pPr>
        <w:ind w:left="2007" w:right="3219" w:hanging="644"/>
        <w:spacing w:after="0" w:line="247" w:lineRule="auto"/>
        <w:tabs>
          <w:tab w:leader="none" w:pos="200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the airflow available to the switch fabric is at least 300 cfm (cubic feet per minute).</w:t>
      </w:r>
    </w:p>
    <w:p>
      <w:pPr>
        <w:spacing w:after="0" w:line="174" w:lineRule="exact"/>
        <w:rPr>
          <w:rFonts w:ascii="Courier New" w:cs="Courier New" w:eastAsia="Courier New" w:hAnsi="Courier New"/>
          <w:sz w:val="15"/>
          <w:szCs w:val="15"/>
          <w:color w:val="auto"/>
        </w:rPr>
      </w:pPr>
    </w:p>
    <w:p>
      <w:pPr>
        <w:ind w:left="2007" w:right="3039" w:hanging="644"/>
        <w:spacing w:after="0" w:line="246" w:lineRule="auto"/>
        <w:tabs>
          <w:tab w:leader="none" w:pos="200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the fully-loaded chassis does not unbalance the rack or exceed the rack's mechanical limits, with all six SilkWorm 2250 switches secured in the chassis as well as with one switch partially extended out of the chassis.</w:t>
      </w:r>
    </w:p>
    <w:p>
      <w:pPr>
        <w:spacing w:after="0" w:line="177" w:lineRule="exact"/>
        <w:rPr>
          <w:rFonts w:ascii="Courier New" w:cs="Courier New" w:eastAsia="Courier New" w:hAnsi="Courier New"/>
          <w:sz w:val="15"/>
          <w:szCs w:val="15"/>
          <w:color w:val="auto"/>
        </w:rPr>
      </w:pPr>
    </w:p>
    <w:p>
      <w:pPr>
        <w:jc w:val="both"/>
        <w:ind w:left="2007" w:right="3039" w:hanging="644"/>
        <w:spacing w:after="0" w:line="247" w:lineRule="auto"/>
        <w:tabs>
          <w:tab w:leader="none" w:pos="200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the supply circuit, line fusing, and wire size are adequate according to the electrical rating on the switch nameplate.</w:t>
      </w:r>
    </w:p>
    <w:p>
      <w:pPr>
        <w:spacing w:after="0" w:line="174" w:lineRule="exact"/>
        <w:rPr>
          <w:rFonts w:ascii="Courier New" w:cs="Courier New" w:eastAsia="Courier New" w:hAnsi="Courier New"/>
          <w:sz w:val="15"/>
          <w:szCs w:val="15"/>
          <w:color w:val="auto"/>
        </w:rPr>
      </w:pPr>
    </w:p>
    <w:p>
      <w:pPr>
        <w:ind w:left="2007" w:right="3419" w:hanging="644"/>
        <w:spacing w:after="0" w:line="247" w:lineRule="auto"/>
        <w:tabs>
          <w:tab w:leader="none" w:pos="200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Verify that all equipment installed in the rack has a reliable branch circuit ground connection.</w:t>
      </w:r>
    </w:p>
    <w:p>
      <w:pPr>
        <w:spacing w:after="0" w:line="174" w:lineRule="exact"/>
        <w:rPr>
          <w:rFonts w:ascii="Courier New" w:cs="Courier New" w:eastAsia="Courier New" w:hAnsi="Courier New"/>
          <w:sz w:val="15"/>
          <w:szCs w:val="15"/>
          <w:color w:val="auto"/>
        </w:rPr>
      </w:pPr>
    </w:p>
    <w:p>
      <w:pPr>
        <w:ind w:left="2007" w:right="3679" w:hanging="644"/>
        <w:spacing w:after="0" w:line="247" w:lineRule="auto"/>
        <w:tabs>
          <w:tab w:leader="none" w:pos="200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strongly recommended that the EIA Rack be mechanically secured to prevent tipping over in an earthquake.</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REQUIREMENTS</w:t>
      </w:r>
    </w:p>
    <w:p>
      <w:pPr>
        <w:spacing w:after="0" w:line="180"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TIME REQUIRED</w:t>
      </w:r>
    </w:p>
    <w:p>
      <w:pPr>
        <w:spacing w:after="0" w:line="180"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Approximately 45 minutes.</w:t>
      </w:r>
    </w:p>
    <w:p>
      <w:pPr>
        <w:spacing w:after="0" w:line="180"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ITEMS REQUIRED</w:t>
      </w:r>
    </w:p>
    <w:p>
      <w:pPr>
        <w:spacing w:after="0" w:line="180" w:lineRule="exact"/>
        <w:rPr>
          <w:sz w:val="20"/>
          <w:szCs w:val="20"/>
          <w:color w:val="auto"/>
        </w:rPr>
      </w:pPr>
    </w:p>
    <w:p>
      <w:pPr>
        <w:ind w:left="2627" w:hanging="627"/>
        <w:spacing w:after="0"/>
        <w:tabs>
          <w:tab w:leader="none" w:pos="2627"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SilkWorm 6400.</w:t>
      </w:r>
    </w:p>
    <w:p>
      <w:pPr>
        <w:spacing w:after="0" w:line="179" w:lineRule="exact"/>
        <w:rPr>
          <w:rFonts w:ascii="Courier New" w:cs="Courier New" w:eastAsia="Courier New" w:hAnsi="Courier New"/>
          <w:sz w:val="15"/>
          <w:szCs w:val="15"/>
          <w:color w:val="auto"/>
        </w:rPr>
      </w:pPr>
    </w:p>
    <w:p>
      <w:pPr>
        <w:ind w:left="2627" w:hanging="627"/>
        <w:spacing w:after="0"/>
        <w:tabs>
          <w:tab w:leader="none" w:pos="2627"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Phillips screwdriver.</w:t>
      </w:r>
    </w:p>
    <w:p>
      <w:pPr>
        <w:spacing w:after="0" w:line="179" w:lineRule="exact"/>
        <w:rPr>
          <w:rFonts w:ascii="Courier New" w:cs="Courier New" w:eastAsia="Courier New" w:hAnsi="Courier New"/>
          <w:sz w:val="15"/>
          <w:szCs w:val="15"/>
          <w:color w:val="auto"/>
        </w:rPr>
      </w:pPr>
    </w:p>
    <w:p>
      <w:pPr>
        <w:ind w:left="2627" w:right="2959" w:hanging="627"/>
        <w:spacing w:after="0" w:line="247" w:lineRule="auto"/>
        <w:tabs>
          <w:tab w:leader="none" w:pos="2627"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inch deep rack space, 14 rack units high, and 19 inches wide.</w:t>
      </w:r>
    </w:p>
    <w:p>
      <w:pPr>
        <w:spacing w:after="0" w:line="174" w:lineRule="exact"/>
        <w:rPr>
          <w:rFonts w:ascii="Courier New" w:cs="Courier New" w:eastAsia="Courier New" w:hAnsi="Courier New"/>
          <w:sz w:val="15"/>
          <w:szCs w:val="15"/>
          <w:color w:val="auto"/>
        </w:rPr>
      </w:pPr>
    </w:p>
    <w:p>
      <w:pPr>
        <w:ind w:left="2627" w:hanging="627"/>
        <w:spacing w:after="0"/>
        <w:tabs>
          <w:tab w:leader="none" w:pos="2627"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power outlets, one for each switch.</w:t>
      </w:r>
    </w:p>
    <w:p>
      <w:pPr>
        <w:spacing w:after="0" w:line="179" w:lineRule="exact"/>
        <w:rPr>
          <w:rFonts w:ascii="Courier New" w:cs="Courier New" w:eastAsia="Courier New" w:hAnsi="Courier New"/>
          <w:sz w:val="15"/>
          <w:szCs w:val="15"/>
          <w:color w:val="auto"/>
        </w:rPr>
      </w:pPr>
    </w:p>
    <w:p>
      <w:pPr>
        <w:ind w:left="2627" w:hanging="627"/>
        <w:spacing w:after="0"/>
        <w:tabs>
          <w:tab w:leader="none" w:pos="2627"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hydraulic lift.</w:t>
      </w:r>
    </w:p>
    <w:p>
      <w:pPr>
        <w:spacing w:after="0" w:line="180" w:lineRule="exact"/>
        <w:rPr>
          <w:sz w:val="20"/>
          <w:szCs w:val="20"/>
          <w:color w:val="auto"/>
        </w:rPr>
      </w:pPr>
    </w:p>
    <w:p>
      <w:pPr>
        <w:ind w:left="7"/>
        <w:spacing w:after="0"/>
        <w:tabs>
          <w:tab w:leader="none" w:pos="3886" w:val="left"/>
          <w:tab w:leader="none" w:pos="6986" w:val="left"/>
        </w:tabs>
        <w:rPr>
          <w:sz w:val="20"/>
          <w:szCs w:val="20"/>
          <w:color w:val="auto"/>
        </w:rPr>
      </w:pPr>
      <w:r>
        <w:rPr>
          <w:rFonts w:ascii="Courier New" w:cs="Courier New" w:eastAsia="Courier New" w:hAnsi="Courier New"/>
          <w:sz w:val="15"/>
          <w:szCs w:val="15"/>
          <w:color w:val="auto"/>
        </w:rPr>
        <w:t>Publication Number 53-0000112-01</w:t>
      </w:r>
      <w:r>
        <w:rPr>
          <w:sz w:val="20"/>
          <w:szCs w:val="20"/>
          <w:color w:val="auto"/>
        </w:rPr>
        <w:tab/>
      </w:r>
      <w:r>
        <w:rPr>
          <w:rFonts w:ascii="Courier New" w:cs="Courier New" w:eastAsia="Courier New" w:hAnsi="Courier New"/>
          <w:sz w:val="15"/>
          <w:szCs w:val="15"/>
          <w:color w:val="auto"/>
        </w:rPr>
        <w:t>BROCADE Confidential</w:t>
      </w:r>
      <w:r>
        <w:rPr>
          <w:sz w:val="20"/>
          <w:szCs w:val="20"/>
          <w:color w:val="auto"/>
        </w:rPr>
        <w:tab/>
      </w: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(A-3-1)</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Page 1 of 4</w:t>
      </w:r>
    </w:p>
    <w:p>
      <w:pPr>
        <w:sectPr>
          <w:pgSz w:w="11900" w:h="16838" w:orient="portrait"/>
          <w:cols w:equalWidth="0" w:num="1">
            <w:col w:w="10226"/>
          </w:cols>
          <w:pgMar w:left="233" w:top="643" w:right="1440" w:bottom="1440" w:gutter="0" w:footer="0" w:header="0"/>
        </w:sectPr>
      </w:pPr>
    </w:p>
    <w:bookmarkStart w:id="194" w:name="page195"/>
    <w:bookmarkEnd w:id="194"/>
    <w:p>
      <w:pPr>
        <w:ind w:left="7"/>
        <w:spacing w:after="0"/>
        <w:rPr>
          <w:sz w:val="20"/>
          <w:szCs w:val="20"/>
          <w:color w:val="auto"/>
        </w:rPr>
      </w:pPr>
      <w:r>
        <w:rPr>
          <w:rFonts w:ascii="Courier New" w:cs="Courier New" w:eastAsia="Courier New" w:hAnsi="Courier New"/>
          <w:sz w:val="15"/>
          <w:szCs w:val="15"/>
          <w:color w:val="auto"/>
        </w:rPr>
        <w:t>SilkWorm 6400 QuickStart Guide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UNPACKING THE SILKWORM 6400</w:t>
      </w:r>
    </w:p>
    <w:p>
      <w:pPr>
        <w:spacing w:after="0" w:line="180" w:lineRule="exact"/>
        <w:rPr>
          <w:sz w:val="20"/>
          <w:szCs w:val="20"/>
          <w:color w:val="auto"/>
        </w:rPr>
      </w:pPr>
    </w:p>
    <w:p>
      <w:pPr>
        <w:ind w:left="727" w:hanging="727"/>
        <w:spacing w:after="0"/>
        <w:tabs>
          <w:tab w:leader="none" w:pos="727"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Unpack the SilkWorm 6400.</w:t>
      </w:r>
    </w:p>
    <w:p>
      <w:pPr>
        <w:spacing w:after="0" w:line="179" w:lineRule="exact"/>
        <w:rPr>
          <w:rFonts w:ascii="Courier New" w:cs="Courier New" w:eastAsia="Courier New" w:hAnsi="Courier New"/>
          <w:sz w:val="15"/>
          <w:szCs w:val="15"/>
          <w:color w:val="auto"/>
        </w:rPr>
      </w:pPr>
    </w:p>
    <w:p>
      <w:pPr>
        <w:ind w:left="1087" w:right="3499" w:hanging="360"/>
        <w:spacing w:after="0" w:line="247" w:lineRule="auto"/>
        <w:tabs>
          <w:tab w:leader="none" w:pos="1087"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opening the shipping crate, remove the packaging wrapped around the SilkWorm 6400.</w:t>
      </w:r>
    </w:p>
    <w:p>
      <w:pPr>
        <w:spacing w:after="0" w:line="174" w:lineRule="exact"/>
        <w:rPr>
          <w:rFonts w:ascii="Courier New" w:cs="Courier New" w:eastAsia="Courier New" w:hAnsi="Courier New"/>
          <w:sz w:val="15"/>
          <w:szCs w:val="15"/>
          <w:color w:val="auto"/>
        </w:rPr>
      </w:pPr>
    </w:p>
    <w:p>
      <w:pPr>
        <w:ind w:left="1087" w:hanging="360"/>
        <w:spacing w:after="0"/>
        <w:tabs>
          <w:tab w:leader="none" w:pos="1087"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the screws holding the SilkWorm 6400 to the pallet.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INSTALLING THE SILKWORM 6400 IN THE RACK</w:t>
      </w:r>
    </w:p>
    <w:p>
      <w:pPr>
        <w:spacing w:after="0" w:line="180"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7" w:right="2959" w:hanging="1259"/>
        <w:spacing w:after="0" w:line="246" w:lineRule="auto"/>
        <w:tabs>
          <w:tab w:leader="none" w:pos="2606" w:val="left"/>
        </w:tabs>
        <w:rPr>
          <w:sz w:val="20"/>
          <w:szCs w:val="20"/>
          <w:color w:val="auto"/>
        </w:rPr>
      </w:pPr>
      <w:r>
        <w:rPr>
          <w:rFonts w:ascii="Courier New" w:cs="Courier New" w:eastAsia="Courier New" w:hAnsi="Courier New"/>
          <w:sz w:val="15"/>
          <w:szCs w:val="15"/>
          <w:color w:val="auto"/>
        </w:rPr>
        <w:t>WARNING</w:t>
      </w:r>
      <w:r>
        <w:rPr>
          <w:sz w:val="20"/>
          <w:szCs w:val="20"/>
          <w:color w:val="auto"/>
        </w:rPr>
        <w:tab/>
      </w:r>
      <w:r>
        <w:rPr>
          <w:rFonts w:ascii="Courier New" w:cs="Courier New" w:eastAsia="Courier New" w:hAnsi="Courier New"/>
          <w:sz w:val="15"/>
          <w:szCs w:val="15"/>
          <w:color w:val="auto"/>
        </w:rPr>
        <w:t>The SilkWorm 6400 weighs approximately 200 pounds, and requires a hydraulic lift to move it safely. Move the chassis slowly and carefully, and continue supporting it until it is verified as correctly positioned on the shelf and fastened in the rack.</w:t>
      </w:r>
    </w:p>
    <w:p>
      <w:pPr>
        <w:spacing w:after="0" w:line="3"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087" w:right="2959" w:hanging="360"/>
        <w:spacing w:after="0" w:line="246" w:lineRule="auto"/>
        <w:tabs>
          <w:tab w:leader="none" w:pos="1087"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 supplied Rack Mount Rail Kit to create a "shelf" in the EIA rack for the SilkWorm 6400 chassis, and to install all chassis mounting brackets. See Figure 1-1, Installation of the SilkWorm 6400 in a Rack, for illustration of the following steps a-b.</w:t>
      </w:r>
    </w:p>
    <w:p>
      <w:pPr>
        <w:spacing w:after="0" w:line="200" w:lineRule="exact"/>
        <w:rPr>
          <w:sz w:val="20"/>
          <w:szCs w:val="20"/>
          <w:color w:val="auto"/>
        </w:rPr>
      </w:pPr>
    </w:p>
    <w:p>
      <w:pPr>
        <w:spacing w:after="0" w:line="327" w:lineRule="exact"/>
        <w:rPr>
          <w:sz w:val="20"/>
          <w:szCs w:val="20"/>
          <w:color w:val="auto"/>
        </w:rPr>
      </w:pPr>
    </w:p>
    <w:p>
      <w:pPr>
        <w:ind w:left="7"/>
        <w:spacing w:after="0"/>
        <w:tabs>
          <w:tab w:leader="none" w:pos="3606" w:val="left"/>
          <w:tab w:leader="none" w:pos="6986" w:val="left"/>
        </w:tabs>
        <w:rPr>
          <w:sz w:val="20"/>
          <w:szCs w:val="20"/>
          <w:color w:val="auto"/>
        </w:rPr>
      </w:pPr>
      <w:r>
        <w:rPr>
          <w:rFonts w:ascii="Courier New" w:cs="Courier New" w:eastAsia="Courier New" w:hAnsi="Courier New"/>
          <w:sz w:val="15"/>
          <w:szCs w:val="15"/>
          <w:color w:val="auto"/>
        </w:rPr>
        <w:t>Publication Number 53-0000112-01</w:t>
      </w:r>
      <w:r>
        <w:rPr>
          <w:sz w:val="20"/>
          <w:szCs w:val="20"/>
          <w:color w:val="auto"/>
        </w:rPr>
        <w:tab/>
      </w:r>
      <w:r>
        <w:rPr>
          <w:rFonts w:ascii="Courier New" w:cs="Courier New" w:eastAsia="Courier New" w:hAnsi="Courier New"/>
          <w:sz w:val="15"/>
          <w:szCs w:val="15"/>
          <w:color w:val="auto"/>
        </w:rPr>
        <w:t>BROCADE Confidential</w:t>
      </w:r>
      <w:r>
        <w:rPr>
          <w:sz w:val="20"/>
          <w:szCs w:val="20"/>
          <w:color w:val="auto"/>
        </w:rPr>
        <w:tab/>
      </w: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(A-3-1)</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2 of 4</w:t>
      </w:r>
    </w:p>
    <w:p>
      <w:pPr>
        <w:sectPr>
          <w:pgSz w:w="11900" w:h="16838" w:orient="portrait"/>
          <w:cols w:equalWidth="0" w:num="1">
            <w:col w:w="10226"/>
          </w:cols>
          <w:pgMar w:left="233" w:top="643"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5"/>
          <w:szCs w:val="15"/>
          <w:color w:val="auto"/>
        </w:rPr>
        <w:t>SilkWorm 6400 QuickStart Guide</w:t>
      </w:r>
    </w:p>
    <w:p>
      <w:pPr>
        <w:spacing w:after="0" w:line="180" w:lineRule="exact"/>
        <w:rPr>
          <w:sz w:val="20"/>
          <w:szCs w:val="20"/>
          <w:color w:val="auto"/>
        </w:rPr>
      </w:pPr>
    </w:p>
    <w:p>
      <w:pPr>
        <w:ind w:left="1080" w:right="3039" w:hanging="360"/>
        <w:spacing w:after="0" w:line="246" w:lineRule="auto"/>
        <w:tabs>
          <w:tab w:leader="none" w:pos="108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 both the left and right Rack Mount Brackets (Items 1 and 2) to the EIA rack, so that they provide a shelf-like surface for the chassis to rest on; attach the brackets using 1/4-20 x .5 inch Phillips Head Screws (Item 6, quantity 12). Tighten the screws to a torque of 40 inch-pounds.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FIGURE 1-1 Installation of the SilkWorm 6400 in a Rack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3460" w:type="dxa"/>
            <w:vAlign w:val="bottom"/>
          </w:tcPr>
          <w:p>
            <w:pPr>
              <w:ind w:left="240"/>
              <w:spacing w:after="0"/>
              <w:rPr>
                <w:sz w:val="20"/>
                <w:szCs w:val="20"/>
                <w:color w:val="auto"/>
              </w:rPr>
            </w:pPr>
            <w:r>
              <w:rPr>
                <w:rFonts w:ascii="Courier New" w:cs="Courier New" w:eastAsia="Courier New" w:hAnsi="Courier New"/>
                <w:sz w:val="15"/>
                <w:szCs w:val="15"/>
                <w:color w:val="auto"/>
              </w:rPr>
              <w:t>Left Rack Mount Bracket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ITEM 2</w:t>
            </w: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Right Rack Mount Bracket</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ITEM 3A</w:t>
            </w:r>
          </w:p>
        </w:tc>
        <w:tc>
          <w:tcPr>
            <w:tcW w:w="3460" w:type="dxa"/>
            <w:vAlign w:val="bottom"/>
          </w:tcPr>
          <w:p>
            <w:pPr>
              <w:ind w:left="240"/>
              <w:spacing w:after="0"/>
              <w:rPr>
                <w:sz w:val="20"/>
                <w:szCs w:val="20"/>
                <w:color w:val="auto"/>
              </w:rPr>
            </w:pPr>
            <w:r>
              <w:rPr>
                <w:rFonts w:ascii="Courier New" w:cs="Courier New" w:eastAsia="Courier New" w:hAnsi="Courier New"/>
                <w:sz w:val="15"/>
                <w:szCs w:val="15"/>
                <w:color w:val="auto"/>
              </w:rPr>
              <w:t>Upper Rack Mount Bracket, 2-Piece</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ITEM 3B</w:t>
            </w: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Upper Rack Mount Bracket, 2-Piece</w:t>
            </w:r>
          </w:p>
        </w:tc>
      </w:tr>
      <w:tr>
        <w:trPr>
          <w:trHeight w:val="175"/>
        </w:trPr>
        <w:tc>
          <w:tcPr>
            <w:tcW w:w="8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(L-shaped)</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3460" w:type="dxa"/>
            <w:vAlign w:val="bottom"/>
          </w:tcPr>
          <w:p>
            <w:pPr>
              <w:ind w:left="240"/>
              <w:spacing w:after="0"/>
              <w:rPr>
                <w:sz w:val="20"/>
                <w:szCs w:val="20"/>
                <w:color w:val="auto"/>
              </w:rPr>
            </w:pPr>
            <w:r>
              <w:rPr>
                <w:rFonts w:ascii="Courier New" w:cs="Courier New" w:eastAsia="Courier New" w:hAnsi="Courier New"/>
                <w:sz w:val="15"/>
                <w:szCs w:val="15"/>
                <w:color w:val="auto"/>
              </w:rPr>
              <w:t>8-32 x 5/16 inch Flathead Screws</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ITEM 5</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10-32</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x .63 inch Phillips Panhead</w:t>
            </w:r>
          </w:p>
        </w:tc>
      </w:tr>
      <w:tr>
        <w:trPr>
          <w:trHeight w:val="175"/>
        </w:trPr>
        <w:tc>
          <w:tcPr>
            <w:tcW w:w="8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Screws</w:t>
            </w:r>
          </w:p>
        </w:tc>
        <w:tc>
          <w:tcPr>
            <w:tcW w:w="2620" w:type="dxa"/>
            <w:vAlign w:val="bottom"/>
          </w:tcPr>
          <w:p>
            <w:pPr>
              <w:spacing w:after="0"/>
              <w:rPr>
                <w:sz w:val="15"/>
                <w:szCs w:val="15"/>
                <w:color w:val="auto"/>
              </w:rPr>
            </w:pP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3460" w:type="dxa"/>
            <w:vAlign w:val="bottom"/>
          </w:tcPr>
          <w:p>
            <w:pPr>
              <w:ind w:left="240"/>
              <w:spacing w:after="0"/>
              <w:rPr>
                <w:sz w:val="20"/>
                <w:szCs w:val="20"/>
                <w:color w:val="auto"/>
              </w:rPr>
            </w:pPr>
            <w:r>
              <w:rPr>
                <w:rFonts w:ascii="Courier New" w:cs="Courier New" w:eastAsia="Courier New" w:hAnsi="Courier New"/>
                <w:sz w:val="15"/>
                <w:szCs w:val="15"/>
                <w:color w:val="auto"/>
              </w:rPr>
              <w:t>1/4-20 x .5 inch Phillips Panhead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ITEM 7</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10-32</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Retainer Nuts</w:t>
            </w:r>
          </w:p>
        </w:tc>
      </w:tr>
      <w:tr>
        <w:trPr>
          <w:trHeight w:val="175"/>
        </w:trPr>
        <w:tc>
          <w:tcPr>
            <w:tcW w:w="860" w:type="dxa"/>
            <w:vAlign w:val="bottom"/>
          </w:tcPr>
          <w:p>
            <w:pPr>
              <w:spacing w:after="0"/>
              <w:rPr>
                <w:sz w:val="15"/>
                <w:szCs w:val="15"/>
                <w:color w:val="auto"/>
              </w:rPr>
            </w:pPr>
          </w:p>
        </w:tc>
        <w:tc>
          <w:tcPr>
            <w:tcW w:w="3460" w:type="dxa"/>
            <w:vAlign w:val="bottom"/>
          </w:tcPr>
          <w:p>
            <w:pPr>
              <w:ind w:left="240"/>
              <w:spacing w:after="0"/>
              <w:rPr>
                <w:sz w:val="20"/>
                <w:szCs w:val="20"/>
                <w:color w:val="auto"/>
              </w:rPr>
            </w:pPr>
            <w:r>
              <w:rPr>
                <w:rFonts w:ascii="Courier New" w:cs="Courier New" w:eastAsia="Courier New" w:hAnsi="Courier New"/>
                <w:sz w:val="15"/>
                <w:szCs w:val="15"/>
                <w:color w:val="auto"/>
              </w:rPr>
              <w:t>Screws</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3460" w:type="dxa"/>
            <w:vAlign w:val="bottom"/>
          </w:tcPr>
          <w:p>
            <w:pPr>
              <w:ind w:left="240"/>
              <w:spacing w:after="0"/>
              <w:rPr>
                <w:sz w:val="20"/>
                <w:szCs w:val="20"/>
                <w:color w:val="auto"/>
              </w:rPr>
            </w:pPr>
            <w:r>
              <w:rPr>
                <w:rFonts w:ascii="Courier New" w:cs="Courier New" w:eastAsia="Courier New" w:hAnsi="Courier New"/>
                <w:sz w:val="15"/>
                <w:szCs w:val="15"/>
                <w:color w:val="auto"/>
              </w:rPr>
              <w:t>Left and Right Front Mounting</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ITEM 9</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10-32</w:t>
            </w:r>
          </w:p>
        </w:tc>
        <w:tc>
          <w:tcPr>
            <w:tcW w:w="2620" w:type="dxa"/>
            <w:vAlign w:val="bottom"/>
          </w:tcPr>
          <w:p>
            <w:pPr>
              <w:spacing w:after="0"/>
              <w:rPr>
                <w:sz w:val="20"/>
                <w:szCs w:val="20"/>
                <w:color w:val="auto"/>
              </w:rPr>
            </w:pPr>
            <w:r>
              <w:rPr>
                <w:rFonts w:ascii="Courier New" w:cs="Courier New" w:eastAsia="Courier New" w:hAnsi="Courier New"/>
                <w:sz w:val="15"/>
                <w:szCs w:val="15"/>
                <w:color w:val="auto"/>
                <w:w w:val="99"/>
              </w:rPr>
              <w:t>x 3/8 Phillips Panhead Screws</w:t>
            </w:r>
          </w:p>
        </w:tc>
      </w:tr>
      <w:tr>
        <w:trPr>
          <w:trHeight w:val="175"/>
        </w:trPr>
        <w:tc>
          <w:tcPr>
            <w:tcW w:w="860" w:type="dxa"/>
            <w:vAlign w:val="bottom"/>
          </w:tcPr>
          <w:p>
            <w:pPr>
              <w:spacing w:after="0"/>
              <w:rPr>
                <w:sz w:val="15"/>
                <w:szCs w:val="15"/>
                <w:color w:val="auto"/>
              </w:rPr>
            </w:pPr>
          </w:p>
        </w:tc>
        <w:tc>
          <w:tcPr>
            <w:tcW w:w="3460" w:type="dxa"/>
            <w:vAlign w:val="bottom"/>
          </w:tcPr>
          <w:p>
            <w:pPr>
              <w:ind w:left="600"/>
              <w:spacing w:after="0"/>
              <w:rPr>
                <w:sz w:val="20"/>
                <w:szCs w:val="20"/>
                <w:color w:val="auto"/>
              </w:rPr>
            </w:pPr>
            <w:r>
              <w:rPr>
                <w:rFonts w:ascii="Courier New" w:cs="Courier New" w:eastAsia="Courier New" w:hAnsi="Courier New"/>
                <w:sz w:val="15"/>
                <w:szCs w:val="15"/>
                <w:color w:val="auto"/>
              </w:rPr>
              <w:t>Brackets</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2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p>
      <w:pPr>
        <w:ind w:left="1080" w:right="2959" w:hanging="360"/>
        <w:spacing w:after="0" w:line="246" w:lineRule="auto"/>
        <w:tabs>
          <w:tab w:leader="none" w:pos="108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the 10-32 Retainer Nuts (Item 7, quantity 4) on the front of the EIA rack, as shown in Figure 1-1. These nuts can be repositioned later, but must be installed on the EIA rack before the chassis is installed.</w:t>
      </w:r>
    </w:p>
    <w:p>
      <w:pPr>
        <w:spacing w:after="0" w:line="177" w:lineRule="exact"/>
        <w:rPr>
          <w:sz w:val="20"/>
          <w:szCs w:val="20"/>
          <w:color w:val="auto"/>
        </w:rPr>
      </w:pPr>
    </w:p>
    <w:p>
      <w:pPr>
        <w:ind w:left="720" w:right="3039"/>
        <w:spacing w:after="0" w:line="246" w:lineRule="auto"/>
        <w:tabs>
          <w:tab w:leader="none" w:pos="1084"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 Item 3A. Upper Rack Mount Bracket, to the chassis using 8-32 x 5/16 inch Phillips Flathead Screws (Item 4. quantity 4 per bracket). Position the slotted holes toward the rear of the chassis. See Figure 1-1 for right and left bracket location.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EXHIBIT (A-3-1)</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Page 3 of 4</w:t>
      </w:r>
    </w:p>
    <w:p>
      <w:pPr>
        <w:sectPr>
          <w:pgSz w:w="11900" w:h="16838" w:orient="portrait"/>
          <w:cols w:equalWidth="0" w:num="1">
            <w:col w:w="10219"/>
          </w:cols>
          <w:pgMar w:left="240" w:top="643" w:right="1440" w:bottom="1440" w:gutter="0" w:footer="0" w:header="0"/>
        </w:sectPr>
      </w:pPr>
    </w:p>
    <w:bookmarkStart w:id="196" w:name="page197"/>
    <w:bookmarkEnd w:id="196"/>
    <w:p>
      <w:pPr>
        <w:ind w:left="7"/>
        <w:spacing w:after="0"/>
        <w:rPr>
          <w:sz w:val="20"/>
          <w:szCs w:val="20"/>
          <w:color w:val="auto"/>
        </w:rPr>
      </w:pPr>
      <w:r>
        <w:rPr>
          <w:rFonts w:ascii="Courier New" w:cs="Courier New" w:eastAsia="Courier New" w:hAnsi="Courier New"/>
          <w:sz w:val="15"/>
          <w:szCs w:val="15"/>
          <w:color w:val="auto"/>
        </w:rPr>
        <w:t>SilkWorm 6400 QuickStart Guide</w:t>
      </w:r>
    </w:p>
    <w:p>
      <w:pPr>
        <w:spacing w:after="0" w:line="180" w:lineRule="exact"/>
        <w:rPr>
          <w:sz w:val="20"/>
          <w:szCs w:val="20"/>
          <w:color w:val="auto"/>
        </w:rPr>
      </w:pPr>
    </w:p>
    <w:p>
      <w:pPr>
        <w:ind w:left="727" w:right="2959" w:hanging="727"/>
        <w:spacing w:after="0" w:line="247" w:lineRule="auto"/>
        <w:tabs>
          <w:tab w:leader="none" w:pos="727"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 hydraulic lift to raise the chassis, then slide the chassis onto the two shelf-like Rack Mount Brackets, ensuring that the chassis is set evenly and lined up on both brackets.</w:t>
      </w:r>
    </w:p>
    <w:p>
      <w:pPr>
        <w:spacing w:after="0" w:line="174" w:lineRule="exact"/>
        <w:rPr>
          <w:rFonts w:ascii="Courier New" w:cs="Courier New" w:eastAsia="Courier New" w:hAnsi="Courier New"/>
          <w:sz w:val="15"/>
          <w:szCs w:val="15"/>
          <w:color w:val="auto"/>
        </w:rPr>
      </w:pPr>
    </w:p>
    <w:p>
      <w:pPr>
        <w:ind w:left="727" w:right="3039" w:hanging="727"/>
        <w:spacing w:after="0" w:line="247" w:lineRule="auto"/>
        <w:tabs>
          <w:tab w:leader="none" w:pos="727"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back of the EIA rack, attach the two L-shaped Upper Rack Mount Brackets (Item 3B) to Item 3A, using 10-32 x 3/8 inch Phillips Panhead Screws (Item 9, quantity 4 per bracket).</w:t>
      </w:r>
    </w:p>
    <w:p>
      <w:pPr>
        <w:spacing w:after="0" w:line="174"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 the chassis in the rack.</w:t>
      </w:r>
    </w:p>
    <w:p>
      <w:pPr>
        <w:spacing w:after="0" w:line="179" w:lineRule="exact"/>
        <w:rPr>
          <w:rFonts w:ascii="Courier New" w:cs="Courier New" w:eastAsia="Courier New" w:hAnsi="Courier New"/>
          <w:sz w:val="15"/>
          <w:szCs w:val="15"/>
          <w:color w:val="auto"/>
        </w:rPr>
      </w:pPr>
    </w:p>
    <w:p>
      <w:pPr>
        <w:ind w:left="1087" w:hanging="360"/>
        <w:spacing w:after="0"/>
        <w:tabs>
          <w:tab w:leader="none" w:pos="1087"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two of the 10-32 x .63 inch Phillips panhead screws (Item</w:t>
      </w:r>
    </w:p>
    <w:p>
      <w:pPr>
        <w:spacing w:after="0" w:line="4" w:lineRule="exact"/>
        <w:rPr>
          <w:rFonts w:ascii="Courier New" w:cs="Courier New" w:eastAsia="Courier New" w:hAnsi="Courier New"/>
          <w:sz w:val="15"/>
          <w:szCs w:val="15"/>
          <w:color w:val="auto"/>
        </w:rPr>
      </w:pPr>
    </w:p>
    <w:p>
      <w:pPr>
        <w:ind w:left="1087" w:right="2959" w:firstLine="4"/>
        <w:spacing w:after="0" w:line="247" w:lineRule="auto"/>
        <w:tabs>
          <w:tab w:leader="none" w:pos="1359" w:val="left"/>
        </w:tabs>
        <w:numPr>
          <w:ilvl w:val="2"/>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holes of the right L-shaped Upper Rack Mount Bracket (Item 3B) and the matching holes in the EIA rack, and tighten to 25 inch-pounds.</w:t>
      </w:r>
    </w:p>
    <w:p>
      <w:pPr>
        <w:spacing w:after="0" w:line="174" w:lineRule="exact"/>
        <w:rPr>
          <w:rFonts w:ascii="Courier New" w:cs="Courier New" w:eastAsia="Courier New" w:hAnsi="Courier New"/>
          <w:sz w:val="15"/>
          <w:szCs w:val="15"/>
          <w:color w:val="auto"/>
        </w:rPr>
      </w:pPr>
    </w:p>
    <w:p>
      <w:pPr>
        <w:ind w:left="1087" w:hanging="360"/>
        <w:spacing w:after="0"/>
        <w:tabs>
          <w:tab w:leader="none" w:pos="1087"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two of the 10-32 x .63 inch Phillips Panhead Screws (Item</w:t>
      </w:r>
    </w:p>
    <w:p>
      <w:pPr>
        <w:spacing w:after="0" w:line="4" w:lineRule="exact"/>
        <w:rPr>
          <w:rFonts w:ascii="Courier New" w:cs="Courier New" w:eastAsia="Courier New" w:hAnsi="Courier New"/>
          <w:sz w:val="15"/>
          <w:szCs w:val="15"/>
          <w:color w:val="auto"/>
        </w:rPr>
      </w:pPr>
    </w:p>
    <w:p>
      <w:pPr>
        <w:ind w:left="1087" w:right="3039" w:firstLine="4"/>
        <w:spacing w:after="0" w:line="247" w:lineRule="auto"/>
        <w:tabs>
          <w:tab w:leader="none" w:pos="1359" w:val="left"/>
        </w:tabs>
        <w:numPr>
          <w:ilvl w:val="2"/>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holes of the left L-shaped Upper Rack Mount Bracket (Item 3B) and the matching holes and retainer nuts in the rack, and tighten to 25 inch-pounds.</w:t>
      </w:r>
    </w:p>
    <w:p>
      <w:pPr>
        <w:spacing w:after="0" w:line="174" w:lineRule="exact"/>
        <w:rPr>
          <w:rFonts w:ascii="Courier New" w:cs="Courier New" w:eastAsia="Courier New" w:hAnsi="Courier New"/>
          <w:sz w:val="15"/>
          <w:szCs w:val="15"/>
          <w:color w:val="auto"/>
        </w:rPr>
      </w:pPr>
    </w:p>
    <w:p>
      <w:pPr>
        <w:ind w:left="1087" w:right="2959" w:hanging="360"/>
        <w:spacing w:after="0" w:line="246" w:lineRule="auto"/>
        <w:tabs>
          <w:tab w:leader="none" w:pos="1087"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two 10-32 x .63 inch Phillips panhead screws (Item 5) in the holes of the right Front Mounting Bracket (Item 8, right side) and the matching holes and retainer nuts in the rack, and tighten to 25 inch-pounds.</w:t>
      </w:r>
    </w:p>
    <w:p>
      <w:pPr>
        <w:spacing w:after="0" w:line="177" w:lineRule="exact"/>
        <w:rPr>
          <w:rFonts w:ascii="Courier New" w:cs="Courier New" w:eastAsia="Courier New" w:hAnsi="Courier New"/>
          <w:sz w:val="15"/>
          <w:szCs w:val="15"/>
          <w:color w:val="auto"/>
        </w:rPr>
      </w:pPr>
    </w:p>
    <w:p>
      <w:pPr>
        <w:ind w:left="1087" w:right="2959" w:hanging="360"/>
        <w:spacing w:after="0" w:line="246" w:lineRule="auto"/>
        <w:tabs>
          <w:tab w:leader="none" w:pos="1087"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two 10-32 x .63 inch Phillips panhead screws (Item 5) in the holes of the left Front Mounting Bracket (Item 8, left side) and the matching holes and retainer nuts in the rack, and tighten to 25 inch-pounds.</w:t>
      </w:r>
    </w:p>
    <w:p>
      <w:pPr>
        <w:spacing w:after="0" w:line="177" w:lineRule="exact"/>
        <w:rPr>
          <w:sz w:val="20"/>
          <w:szCs w:val="20"/>
          <w:color w:val="auto"/>
        </w:rPr>
      </w:pPr>
    </w:p>
    <w:p>
      <w:pPr>
        <w:ind w:left="727" w:right="3219"/>
        <w:spacing w:after="0" w:line="246" w:lineRule="auto"/>
        <w:tabs>
          <w:tab w:leader="none" w:pos="109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 each of the six power cables to a power source. Route one cable per channel through each of the six channels under the switches, and plug each cable into the power connector of the corresponding switch. Verify that each power cable is firmly seated in the power connector.</w:t>
      </w:r>
    </w:p>
    <w:p>
      <w:pPr>
        <w:spacing w:after="0" w:line="178" w:lineRule="exact"/>
        <w:rPr>
          <w:sz w:val="20"/>
          <w:szCs w:val="20"/>
          <w:color w:val="auto"/>
        </w:rPr>
      </w:pPr>
    </w:p>
    <w:p>
      <w:pPr>
        <w:ind w:left="1367" w:right="3039" w:hanging="639"/>
        <w:spacing w:after="0" w:line="247" w:lineRule="auto"/>
        <w:tabs>
          <w:tab w:leader="none" w:pos="1346" w:val="left"/>
        </w:tabs>
        <w:rPr>
          <w:sz w:val="20"/>
          <w:szCs w:val="20"/>
          <w:color w:val="auto"/>
        </w:rPr>
      </w:pPr>
      <w:r>
        <w:rPr>
          <w:rFonts w:ascii="Courier New" w:cs="Courier New" w:eastAsia="Courier New" w:hAnsi="Courier New"/>
          <w:sz w:val="15"/>
          <w:szCs w:val="15"/>
          <w:color w:val="auto"/>
        </w:rPr>
        <w:t>NOTE:</w:t>
        <w:tab/>
        <w:t>Each time the switch is powered on, it automatically performs a POST (Power On Self Test), which takes approximately two minutes and is complete when LED activity stops.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SILKWORM 6400 INSTALLATION IN NOW COMPLETE.</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At this point, the SilkWorm 6400 will need to be configured. For configuration instructions, as well as operating and maintenance information, refer to the SilkWorm 6400 Product Guide, Publication Number 53-0000109-01.</w:t>
      </w:r>
    </w:p>
    <w:p>
      <w:pPr>
        <w:spacing w:after="0" w:line="174" w:lineRule="exact"/>
        <w:rPr>
          <w:sz w:val="20"/>
          <w:szCs w:val="20"/>
          <w:color w:val="auto"/>
        </w:rPr>
      </w:pPr>
    </w:p>
    <w:p>
      <w:pPr>
        <w:ind w:left="7"/>
        <w:spacing w:after="0"/>
        <w:tabs>
          <w:tab w:leader="none" w:pos="3886" w:val="left"/>
          <w:tab w:leader="none" w:pos="6886" w:val="left"/>
        </w:tabs>
        <w:rPr>
          <w:sz w:val="20"/>
          <w:szCs w:val="20"/>
          <w:color w:val="auto"/>
        </w:rPr>
      </w:pPr>
      <w:r>
        <w:rPr>
          <w:rFonts w:ascii="Courier New" w:cs="Courier New" w:eastAsia="Courier New" w:hAnsi="Courier New"/>
          <w:sz w:val="15"/>
          <w:szCs w:val="15"/>
          <w:color w:val="auto"/>
        </w:rPr>
        <w:t>Publication Number 53-0000112-01</w:t>
      </w:r>
      <w:r>
        <w:rPr>
          <w:sz w:val="20"/>
          <w:szCs w:val="20"/>
          <w:color w:val="auto"/>
        </w:rPr>
        <w:tab/>
      </w:r>
      <w:r>
        <w:rPr>
          <w:rFonts w:ascii="Courier New" w:cs="Courier New" w:eastAsia="Courier New" w:hAnsi="Courier New"/>
          <w:sz w:val="15"/>
          <w:szCs w:val="15"/>
          <w:color w:val="auto"/>
        </w:rPr>
        <w:t>BROCADE Confidential</w:t>
      </w:r>
      <w:r>
        <w:rPr>
          <w:sz w:val="20"/>
          <w:szCs w:val="20"/>
          <w:color w:val="auto"/>
        </w:rPr>
        <w:tab/>
      </w:r>
      <w:r>
        <w:rPr>
          <w:rFonts w:ascii="Courier New" w:cs="Courier New" w:eastAsia="Courier New" w:hAnsi="Courier New"/>
          <w:sz w:val="15"/>
          <w:szCs w:val="15"/>
          <w:color w:val="auto"/>
        </w:rPr>
        <w:t>5-5</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(A-3-1)</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4 of 4</w:t>
      </w:r>
    </w:p>
    <w:p>
      <w:pPr>
        <w:sectPr>
          <w:pgSz w:w="11900" w:h="16838" w:orient="portrait"/>
          <w:cols w:equalWidth="0" w:num="1">
            <w:col w:w="10226"/>
          </w:cols>
          <w:pgMar w:left="233" w:top="643" w:right="1440" w:bottom="1440" w:gutter="0" w:footer="0" w:header="0"/>
        </w:sectPr>
      </w:pPr>
    </w:p>
    <w:bookmarkStart w:id="197" w:name="page198"/>
    <w:bookmarkEnd w:id="197"/>
    <w:p>
      <w:pPr>
        <w:jc w:val="center"/>
        <w:ind w:right="2872"/>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(A-4)</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DOCUMENTATION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PRODUCT DOCUMENTATION: [*], AND DISTRIBUTION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Supplier will provide to HP an electronic master copy of Supplier's standard documentation made generally available for the Products, using the FrameMaker on an HP FTP site. It is an express condition to the timely release of the OEM Products that all applicable documentation be timely submitted by Supplier to HP in acceptable format and content. Such documentation will include, but is not limited to, planning, installation, operation, and service and user guides, as appropriate. Supplier retains ownership of all such customized documentation performed by Supplier. Any costs associated with the preparation of the [*] Product documentation are set forth in this Agreement. Supplier shall provide HP with master copies of the documentation in both hard copy and electronic form. Except as otherwise provided and subject to the retention of all copyright notices and/or confidentiality legends, HP shall have the right to [*] for use internally by its employees and Resellers. HP shall have the right to [*] supplied to it by Supplier. HP shall provide Supplier with a [*], and Supplier agrees to [*] of any release within [*] of receipt of such [*]. Further, HP shall have the right to [*] to its Resellers and End Users Customers. Such license shall continue [*] after the date of last shipment by HP of the Products purchased under this Agreement. If HP [*] into the Documentation, then Supplier shall have [*].</w:t>
      </w:r>
    </w:p>
    <w:p>
      <w:pPr>
        <w:spacing w:after="0" w:line="18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PRODUCT AND DOCUMENTATION</w:t>
      </w:r>
    </w:p>
    <w:p>
      <w:pPr>
        <w:spacing w:after="0" w:line="180" w:lineRule="exact"/>
        <w:rPr>
          <w:sz w:val="20"/>
          <w:szCs w:val="20"/>
          <w:color w:val="auto"/>
        </w:rPr>
      </w:pPr>
    </w:p>
    <w:p>
      <w:pPr>
        <w:ind w:left="7" w:right="2959" w:hanging="7"/>
        <w:spacing w:after="0" w:line="247" w:lineRule="auto"/>
        <w:tabs>
          <w:tab w:leader="none" w:pos="279"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DOCUMENTATION. As stated in this Agreement, Supplier will prepare for HP and provide standard documentation made generally available for the Product(s) [*].</w:t>
      </w:r>
    </w:p>
    <w:p>
      <w:pPr>
        <w:spacing w:after="0" w:line="174"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DOCUMENT REQUESTS.</w:t>
      </w:r>
    </w:p>
    <w:p>
      <w:pPr>
        <w:spacing w:after="0" w:line="180" w:lineRule="exact"/>
        <w:rPr>
          <w:sz w:val="20"/>
          <w:szCs w:val="20"/>
          <w:color w:val="auto"/>
        </w:rPr>
      </w:pPr>
    </w:p>
    <w:p>
      <w:pPr>
        <w:ind w:left="7" w:right="2959" w:firstLine="727"/>
        <w:spacing w:after="0" w:line="246" w:lineRule="auto"/>
        <w:rPr>
          <w:sz w:val="20"/>
          <w:szCs w:val="20"/>
          <w:color w:val="auto"/>
        </w:rPr>
      </w:pPr>
      <w:r>
        <w:rPr>
          <w:rFonts w:ascii="Courier New" w:cs="Courier New" w:eastAsia="Courier New" w:hAnsi="Courier New"/>
          <w:sz w:val="15"/>
          <w:szCs w:val="15"/>
          <w:color w:val="auto"/>
        </w:rPr>
        <w:t>2.1 CD Manual Files. If requested, [*] Suppliers generally available CDs with manual text files will be supplied [*]. Please specify the manuals and indicate the preferred file format desired. (PDF and FrameMaker 5.5 source files). [*] of each manual may be ordered for each revision level.</w:t>
      </w:r>
    </w:p>
    <w:p>
      <w:pPr>
        <w:spacing w:after="0" w:line="177" w:lineRule="exact"/>
        <w:rPr>
          <w:sz w:val="20"/>
          <w:szCs w:val="20"/>
          <w:color w:val="auto"/>
        </w:rPr>
      </w:pPr>
    </w:p>
    <w:p>
      <w:pPr>
        <w:ind w:left="7" w:right="3139" w:firstLine="727"/>
        <w:spacing w:after="0" w:line="247" w:lineRule="auto"/>
        <w:rPr>
          <w:sz w:val="20"/>
          <w:szCs w:val="20"/>
          <w:color w:val="auto"/>
        </w:rPr>
      </w:pPr>
      <w:r>
        <w:rPr>
          <w:rFonts w:ascii="Courier New" w:cs="Courier New" w:eastAsia="Courier New" w:hAnsi="Courier New"/>
          <w:sz w:val="15"/>
          <w:szCs w:val="15"/>
          <w:color w:val="auto"/>
        </w:rPr>
        <w:t>2.2 Illustrations. Upon request, [*] of each [*] used in the Manual(s) will be provided [*] when text files of each manual are ordered. These files will be provided in both .cdr and .bmp formats.</w:t>
      </w:r>
    </w:p>
    <w:p>
      <w:pPr>
        <w:spacing w:after="0" w:line="349" w:lineRule="exact"/>
        <w:rPr>
          <w:sz w:val="20"/>
          <w:szCs w:val="20"/>
          <w:color w:val="auto"/>
        </w:rPr>
      </w:pPr>
    </w:p>
    <w:p>
      <w:pPr>
        <w:ind w:left="447" w:right="2959" w:hanging="447"/>
        <w:spacing w:after="0" w:line="247" w:lineRule="auto"/>
        <w:tabs>
          <w:tab w:leader="none" w:pos="447"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(A-4)</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26"/>
          </w:cols>
          <w:pgMar w:left="233" w:top="643" w:right="1440" w:bottom="1440" w:gutter="0" w:footer="0" w:header="0"/>
        </w:sectPr>
      </w:pPr>
    </w:p>
    <w:bookmarkStart w:id="198" w:name="page199"/>
    <w:bookmarkEnd w:id="198"/>
    <w:p>
      <w:pPr>
        <w:jc w:val="center"/>
        <w:ind w:right="2859"/>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EXHIBIT (A-5)</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HP OPENVIEW DEVELOPERS' GUIDE - SDK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Exhibit (A-6) incorporates by reference the publication issued by HP and generally known as "HP OpenView Storage Area Manager Developer's Guide, Edition 1200," a copy of which Supplier acknowledges receipt from HP prior to or on the Effective Date of the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EXHIBIT (A-5)</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19"/>
          </w:cols>
          <w:pgMar w:left="240" w:top="643" w:right="1440" w:bottom="1440" w:gutter="0" w:footer="0" w:header="0"/>
        </w:sectPr>
      </w:pPr>
    </w:p>
    <w:bookmarkStart w:id="199" w:name="page200"/>
    <w:bookmarkEnd w:id="199"/>
    <w:p>
      <w:pPr>
        <w:jc w:val="center"/>
        <w:ind w:right="2872"/>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(A-6)</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HETEROGENEOUS SWITCH INTEROPERABILITY</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During the Term of this Agreement and any extension(s) thereto, and upon written request from HP, Supplier and HP shall use [*] to achieve mutually agreed switch fabric interoperability between Supplier's [*] and [*] switch products from [*]. (Note: all current switch interoperability testing performed by Supplier to date has been done with the [*] product in [*] only. Any new switch platforms to be tested that are not specified in Attachment (A) to this Exhibit (A-6) will require HP to obtain such equipment for all labs involved in the interoperability development.) In furtherance of the objectives under this Exhibit (A-6), HP and Supplier further agree to:</w:t>
      </w:r>
    </w:p>
    <w:p>
      <w:pPr>
        <w:spacing w:after="0" w:line="180" w:lineRule="exact"/>
        <w:rPr>
          <w:sz w:val="20"/>
          <w:szCs w:val="20"/>
          <w:color w:val="auto"/>
        </w:rPr>
      </w:pPr>
    </w:p>
    <w:p>
      <w:pPr>
        <w:ind w:left="1087" w:right="3959" w:hanging="360"/>
        <w:spacing w:after="0" w:line="247" w:lineRule="auto"/>
        <w:tabs>
          <w:tab w:leader="none" w:pos="10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 Supplier's then-currently available firmware for standards-compliant interoperability capability;</w:t>
      </w:r>
    </w:p>
    <w:p>
      <w:pPr>
        <w:spacing w:after="0" w:line="174" w:lineRule="exact"/>
        <w:rPr>
          <w:rFonts w:ascii="Courier New" w:cs="Courier New" w:eastAsia="Courier New" w:hAnsi="Courier New"/>
          <w:sz w:val="15"/>
          <w:szCs w:val="15"/>
          <w:color w:val="auto"/>
        </w:rPr>
      </w:pPr>
    </w:p>
    <w:p>
      <w:pPr>
        <w:ind w:left="1087" w:right="3039" w:hanging="360"/>
        <w:spacing w:after="0" w:line="246" w:lineRule="auto"/>
        <w:tabs>
          <w:tab w:leader="none" w:pos="10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HP-completed test results for the following configurations set forth in Attachment (A) of this Exhibit (A-6) and mutually establish defined configurations substantially derived from the baseline configurations set forth in Attachment (A) to this Exhibit (A-6). Supplier will support such configurations according to the provisions of Exhibit (D) of the Agreement.</w:t>
      </w:r>
    </w:p>
    <w:p>
      <w:pPr>
        <w:spacing w:after="0" w:line="178" w:lineRule="exact"/>
        <w:rPr>
          <w:rFonts w:ascii="Courier New" w:cs="Courier New" w:eastAsia="Courier New" w:hAnsi="Courier New"/>
          <w:sz w:val="15"/>
          <w:szCs w:val="15"/>
          <w:color w:val="auto"/>
        </w:rPr>
      </w:pPr>
    </w:p>
    <w:p>
      <w:pPr>
        <w:ind w:left="1087" w:right="4139" w:hanging="360"/>
        <w:spacing w:after="0" w:line="247" w:lineRule="auto"/>
        <w:tabs>
          <w:tab w:leader="none" w:pos="10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add mutually agreeable and feasible configurations/functions to be qualified and supported.</w:t>
      </w:r>
    </w:p>
    <w:p>
      <w:pPr>
        <w:spacing w:after="0" w:line="174" w:lineRule="exact"/>
        <w:rPr>
          <w:rFonts w:ascii="Courier New" w:cs="Courier New" w:eastAsia="Courier New" w:hAnsi="Courier New"/>
          <w:sz w:val="15"/>
          <w:szCs w:val="15"/>
          <w:color w:val="auto"/>
        </w:rPr>
      </w:pPr>
    </w:p>
    <w:p>
      <w:pPr>
        <w:ind w:left="1087" w:right="3499" w:hanging="360"/>
        <w:spacing w:after="0" w:line="247" w:lineRule="auto"/>
        <w:tabs>
          <w:tab w:leader="none" w:pos="10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Mutually establish a test plan, including equipment, resources required (people, etc.) and milestones/timelines for future supported configurations.</w:t>
      </w:r>
    </w:p>
    <w:p>
      <w:pPr>
        <w:spacing w:after="0" w:line="174" w:lineRule="exact"/>
        <w:rPr>
          <w:rFonts w:ascii="Courier New" w:cs="Courier New" w:eastAsia="Courier New" w:hAnsi="Courier New"/>
          <w:sz w:val="15"/>
          <w:szCs w:val="15"/>
          <w:color w:val="auto"/>
        </w:rPr>
      </w:pPr>
    </w:p>
    <w:p>
      <w:pPr>
        <w:jc w:val="both"/>
        <w:ind w:left="1087" w:right="3219" w:hanging="360"/>
        <w:spacing w:after="0" w:line="247" w:lineRule="auto"/>
        <w:tabs>
          <w:tab w:leader="none" w:pos="1087"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Mutually establish a communication and program management plan to address operational issues and status updates in a timely manner.</w:t>
      </w:r>
    </w:p>
    <w:p>
      <w:pPr>
        <w:spacing w:after="0" w:line="175"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Supplier will retain responsibility to comply with the FC-SW2-Rev4.8 standard and FC-MI Rev 1.5 Technical Report Section 7 (Fabric Behaviors) which identify the areas of Supplier's required compliance including, but not limited to, the following functions:</w:t>
      </w:r>
    </w:p>
    <w:p>
      <w:pPr>
        <w:spacing w:after="0" w:line="177" w:lineRule="exact"/>
        <w:rPr>
          <w:sz w:val="20"/>
          <w:szCs w:val="20"/>
          <w:color w:val="auto"/>
        </w:rPr>
      </w:pPr>
    </w:p>
    <w:p>
      <w:pPr>
        <w:ind w:left="1087" w:hanging="360"/>
        <w:spacing w:after="0"/>
        <w:tabs>
          <w:tab w:leader="none" w:pos="108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87" w:hanging="360"/>
        <w:spacing w:after="0"/>
        <w:tabs>
          <w:tab w:leader="none" w:pos="108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87" w:hanging="360"/>
        <w:spacing w:after="0"/>
        <w:tabs>
          <w:tab w:leader="none" w:pos="108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87" w:hanging="360"/>
        <w:spacing w:after="0"/>
        <w:tabs>
          <w:tab w:leader="none" w:pos="108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087" w:hanging="360"/>
        <w:spacing w:after="0"/>
        <w:tabs>
          <w:tab w:leader="none" w:pos="108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Any unique development requested by HP to facilitate interoperability with other third party providers will be based on joint specification and endorsement by all interested parties and prioritized considering implementations to be included in any resulting future standard. Supplier will have [*] testing, test results, or resulting changes to Supplier's products, and will have [*] OEM products or firmware to fix problems reasonably determined by both HP and Supplier to be the responsibility of any unaffiliated third party. HP acknowledges that it has [*] to ensure similar cooperation to facilitate this tripartite interoperability effort.</w:t>
      </w:r>
    </w:p>
    <w:p>
      <w:pPr>
        <w:spacing w:after="0" w:line="355" w:lineRule="exact"/>
        <w:rPr>
          <w:sz w:val="20"/>
          <w:szCs w:val="20"/>
          <w:color w:val="auto"/>
        </w:rPr>
      </w:pPr>
    </w:p>
    <w:p>
      <w:pPr>
        <w:ind w:left="447" w:right="2959" w:hanging="447"/>
        <w:spacing w:after="0" w:line="247" w:lineRule="auto"/>
        <w:tabs>
          <w:tab w:leader="none" w:pos="447"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(A-6)</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3 of 7</w:t>
      </w:r>
    </w:p>
    <w:p>
      <w:pPr>
        <w:sectPr>
          <w:pgSz w:w="11900" w:h="16838" w:orient="portrait"/>
          <w:cols w:equalWidth="0" w:num="1">
            <w:col w:w="10226"/>
          </w:cols>
          <w:pgMar w:left="233" w:top="643" w:right="1440" w:bottom="1440" w:gutter="0" w:footer="0" w:header="0"/>
        </w:sectPr>
      </w:pPr>
    </w:p>
    <w:bookmarkStart w:id="200" w:name="page201"/>
    <w:bookmarkEnd w:id="200"/>
    <w:p>
      <w:pPr>
        <w:ind w:left="7" w:right="2959"/>
        <w:spacing w:after="0" w:line="246" w:lineRule="auto"/>
        <w:rPr>
          <w:sz w:val="20"/>
          <w:szCs w:val="20"/>
          <w:color w:val="auto"/>
        </w:rPr>
      </w:pPr>
      <w:r>
        <w:rPr>
          <w:rFonts w:ascii="Courier New" w:cs="Courier New" w:eastAsia="Courier New" w:hAnsi="Courier New"/>
          <w:sz w:val="15"/>
          <w:szCs w:val="15"/>
          <w:color w:val="auto"/>
        </w:rPr>
        <w:t>Supplier and HP shall review current HP test results from the configurations set forth in Attachment (A) to this Exhibit (A-6), and will mutually establish defined configurations substantially derived from those baseline configurations designated in Attachment (A). Supplier will [*] such mutually defined configurations. Subject to completion of steps 1 through 5 listed above and mutually agreeable validation test results, Supplier will [*] HP on the mutually defined configurations within [*] of the Effective Date of this Agreement. Additionally, program teams from Supplier and HP will continue to</w:t>
      </w:r>
    </w:p>
    <w:p>
      <w:pPr>
        <w:spacing w:after="0" w:line="5" w:lineRule="exact"/>
        <w:rPr>
          <w:sz w:val="20"/>
          <w:szCs w:val="20"/>
          <w:color w:val="auto"/>
        </w:rPr>
      </w:pPr>
    </w:p>
    <w:p>
      <w:pPr>
        <w:ind w:left="7" w:right="3219" w:hanging="7"/>
        <w:spacing w:after="0" w:line="247" w:lineRule="auto"/>
        <w:tabs>
          <w:tab w:leader="none" w:pos="37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configurations and test plans. The first joint program team meeting shall occur within [*] of the Effective Date of this Agreement and shall include Vice President and Director level attendees from both Supplier and HP.</w:t>
      </w:r>
    </w:p>
    <w:p>
      <w:pPr>
        <w:spacing w:after="0" w:line="349" w:lineRule="exact"/>
        <w:rPr>
          <w:sz w:val="20"/>
          <w:szCs w:val="20"/>
          <w:color w:val="auto"/>
        </w:rPr>
      </w:pPr>
    </w:p>
    <w:p>
      <w:pPr>
        <w:ind w:left="447" w:right="2959" w:hanging="447"/>
        <w:spacing w:after="0" w:line="247" w:lineRule="auto"/>
        <w:tabs>
          <w:tab w:leader="none" w:pos="447"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(A-6)</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4 of 7</w:t>
      </w:r>
    </w:p>
    <w:p>
      <w:pPr>
        <w:sectPr>
          <w:pgSz w:w="11900" w:h="16838" w:orient="portrait"/>
          <w:cols w:equalWidth="0" w:num="1">
            <w:col w:w="10226"/>
          </w:cols>
          <w:pgMar w:left="233" w:top="817" w:right="1440" w:bottom="1440" w:gutter="0" w:footer="0" w:header="0"/>
        </w:sectPr>
      </w:pPr>
    </w:p>
    <w:bookmarkStart w:id="201" w:name="page202"/>
    <w:bookmarkEnd w:id="201"/>
    <w:p>
      <w:pPr>
        <w:jc w:val="right"/>
        <w:ind w:right="5959"/>
        <w:spacing w:after="0"/>
        <w:rPr>
          <w:sz w:val="20"/>
          <w:szCs w:val="20"/>
          <w:color w:val="auto"/>
        </w:rPr>
      </w:pPr>
      <w:r>
        <w:rPr>
          <w:rFonts w:ascii="Courier New" w:cs="Courier New" w:eastAsia="Courier New" w:hAnsi="Courier New"/>
          <w:sz w:val="15"/>
          <w:szCs w:val="15"/>
          <w:color w:val="auto"/>
        </w:rPr>
        <w:t>ATTACHMENT (A)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(A-6)</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Page 4 of 7</w:t>
      </w:r>
    </w:p>
    <w:p>
      <w:pPr>
        <w:sectPr>
          <w:pgSz w:w="11900" w:h="16838" w:orient="portrait"/>
          <w:cols w:equalWidth="0" w:num="1">
            <w:col w:w="10219"/>
          </w:cols>
          <w:pgMar w:left="240" w:top="468" w:right="1440" w:bottom="1440" w:gutter="0" w:footer="0" w:header="0"/>
        </w:sectPr>
      </w:pPr>
    </w:p>
    <w:bookmarkStart w:id="202" w:name="page203"/>
    <w:bookmarkEnd w:id="202"/>
    <w:p>
      <w:pPr>
        <w:jc w:val="right"/>
        <w:ind w:right="5959"/>
        <w:spacing w:after="0"/>
        <w:rPr>
          <w:sz w:val="20"/>
          <w:szCs w:val="20"/>
          <w:color w:val="auto"/>
        </w:rPr>
      </w:pPr>
      <w:r>
        <w:rPr>
          <w:rFonts w:ascii="Courier New" w:cs="Courier New" w:eastAsia="Courier New" w:hAnsi="Courier New"/>
          <w:sz w:val="15"/>
          <w:szCs w:val="15"/>
          <w:color w:val="auto"/>
        </w:rPr>
        <w:t>ATTACHMENT (A)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(A-6)</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Page 4 of 7</w:t>
      </w:r>
    </w:p>
    <w:p>
      <w:pPr>
        <w:sectPr>
          <w:pgSz w:w="11900" w:h="16838" w:orient="portrait"/>
          <w:cols w:equalWidth="0" w:num="1">
            <w:col w:w="10219"/>
          </w:cols>
          <w:pgMar w:left="240" w:top="1167" w:right="1440" w:bottom="1440" w:gutter="0" w:footer="0" w:header="0"/>
        </w:sectPr>
      </w:pPr>
    </w:p>
    <w:bookmarkStart w:id="203" w:name="page204"/>
    <w:bookmarkEnd w:id="203"/>
    <w:p>
      <w:pPr>
        <w:jc w:val="right"/>
        <w:ind w:right="5959"/>
        <w:spacing w:after="0"/>
        <w:rPr>
          <w:sz w:val="20"/>
          <w:szCs w:val="20"/>
          <w:color w:val="auto"/>
        </w:rPr>
      </w:pPr>
      <w:r>
        <w:rPr>
          <w:rFonts w:ascii="Courier New" w:cs="Courier New" w:eastAsia="Courier New" w:hAnsi="Courier New"/>
          <w:sz w:val="15"/>
          <w:szCs w:val="15"/>
          <w:color w:val="auto"/>
        </w:rPr>
        <w:t>ATTACHMENT (A)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32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(A-6)</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Page 4 of 7</w:t>
      </w:r>
    </w:p>
    <w:p>
      <w:pPr>
        <w:sectPr>
          <w:pgSz w:w="11900" w:h="16838" w:orient="portrait"/>
          <w:cols w:equalWidth="0" w:num="1">
            <w:col w:w="10219"/>
          </w:cols>
          <w:pgMar w:left="240" w:top="817" w:right="1440" w:bottom="1440" w:gutter="0" w:footer="0" w:header="0"/>
        </w:sectPr>
      </w:pPr>
    </w:p>
    <w:bookmarkStart w:id="204" w:name="page205"/>
    <w:bookmarkEnd w:id="204"/>
    <w:p>
      <w:pPr>
        <w:jc w:val="right"/>
        <w:ind w:right="5959"/>
        <w:spacing w:after="0"/>
        <w:rPr>
          <w:sz w:val="20"/>
          <w:szCs w:val="20"/>
          <w:color w:val="auto"/>
        </w:rPr>
      </w:pPr>
      <w:r>
        <w:rPr>
          <w:rFonts w:ascii="Courier New" w:cs="Courier New" w:eastAsia="Courier New" w:hAnsi="Courier New"/>
          <w:sz w:val="15"/>
          <w:szCs w:val="15"/>
          <w:color w:val="auto"/>
        </w:rPr>
        <w:t>ATTACHMENT (A)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32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(A-6)</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Page 4 of 7</w:t>
      </w:r>
    </w:p>
    <w:p>
      <w:pPr>
        <w:sectPr>
          <w:pgSz w:w="11900" w:h="16838" w:orient="portrait"/>
          <w:cols w:equalWidth="0" w:num="1">
            <w:col w:w="10219"/>
          </w:cols>
          <w:pgMar w:left="240" w:top="817" w:right="1440" w:bottom="1440" w:gutter="0" w:footer="0" w:header="0"/>
        </w:sectPr>
      </w:pPr>
    </w:p>
    <w:bookmarkStart w:id="205" w:name="page206"/>
    <w:bookmarkEnd w:id="205"/>
    <w:p>
      <w:pPr>
        <w:jc w:val="right"/>
        <w:ind w:right="5959"/>
        <w:spacing w:after="0"/>
        <w:rPr>
          <w:sz w:val="20"/>
          <w:szCs w:val="20"/>
          <w:color w:val="auto"/>
        </w:rPr>
      </w:pPr>
      <w:r>
        <w:rPr>
          <w:rFonts w:ascii="Courier New" w:cs="Courier New" w:eastAsia="Courier New" w:hAnsi="Courier New"/>
          <w:sz w:val="15"/>
          <w:szCs w:val="15"/>
          <w:color w:val="auto"/>
        </w:rPr>
        <w:t>ATTACHMENT (A)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32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(A-6)</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Page 4 of 7</w:t>
      </w:r>
    </w:p>
    <w:p>
      <w:pPr>
        <w:sectPr>
          <w:pgSz w:w="11900" w:h="16838" w:orient="portrait"/>
          <w:cols w:equalWidth="0" w:num="1">
            <w:col w:w="10219"/>
          </w:cols>
          <w:pgMar w:left="240" w:top="817" w:right="1440" w:bottom="1440" w:gutter="0" w:footer="0" w:header="0"/>
        </w:sectPr>
      </w:pPr>
    </w:p>
    <w:bookmarkStart w:id="206" w:name="page207"/>
    <w:bookmarkEnd w:id="206"/>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ELIGIBLE PURCHASERS &amp;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ELIGIBLE PURCHASERS: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 COMPUTER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Germany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HEWLETT-PACKARD COMPANY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 CA</w:t>
        <w:tab/>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GLOBAL SUPPORT LOGISTICS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PRODUCT SUPPORT DIVISION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 CA</w:t>
        <w:tab/>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7" w:hanging="447"/>
        <w:spacing w:after="0"/>
        <w:tabs>
          <w:tab w:leader="none" w:pos="447"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LOCATIONS:</w:t>
      </w:r>
    </w:p>
    <w:p>
      <w:pPr>
        <w:spacing w:after="0" w:line="180"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EUROPEAN REGION</w:t>
        <w:tab/>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Germany</w:t>
      </w:r>
    </w:p>
    <w:p>
      <w:pPr>
        <w:spacing w:after="0" w:line="180" w:lineRule="exact"/>
        <w:rPr>
          <w:sz w:val="20"/>
          <w:szCs w:val="20"/>
          <w:color w:val="auto"/>
        </w:rPr>
      </w:pPr>
    </w:p>
    <w:p>
      <w:pPr>
        <w:ind w:left="7"/>
        <w:spacing w:after="0"/>
        <w:tabs>
          <w:tab w:leader="none" w:pos="2066" w:val="left"/>
        </w:tabs>
        <w:rPr>
          <w:sz w:val="20"/>
          <w:szCs w:val="20"/>
          <w:color w:val="auto"/>
        </w:rPr>
      </w:pPr>
      <w:r>
        <w:rPr>
          <w:rFonts w:ascii="Courier New" w:cs="Courier New" w:eastAsia="Courier New" w:hAnsi="Courier New"/>
          <w:sz w:val="15"/>
          <w:szCs w:val="15"/>
          <w:color w:val="auto"/>
        </w:rPr>
        <w:t>NORTH AMERICAN REGION</w:t>
        <w:tab/>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Hewlett-Packard Company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 CA</w:t>
      </w:r>
      <w:r>
        <w:rPr>
          <w:sz w:val="20"/>
          <w:szCs w:val="20"/>
          <w:color w:val="auto"/>
        </w:rPr>
        <w:tab/>
      </w:r>
      <w:r>
        <w:rPr>
          <w:rFonts w:ascii="Courier New" w:cs="Courier New" w:eastAsia="Courier New" w:hAnsi="Courier New"/>
          <w:sz w:val="14"/>
          <w:szCs w:val="14"/>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26"/>
          </w:cols>
          <w:pgMar w:left="233" w:top="643" w:right="1440" w:bottom="1440" w:gutter="0" w:footer="0" w:header="0"/>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(C)</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PRICING AND FEES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OEM PRODUCT PRICING.</w:t>
      </w:r>
    </w:p>
    <w:p>
      <w:pPr>
        <w:spacing w:after="0" w:line="180" w:lineRule="exact"/>
        <w:rPr>
          <w:sz w:val="20"/>
          <w:szCs w:val="20"/>
          <w:color w:val="auto"/>
        </w:rPr>
      </w:pPr>
    </w:p>
    <w:p>
      <w:pPr>
        <w:ind w:left="7" w:right="3859" w:firstLine="727"/>
        <w:spacing w:after="0" w:line="247" w:lineRule="auto"/>
        <w:rPr>
          <w:sz w:val="20"/>
          <w:szCs w:val="20"/>
          <w:color w:val="auto"/>
        </w:rPr>
      </w:pPr>
      <w:r>
        <w:rPr>
          <w:rFonts w:ascii="Courier New" w:cs="Courier New" w:eastAsia="Courier New" w:hAnsi="Courier New"/>
          <w:sz w:val="15"/>
          <w:szCs w:val="15"/>
          <w:color w:val="auto"/>
        </w:rPr>
        <w:t>Subject to the terms and conditions of the Agreement, [*] made available by Supplier to HP, as set forth in this Agreement and more particularly described in Exhibit (A), are as set forth below.</w:t>
      </w:r>
    </w:p>
    <w:p>
      <w:pPr>
        <w:spacing w:after="0" w:line="17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All prices listed below are in United States Dollars (USD) and are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All OEM Product pricing herein is subject to the terms and conditions of this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 and more particularly those of this Exhibit (C).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OEM SOFTWARE PRODUCTS TERMS AND CONDITIONS.</w:t>
      </w:r>
    </w:p>
    <w:p>
      <w:pPr>
        <w:spacing w:after="0" w:line="180" w:lineRule="exact"/>
        <w:rPr>
          <w:sz w:val="20"/>
          <w:szCs w:val="20"/>
          <w:color w:val="auto"/>
        </w:rPr>
      </w:pPr>
    </w:p>
    <w:p>
      <w:pPr>
        <w:ind w:left="7" w:right="3219" w:firstLine="727"/>
        <w:spacing w:after="0" w:line="247" w:lineRule="auto"/>
        <w:rPr>
          <w:sz w:val="20"/>
          <w:szCs w:val="20"/>
          <w:color w:val="auto"/>
        </w:rPr>
      </w:pPr>
      <w:r>
        <w:rPr>
          <w:rFonts w:ascii="Courier New" w:cs="Courier New" w:eastAsia="Courier New" w:hAnsi="Courier New"/>
          <w:sz w:val="15"/>
          <w:szCs w:val="15"/>
          <w:color w:val="auto"/>
        </w:rPr>
        <w:t>Silkworm 6400 OEM Product Orders. All Silkworm 6400 OEM Product units purchased under this Agreement shall include [*] as described herein [*].</w:t>
      </w:r>
    </w:p>
    <w:p>
      <w:pPr>
        <w:spacing w:after="0" w:line="175" w:lineRule="exact"/>
        <w:rPr>
          <w:sz w:val="20"/>
          <w:szCs w:val="20"/>
          <w:color w:val="auto"/>
        </w:rPr>
      </w:pPr>
    </w:p>
    <w:p>
      <w:pPr>
        <w:jc w:val="both"/>
        <w:ind w:left="7" w:right="3319" w:firstLine="727"/>
        <w:spacing w:after="0" w:line="247" w:lineRule="auto"/>
        <w:rPr>
          <w:sz w:val="20"/>
          <w:szCs w:val="20"/>
          <w:color w:val="auto"/>
        </w:rPr>
      </w:pPr>
      <w:r>
        <w:rPr>
          <w:rFonts w:ascii="Courier New" w:cs="Courier New" w:eastAsia="Courier New" w:hAnsi="Courier New"/>
          <w:sz w:val="15"/>
          <w:szCs w:val="15"/>
          <w:color w:val="auto"/>
        </w:rPr>
        <w:t>No Distribution Obligation. Notwithstanding anything to the contrary herein, [*] in new purchase orders is expressly subject to the provisions of Section 13.1 (Marketing and Distribution) of this Agreement.</w:t>
      </w:r>
    </w:p>
    <w:p>
      <w:pPr>
        <w:spacing w:after="0" w:line="174" w:lineRule="exact"/>
        <w:rPr>
          <w:sz w:val="20"/>
          <w:szCs w:val="20"/>
          <w:color w:val="auto"/>
        </w:rPr>
      </w:pPr>
    </w:p>
    <w:p>
      <w:pPr>
        <w:ind w:left="7" w:right="3039" w:firstLine="727"/>
        <w:spacing w:after="0" w:line="246" w:lineRule="auto"/>
        <w:rPr>
          <w:sz w:val="20"/>
          <w:szCs w:val="20"/>
          <w:color w:val="auto"/>
        </w:rPr>
      </w:pPr>
      <w:r>
        <w:rPr>
          <w:rFonts w:ascii="Courier New" w:cs="Courier New" w:eastAsia="Courier New" w:hAnsi="Courier New"/>
          <w:sz w:val="15"/>
          <w:szCs w:val="15"/>
          <w:color w:val="auto"/>
        </w:rPr>
        <w:t>All Other Software License Fees. For the Term of this Agreement and any extension(s) thereof, Supplier will provide to HP [*] for use in conjunction with OEM products provided by Supplier [*] will be released</w:t>
      </w:r>
    </w:p>
    <w:p>
      <w:pPr>
        <w:spacing w:after="0" w:line="2" w:lineRule="exact"/>
        <w:rPr>
          <w:sz w:val="20"/>
          <w:szCs w:val="20"/>
          <w:color w:val="auto"/>
        </w:rPr>
      </w:pPr>
    </w:p>
    <w:p>
      <w:pPr>
        <w:ind w:left="7" w:right="3679"/>
        <w:spacing w:after="0" w:line="247" w:lineRule="auto"/>
        <w:rPr>
          <w:sz w:val="20"/>
          <w:szCs w:val="20"/>
          <w:color w:val="auto"/>
        </w:rPr>
      </w:pPr>
      <w:r>
        <w:rPr>
          <w:rFonts w:ascii="Courier New" w:cs="Courier New" w:eastAsia="Courier New" w:hAnsi="Courier New"/>
          <w:sz w:val="15"/>
          <w:szCs w:val="15"/>
          <w:color w:val="auto"/>
        </w:rPr>
        <w:t>to HP [*]. Supplier shall provide such copies and/or required [*] of the Software listed in this Section in [*].</w:t>
      </w:r>
    </w:p>
    <w:p>
      <w:pPr>
        <w:spacing w:after="0" w:line="175" w:lineRule="exact"/>
        <w:rPr>
          <w:sz w:val="20"/>
          <w:szCs w:val="20"/>
          <w:color w:val="auto"/>
        </w:rPr>
      </w:pPr>
    </w:p>
    <w:p>
      <w:pPr>
        <w:ind w:left="7" w:right="2959" w:firstLine="727"/>
        <w:spacing w:after="0" w:line="247" w:lineRule="auto"/>
        <w:rPr>
          <w:sz w:val="20"/>
          <w:szCs w:val="20"/>
          <w:color w:val="auto"/>
        </w:rPr>
      </w:pPr>
      <w:r>
        <w:rPr>
          <w:rFonts w:ascii="Courier New" w:cs="Courier New" w:eastAsia="Courier New" w:hAnsi="Courier New"/>
          <w:sz w:val="15"/>
          <w:szCs w:val="15"/>
          <w:color w:val="auto"/>
        </w:rPr>
        <w:t>Security Software. If or when this Software product is offered to any of [*], Supplier will [*] to HP at [*].</w:t>
      </w:r>
    </w:p>
    <w:p>
      <w:pPr>
        <w:spacing w:after="0" w:line="175" w:lineRule="exact"/>
        <w:rPr>
          <w:sz w:val="20"/>
          <w:szCs w:val="20"/>
          <w:color w:val="auto"/>
        </w:rPr>
      </w:pPr>
    </w:p>
    <w:p>
      <w:pPr>
        <w:ind w:left="7" w:right="2959" w:firstLine="727"/>
        <w:spacing w:after="0" w:line="247" w:lineRule="auto"/>
        <w:rPr>
          <w:sz w:val="20"/>
          <w:szCs w:val="20"/>
          <w:color w:val="auto"/>
        </w:rPr>
      </w:pPr>
      <w:r>
        <w:rPr>
          <w:rFonts w:ascii="Courier New" w:cs="Courier New" w:eastAsia="Courier New" w:hAnsi="Courier New"/>
          <w:sz w:val="15"/>
          <w:szCs w:val="15"/>
          <w:color w:val="auto"/>
        </w:rPr>
        <w:t>Internal-use Copies. [*] shall be due for copies of the Software used by HP for [*]</w:t>
      </w:r>
    </w:p>
    <w:p>
      <w:pPr>
        <w:spacing w:after="0" w:line="175" w:lineRule="exact"/>
        <w:rPr>
          <w:sz w:val="20"/>
          <w:szCs w:val="20"/>
          <w:color w:val="auto"/>
        </w:rPr>
      </w:pPr>
    </w:p>
    <w:p>
      <w:pPr>
        <w:ind w:left="7" w:right="3779" w:firstLine="727"/>
        <w:spacing w:after="0" w:line="247" w:lineRule="auto"/>
        <w:rPr>
          <w:sz w:val="20"/>
          <w:szCs w:val="20"/>
          <w:color w:val="auto"/>
        </w:rPr>
      </w:pPr>
      <w:r>
        <w:rPr>
          <w:rFonts w:ascii="Courier New" w:cs="Courier New" w:eastAsia="Courier New" w:hAnsi="Courier New"/>
          <w:sz w:val="15"/>
          <w:szCs w:val="15"/>
          <w:color w:val="auto"/>
        </w:rPr>
        <w:t>Software Delivery. All Software provided by Supplier under this Agreement shall be offered to HP [*]</w:t>
      </w:r>
    </w:p>
    <w:p>
      <w:pPr>
        <w:spacing w:after="0" w:line="175" w:lineRule="exact"/>
        <w:rPr>
          <w:sz w:val="20"/>
          <w:szCs w:val="20"/>
          <w:color w:val="auto"/>
        </w:rPr>
      </w:pPr>
    </w:p>
    <w:p>
      <w:pPr>
        <w:ind w:left="7" w:right="3319" w:firstLine="727"/>
        <w:spacing w:after="0" w:line="247" w:lineRule="auto"/>
        <w:rPr>
          <w:sz w:val="20"/>
          <w:szCs w:val="20"/>
          <w:color w:val="auto"/>
        </w:rPr>
      </w:pPr>
      <w:r>
        <w:rPr>
          <w:rFonts w:ascii="Courier New" w:cs="Courier New" w:eastAsia="Courier New" w:hAnsi="Courier New"/>
          <w:sz w:val="15"/>
          <w:szCs w:val="15"/>
          <w:color w:val="auto"/>
        </w:rPr>
        <w:t>Software Licenses. All Software license OEM Products listed in this Exhibit (C) shall include HP's right to [*] will be due for any package item subsequently [*].</w:t>
      </w:r>
    </w:p>
    <w:p>
      <w:pPr>
        <w:spacing w:after="0" w:line="17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SILKWORM 6400 AGGREGATOR FC SWITCH OEM PRODUCT PRICING.</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HP PART DESCRIPTION: HP Surestore FC-6400 (64-Port Fibre Channel Fabric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Switch)</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SUPPLIER MODEL NO. / DESCRIPTION: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1 of 3</w:t>
      </w:r>
    </w:p>
    <w:p>
      <w:pPr>
        <w:sectPr>
          <w:pgSz w:w="11900" w:h="16838" w:orient="portrait"/>
          <w:cols w:equalWidth="0" w:num="1">
            <w:col w:w="10226"/>
          </w:cols>
          <w:pgMar w:left="233" w:top="1440" w:right="1440" w:bottom="1440" w:gutter="0" w:footer="0" w:header="0"/>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PURCHASE PRICE</w:t>
      </w:r>
    </w:p>
    <w:p>
      <w:pPr>
        <w:spacing w:after="0" w:line="200" w:lineRule="exact"/>
        <w:rPr>
          <w:sz w:val="20"/>
          <w:szCs w:val="20"/>
          <w:color w:val="auto"/>
        </w:rPr>
      </w:pPr>
    </w:p>
    <w:p>
      <w:pPr>
        <w:sectPr>
          <w:pgSz w:w="11900" w:h="16838" w:orient="portrait"/>
          <w:cols w:equalWidth="0" w:num="2">
            <w:col w:w="3287" w:space="720"/>
            <w:col w:w="6219"/>
          </w:cols>
          <w:pgMar w:left="233" w:top="1440" w:right="1440" w:bottom="1440" w:gutter="0" w:footer="0" w:header="0"/>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2">
            <w:col w:w="3287" w:space="720"/>
            <w:col w:w="6219"/>
          </w:cols>
          <w:pgMar w:left="233" w:top="1440"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2">
            <w:col w:w="3287" w:space="720"/>
            <w:col w:w="6219"/>
          </w:cols>
          <w:pgMar w:left="233" w:top="1440"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2">
            <w:col w:w="3287" w:space="720"/>
            <w:col w:w="6219"/>
          </w:cols>
          <w:pgMar w:left="233" w:top="1440"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287" w:space="720"/>
            <w:col w:w="6219"/>
          </w:cols>
          <w:pgMar w:left="233" w:top="1440" w:right="1440" w:bottom="1440" w:gutter="0" w:footer="0" w:header="0"/>
          <w:type w:val="continuous"/>
        </w:sectPr>
      </w:pPr>
    </w:p>
    <w:p>
      <w:pPr>
        <w:spacing w:after="0" w:line="34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FABRIC SOFTWARE OEM PRODUCT PER-COPY FEES.</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HP PART DESCRIPTION: [HP private-label name pending]</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SUPPLIER MODEL NO. / DESCRIPTION: [*]</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4346" w:val="left"/>
        </w:tabs>
        <w:rPr>
          <w:sz w:val="20"/>
          <w:szCs w:val="20"/>
          <w:color w:val="auto"/>
        </w:rPr>
      </w:pPr>
      <w:r>
        <w:rPr>
          <w:rFonts w:ascii="Courier New" w:cs="Courier New" w:eastAsia="Courier New" w:hAnsi="Courier New"/>
          <w:sz w:val="15"/>
          <w:szCs w:val="15"/>
          <w:color w:val="auto"/>
        </w:rPr>
        <w:t>HP per-license fee:</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HP PART DESCRIPTION: [HP private-label name pending]</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SUPPLIER MODEL NO. / DESCRIPTION: [*]</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4346" w:val="left"/>
        </w:tabs>
        <w:rPr>
          <w:sz w:val="20"/>
          <w:szCs w:val="20"/>
          <w:color w:val="auto"/>
        </w:rPr>
      </w:pPr>
      <w:r>
        <w:rPr>
          <w:rFonts w:ascii="Courier New" w:cs="Courier New" w:eastAsia="Courier New" w:hAnsi="Courier New"/>
          <w:sz w:val="15"/>
          <w:szCs w:val="15"/>
          <w:color w:val="auto"/>
        </w:rPr>
        <w:t>HP per-license fee:</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HP PART DESCRIPTION: [HP private-label name pending]</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SUPPLIER MODEL NO. / DESCRIPTION: [*]</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4346" w:val="left"/>
        </w:tabs>
        <w:rPr>
          <w:sz w:val="20"/>
          <w:szCs w:val="20"/>
          <w:color w:val="auto"/>
        </w:rPr>
      </w:pPr>
      <w:r>
        <w:rPr>
          <w:rFonts w:ascii="Courier New" w:cs="Courier New" w:eastAsia="Courier New" w:hAnsi="Courier New"/>
          <w:sz w:val="15"/>
          <w:szCs w:val="15"/>
          <w:color w:val="auto"/>
        </w:rPr>
        <w:t>HP per-license fee:</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HP PART DESCRIPTION: [HP private-label name pending]</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SUPPLIER MODEL NO. / DESCRIPTION: [*]</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4346" w:val="left"/>
        </w:tabs>
        <w:rPr>
          <w:sz w:val="20"/>
          <w:szCs w:val="20"/>
          <w:color w:val="auto"/>
        </w:rPr>
      </w:pPr>
      <w:r>
        <w:rPr>
          <w:rFonts w:ascii="Courier New" w:cs="Courier New" w:eastAsia="Courier New" w:hAnsi="Courier New"/>
          <w:sz w:val="15"/>
          <w:szCs w:val="15"/>
          <w:color w:val="auto"/>
        </w:rPr>
        <w:t>HP per-license fee:</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FRU OEM PARTS.</w:t>
      </w:r>
    </w:p>
    <w:p>
      <w:pPr>
        <w:spacing w:after="0" w:line="180" w:lineRule="exact"/>
        <w:rPr>
          <w:sz w:val="20"/>
          <w:szCs w:val="20"/>
          <w:color w:val="auto"/>
        </w:rPr>
      </w:pPr>
    </w:p>
    <w:p>
      <w:pPr>
        <w:ind w:left="7" w:right="3679" w:firstLine="727"/>
        <w:spacing w:after="0" w:line="247" w:lineRule="auto"/>
        <w:rPr>
          <w:sz w:val="20"/>
          <w:szCs w:val="20"/>
          <w:color w:val="auto"/>
        </w:rPr>
      </w:pPr>
      <w:r>
        <w:rPr>
          <w:rFonts w:ascii="Courier New" w:cs="Courier New" w:eastAsia="Courier New" w:hAnsi="Courier New"/>
          <w:sz w:val="15"/>
          <w:szCs w:val="15"/>
          <w:color w:val="auto"/>
        </w:rPr>
        <w:t>All FRU pricing listed below shall be effective beginning on the Effective Date of the Agreement [*]</w:t>
      </w:r>
    </w:p>
    <w:p>
      <w:pPr>
        <w:spacing w:after="0" w:line="17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FRU OEM PARTS (FOR BR-6400 OEM PRODUCT):</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SUPPLIER MODEL NO. / DESCRIPTION: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2 of 3</w:t>
      </w:r>
    </w:p>
    <w:p>
      <w:pPr>
        <w:sectPr>
          <w:pgSz w:w="11900" w:h="16838" w:orient="portrait"/>
          <w:cols w:equalWidth="0" w:num="1">
            <w:col w:w="10226"/>
          </w:cols>
          <w:pgMar w:left="233" w:top="1440" w:right="1440" w:bottom="1440" w:gutter="0" w:footer="0" w:header="0"/>
          <w:type w:val="continuous"/>
        </w:sectPr>
      </w:pPr>
    </w:p>
    <w:bookmarkStart w:id="209" w:name="page210"/>
    <w:bookmarkEnd w:id="209"/>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HP PURCHASE PRICE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720" w:space="720"/>
            <w:col w:w="5779"/>
          </w:cols>
          <w:pgMar w:left="240" w:top="817" w:right="1440" w:bottom="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MODEL NO. / DESCRIPTION: [*]</w:t>
      </w:r>
    </w:p>
    <w:p>
      <w:pPr>
        <w:sectPr>
          <w:pgSz w:w="11900" w:h="16838" w:orient="portrait"/>
          <w:cols w:equalWidth="0" w:num="1">
            <w:col w:w="10219"/>
          </w:cols>
          <w:pgMar w:left="240" w:top="817" w:right="1440" w:bottom="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PURCHASE PRICE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720" w:space="720"/>
            <w:col w:w="5779"/>
          </w:cols>
          <w:pgMar w:left="240" w:top="817" w:right="1440" w:bottom="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MODEL NO. / DESCRIPTION: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2">
            <w:col w:w="3000" w:space="180"/>
            <w:col w:w="7039"/>
          </w:cols>
          <w:pgMar w:left="240" w:top="817" w:right="1440" w:bottom="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PURCHASE PRICE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640" w:space="720"/>
            <w:col w:w="5859"/>
          </w:cols>
          <w:pgMar w:left="240" w:top="817" w:right="1440" w:bottom="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MODEL NO. / DESCRIPTION: [*]</w:t>
      </w:r>
    </w:p>
    <w:p>
      <w:pPr>
        <w:sectPr>
          <w:pgSz w:w="11900" w:h="16838" w:orient="portrait"/>
          <w:cols w:equalWidth="0" w:num="1">
            <w:col w:w="10219"/>
          </w:cols>
          <w:pgMar w:left="240" w:top="817" w:right="1440" w:bottom="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PURCHASE PRICE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640" w:space="720"/>
            <w:col w:w="5859"/>
          </w:cols>
          <w:pgMar w:left="240" w:top="817" w:right="1440" w:bottom="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MODEL NO. / DESCRIPTION: [*]</w:t>
      </w:r>
    </w:p>
    <w:p>
      <w:pPr>
        <w:sectPr>
          <w:pgSz w:w="11900" w:h="16838" w:orient="portrait"/>
          <w:cols w:equalWidth="0" w:num="1">
            <w:col w:w="10219"/>
          </w:cols>
          <w:pgMar w:left="240" w:top="817" w:right="1440" w:bottom="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PURCHASE PRICE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640" w:space="720"/>
            <w:col w:w="5859"/>
          </w:cols>
          <w:pgMar w:left="240" w:top="817" w:right="1440" w:bottom="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MODEL NO. / DESCRIPTION: [*]</w:t>
      </w:r>
    </w:p>
    <w:p>
      <w:pPr>
        <w:sectPr>
          <w:pgSz w:w="11900" w:h="16838" w:orient="portrait"/>
          <w:cols w:equalWidth="0" w:num="1">
            <w:col w:w="10219"/>
          </w:cols>
          <w:pgMar w:left="240" w:top="817" w:right="1440" w:bottom="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PURCHASE PRICE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640" w:space="720"/>
            <w:col w:w="5859"/>
          </w:cols>
          <w:pgMar w:left="240" w:top="817" w:right="1440" w:bottom="0" w:gutter="0" w:footer="0" w:header="0"/>
          <w:type w:val="continuous"/>
        </w:sectPr>
      </w:pPr>
    </w:p>
    <w:bookmarkStart w:id="210" w:name="page211"/>
    <w:bookmarkEnd w:id="210"/>
    <w:p>
      <w:pPr>
        <w:ind w:left="447" w:right="2959" w:hanging="447"/>
        <w:spacing w:after="0" w:line="247" w:lineRule="auto"/>
        <w:tabs>
          <w:tab w:leader="none" w:pos="447"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3 of 3</w:t>
      </w:r>
    </w:p>
    <w:p>
      <w:pPr>
        <w:sectPr>
          <w:pgSz w:w="11900" w:h="16838" w:orient="portrait"/>
          <w:cols w:equalWidth="0" w:num="1">
            <w:col w:w="10226"/>
          </w:cols>
          <w:pgMar w:left="233" w:top="666" w:right="1440" w:bottom="1440" w:gutter="0" w:footer="0" w:header="0"/>
        </w:sectPr>
      </w:pPr>
    </w:p>
    <w:bookmarkStart w:id="211" w:name="page212"/>
    <w:bookmarkEnd w:id="211"/>
    <w:p>
      <w:pPr>
        <w:spacing w:after="0" w:line="200" w:lineRule="exact"/>
        <w:rPr>
          <w:sz w:val="20"/>
          <w:szCs w:val="20"/>
          <w:color w:val="auto"/>
        </w:rPr>
      </w:pPr>
    </w:p>
    <w:p>
      <w:pPr>
        <w:spacing w:after="0" w:line="227"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(D)</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MAINTENANCE AND SUPPORT</w:t>
      </w:r>
    </w:p>
    <w:p>
      <w:pPr>
        <w:spacing w:after="0" w:line="180" w:lineRule="exact"/>
        <w:rPr>
          <w:sz w:val="20"/>
          <w:szCs w:val="20"/>
          <w:color w:val="auto"/>
        </w:rPr>
      </w:pPr>
    </w:p>
    <w:p>
      <w:pPr>
        <w:ind w:left="187" w:hanging="187"/>
        <w:spacing w:after="0"/>
        <w:tabs>
          <w:tab w:leader="none" w:pos="187"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TERMS:</w:t>
      </w:r>
    </w:p>
    <w:p>
      <w:pPr>
        <w:spacing w:after="0" w:line="179" w:lineRule="exact"/>
        <w:rPr>
          <w:rFonts w:ascii="Courier New" w:cs="Courier New" w:eastAsia="Courier New" w:hAnsi="Courier New"/>
          <w:sz w:val="15"/>
          <w:szCs w:val="15"/>
          <w:color w:val="auto"/>
        </w:rPr>
      </w:pPr>
    </w:p>
    <w:p>
      <w:pPr>
        <w:ind w:left="1087" w:right="2959" w:hanging="360"/>
        <w:spacing w:after="0" w:line="246" w:lineRule="auto"/>
        <w:tabs>
          <w:tab w:leader="none" w:pos="1087"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Supplier will provide maintenance and support services to HP as specified in these Support Terms to allow HP to provide effective service to end-user customers ("Customers") of the Product. Unless otherwise agreed, HP will serve as the primary support contact with Customers, and Supplier shall have no direct end-user customer support obligations except as otherwise provided herein. The obligations of each party are specified below.</w:t>
      </w:r>
    </w:p>
    <w:p>
      <w:pPr>
        <w:spacing w:after="0" w:line="179" w:lineRule="exact"/>
        <w:rPr>
          <w:rFonts w:ascii="Courier New" w:cs="Courier New" w:eastAsia="Courier New" w:hAnsi="Courier New"/>
          <w:sz w:val="15"/>
          <w:szCs w:val="15"/>
          <w:color w:val="auto"/>
        </w:rPr>
      </w:pPr>
    </w:p>
    <w:p>
      <w:pPr>
        <w:ind w:left="1087" w:right="3679" w:hanging="360"/>
        <w:spacing w:after="0" w:line="247" w:lineRule="auto"/>
        <w:tabs>
          <w:tab w:leader="none" w:pos="1087"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following capitalized terms will have these meanings when used in these Support Terms:</w:t>
      </w:r>
    </w:p>
    <w:p>
      <w:pPr>
        <w:spacing w:after="0" w:line="174" w:lineRule="exact"/>
        <w:rPr>
          <w:rFonts w:ascii="Courier New" w:cs="Courier New" w:eastAsia="Courier New" w:hAnsi="Courier New"/>
          <w:sz w:val="15"/>
          <w:szCs w:val="15"/>
          <w:color w:val="auto"/>
        </w:rPr>
      </w:pPr>
    </w:p>
    <w:p>
      <w:pPr>
        <w:ind w:left="1447" w:right="3039" w:hanging="356"/>
        <w:spacing w:after="0" w:line="246" w:lineRule="auto"/>
        <w:tabs>
          <w:tab w:leader="none" w:pos="1447" w:val="left"/>
        </w:tabs>
        <w:numPr>
          <w:ilvl w:val="2"/>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PLAN" means the initial plan to be created and implemented by Supplier in response to an HP Problem Resolution or Escalation request. At a minimum, the Action Plan must contain the following:</w:t>
      </w:r>
    </w:p>
    <w:p>
      <w:pPr>
        <w:spacing w:after="0" w:line="177"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7" w:right="2959" w:hanging="356"/>
        <w:spacing w:after="0" w:line="246" w:lineRule="auto"/>
        <w:tabs>
          <w:tab w:leader="none" w:pos="1447" w:val="left"/>
        </w:tabs>
        <w:numPr>
          <w:ilvl w:val="2"/>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"ESCALATION" is the process described in ARTICLE 4 below through which HP declares that a Customer situation requires immediate action. Under this process, the nature and severity of the problem is raised in each party's organization and additional resources are allocated as specified in these Support Terms toward solving the problem.</w:t>
      </w:r>
    </w:p>
    <w:p>
      <w:pPr>
        <w:spacing w:after="0" w:line="178" w:lineRule="exact"/>
        <w:rPr>
          <w:rFonts w:ascii="Courier New" w:cs="Courier New" w:eastAsia="Courier New" w:hAnsi="Courier New"/>
          <w:sz w:val="15"/>
          <w:szCs w:val="15"/>
          <w:color w:val="auto"/>
        </w:rPr>
      </w:pPr>
    </w:p>
    <w:p>
      <w:pPr>
        <w:ind w:left="1447" w:right="2959" w:hanging="356"/>
        <w:spacing w:after="0" w:line="246" w:lineRule="auto"/>
        <w:tabs>
          <w:tab w:leader="none" w:pos="1447" w:val="left"/>
        </w:tabs>
        <w:numPr>
          <w:ilvl w:val="2"/>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 means a change in a Product that removes a problem in that product. A Fix must be designed and tested so that it can be distributed to all Customers. A Fix may be temporary or permanent. A temporary Fix may be a patch or bug fix that temporarily modifies a Product or any software in the product without rebuilding that product. A permanent Fix provides a permanent solution to the problem, agreed upon by both HP and the Supplier.</w:t>
      </w:r>
    </w:p>
    <w:p>
      <w:pPr>
        <w:spacing w:after="0" w:line="179" w:lineRule="exact"/>
        <w:rPr>
          <w:rFonts w:ascii="Courier New" w:cs="Courier New" w:eastAsia="Courier New" w:hAnsi="Courier New"/>
          <w:sz w:val="15"/>
          <w:szCs w:val="15"/>
          <w:color w:val="auto"/>
        </w:rPr>
      </w:pPr>
    </w:p>
    <w:p>
      <w:pPr>
        <w:ind w:left="1447" w:right="2959" w:hanging="356"/>
        <w:spacing w:after="0" w:line="246" w:lineRule="auto"/>
        <w:tabs>
          <w:tab w:leader="none" w:pos="1447" w:val="left"/>
        </w:tabs>
        <w:numPr>
          <w:ilvl w:val="2"/>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RESOLUTION" is the process described in ARTICLE 3 below through which HP submits a Request for Technical Assistance to notify Supplier when a problem (such as a fault or defect) is suspected in a Product. Under this process. HP confirms the problem diagnosis with Supplier, and the parties cooperate to resolve the problem.</w:t>
      </w:r>
    </w:p>
    <w:p>
      <w:pPr>
        <w:spacing w:after="0" w:line="178" w:lineRule="exact"/>
        <w:rPr>
          <w:rFonts w:ascii="Courier New" w:cs="Courier New" w:eastAsia="Courier New" w:hAnsi="Courier New"/>
          <w:sz w:val="15"/>
          <w:szCs w:val="15"/>
          <w:color w:val="auto"/>
        </w:rPr>
      </w:pPr>
    </w:p>
    <w:p>
      <w:pPr>
        <w:ind w:left="1447" w:right="3219" w:hanging="356"/>
        <w:spacing w:after="0" w:line="247" w:lineRule="auto"/>
        <w:tabs>
          <w:tab w:leader="none" w:pos="1447" w:val="left"/>
        </w:tabs>
        <w:numPr>
          <w:ilvl w:val="2"/>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INFORMATION" means Product Service Information and a Knowledge Data Base of known problems related to Supplier's support of Products.</w:t>
      </w:r>
    </w:p>
    <w:p>
      <w:pPr>
        <w:spacing w:after="0" w:line="174" w:lineRule="exact"/>
        <w:rPr>
          <w:rFonts w:ascii="Courier New" w:cs="Courier New" w:eastAsia="Courier New" w:hAnsi="Courier New"/>
          <w:sz w:val="15"/>
          <w:szCs w:val="15"/>
          <w:color w:val="auto"/>
        </w:rPr>
      </w:pPr>
    </w:p>
    <w:p>
      <w:pPr>
        <w:ind w:left="1447" w:right="2959" w:hanging="356"/>
        <w:spacing w:after="0" w:line="246" w:lineRule="auto"/>
        <w:tabs>
          <w:tab w:leader="none" w:pos="1447" w:val="left"/>
        </w:tabs>
        <w:numPr>
          <w:ilvl w:val="2"/>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UPDATE" means Supplier's summary of the problem, describing the possible cause and the incremental work to be performed to reach resolution, including the Action Plan and the availability date of a Fix.</w:t>
      </w:r>
    </w:p>
    <w:p>
      <w:pPr>
        <w:spacing w:after="0" w:line="177" w:lineRule="exact"/>
        <w:rPr>
          <w:rFonts w:ascii="Courier New" w:cs="Courier New" w:eastAsia="Courier New" w:hAnsi="Courier New"/>
          <w:sz w:val="15"/>
          <w:szCs w:val="15"/>
          <w:color w:val="auto"/>
        </w:rPr>
      </w:pPr>
    </w:p>
    <w:p>
      <w:pPr>
        <w:ind w:left="1447" w:right="3139" w:hanging="356"/>
        <w:spacing w:after="0" w:line="247" w:lineRule="auto"/>
        <w:tabs>
          <w:tab w:leader="none" w:pos="1447" w:val="left"/>
        </w:tabs>
        <w:numPr>
          <w:ilvl w:val="2"/>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ASSISTANCE" is the process described in Article 2 below through which HP obtains assistance from Supplier in the support of Customers. Technical Assistance includes the</w:t>
      </w:r>
    </w:p>
    <w:p>
      <w:pPr>
        <w:spacing w:after="0" w:line="349" w:lineRule="exact"/>
        <w:rPr>
          <w:sz w:val="20"/>
          <w:szCs w:val="20"/>
          <w:color w:val="auto"/>
        </w:rPr>
      </w:pPr>
    </w:p>
    <w:p>
      <w:pPr>
        <w:ind w:left="447" w:right="2959" w:hanging="447"/>
        <w:spacing w:after="0" w:line="247" w:lineRule="auto"/>
        <w:tabs>
          <w:tab w:leader="none" w:pos="447"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1 of 9</w:t>
      </w:r>
    </w:p>
    <w:p>
      <w:pPr>
        <w:sectPr>
          <w:pgSz w:w="11900" w:h="16838" w:orient="portrait"/>
          <w:cols w:equalWidth="0" w:num="1">
            <w:col w:w="10226"/>
          </w:cols>
          <w:pgMar w:left="233" w:top="1440" w:right="1440" w:bottom="1440" w:gutter="0" w:footer="0" w:header="0"/>
        </w:sectPr>
      </w:pPr>
    </w:p>
    <w:bookmarkStart w:id="212" w:name="page213"/>
    <w:bookmarkEnd w:id="212"/>
    <w:p>
      <w:pPr>
        <w:spacing w:after="0" w:line="200" w:lineRule="exact"/>
        <w:rPr>
          <w:sz w:val="20"/>
          <w:szCs w:val="20"/>
          <w:color w:val="auto"/>
        </w:rPr>
      </w:pPr>
    </w:p>
    <w:p>
      <w:pPr>
        <w:spacing w:after="0" w:line="227" w:lineRule="exact"/>
        <w:rPr>
          <w:sz w:val="20"/>
          <w:szCs w:val="20"/>
          <w:color w:val="auto"/>
        </w:rPr>
      </w:pPr>
    </w:p>
    <w:p>
      <w:pPr>
        <w:ind w:left="1440" w:right="3039"/>
        <w:spacing w:after="0" w:line="247" w:lineRule="auto"/>
        <w:rPr>
          <w:sz w:val="20"/>
          <w:szCs w:val="20"/>
          <w:color w:val="auto"/>
        </w:rPr>
      </w:pPr>
      <w:r>
        <w:rPr>
          <w:rFonts w:ascii="Courier New" w:cs="Courier New" w:eastAsia="Courier New" w:hAnsi="Courier New"/>
          <w:sz w:val="15"/>
          <w:szCs w:val="15"/>
          <w:color w:val="auto"/>
        </w:rPr>
        <w:t>exchange of information, such as product configuration, product operation, or other necessary answers or assistance to support questions.</w:t>
      </w:r>
    </w:p>
    <w:p>
      <w:pPr>
        <w:spacing w:after="0" w:line="174" w:lineRule="exact"/>
        <w:rPr>
          <w:sz w:val="20"/>
          <w:szCs w:val="20"/>
          <w:color w:val="auto"/>
        </w:rPr>
      </w:pPr>
    </w:p>
    <w:p>
      <w:pPr>
        <w:ind w:left="1440" w:right="2959" w:hanging="356"/>
        <w:spacing w:after="0" w:line="246" w:lineRule="auto"/>
        <w:tabs>
          <w:tab w:leader="none" w:pos="1440" w:val="left"/>
        </w:tabs>
        <w:numPr>
          <w:ilvl w:val="2"/>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"TRACKING, SYSTEM" means an electronic database to be maintained by the parties for updating and communicating information pertaining to Service Requests, Technical Assistance, Problem Resolution and Escalation. The particular type of Tracking System will be mutually determined, as more particularly described in Section 1.7 below.</w:t>
      </w:r>
    </w:p>
    <w:p>
      <w:pPr>
        <w:spacing w:after="0" w:line="178" w:lineRule="exact"/>
        <w:rPr>
          <w:rFonts w:ascii="Courier New" w:cs="Courier New" w:eastAsia="Courier New" w:hAnsi="Courier New"/>
          <w:sz w:val="15"/>
          <w:szCs w:val="15"/>
          <w:color w:val="auto"/>
        </w:rPr>
      </w:pPr>
    </w:p>
    <w:p>
      <w:pPr>
        <w:ind w:left="1440" w:right="3039" w:hanging="356"/>
        <w:spacing w:after="0" w:line="246" w:lineRule="auto"/>
        <w:tabs>
          <w:tab w:leader="none" w:pos="1440" w:val="left"/>
        </w:tabs>
        <w:numPr>
          <w:ilvl w:val="2"/>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"WORKAROUND" means a temporary solution or temporary Fix that restores operational capability for the Product, without severely compromising the performance of that product, until a permanent Fix is available. A Workaround can be a change in the configuration or a change in Customer documentation.</w:t>
      </w:r>
    </w:p>
    <w:p>
      <w:pPr>
        <w:spacing w:after="0" w:line="177" w:lineRule="exact"/>
        <w:rPr>
          <w:rFonts w:ascii="Courier New" w:cs="Courier New" w:eastAsia="Courier New" w:hAnsi="Courier New"/>
          <w:sz w:val="15"/>
          <w:szCs w:val="15"/>
          <w:color w:val="auto"/>
        </w:rPr>
      </w:pPr>
    </w:p>
    <w:p>
      <w:pPr>
        <w:ind w:left="1440" w:right="3139" w:hanging="356"/>
        <w:spacing w:after="0" w:line="246" w:lineRule="auto"/>
        <w:tabs>
          <w:tab w:leader="none" w:pos="1440" w:val="left"/>
        </w:tabs>
        <w:numPr>
          <w:ilvl w:val="2"/>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means the products listed in Exhibit (A) of the Agreement to which this Exhibit is attached, including all related Documentation. Software licenses and media, Parts, and other deliverables provided pursuant to the Agreement.</w:t>
      </w:r>
    </w:p>
    <w:p>
      <w:pPr>
        <w:spacing w:after="0" w:line="177" w:lineRule="exact"/>
        <w:rPr>
          <w:rFonts w:ascii="Courier New" w:cs="Courier New" w:eastAsia="Courier New" w:hAnsi="Courier New"/>
          <w:sz w:val="15"/>
          <w:szCs w:val="15"/>
          <w:color w:val="auto"/>
        </w:rPr>
      </w:pPr>
    </w:p>
    <w:p>
      <w:pPr>
        <w:ind w:left="1080" w:right="3419" w:hanging="360"/>
        <w:spacing w:after="0" w:line="247" w:lineRule="auto"/>
        <w:tabs>
          <w:tab w:leader="none" w:pos="1080"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OBLIGATIONS: Each party agrees to the following general terms:</w:t>
      </w:r>
    </w:p>
    <w:p>
      <w:pPr>
        <w:spacing w:after="0" w:line="174" w:lineRule="exact"/>
        <w:rPr>
          <w:rFonts w:ascii="Courier New" w:cs="Courier New" w:eastAsia="Courier New" w:hAnsi="Courier New"/>
          <w:sz w:val="15"/>
          <w:szCs w:val="15"/>
          <w:color w:val="auto"/>
        </w:rPr>
      </w:pPr>
    </w:p>
    <w:p>
      <w:pPr>
        <w:ind w:left="1440" w:right="3139" w:hanging="356"/>
        <w:spacing w:after="0" w:line="247" w:lineRule="auto"/>
        <w:tabs>
          <w:tab w:leader="none" w:pos="1440" w:val="left"/>
        </w:tabs>
        <w:numPr>
          <w:ilvl w:val="2"/>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Product, Supplier will provide a product support plan incorporating HP's support planning processes and support recommendations.</w:t>
      </w:r>
    </w:p>
    <w:p>
      <w:pPr>
        <w:spacing w:after="0" w:line="174" w:lineRule="exact"/>
        <w:rPr>
          <w:rFonts w:ascii="Courier New" w:cs="Courier New" w:eastAsia="Courier New" w:hAnsi="Courier New"/>
          <w:sz w:val="15"/>
          <w:szCs w:val="15"/>
          <w:color w:val="auto"/>
        </w:rPr>
      </w:pPr>
    </w:p>
    <w:p>
      <w:pPr>
        <w:ind w:left="1440" w:right="3139" w:hanging="356"/>
        <w:spacing w:after="0" w:line="247" w:lineRule="auto"/>
        <w:tabs>
          <w:tab w:leader="none" w:pos="1440" w:val="left"/>
        </w:tabs>
        <w:numPr>
          <w:ilvl w:val="2"/>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expressly authorized under these Support Terms, neither party will commit resources of the other to Customers.</w:t>
      </w:r>
    </w:p>
    <w:p>
      <w:pPr>
        <w:spacing w:after="0" w:line="174" w:lineRule="exact"/>
        <w:rPr>
          <w:rFonts w:ascii="Courier New" w:cs="Courier New" w:eastAsia="Courier New" w:hAnsi="Courier New"/>
          <w:sz w:val="15"/>
          <w:szCs w:val="15"/>
          <w:color w:val="auto"/>
        </w:rPr>
      </w:pPr>
    </w:p>
    <w:p>
      <w:pPr>
        <w:ind w:left="1440" w:right="2959" w:hanging="356"/>
        <w:spacing w:after="0" w:line="246" w:lineRule="auto"/>
        <w:tabs>
          <w:tab w:leader="none" w:pos="1440" w:val="left"/>
        </w:tabs>
        <w:numPr>
          <w:ilvl w:val="2"/>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parties will provide such information to each other as is needed to implement these Support Terms, subject to the confidentiality and licensing provisions of this Agreement. Unless otherwise specified, all such information will be used by the other party solely for its internal use to fulfill its obligations under these Support Terms.</w:t>
      </w:r>
    </w:p>
    <w:p>
      <w:pPr>
        <w:spacing w:after="0" w:line="353"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 of 9</w:t>
      </w:r>
    </w:p>
    <w:p>
      <w:pPr>
        <w:sectPr>
          <w:pgSz w:w="11900" w:h="16838" w:orient="portrait"/>
          <w:cols w:equalWidth="0" w:num="1">
            <w:col w:w="10219"/>
          </w:cols>
          <w:pgMar w:left="240" w:top="1440" w:right="1440" w:bottom="1440" w:gutter="0" w:footer="0" w:header="0"/>
        </w:sectPr>
      </w:pPr>
    </w:p>
    <w:bookmarkStart w:id="213" w:name="page214"/>
    <w:bookmarkEnd w:id="213"/>
    <w:p>
      <w:pPr>
        <w:ind w:left="1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7" w:right="2959" w:hanging="356"/>
        <w:spacing w:after="0" w:line="246" w:lineRule="auto"/>
        <w:tabs>
          <w:tab w:leader="none" w:pos="1447"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AND TECHNICAL SUPPORT CONTACTS: Supplier and HP have each designated in Appendix I a Strategic Support Contact and a Technical Support Contact, which may be one and the same person. The Strategic Support Contacts will be the focal points for general relationship and process issues and will be responsible for managing the overall relationship of the parties. The Technical Support Contacts will be the focal points for Customer technical issues, including Technical Assistance, Problem Resolution and Escalation. Technical and Strategic Support Contacts may be changed at any time upon written notice to the other party.</w:t>
      </w:r>
    </w:p>
    <w:p>
      <w:pPr>
        <w:spacing w:after="0" w:line="181" w:lineRule="exact"/>
        <w:rPr>
          <w:rFonts w:ascii="Courier New" w:cs="Courier New" w:eastAsia="Courier New" w:hAnsi="Courier New"/>
          <w:sz w:val="15"/>
          <w:szCs w:val="15"/>
          <w:color w:val="auto"/>
        </w:rPr>
      </w:pPr>
    </w:p>
    <w:p>
      <w:pPr>
        <w:ind w:left="1447" w:right="3599" w:hanging="356"/>
        <w:spacing w:after="0" w:line="246" w:lineRule="auto"/>
        <w:tabs>
          <w:tab w:leader="none" w:pos="1447"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REVIEW MEETINGS: Supplier and HP Strategic Support Contacts or their designees will meet on a regular basis</w:t>
      </w:r>
    </w:p>
    <w:p>
      <w:pPr>
        <w:spacing w:after="0" w:line="1" w:lineRule="exact"/>
        <w:rPr>
          <w:rFonts w:ascii="Courier New" w:cs="Courier New" w:eastAsia="Courier New" w:hAnsi="Courier New"/>
          <w:sz w:val="15"/>
          <w:szCs w:val="15"/>
          <w:color w:val="auto"/>
        </w:rPr>
      </w:pPr>
    </w:p>
    <w:p>
      <w:pPr>
        <w:ind w:left="1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reviewing the effectiveness of their support relationship, suggesting changes, implementing improvements and sharing technical information. Meetings will take place at least</w:t>
      </w:r>
    </w:p>
    <w:p>
      <w:pPr>
        <w:spacing w:after="0" w:line="1" w:lineRule="exact"/>
        <w:rPr>
          <w:rFonts w:ascii="Courier New" w:cs="Courier New" w:eastAsia="Courier New" w:hAnsi="Courier New"/>
          <w:sz w:val="15"/>
          <w:szCs w:val="15"/>
          <w:color w:val="auto"/>
        </w:rPr>
      </w:pPr>
    </w:p>
    <w:p>
      <w:pPr>
        <w:ind w:left="1827" w:hanging="373"/>
        <w:spacing w:after="0"/>
        <w:tabs>
          <w:tab w:leader="none" w:pos="1827" w:val="left"/>
        </w:tabs>
        <w:numPr>
          <w:ilvl w:val="2"/>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 of the Agreement, and at least [*] thereafter.</w:t>
      </w:r>
    </w:p>
    <w:p>
      <w:pPr>
        <w:spacing w:after="0" w:line="179" w:lineRule="exact"/>
        <w:rPr>
          <w:rFonts w:ascii="Courier New" w:cs="Courier New" w:eastAsia="Courier New" w:hAnsi="Courier New"/>
          <w:sz w:val="15"/>
          <w:szCs w:val="15"/>
          <w:color w:val="auto"/>
        </w:rPr>
      </w:pPr>
    </w:p>
    <w:p>
      <w:pPr>
        <w:ind w:left="1447" w:right="2959" w:hanging="356"/>
        <w:spacing w:after="0" w:line="246" w:lineRule="auto"/>
        <w:tabs>
          <w:tab w:leader="none" w:pos="1447"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BETWEEN PARTIES: Any support-related communications required or permitted to be given under these Support Terms will be made by telephone, or by electronic mail ("e-mail") in a standard format agreed to by the parties, to the appropriate contact.</w:t>
      </w:r>
    </w:p>
    <w:p>
      <w:pPr>
        <w:spacing w:after="0" w:line="177" w:lineRule="exact"/>
        <w:rPr>
          <w:rFonts w:ascii="Courier New" w:cs="Courier New" w:eastAsia="Courier New" w:hAnsi="Courier New"/>
          <w:sz w:val="15"/>
          <w:szCs w:val="15"/>
          <w:color w:val="auto"/>
        </w:rPr>
      </w:pPr>
    </w:p>
    <w:p>
      <w:pPr>
        <w:ind w:left="1447" w:right="2959" w:hanging="356"/>
        <w:spacing w:after="0" w:line="246" w:lineRule="auto"/>
        <w:tabs>
          <w:tab w:leader="none" w:pos="1447"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TRACKING SYSTEM: The parties agree to implement and maintain a problem tracking database (the "Tracking System") for inputting, accessing and updating information on Requests for Technical Assistance, Problem Resolution and Escalation.</w:t>
      </w:r>
    </w:p>
    <w:p>
      <w:pPr>
        <w:spacing w:after="0" w:line="177" w:lineRule="exact"/>
        <w:rPr>
          <w:rFonts w:ascii="Courier New" w:cs="Courier New" w:eastAsia="Courier New" w:hAnsi="Courier New"/>
          <w:sz w:val="15"/>
          <w:szCs w:val="15"/>
          <w:color w:val="auto"/>
        </w:rPr>
      </w:pPr>
    </w:p>
    <w:p>
      <w:pPr>
        <w:ind w:left="1447" w:right="3039" w:hanging="356"/>
        <w:spacing w:after="0" w:line="246" w:lineRule="auto"/>
        <w:tabs>
          <w:tab w:leader="none" w:pos="1447"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RESPONSE TIMES: Supplier agrees to respond to HP requests for Technical Assistance, Problem Resolution and Escalation as soon as possible after receipt of the request, but in no event later than the response times specified in Appendix II to these Support Terms, in accordance with the problem classification listings in that Appendix.</w:t>
      </w:r>
    </w:p>
    <w:p>
      <w:pPr>
        <w:spacing w:after="0" w:line="178" w:lineRule="exact"/>
        <w:rPr>
          <w:rFonts w:ascii="Courier New" w:cs="Courier New" w:eastAsia="Courier New" w:hAnsi="Courier New"/>
          <w:sz w:val="15"/>
          <w:szCs w:val="15"/>
          <w:color w:val="auto"/>
        </w:rPr>
      </w:pPr>
    </w:p>
    <w:p>
      <w:pPr>
        <w:ind w:left="1087" w:hanging="360"/>
        <w:spacing w:after="0"/>
        <w:tabs>
          <w:tab w:leader="none" w:pos="1087"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ASSISTANCE:</w:t>
      </w:r>
    </w:p>
    <w:p>
      <w:pPr>
        <w:spacing w:after="0" w:line="179" w:lineRule="exact"/>
        <w:rPr>
          <w:rFonts w:ascii="Courier New" w:cs="Courier New" w:eastAsia="Courier New" w:hAnsi="Courier New"/>
          <w:sz w:val="15"/>
          <w:szCs w:val="15"/>
          <w:color w:val="auto"/>
        </w:rPr>
      </w:pPr>
    </w:p>
    <w:p>
      <w:pPr>
        <w:ind w:left="1447" w:hanging="356"/>
        <w:spacing w:after="0"/>
        <w:tabs>
          <w:tab w:leader="none" w:pos="1447"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REQUEST FOR TECHNICAL ASSISTANCE.</w:t>
      </w:r>
    </w:p>
    <w:p>
      <w:pPr>
        <w:spacing w:after="0" w:line="179" w:lineRule="exact"/>
        <w:rPr>
          <w:rFonts w:ascii="Courier New" w:cs="Courier New" w:eastAsia="Courier New" w:hAnsi="Courier New"/>
          <w:sz w:val="15"/>
          <w:szCs w:val="15"/>
          <w:color w:val="auto"/>
        </w:rPr>
      </w:pPr>
    </w:p>
    <w:p>
      <w:pPr>
        <w:ind w:left="1827" w:right="2959" w:hanging="364"/>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When making a request for Technical Assistance, HP will provide the following information to Supplier: (a) description of the situation; (b) the HP assigned call classification and the HP identification number; and (c) the call back phone number if different from the Technical Support Contact phone number listed in Appendix I.</w:t>
      </w:r>
    </w:p>
    <w:p>
      <w:pPr>
        <w:spacing w:after="0" w:line="178" w:lineRule="exact"/>
        <w:rPr>
          <w:rFonts w:ascii="Courier New" w:cs="Courier New" w:eastAsia="Courier New" w:hAnsi="Courier New"/>
          <w:sz w:val="15"/>
          <w:szCs w:val="15"/>
          <w:color w:val="auto"/>
        </w:rPr>
      </w:pPr>
    </w:p>
    <w:p>
      <w:pPr>
        <w:ind w:left="2187" w:right="3779" w:hanging="369"/>
        <w:spacing w:after="0" w:line="493" w:lineRule="auto"/>
        <w:tabs>
          <w:tab w:leader="none" w:pos="2187" w:val="left"/>
        </w:tabs>
        <w:numPr>
          <w:ilvl w:val="3"/>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 THE FOLLOWING INFORMATION FOR ANALYSIS: [*]</w:t>
      </w:r>
    </w:p>
    <w:p>
      <w:pPr>
        <w:spacing w:after="0" w:line="1" w:lineRule="exact"/>
        <w:rPr>
          <w:sz w:val="20"/>
          <w:szCs w:val="20"/>
          <w:color w:val="auto"/>
        </w:rPr>
      </w:pPr>
    </w:p>
    <w:p>
      <w:pPr>
        <w:ind w:left="7"/>
        <w:spacing w:after="0"/>
        <w:tabs>
          <w:tab w:leader="none" w:pos="2346" w:val="left"/>
          <w:tab w:leader="none" w:pos="26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tab/>
        <w:t>[*].</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3 of 9</w:t>
      </w:r>
    </w:p>
    <w:p>
      <w:pPr>
        <w:sectPr>
          <w:pgSz w:w="11900" w:h="16838" w:orient="portrait"/>
          <w:cols w:equalWidth="0" w:num="1">
            <w:col w:w="10226"/>
          </w:cols>
          <w:pgMar w:left="233" w:top="468" w:right="1440" w:bottom="1440" w:gutter="0" w:footer="0" w:header="0"/>
        </w:sectPr>
      </w:pPr>
    </w:p>
    <w:bookmarkStart w:id="214" w:name="page215"/>
    <w:bookmarkEnd w:id="214"/>
    <w:p>
      <w:pPr>
        <w:jc w:val="both"/>
        <w:ind w:left="1096" w:right="3039" w:hanging="369"/>
        <w:spacing w:after="0" w:line="247" w:lineRule="auto"/>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INFORMATION FOR BROCADE TO BE ABLE TO REPRODUCE THE PROBLEM: Step-by-step procedure(s) used to recreate the problem, if possible.</w:t>
      </w:r>
    </w:p>
    <w:p>
      <w:pPr>
        <w:spacing w:after="0" w:line="174" w:lineRule="exact"/>
        <w:rPr>
          <w:rFonts w:ascii="Courier New" w:cs="Courier New" w:eastAsia="Courier New" w:hAnsi="Courier New"/>
          <w:sz w:val="15"/>
          <w:szCs w:val="15"/>
          <w:color w:val="auto"/>
        </w:rPr>
      </w:pPr>
    </w:p>
    <w:p>
      <w:pPr>
        <w:ind w:left="1096" w:hanging="369"/>
        <w:spacing w:after="0"/>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CONFIGURATION INFORMATION:</w:t>
      </w:r>
    </w:p>
    <w:p>
      <w:pPr>
        <w:spacing w:after="0" w:line="179" w:lineRule="exact"/>
        <w:rPr>
          <w:rFonts w:ascii="Courier New" w:cs="Courier New" w:eastAsia="Courier New" w:hAnsi="Courier New"/>
          <w:sz w:val="15"/>
          <w:szCs w:val="15"/>
          <w:color w:val="auto"/>
        </w:rPr>
      </w:pPr>
    </w:p>
    <w:p>
      <w:pPr>
        <w:ind w:left="1456" w:right="3219" w:hanging="366"/>
        <w:spacing w:after="0" w:line="247" w:lineRule="auto"/>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HOST: All OS platforms and versions; HBA type and driver version</w:t>
      </w:r>
    </w:p>
    <w:p>
      <w:pPr>
        <w:spacing w:after="0" w:line="174" w:lineRule="exact"/>
        <w:rPr>
          <w:rFonts w:ascii="Courier New" w:cs="Courier New" w:eastAsia="Courier New" w:hAnsi="Courier New"/>
          <w:sz w:val="15"/>
          <w:szCs w:val="15"/>
          <w:color w:val="auto"/>
        </w:rPr>
      </w:pPr>
    </w:p>
    <w:p>
      <w:pPr>
        <w:ind w:left="1456" w:hanging="366"/>
        <w:spacing w:after="0"/>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HOST Applications: List</w:t>
      </w:r>
    </w:p>
    <w:p>
      <w:pPr>
        <w:spacing w:after="0" w:line="179" w:lineRule="exact"/>
        <w:rPr>
          <w:rFonts w:ascii="Courier New" w:cs="Courier New" w:eastAsia="Courier New" w:hAnsi="Courier New"/>
          <w:sz w:val="15"/>
          <w:szCs w:val="15"/>
          <w:color w:val="auto"/>
        </w:rPr>
      </w:pPr>
    </w:p>
    <w:p>
      <w:pPr>
        <w:ind w:left="1456" w:right="3039" w:hanging="366"/>
        <w:spacing w:after="0" w:line="247" w:lineRule="auto"/>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Disk or tape subsystem type (i.e: RAID, JBOD, public, private, DLT, etc.), manufacturer and firmware version.</w:t>
      </w:r>
    </w:p>
    <w:p>
      <w:pPr>
        <w:spacing w:after="0" w:line="174" w:lineRule="exact"/>
        <w:rPr>
          <w:rFonts w:ascii="Courier New" w:cs="Courier New" w:eastAsia="Courier New" w:hAnsi="Courier New"/>
          <w:sz w:val="15"/>
          <w:szCs w:val="15"/>
          <w:color w:val="auto"/>
        </w:rPr>
      </w:pPr>
    </w:p>
    <w:p>
      <w:pPr>
        <w:ind w:left="1456" w:hanging="366"/>
        <w:spacing w:after="0"/>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management software and applications</w:t>
      </w:r>
    </w:p>
    <w:p>
      <w:pPr>
        <w:spacing w:after="0" w:line="179" w:lineRule="exact"/>
        <w:rPr>
          <w:rFonts w:ascii="Courier New" w:cs="Courier New" w:eastAsia="Courier New" w:hAnsi="Courier New"/>
          <w:sz w:val="15"/>
          <w:szCs w:val="15"/>
          <w:color w:val="auto"/>
        </w:rPr>
      </w:pPr>
    </w:p>
    <w:p>
      <w:pPr>
        <w:ind w:left="1456" w:right="2959" w:hanging="366"/>
        <w:spacing w:after="0" w:line="247" w:lineRule="auto"/>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SWITCH TOPOLOGY: Describe the network configuration. Provide SAN diagram if possible.</w:t>
      </w:r>
    </w:p>
    <w:p>
      <w:pPr>
        <w:spacing w:after="0" w:line="174" w:lineRule="exact"/>
        <w:rPr>
          <w:rFonts w:ascii="Courier New" w:cs="Courier New" w:eastAsia="Courier New" w:hAnsi="Courier New"/>
          <w:sz w:val="15"/>
          <w:szCs w:val="15"/>
          <w:color w:val="auto"/>
        </w:rPr>
      </w:pPr>
    </w:p>
    <w:p>
      <w:pPr>
        <w:ind w:left="1456" w:hanging="366"/>
        <w:spacing w:after="0"/>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switch in a cascaded or meshed environment?</w:t>
      </w:r>
    </w:p>
    <w:p>
      <w:pPr>
        <w:spacing w:after="0" w:line="179" w:lineRule="exact"/>
        <w:rPr>
          <w:rFonts w:ascii="Courier New" w:cs="Courier New" w:eastAsia="Courier New" w:hAnsi="Courier New"/>
          <w:sz w:val="15"/>
          <w:szCs w:val="15"/>
          <w:color w:val="auto"/>
        </w:rPr>
      </w:pPr>
    </w:p>
    <w:p>
      <w:pPr>
        <w:ind w:left="1456" w:right="3039" w:hanging="366"/>
        <w:spacing w:after="0" w:line="247" w:lineRule="auto"/>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many switches are in the configuration? Of what types?</w:t>
      </w:r>
    </w:p>
    <w:p>
      <w:pPr>
        <w:spacing w:after="0" w:line="174" w:lineRule="exact"/>
        <w:rPr>
          <w:rFonts w:ascii="Courier New" w:cs="Courier New" w:eastAsia="Courier New" w:hAnsi="Courier New"/>
          <w:sz w:val="15"/>
          <w:szCs w:val="15"/>
          <w:color w:val="auto"/>
        </w:rPr>
      </w:pPr>
    </w:p>
    <w:p>
      <w:pPr>
        <w:ind w:left="1456" w:hanging="366"/>
        <w:spacing w:after="0"/>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are the switches zoned?</w:t>
      </w:r>
    </w:p>
    <w:p>
      <w:pPr>
        <w:spacing w:after="0" w:line="179" w:lineRule="exact"/>
        <w:rPr>
          <w:rFonts w:ascii="Courier New" w:cs="Courier New" w:eastAsia="Courier New" w:hAnsi="Courier New"/>
          <w:sz w:val="15"/>
          <w:szCs w:val="15"/>
          <w:color w:val="auto"/>
        </w:rPr>
      </w:pPr>
    </w:p>
    <w:p>
      <w:pPr>
        <w:ind w:left="1456" w:right="3499" w:hanging="366"/>
        <w:spacing w:after="0" w:line="247" w:lineRule="auto"/>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there parallel fabrics? Dual host, storage connections</w:t>
      </w:r>
    </w:p>
    <w:p>
      <w:pPr>
        <w:spacing w:after="0" w:line="174" w:lineRule="exact"/>
        <w:rPr>
          <w:rFonts w:ascii="Courier New" w:cs="Courier New" w:eastAsia="Courier New" w:hAnsi="Courier New"/>
          <w:sz w:val="15"/>
          <w:szCs w:val="15"/>
          <w:color w:val="auto"/>
        </w:rPr>
      </w:pPr>
    </w:p>
    <w:p>
      <w:pPr>
        <w:ind w:left="1456" w:right="3319" w:hanging="366"/>
        <w:spacing w:after="0" w:line="247" w:lineRule="auto"/>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there any third-party switches linked in the fabric?</w:t>
      </w:r>
    </w:p>
    <w:p>
      <w:pPr>
        <w:spacing w:after="0" w:line="174" w:lineRule="exact"/>
        <w:rPr>
          <w:rFonts w:ascii="Courier New" w:cs="Courier New" w:eastAsia="Courier New" w:hAnsi="Courier New"/>
          <w:sz w:val="15"/>
          <w:szCs w:val="15"/>
          <w:color w:val="auto"/>
        </w:rPr>
      </w:pPr>
    </w:p>
    <w:p>
      <w:pPr>
        <w:ind w:left="1456" w:hanging="366"/>
        <w:spacing w:after="0"/>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there any arbitrated loop devices connected?</w:t>
      </w:r>
    </w:p>
    <w:p>
      <w:pPr>
        <w:spacing w:after="0" w:line="179" w:lineRule="exact"/>
        <w:rPr>
          <w:rFonts w:ascii="Courier New" w:cs="Courier New" w:eastAsia="Courier New" w:hAnsi="Courier New"/>
          <w:sz w:val="15"/>
          <w:szCs w:val="15"/>
          <w:color w:val="auto"/>
        </w:rPr>
      </w:pPr>
    </w:p>
    <w:p>
      <w:pPr>
        <w:ind w:left="1456" w:right="3039" w:hanging="366"/>
        <w:spacing w:after="0" w:line="247" w:lineRule="auto"/>
        <w:tabs>
          <w:tab w:leader="none" w:pos="1456" w:val="left"/>
        </w:tabs>
        <w:numPr>
          <w:ilvl w:val="3"/>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any bridges, gateways, or routers connected? To what?</w:t>
      </w:r>
    </w:p>
    <w:p>
      <w:pPr>
        <w:spacing w:after="0" w:line="174" w:lineRule="exact"/>
        <w:rPr>
          <w:rFonts w:ascii="Courier New" w:cs="Courier New" w:eastAsia="Courier New" w:hAnsi="Courier New"/>
          <w:sz w:val="15"/>
          <w:szCs w:val="15"/>
          <w:color w:val="auto"/>
        </w:rPr>
      </w:pPr>
    </w:p>
    <w:p>
      <w:pPr>
        <w:ind w:left="736" w:right="2959" w:hanging="373"/>
        <w:spacing w:after="0" w:line="246" w:lineRule="auto"/>
        <w:tabs>
          <w:tab w:leader="none" w:pos="736"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date of [*] of the Product, Supplier will make its Technical Support Contacts available to receive Technical Assistance requests from HP through the supplier's designated toll-free telephone number, designated e-mail address, ___________, or designated web site,</w:t>
      </w:r>
    </w:p>
    <w:p>
      <w:pPr>
        <w:spacing w:after="0" w:line="3" w:lineRule="exact"/>
        <w:rPr>
          <w:rFonts w:ascii="Courier New" w:cs="Courier New" w:eastAsia="Courier New" w:hAnsi="Courier New"/>
          <w:sz w:val="15"/>
          <w:szCs w:val="15"/>
          <w:color w:val="auto"/>
        </w:rPr>
      </w:pPr>
    </w:p>
    <w:p>
      <w:pPr>
        <w:ind w:left="736"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 The supplier shall provide technical support to HP Support as set forth in this Agreement [*]</w:t>
      </w:r>
    </w:p>
    <w:p>
      <w:pPr>
        <w:spacing w:after="0" w:line="174" w:lineRule="exact"/>
        <w:rPr>
          <w:rFonts w:ascii="Courier New" w:cs="Courier New" w:eastAsia="Courier New" w:hAnsi="Courier New"/>
          <w:sz w:val="15"/>
          <w:szCs w:val="15"/>
          <w:color w:val="auto"/>
        </w:rPr>
      </w:pPr>
    </w:p>
    <w:p>
      <w:pPr>
        <w:ind w:left="736" w:right="3039" w:hanging="373"/>
        <w:spacing w:after="0" w:line="246" w:lineRule="auto"/>
        <w:tabs>
          <w:tab w:leader="none" w:pos="736"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will take all necessary steps to resolve the Technical Assistance request and provide HP with the resolution and all available information as soon as it is available but no later than the response times specified in Appendix II.</w:t>
      </w:r>
    </w:p>
    <w:p>
      <w:pPr>
        <w:spacing w:after="0" w:line="177" w:lineRule="exact"/>
        <w:rPr>
          <w:rFonts w:ascii="Courier New" w:cs="Courier New" w:eastAsia="Courier New" w:hAnsi="Courier New"/>
          <w:sz w:val="15"/>
          <w:szCs w:val="15"/>
          <w:color w:val="auto"/>
        </w:rPr>
      </w:pPr>
    </w:p>
    <w:p>
      <w:pPr>
        <w:ind w:left="736" w:right="3139" w:hanging="373"/>
        <w:spacing w:after="0" w:line="247" w:lineRule="auto"/>
        <w:tabs>
          <w:tab w:leader="none" w:pos="736"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agrees that the support engineers that contact Supplier for Technical Assistance have previously received a substantial level of training on the Product.</w:t>
      </w:r>
    </w:p>
    <w:p>
      <w:pPr>
        <w:spacing w:after="0" w:line="174"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ASSISTANCE RECORDS:</w:t>
      </w:r>
    </w:p>
    <w:p>
      <w:pPr>
        <w:spacing w:after="0" w:line="4" w:lineRule="exact"/>
        <w:rPr>
          <w:rFonts w:ascii="Courier New" w:cs="Courier New" w:eastAsia="Courier New" w:hAnsi="Courier New"/>
          <w:sz w:val="15"/>
          <w:szCs w:val="15"/>
          <w:color w:val="auto"/>
        </w:rPr>
      </w:pPr>
    </w:p>
    <w:p>
      <w:pPr>
        <w:ind w:left="356"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will keep a record of all Technical Assistance requests in Supplier's Tracking System and update their current status. As soon as possible after final resolution, Supplier will input a detailed description of the "Technical Assistance request and resolution in Supplier's Tracking System.</w:t>
      </w:r>
    </w:p>
    <w:p>
      <w:pPr>
        <w:spacing w:after="0" w:line="177" w:lineRule="exact"/>
        <w:rPr>
          <w:rFonts w:ascii="Courier New" w:cs="Courier New" w:eastAsia="Courier New" w:hAnsi="Courier New"/>
          <w:sz w:val="15"/>
          <w:szCs w:val="15"/>
          <w:color w:val="auto"/>
        </w:rPr>
      </w:pPr>
    </w:p>
    <w:p>
      <w:pPr>
        <w:ind w:left="736" w:right="2959" w:hanging="373"/>
        <w:spacing w:after="0" w:line="247" w:lineRule="auto"/>
        <w:tabs>
          <w:tab w:leader="none" w:pos="736"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ASSISTANCE RECORDS WILL INCLUDE, AT A MINIMUM. THE FOLLOWING INFORMATION:</w:t>
      </w:r>
    </w:p>
    <w:p>
      <w:pPr>
        <w:spacing w:after="0" w:line="174" w:lineRule="exact"/>
        <w:rPr>
          <w:rFonts w:ascii="Courier New" w:cs="Courier New" w:eastAsia="Courier New" w:hAnsi="Courier New"/>
          <w:sz w:val="15"/>
          <w:szCs w:val="15"/>
          <w:color w:val="auto"/>
        </w:rPr>
      </w:pPr>
    </w:p>
    <w:p>
      <w:pPr>
        <w:ind w:left="1096" w:right="2959" w:hanging="369"/>
        <w:spacing w:after="0" w:line="247" w:lineRule="auto"/>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tall identification number and Supplier call tracking number.</w:t>
      </w:r>
    </w:p>
    <w:p>
      <w:pPr>
        <w:spacing w:after="0" w:line="174" w:lineRule="exact"/>
        <w:rPr>
          <w:rFonts w:ascii="Courier New" w:cs="Courier New" w:eastAsia="Courier New" w:hAnsi="Courier New"/>
          <w:sz w:val="15"/>
          <w:szCs w:val="15"/>
          <w:color w:val="auto"/>
        </w:rPr>
      </w:pPr>
    </w:p>
    <w:p>
      <w:pPr>
        <w:ind w:left="1096" w:hanging="369"/>
        <w:spacing w:after="0"/>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initial call to the supplier.</w:t>
      </w:r>
    </w:p>
    <w:p>
      <w:pPr>
        <w:spacing w:after="0" w:line="179" w:lineRule="exact"/>
        <w:rPr>
          <w:rFonts w:ascii="Courier New" w:cs="Courier New" w:eastAsia="Courier New" w:hAnsi="Courier New"/>
          <w:sz w:val="15"/>
          <w:szCs w:val="15"/>
          <w:color w:val="auto"/>
        </w:rPr>
      </w:pPr>
    </w:p>
    <w:p>
      <w:pPr>
        <w:ind w:left="1096" w:hanging="369"/>
        <w:spacing w:after="0"/>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Names of call participants.</w:t>
      </w:r>
    </w:p>
    <w:p>
      <w:pPr>
        <w:spacing w:after="0" w:line="179" w:lineRule="exact"/>
        <w:rPr>
          <w:rFonts w:ascii="Courier New" w:cs="Courier New" w:eastAsia="Courier New" w:hAnsi="Courier New"/>
          <w:sz w:val="15"/>
          <w:szCs w:val="15"/>
          <w:color w:val="auto"/>
        </w:rPr>
      </w:pPr>
    </w:p>
    <w:p>
      <w:pPr>
        <w:ind w:left="1096" w:hanging="369"/>
        <w:spacing w:after="0"/>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Times and dates of subsequent calls to HP</w:t>
      </w:r>
    </w:p>
    <w:p>
      <w:pPr>
        <w:spacing w:after="0" w:line="179" w:lineRule="exact"/>
        <w:rPr>
          <w:rFonts w:ascii="Courier New" w:cs="Courier New" w:eastAsia="Courier New" w:hAnsi="Courier New"/>
          <w:sz w:val="15"/>
          <w:szCs w:val="15"/>
          <w:color w:val="auto"/>
        </w:rPr>
      </w:pPr>
    </w:p>
    <w:p>
      <w:pPr>
        <w:ind w:left="1096" w:right="2959" w:hanging="369"/>
        <w:spacing w:after="0" w:line="247" w:lineRule="auto"/>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Model, version and serial number of Product(s) involved; and version of operating system involved.</w:t>
      </w:r>
    </w:p>
    <w:p>
      <w:pPr>
        <w:spacing w:after="0" w:line="174" w:lineRule="exact"/>
        <w:rPr>
          <w:rFonts w:ascii="Courier New" w:cs="Courier New" w:eastAsia="Courier New" w:hAnsi="Courier New"/>
          <w:sz w:val="15"/>
          <w:szCs w:val="15"/>
          <w:color w:val="auto"/>
        </w:rPr>
      </w:pPr>
    </w:p>
    <w:p>
      <w:pPr>
        <w:ind w:left="1096" w:hanging="369"/>
        <w:spacing w:after="0"/>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Description (Symptoms) as provided by HP.</w:t>
      </w:r>
    </w:p>
    <w:p>
      <w:pPr>
        <w:spacing w:after="0" w:line="179" w:lineRule="exact"/>
        <w:rPr>
          <w:rFonts w:ascii="Courier New" w:cs="Courier New" w:eastAsia="Courier New" w:hAnsi="Courier New"/>
          <w:sz w:val="15"/>
          <w:szCs w:val="15"/>
          <w:color w:val="auto"/>
        </w:rPr>
      </w:pPr>
    </w:p>
    <w:p>
      <w:pPr>
        <w:ind w:left="1096" w:hanging="369"/>
        <w:spacing w:after="0"/>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Root Cause(s) as provided by the supplier</w:t>
      </w:r>
    </w:p>
    <w:p>
      <w:pPr>
        <w:spacing w:after="0" w:line="179" w:lineRule="exact"/>
        <w:rPr>
          <w:rFonts w:ascii="Courier New" w:cs="Courier New" w:eastAsia="Courier New" w:hAnsi="Courier New"/>
          <w:sz w:val="15"/>
          <w:szCs w:val="15"/>
          <w:color w:val="auto"/>
        </w:rPr>
      </w:pPr>
    </w:p>
    <w:p>
      <w:pPr>
        <w:ind w:left="1096" w:right="3499" w:hanging="369"/>
        <w:spacing w:after="0" w:line="247" w:lineRule="auto"/>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Corrective Action(s) Alternatives and Priorities (Steps taken to diagnose and remedy the problem.) provided by the supplier.</w:t>
      </w:r>
    </w:p>
    <w:p>
      <w:pPr>
        <w:spacing w:after="0" w:line="174" w:lineRule="exact"/>
        <w:rPr>
          <w:rFonts w:ascii="Courier New" w:cs="Courier New" w:eastAsia="Courier New" w:hAnsi="Courier New"/>
          <w:sz w:val="15"/>
          <w:szCs w:val="15"/>
          <w:color w:val="auto"/>
        </w:rPr>
      </w:pPr>
    </w:p>
    <w:p>
      <w:pPr>
        <w:ind w:left="1096" w:hanging="369"/>
        <w:spacing w:after="0"/>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Plan(s) required for follow-up or resolution.</w:t>
      </w:r>
    </w:p>
    <w:p>
      <w:pPr>
        <w:spacing w:after="0" w:line="179" w:lineRule="exact"/>
        <w:rPr>
          <w:rFonts w:ascii="Courier New" w:cs="Courier New" w:eastAsia="Courier New" w:hAnsi="Courier New"/>
          <w:sz w:val="15"/>
          <w:szCs w:val="15"/>
          <w:color w:val="auto"/>
        </w:rPr>
      </w:pPr>
    </w:p>
    <w:p>
      <w:pPr>
        <w:ind w:left="1096" w:hanging="369"/>
        <w:spacing w:after="0"/>
        <w:tabs>
          <w:tab w:leader="none" w:pos="1096" w:val="left"/>
        </w:tabs>
        <w:numPr>
          <w:ilvl w:val="2"/>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resolution.</w:t>
      </w:r>
    </w:p>
    <w:p>
      <w:pPr>
        <w:sectPr>
          <w:pgSz w:w="11900" w:h="16838" w:orient="portrait"/>
          <w:cols w:equalWidth="0" w:num="1">
            <w:col w:w="9135"/>
          </w:cols>
          <w:pgMar w:left="1324" w:top="643" w:right="1440" w:bottom="81" w:gutter="0" w:footer="0" w:header="0"/>
        </w:sectPr>
      </w:pPr>
    </w:p>
    <w:bookmarkStart w:id="215" w:name="page216"/>
    <w:bookmarkEnd w:id="215"/>
    <w:p>
      <w:pPr>
        <w:ind w:left="447" w:right="2959" w:hanging="447"/>
        <w:spacing w:after="0" w:line="247" w:lineRule="auto"/>
        <w:tabs>
          <w:tab w:leader="none" w:pos="447"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4 of 9</w:t>
      </w:r>
    </w:p>
    <w:p>
      <w:pPr>
        <w:sectPr>
          <w:pgSz w:w="11900" w:h="16838" w:orient="portrait"/>
          <w:cols w:equalWidth="0" w:num="1">
            <w:col w:w="10226"/>
          </w:cols>
          <w:pgMar w:left="233" w:top="142" w:right="1440" w:bottom="1440" w:gutter="0" w:footer="0" w:header="0"/>
        </w:sectPr>
      </w:pPr>
    </w:p>
    <w:bookmarkStart w:id="216" w:name="page217"/>
    <w:bookmarkEnd w:id="216"/>
    <w:p>
      <w:pPr>
        <w:ind w:left="1440" w:right="2959" w:hanging="356"/>
        <w:spacing w:after="0" w:line="246" w:lineRule="auto"/>
        <w:tabs>
          <w:tab w:leader="none" w:pos="1440" w:val="left"/>
        </w:tabs>
        <w:numPr>
          <w:ilvl w:val="2"/>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TECHNICAL ASSISTANCE REQUEST: After a Technical Assistance request is resolved and the resolution information is communicated to HP and documented in the Tracking System, HP will contact Supplier to close the request.</w:t>
      </w:r>
    </w:p>
    <w:p>
      <w:pPr>
        <w:spacing w:after="0" w:line="177" w:lineRule="exact"/>
        <w:rPr>
          <w:rFonts w:ascii="Courier New" w:cs="Courier New" w:eastAsia="Courier New" w:hAnsi="Courier New"/>
          <w:sz w:val="15"/>
          <w:szCs w:val="15"/>
          <w:color w:val="auto"/>
        </w:rPr>
      </w:pPr>
    </w:p>
    <w:p>
      <w:pPr>
        <w:ind w:left="1440" w:right="2959" w:hanging="356"/>
        <w:spacing w:after="0" w:line="246" w:lineRule="auto"/>
        <w:tabs>
          <w:tab w:leader="none" w:pos="1440" w:val="left"/>
        </w:tabs>
        <w:numPr>
          <w:ilvl w:val="2"/>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WEEKLY TECHNICAL ASSISTANCE REPORT: The Supplier will provide a weekly technical report covering all problems received from HP during the current week, all problems still open from previous weeks including the original date forwarded to the Supplier, current status of each problem, categorization of problems and resolutions, and problem metrics including average response time and number of escalations. Note: Problems include both Problem Resolution Requests (paragraph 3) and Escalations (paragraph 4).</w:t>
      </w:r>
    </w:p>
    <w:p>
      <w:pPr>
        <w:spacing w:after="0" w:line="179" w:lineRule="exact"/>
        <w:rPr>
          <w:rFonts w:ascii="Courier New" w:cs="Courier New" w:eastAsia="Courier New" w:hAnsi="Courier New"/>
          <w:sz w:val="15"/>
          <w:szCs w:val="15"/>
          <w:color w:val="auto"/>
        </w:rPr>
      </w:pPr>
    </w:p>
    <w:p>
      <w:pPr>
        <w:ind w:left="1080" w:hanging="360"/>
        <w:spacing w:after="0"/>
        <w:tabs>
          <w:tab w:leader="none" w:pos="1080" w:val="left"/>
        </w:tabs>
        <w:numPr>
          <w:ilvl w:val="1"/>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RESOLUTION:</w:t>
      </w:r>
    </w:p>
    <w:p>
      <w:pPr>
        <w:spacing w:after="0" w:line="179" w:lineRule="exact"/>
        <w:rPr>
          <w:rFonts w:ascii="Courier New" w:cs="Courier New" w:eastAsia="Courier New" w:hAnsi="Courier New"/>
          <w:sz w:val="15"/>
          <w:szCs w:val="15"/>
          <w:color w:val="auto"/>
        </w:rPr>
      </w:pPr>
    </w:p>
    <w:p>
      <w:pPr>
        <w:ind w:left="1440" w:hanging="356"/>
        <w:spacing w:after="0"/>
        <w:tabs>
          <w:tab w:leader="none" w:pos="1440" w:val="left"/>
        </w:tabs>
        <w:numPr>
          <w:ilvl w:val="2"/>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REQUESTING PROBLEM RESOLUTION SERVICE:</w:t>
      </w:r>
    </w:p>
    <w:p>
      <w:pPr>
        <w:spacing w:after="0" w:line="179" w:lineRule="exact"/>
        <w:rPr>
          <w:rFonts w:ascii="Courier New" w:cs="Courier New" w:eastAsia="Courier New" w:hAnsi="Courier New"/>
          <w:sz w:val="15"/>
          <w:szCs w:val="15"/>
          <w:color w:val="auto"/>
        </w:rPr>
      </w:pPr>
    </w:p>
    <w:p>
      <w:pPr>
        <w:ind w:left="1820" w:right="3039" w:hanging="373"/>
        <w:spacing w:after="0" w:line="246" w:lineRule="auto"/>
        <w:tabs>
          <w:tab w:leader="none" w:pos="1820" w:val="left"/>
        </w:tabs>
        <w:numPr>
          <w:ilvl w:val="3"/>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will receive defect reports, inquiries and problem calls about Products from HP's Customers. If HP is unable to resolve a problem after Technical Assistance and after reasonable efforts, HP may provide Supplier a Request for Technical Assistance.</w:t>
      </w:r>
    </w:p>
    <w:p>
      <w:pPr>
        <w:spacing w:after="0" w:line="177" w:lineRule="exact"/>
        <w:rPr>
          <w:rFonts w:ascii="Courier New" w:cs="Courier New" w:eastAsia="Courier New" w:hAnsi="Courier New"/>
          <w:sz w:val="15"/>
          <w:szCs w:val="15"/>
          <w:color w:val="auto"/>
        </w:rPr>
      </w:pPr>
    </w:p>
    <w:p>
      <w:pPr>
        <w:ind w:left="1820" w:right="3039" w:hanging="373"/>
        <w:spacing w:after="0" w:line="246" w:lineRule="auto"/>
        <w:tabs>
          <w:tab w:leader="none" w:pos="1820" w:val="left"/>
        </w:tabs>
        <w:numPr>
          <w:ilvl w:val="3"/>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making a Request for Technical Assistance, HP will provide the following information in addition to the HP-provided information as identified and listed in Section</w:t>
      </w:r>
    </w:p>
    <w:p>
      <w:pPr>
        <w:spacing w:after="0" w:line="1"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2.1.1 &amp; 2.2.1 above:</w:t>
      </w:r>
    </w:p>
    <w:p>
      <w:pPr>
        <w:spacing w:after="0" w:line="179" w:lineRule="exact"/>
        <w:rPr>
          <w:rFonts w:ascii="Courier New" w:cs="Courier New" w:eastAsia="Courier New" w:hAnsi="Courier New"/>
          <w:sz w:val="15"/>
          <w:szCs w:val="15"/>
          <w:color w:val="auto"/>
        </w:rPr>
      </w:pPr>
    </w:p>
    <w:p>
      <w:pPr>
        <w:ind w:left="2180" w:right="3599" w:hanging="369"/>
        <w:spacing w:after="0" w:line="247" w:lineRule="auto"/>
        <w:tabs>
          <w:tab w:leader="none" w:pos="2180" w:val="left"/>
        </w:tabs>
        <w:numPr>
          <w:ilvl w:val="4"/>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diagnostic work performed and data collected by HP.</w:t>
      </w:r>
    </w:p>
    <w:p>
      <w:pPr>
        <w:spacing w:after="0" w:line="174" w:lineRule="exact"/>
        <w:rPr>
          <w:rFonts w:ascii="Courier New" w:cs="Courier New" w:eastAsia="Courier New" w:hAnsi="Courier New"/>
          <w:sz w:val="15"/>
          <w:szCs w:val="15"/>
          <w:color w:val="auto"/>
        </w:rPr>
      </w:pPr>
    </w:p>
    <w:p>
      <w:pPr>
        <w:ind w:left="2180" w:right="3139" w:hanging="369"/>
        <w:spacing w:after="0" w:line="247" w:lineRule="auto"/>
        <w:tabs>
          <w:tab w:leader="none" w:pos="2180" w:val="left"/>
        </w:tabs>
        <w:numPr>
          <w:ilvl w:val="4"/>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being requested (e.g. remedying or assisting in isolating the fault)</w:t>
      </w:r>
    </w:p>
    <w:p>
      <w:pPr>
        <w:spacing w:after="0" w:line="174" w:lineRule="exact"/>
        <w:rPr>
          <w:rFonts w:ascii="Courier New" w:cs="Courier New" w:eastAsia="Courier New" w:hAnsi="Courier New"/>
          <w:sz w:val="15"/>
          <w:szCs w:val="15"/>
          <w:color w:val="auto"/>
        </w:rPr>
      </w:pPr>
    </w:p>
    <w:p>
      <w:pPr>
        <w:ind w:left="2180" w:right="3219" w:hanging="369"/>
        <w:spacing w:after="0" w:line="247" w:lineRule="auto"/>
        <w:tabs>
          <w:tab w:leader="none" w:pos="2180" w:val="left"/>
        </w:tabs>
        <w:numPr>
          <w:ilvl w:val="4"/>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classification pursuant to the definitions in Appendix II.</w:t>
      </w:r>
    </w:p>
    <w:p>
      <w:pPr>
        <w:spacing w:after="0" w:line="174" w:lineRule="exact"/>
        <w:rPr>
          <w:rFonts w:ascii="Courier New" w:cs="Courier New" w:eastAsia="Courier New" w:hAnsi="Courier New"/>
          <w:sz w:val="15"/>
          <w:szCs w:val="15"/>
          <w:color w:val="auto"/>
        </w:rPr>
      </w:pPr>
    </w:p>
    <w:p>
      <w:pPr>
        <w:ind w:left="1440" w:hanging="356"/>
        <w:spacing w:after="0"/>
        <w:tabs>
          <w:tab w:leader="none" w:pos="1440" w:val="left"/>
        </w:tabs>
        <w:numPr>
          <w:ilvl w:val="2"/>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RESOLUTION PROCESS:</w:t>
      </w:r>
    </w:p>
    <w:p>
      <w:pPr>
        <w:spacing w:after="0" w:line="179" w:lineRule="exact"/>
        <w:rPr>
          <w:rFonts w:ascii="Courier New" w:cs="Courier New" w:eastAsia="Courier New" w:hAnsi="Courier New"/>
          <w:sz w:val="15"/>
          <w:szCs w:val="15"/>
          <w:color w:val="auto"/>
        </w:rPr>
      </w:pPr>
    </w:p>
    <w:p>
      <w:pPr>
        <w:ind w:left="1820" w:right="2959" w:hanging="373"/>
        <w:spacing w:after="0" w:line="246" w:lineRule="auto"/>
        <w:tabs>
          <w:tab w:leader="none" w:pos="1820" w:val="left"/>
        </w:tabs>
        <w:numPr>
          <w:ilvl w:val="3"/>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Supplier receives a Request for Technical Assistance, it will acknowledge receipt and then acknowledge HP's diagnosis of the problem. When it is mutually deemed necessary, [*] contact may be established. Supplier will recommend appropriate corrective action(s) on the Request for Technical Assistance to resolve the problem as soon as possible, but in no event later than the response times specified in Appendix II, according to the classification of the problem.</w:t>
      </w:r>
    </w:p>
    <w:p>
      <w:pPr>
        <w:spacing w:after="0" w:line="180" w:lineRule="exact"/>
        <w:rPr>
          <w:rFonts w:ascii="Courier New" w:cs="Courier New" w:eastAsia="Courier New" w:hAnsi="Courier New"/>
          <w:sz w:val="15"/>
          <w:szCs w:val="15"/>
          <w:color w:val="auto"/>
        </w:rPr>
      </w:pPr>
    </w:p>
    <w:p>
      <w:pPr>
        <w:ind w:left="1820" w:right="2959" w:hanging="373"/>
        <w:spacing w:after="0" w:line="246" w:lineRule="auto"/>
        <w:tabs>
          <w:tab w:leader="none" w:pos="1820" w:val="left"/>
        </w:tabs>
        <w:numPr>
          <w:ilvl w:val="3"/>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neither HP nor Supplier is able to isolate and resolve a Critical or Serious situation. HP may request that Supplier assist HP in dialing into the Customer's system directly to assist HP in analyzing and troubleshooting the problem. Supplier will provide any necessary diagnostic tools to troubleshoot the problem on site. HP will provide Supplier access through telnet or web tools. If the problem is mutually deemed to require Supplier on-site presence in order to diagnose and isolate a problem, the Supplier will provide technical assistance on-site (see paragraph 4 - Escalation).</w:t>
      </w:r>
    </w:p>
    <w:p>
      <w:pPr>
        <w:spacing w:after="0" w:line="181" w:lineRule="exact"/>
        <w:rPr>
          <w:rFonts w:ascii="Courier New" w:cs="Courier New" w:eastAsia="Courier New" w:hAnsi="Courier New"/>
          <w:sz w:val="15"/>
          <w:szCs w:val="15"/>
          <w:color w:val="auto"/>
        </w:rPr>
      </w:pPr>
    </w:p>
    <w:p>
      <w:pPr>
        <w:ind w:left="1820" w:right="2959" w:hanging="373"/>
        <w:spacing w:after="0" w:line="246" w:lineRule="auto"/>
        <w:tabs>
          <w:tab w:leader="none" w:pos="1820" w:val="left"/>
        </w:tabs>
        <w:numPr>
          <w:ilvl w:val="3"/>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WILL PROVIDE AN ACTION PLAN WITHIN THE RESPONSE TIMES LISTED IN APPENDIX II; based on HP's classification of the problem. An Action Plan may require Supplier to: (a) reprioritize its other activities in order to meet the commitment to solve a Customer problem; (b) increase resources to address the problem; (c) assist HP with remote dial into a Customer system for direct observation; (d) assist HP with on-site analysis.</w:t>
      </w:r>
    </w:p>
    <w:p>
      <w:pPr>
        <w:spacing w:after="0" w:line="179" w:lineRule="exact"/>
        <w:rPr>
          <w:rFonts w:ascii="Courier New" w:cs="Courier New" w:eastAsia="Courier New" w:hAnsi="Courier New"/>
          <w:sz w:val="15"/>
          <w:szCs w:val="15"/>
          <w:color w:val="auto"/>
        </w:rPr>
      </w:pPr>
    </w:p>
    <w:p>
      <w:pPr>
        <w:ind w:left="1820" w:right="2959" w:hanging="373"/>
        <w:spacing w:after="0" w:line="247" w:lineRule="auto"/>
        <w:tabs>
          <w:tab w:leader="none" w:pos="1820" w:val="left"/>
        </w:tabs>
        <w:numPr>
          <w:ilvl w:val="3"/>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WILL NOTIFY HP UPON RESOLUTION OF THE PROBLEM: or upon the availability of a Fix or Workaround. If a permanent resolution cannot be achieved within the response times</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5 of 9</w:t>
      </w:r>
    </w:p>
    <w:p>
      <w:pPr>
        <w:sectPr>
          <w:pgSz w:w="11900" w:h="16838" w:orient="portrait"/>
          <w:cols w:equalWidth="0" w:num="1">
            <w:col w:w="10219"/>
          </w:cols>
          <w:pgMar w:left="240" w:top="817" w:right="1440" w:bottom="780" w:gutter="0" w:footer="0" w:header="0"/>
        </w:sectPr>
      </w:pPr>
    </w:p>
    <w:bookmarkStart w:id="217" w:name="page218"/>
    <w:bookmarkEnd w:id="217"/>
    <w:p>
      <w:pPr>
        <w:ind w:left="1820" w:right="2959"/>
        <w:spacing w:after="0" w:line="247" w:lineRule="auto"/>
        <w:rPr>
          <w:sz w:val="20"/>
          <w:szCs w:val="20"/>
          <w:color w:val="auto"/>
        </w:rPr>
      </w:pPr>
      <w:r>
        <w:rPr>
          <w:rFonts w:ascii="Courier New" w:cs="Courier New" w:eastAsia="Courier New" w:hAnsi="Courier New"/>
          <w:sz w:val="15"/>
          <w:szCs w:val="15"/>
          <w:color w:val="auto"/>
        </w:rPr>
        <w:t>specified in Appendix II, Supplier will notify HP of any modification to the original Action Plan and the anticipated availability of a permanent problem resolution.</w:t>
      </w:r>
    </w:p>
    <w:p>
      <w:pPr>
        <w:spacing w:after="0" w:line="174" w:lineRule="exact"/>
        <w:rPr>
          <w:sz w:val="20"/>
          <w:szCs w:val="20"/>
          <w:color w:val="auto"/>
        </w:rPr>
      </w:pPr>
    </w:p>
    <w:p>
      <w:pPr>
        <w:ind w:left="1820" w:right="2959" w:hanging="373"/>
        <w:spacing w:after="0" w:line="246" w:lineRule="auto"/>
        <w:tabs>
          <w:tab w:leader="none" w:pos="1820" w:val="left"/>
        </w:tabs>
        <w:numPr>
          <w:ilvl w:val="3"/>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will enter in the Supplier's Tracking System all Status Updates, Action Plans and other communications requested by HP's Technical Support Contact. Supplier may request additional information from the HP Technical Support Contact in order to meet the response times specified in Appendix II.</w:t>
      </w:r>
    </w:p>
    <w:p>
      <w:pPr>
        <w:spacing w:after="0" w:line="178" w:lineRule="exact"/>
        <w:rPr>
          <w:rFonts w:ascii="Courier New" w:cs="Courier New" w:eastAsia="Courier New" w:hAnsi="Courier New"/>
          <w:sz w:val="15"/>
          <w:szCs w:val="15"/>
          <w:color w:val="auto"/>
        </w:rPr>
      </w:pPr>
    </w:p>
    <w:p>
      <w:pPr>
        <w:ind w:left="1440" w:hanging="356"/>
        <w:spacing w:after="0"/>
        <w:tabs>
          <w:tab w:leader="none" w:pos="1440" w:val="left"/>
        </w:tabs>
        <w:numPr>
          <w:ilvl w:val="2"/>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RESOLUTION RECORDS:</w:t>
      </w:r>
    </w:p>
    <w:p>
      <w:pPr>
        <w:spacing w:after="0" w:line="179" w:lineRule="exact"/>
        <w:rPr>
          <w:rFonts w:ascii="Courier New" w:cs="Courier New" w:eastAsia="Courier New" w:hAnsi="Courier New"/>
          <w:sz w:val="15"/>
          <w:szCs w:val="15"/>
          <w:color w:val="auto"/>
        </w:rPr>
      </w:pPr>
    </w:p>
    <w:p>
      <w:pPr>
        <w:ind w:left="1820" w:right="2959" w:hanging="373"/>
        <w:spacing w:after="0" w:line="246" w:lineRule="auto"/>
        <w:tabs>
          <w:tab w:leader="none" w:pos="1820" w:val="left"/>
        </w:tabs>
        <w:numPr>
          <w:ilvl w:val="3"/>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will keep records of all Requests for Technical Assistance in the Suppliers Tracking System and update their current status. Supplier will also be responsible for accessing, reviewing, and updating defect information related to the Products. The Supplier will provide a weekly report as referenced in paragraph 2.4.</w:t>
      </w:r>
    </w:p>
    <w:p>
      <w:pPr>
        <w:spacing w:after="0" w:line="178" w:lineRule="exact"/>
        <w:rPr>
          <w:rFonts w:ascii="Courier New" w:cs="Courier New" w:eastAsia="Courier New" w:hAnsi="Courier New"/>
          <w:sz w:val="15"/>
          <w:szCs w:val="15"/>
          <w:color w:val="auto"/>
        </w:rPr>
      </w:pPr>
    </w:p>
    <w:p>
      <w:pPr>
        <w:ind w:left="1820" w:right="2959" w:hanging="373"/>
        <w:spacing w:after="0" w:line="247" w:lineRule="auto"/>
        <w:tabs>
          <w:tab w:leader="none" w:pos="1820" w:val="left"/>
        </w:tabs>
        <w:numPr>
          <w:ilvl w:val="3"/>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 RESOLUTION RECORDS WILL INCLUDE, AT A MINIMUM, THE ITEMS LISTED IN SECTIONS 2.1.1, 2.2.1. AND 3.1.2 ABOVE ALONG WITH THE FOLLOWING INFORMATION:</w:t>
      </w:r>
    </w:p>
    <w:p>
      <w:pPr>
        <w:spacing w:after="0" w:line="174"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problem as finally diagnosed.</w:t>
      </w:r>
    </w:p>
    <w:p>
      <w:pPr>
        <w:spacing w:after="0" w:line="179"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Detailed description of the root causes and symptoms.</w:t>
      </w:r>
    </w:p>
    <w:p>
      <w:pPr>
        <w:spacing w:after="0" w:line="179"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taken to resolve the situation.</w:t>
      </w:r>
    </w:p>
    <w:p>
      <w:pPr>
        <w:spacing w:after="0" w:line="179"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Problem Resolution request and Final resolution.</w:t>
      </w:r>
    </w:p>
    <w:p>
      <w:pPr>
        <w:spacing w:after="0" w:line="179" w:lineRule="exact"/>
        <w:rPr>
          <w:rFonts w:ascii="Courier New" w:cs="Courier New" w:eastAsia="Courier New" w:hAnsi="Courier New"/>
          <w:sz w:val="15"/>
          <w:szCs w:val="15"/>
          <w:color w:val="auto"/>
        </w:rPr>
      </w:pPr>
    </w:p>
    <w:p>
      <w:pPr>
        <w:ind w:left="2180" w:right="3139" w:hanging="369"/>
        <w:spacing w:after="0" w:line="247" w:lineRule="auto"/>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Likelihood of problem recurring and recommended action in the event of a recurrence.</w:t>
      </w:r>
    </w:p>
    <w:p>
      <w:pPr>
        <w:spacing w:after="0" w:line="174" w:lineRule="exact"/>
        <w:rPr>
          <w:rFonts w:ascii="Courier New" w:cs="Courier New" w:eastAsia="Courier New" w:hAnsi="Courier New"/>
          <w:sz w:val="15"/>
          <w:szCs w:val="15"/>
          <w:color w:val="auto"/>
        </w:rPr>
      </w:pPr>
    </w:p>
    <w:p>
      <w:pPr>
        <w:ind w:left="2180" w:right="3599" w:hanging="369"/>
        <w:spacing w:after="0" w:line="247" w:lineRule="auto"/>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and HP Service Request numbers for cross reference purposes.</w:t>
      </w:r>
    </w:p>
    <w:p>
      <w:pPr>
        <w:spacing w:after="0" w:line="174" w:lineRule="exact"/>
        <w:rPr>
          <w:rFonts w:ascii="Courier New" w:cs="Courier New" w:eastAsia="Courier New" w:hAnsi="Courier New"/>
          <w:sz w:val="15"/>
          <w:szCs w:val="15"/>
          <w:color w:val="auto"/>
        </w:rPr>
      </w:pPr>
    </w:p>
    <w:p>
      <w:pPr>
        <w:ind w:left="2180" w:right="3859" w:hanging="369"/>
        <w:spacing w:after="0" w:line="247" w:lineRule="auto"/>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 or Workaround implemented and how and when available.</w:t>
      </w:r>
    </w:p>
    <w:p>
      <w:pPr>
        <w:spacing w:after="0" w:line="174"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Tests performed on the Fix or Workaround.</w:t>
      </w:r>
    </w:p>
    <w:p>
      <w:pPr>
        <w:spacing w:after="0" w:line="179" w:lineRule="exact"/>
        <w:rPr>
          <w:rFonts w:ascii="Courier New" w:cs="Courier New" w:eastAsia="Courier New" w:hAnsi="Courier New"/>
          <w:sz w:val="15"/>
          <w:szCs w:val="15"/>
          <w:color w:val="auto"/>
        </w:rPr>
      </w:pPr>
    </w:p>
    <w:p>
      <w:pPr>
        <w:ind w:left="2180" w:right="3219" w:hanging="369"/>
        <w:spacing w:after="0" w:line="247" w:lineRule="auto"/>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only temporary Fix or Workaround is available, the Action Plan for Permanent Fix.</w:t>
      </w:r>
    </w:p>
    <w:p>
      <w:pPr>
        <w:spacing w:after="0" w:line="174" w:lineRule="exact"/>
        <w:rPr>
          <w:rFonts w:ascii="Courier New" w:cs="Courier New" w:eastAsia="Courier New" w:hAnsi="Courier New"/>
          <w:sz w:val="15"/>
          <w:szCs w:val="15"/>
          <w:color w:val="auto"/>
        </w:rPr>
      </w:pPr>
    </w:p>
    <w:p>
      <w:pPr>
        <w:ind w:left="1440" w:hanging="356"/>
        <w:spacing w:after="0"/>
        <w:tabs>
          <w:tab w:leader="none" w:pos="1440" w:val="left"/>
        </w:tabs>
        <w:numPr>
          <w:ilvl w:val="2"/>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PROBLEM RESOLUTION REQUEST:</w:t>
      </w:r>
    </w:p>
    <w:p>
      <w:pPr>
        <w:spacing w:after="0" w:line="179" w:lineRule="exact"/>
        <w:rPr>
          <w:rFonts w:ascii="Courier New" w:cs="Courier New" w:eastAsia="Courier New" w:hAnsi="Courier New"/>
          <w:sz w:val="15"/>
          <w:szCs w:val="15"/>
          <w:color w:val="auto"/>
        </w:rPr>
      </w:pPr>
    </w:p>
    <w:p>
      <w:pPr>
        <w:ind w:left="1820" w:right="2959" w:hanging="373"/>
        <w:spacing w:after="0" w:line="246" w:lineRule="auto"/>
        <w:tabs>
          <w:tab w:leader="none" w:pos="1820" w:val="left"/>
        </w:tabs>
        <w:numPr>
          <w:ilvl w:val="3"/>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problem resolution has been communicated to HP and verified by agreement of HP and the Customer, HP will notify Supplier that HP is closing the Problem Resolution and Request for Technical Assistance.</w:t>
      </w:r>
    </w:p>
    <w:p>
      <w:pPr>
        <w:spacing w:after="0" w:line="177" w:lineRule="exact"/>
        <w:rPr>
          <w:rFonts w:ascii="Courier New" w:cs="Courier New" w:eastAsia="Courier New" w:hAnsi="Courier New"/>
          <w:sz w:val="15"/>
          <w:szCs w:val="15"/>
          <w:color w:val="auto"/>
        </w:rPr>
      </w:pPr>
    </w:p>
    <w:p>
      <w:pPr>
        <w:ind w:left="1080" w:hanging="360"/>
        <w:spacing w:after="0"/>
        <w:tabs>
          <w:tab w:leader="none" w:pos="1080" w:val="left"/>
        </w:tabs>
        <w:numPr>
          <w:ilvl w:val="1"/>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ESCALATION:</w:t>
      </w:r>
    </w:p>
    <w:p>
      <w:pPr>
        <w:spacing w:after="0" w:line="179" w:lineRule="exact"/>
        <w:rPr>
          <w:rFonts w:ascii="Courier New" w:cs="Courier New" w:eastAsia="Courier New" w:hAnsi="Courier New"/>
          <w:sz w:val="15"/>
          <w:szCs w:val="15"/>
          <w:color w:val="auto"/>
        </w:rPr>
      </w:pPr>
    </w:p>
    <w:p>
      <w:pPr>
        <w:ind w:left="1440" w:hanging="356"/>
        <w:spacing w:after="0"/>
        <w:tabs>
          <w:tab w:leader="none" w:pos="1440" w:val="left"/>
        </w:tabs>
        <w:numPr>
          <w:ilvl w:val="2"/>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REQUESTING AN ESCALATION:</w:t>
      </w:r>
    </w:p>
    <w:p>
      <w:pPr>
        <w:spacing w:after="0" w:line="179" w:lineRule="exact"/>
        <w:rPr>
          <w:rFonts w:ascii="Courier New" w:cs="Courier New" w:eastAsia="Courier New" w:hAnsi="Courier New"/>
          <w:sz w:val="15"/>
          <w:szCs w:val="15"/>
          <w:color w:val="auto"/>
        </w:rPr>
      </w:pPr>
    </w:p>
    <w:p>
      <w:pPr>
        <w:ind w:left="1820" w:right="2959" w:hanging="373"/>
        <w:spacing w:after="0" w:line="246" w:lineRule="auto"/>
        <w:tabs>
          <w:tab w:leader="none" w:pos="1820" w:val="left"/>
        </w:tabs>
        <w:numPr>
          <w:ilvl w:val="3"/>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HP determines that [*] are needed to resolve a Customer situation or to [*] may request an Escalation. Supplier will cooperate with HP by following the Escalation procedures set forth below.</w:t>
      </w:r>
    </w:p>
    <w:p>
      <w:pPr>
        <w:spacing w:after="0" w:line="177" w:lineRule="exact"/>
        <w:rPr>
          <w:rFonts w:ascii="Courier New" w:cs="Courier New" w:eastAsia="Courier New" w:hAnsi="Courier New"/>
          <w:sz w:val="15"/>
          <w:szCs w:val="15"/>
          <w:color w:val="auto"/>
        </w:rPr>
      </w:pPr>
    </w:p>
    <w:p>
      <w:pPr>
        <w:ind w:left="1820" w:right="3139" w:hanging="373"/>
        <w:spacing w:after="0" w:line="246" w:lineRule="auto"/>
        <w:tabs>
          <w:tab w:leader="none" w:pos="1820" w:val="left"/>
        </w:tabs>
        <w:numPr>
          <w:ilvl w:val="3"/>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REQUESTING ESCALATION, in addition to the HP-provided information required under Problem Resolution in Sections</w:t>
      </w:r>
    </w:p>
    <w:p>
      <w:pPr>
        <w:spacing w:after="0" w:line="1"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2.1.l, 2.2.1, and 3.1.2 above, HP will provide:</w:t>
      </w:r>
    </w:p>
    <w:p>
      <w:pPr>
        <w:spacing w:after="0" w:line="179"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Caller's location.</w:t>
      </w:r>
    </w:p>
    <w:p>
      <w:pPr>
        <w:spacing w:after="0" w:line="179"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currently installed Fixes or Workarounds.</w:t>
      </w:r>
    </w:p>
    <w:p>
      <w:pPr>
        <w:spacing w:after="0" w:line="179"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 for escalation.</w:t>
      </w:r>
    </w:p>
    <w:p>
      <w:pPr>
        <w:spacing w:after="0" w:line="179" w:lineRule="exact"/>
        <w:rPr>
          <w:rFonts w:ascii="Courier New" w:cs="Courier New" w:eastAsia="Courier New" w:hAnsi="Courier New"/>
          <w:sz w:val="15"/>
          <w:szCs w:val="15"/>
          <w:color w:val="auto"/>
        </w:rPr>
      </w:pPr>
    </w:p>
    <w:p>
      <w:pPr>
        <w:ind w:left="2180" w:hanging="369"/>
        <w:spacing w:after="0"/>
        <w:tabs>
          <w:tab w:leader="none" w:pos="2180" w:val="left"/>
        </w:tabs>
        <w:numPr>
          <w:ilvl w:val="4"/>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Steps taken to resolve problem.</w:t>
      </w:r>
    </w:p>
    <w:p>
      <w:pPr>
        <w:spacing w:after="0" w:line="35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6 of 9</w:t>
      </w:r>
    </w:p>
    <w:p>
      <w:pPr>
        <w:sectPr>
          <w:pgSz w:w="11900" w:h="16838" w:orient="portrait"/>
          <w:cols w:equalWidth="0" w:num="1">
            <w:col w:w="10219"/>
          </w:cols>
          <w:pgMar w:left="240" w:top="643" w:right="1440" w:bottom="1440" w:gutter="0" w:footer="0" w:header="0"/>
        </w:sectPr>
      </w:pPr>
    </w:p>
    <w:bookmarkStart w:id="218" w:name="page219"/>
    <w:bookmarkEnd w:id="218"/>
    <w:p>
      <w:pPr>
        <w:ind w:left="2180" w:right="3039" w:hanging="369"/>
        <w:spacing w:after="0" w:line="247" w:lineRule="auto"/>
        <w:tabs>
          <w:tab w:leader="none" w:pos="2180" w:val="left"/>
        </w:tabs>
        <w:numPr>
          <w:ilvl w:val="2"/>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Requests for Problem Resolution issued with respect to the problem.</w:t>
      </w:r>
    </w:p>
    <w:p>
      <w:pPr>
        <w:spacing w:after="0" w:line="174" w:lineRule="exact"/>
        <w:rPr>
          <w:rFonts w:ascii="Courier New" w:cs="Courier New" w:eastAsia="Courier New" w:hAnsi="Courier New"/>
          <w:sz w:val="15"/>
          <w:szCs w:val="15"/>
          <w:color w:val="auto"/>
        </w:rPr>
      </w:pPr>
    </w:p>
    <w:p>
      <w:pPr>
        <w:ind w:left="1820" w:right="2959" w:hanging="373"/>
        <w:spacing w:after="0" w:line="246" w:lineRule="auto"/>
        <w:tabs>
          <w:tab w:leader="none" w:pos="1820"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RESPONSE TO ESCALATIONS: Supplier will continue to cooperate with HP until the Escalation is resolved, or until HP and Supplier mutually agree that all reasonable means of resolution have been exhausted. Effective as of the date of first customer shipment, Supplier will respond to an Escalation from HP [*].</w:t>
      </w:r>
    </w:p>
    <w:p>
      <w:pPr>
        <w:spacing w:after="0" w:line="178" w:lineRule="exact"/>
        <w:rPr>
          <w:rFonts w:ascii="Courier New" w:cs="Courier New" w:eastAsia="Courier New" w:hAnsi="Courier New"/>
          <w:sz w:val="15"/>
          <w:szCs w:val="15"/>
          <w:color w:val="auto"/>
        </w:rPr>
      </w:pPr>
    </w:p>
    <w:p>
      <w:pPr>
        <w:ind w:left="1820" w:right="2959" w:hanging="373"/>
        <w:spacing w:after="0" w:line="246" w:lineRule="auto"/>
        <w:tabs>
          <w:tab w:leader="none" w:pos="1820"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ESCALATION PROCESS: HP's Technical Support Contact may contact Supplier's Technical Support Contact to request Escalation. HP will follow-up by e-mail with any additional information available at the time. Supplier will have [*] to resolve the Escalation, and when mutually deemed necessary, [*] contact may be established. If Problem Resolution Service Requests are produced as a result of the Escalation, the procedure defined above for Problem Resolution must be followed.</w:t>
      </w:r>
    </w:p>
    <w:p>
      <w:pPr>
        <w:spacing w:after="0" w:line="180" w:lineRule="exact"/>
        <w:rPr>
          <w:rFonts w:ascii="Courier New" w:cs="Courier New" w:eastAsia="Courier New" w:hAnsi="Courier New"/>
          <w:sz w:val="15"/>
          <w:szCs w:val="15"/>
          <w:color w:val="auto"/>
        </w:rPr>
      </w:pPr>
    </w:p>
    <w:p>
      <w:pPr>
        <w:ind w:left="1820" w:hanging="373"/>
        <w:spacing w:after="0"/>
        <w:tabs>
          <w:tab w:leader="none" w:pos="1820"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ESCALATION RECORDS:</w:t>
      </w:r>
    </w:p>
    <w:p>
      <w:pPr>
        <w:spacing w:after="0" w:line="179" w:lineRule="exact"/>
        <w:rPr>
          <w:rFonts w:ascii="Courier New" w:cs="Courier New" w:eastAsia="Courier New" w:hAnsi="Courier New"/>
          <w:sz w:val="15"/>
          <w:szCs w:val="15"/>
          <w:color w:val="auto"/>
        </w:rPr>
      </w:pPr>
    </w:p>
    <w:p>
      <w:pPr>
        <w:ind w:left="2180" w:right="3139" w:hanging="369"/>
        <w:spacing w:after="0" w:line="247" w:lineRule="auto"/>
        <w:tabs>
          <w:tab w:leader="none" w:pos="2180" w:val="left"/>
        </w:tabs>
        <w:numPr>
          <w:ilvl w:val="2"/>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will keep a record of all Escalation requests in the Supplier's Tracking System and update their current status.</w:t>
      </w:r>
    </w:p>
    <w:p>
      <w:pPr>
        <w:spacing w:after="0" w:line="174" w:lineRule="exact"/>
        <w:rPr>
          <w:rFonts w:ascii="Courier New" w:cs="Courier New" w:eastAsia="Courier New" w:hAnsi="Courier New"/>
          <w:sz w:val="15"/>
          <w:szCs w:val="15"/>
          <w:color w:val="auto"/>
        </w:rPr>
      </w:pPr>
    </w:p>
    <w:p>
      <w:pPr>
        <w:ind w:left="2180" w:right="2959" w:hanging="369"/>
        <w:spacing w:after="0" w:line="247" w:lineRule="auto"/>
        <w:tabs>
          <w:tab w:leader="none" w:pos="2180" w:val="left"/>
        </w:tabs>
        <w:numPr>
          <w:ilvl w:val="2"/>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ESCALATION RECORDS WILL INCLUDE, AT A MINIMUM, THE ITEMS LISTED IN SECTION 3.3.2 ABOVE ALONG WITH THE FOLLOWING INFORMATION:</w:t>
      </w:r>
    </w:p>
    <w:p>
      <w:pPr>
        <w:spacing w:after="0" w:line="174" w:lineRule="exact"/>
        <w:rPr>
          <w:rFonts w:ascii="Courier New" w:cs="Courier New" w:eastAsia="Courier New" w:hAnsi="Courier New"/>
          <w:sz w:val="15"/>
          <w:szCs w:val="15"/>
          <w:color w:val="auto"/>
        </w:rPr>
      </w:pPr>
    </w:p>
    <w:p>
      <w:pPr>
        <w:ind w:left="2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20" w:right="3319" w:hanging="373"/>
        <w:spacing w:after="0" w:line="246" w:lineRule="auto"/>
        <w:tabs>
          <w:tab w:leader="none" w:pos="1820"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ROLE OF TECHNICAL SUPPORT CONTACT DURING ESCALATIONS: The Supplier's Technical Support Contact will prepare an Action Plan as quickly as possible [*] request for Escalation. This Action Plan may be modified by mutual agreement of the parties.</w:t>
      </w:r>
    </w:p>
    <w:p>
      <w:pPr>
        <w:spacing w:after="0" w:line="177" w:lineRule="exact"/>
        <w:rPr>
          <w:rFonts w:ascii="Courier New" w:cs="Courier New" w:eastAsia="Courier New" w:hAnsi="Courier New"/>
          <w:sz w:val="15"/>
          <w:szCs w:val="15"/>
          <w:color w:val="auto"/>
        </w:rPr>
      </w:pPr>
    </w:p>
    <w:p>
      <w:pPr>
        <w:ind w:left="1820" w:hanging="373"/>
        <w:spacing w:after="0"/>
        <w:tabs>
          <w:tab w:leader="none" w:pos="1820" w:val="left"/>
        </w:tabs>
        <w:numPr>
          <w:ilvl w:val="1"/>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PHASE:</w:t>
      </w:r>
    </w:p>
    <w:p>
      <w:pPr>
        <w:spacing w:after="0" w:line="4" w:lineRule="exact"/>
        <w:rPr>
          <w:rFonts w:ascii="Courier New" w:cs="Courier New" w:eastAsia="Courier New" w:hAnsi="Courier New"/>
          <w:sz w:val="15"/>
          <w:szCs w:val="15"/>
          <w:color w:val="auto"/>
        </w:rPr>
      </w:pPr>
    </w:p>
    <w:p>
      <w:pPr>
        <w:ind w:left="182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MONITOR PHASE MAY BE IMPLEMENTED by HP to evaluate the situation over a period of time to verify that the problem has been resolved to the Customer's satisfaction. The Monitor Phase starts after a resolution is provided to the Customer. When the problem has been resolved to the Customer's satisfaction, the Monitor Phase is terminated and the Escalation is closed by HP. Both HP and Supplier will coordinate monitoring activities. [*] will determine the [*] CLOSING AN ESCALATION. When HP and the Customer agree that the problem has been resolved satisfactorily or the situation no longer requires Escalation, the Escalation will be closed by HP at the end of the Monitor Phase. The Tracking System will then be updated as necessary by Supplier to record the results of the Monitor Phase, including any actions taken, results of those actions, likelihood of problem reoccurrence and recommended future actions.</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7 of 9</w:t>
      </w:r>
    </w:p>
    <w:p>
      <w:pPr>
        <w:sectPr>
          <w:pgSz w:w="11900" w:h="16838" w:orient="portrait"/>
          <w:cols w:equalWidth="0" w:num="1">
            <w:col w:w="10219"/>
          </w:cols>
          <w:pgMar w:left="240" w:top="643" w:right="1440" w:bottom="1440" w:gutter="0" w:footer="0" w:header="0"/>
        </w:sectPr>
      </w:pPr>
    </w:p>
    <w:bookmarkStart w:id="219" w:name="page220"/>
    <w:bookmarkEnd w:id="219"/>
    <w:p>
      <w:pPr>
        <w:jc w:val="center"/>
        <w:ind w:right="2952"/>
        <w:spacing w:after="0"/>
        <w:rPr>
          <w:sz w:val="20"/>
          <w:szCs w:val="20"/>
          <w:color w:val="auto"/>
        </w:rPr>
      </w:pPr>
      <w:r>
        <w:rPr>
          <w:rFonts w:ascii="Courier New" w:cs="Courier New" w:eastAsia="Courier New" w:hAnsi="Courier New"/>
          <w:sz w:val="15"/>
          <w:szCs w:val="15"/>
          <w:color w:val="auto"/>
        </w:rPr>
        <w:t>APPENDIX I</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STRATEGIC AND TECHNICAL SUPPORT CONTACTS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INITIAL CALLS FOR BROCADE'S TECHNICAL ASSISTANCE NEED TO GO THROUGH: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PHONE: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EMAIL: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FOLLOWING PERSONS ARE DESIGNATED TO SERVE AS STRATEGIC SUPPORT CONTACTS: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SUPPLIER:</w:t>
            </w:r>
          </w:p>
        </w:tc>
        <w:tc>
          <w:tcPr>
            <w:tcW w:w="1260" w:type="dxa"/>
            <w:vAlign w:val="bottom"/>
          </w:tcPr>
          <w:p>
            <w:pPr>
              <w:ind w:left="900"/>
              <w:spacing w:after="0"/>
              <w:rPr>
                <w:sz w:val="20"/>
                <w:szCs w:val="20"/>
                <w:color w:val="auto"/>
              </w:rPr>
            </w:pPr>
            <w:r>
              <w:rPr>
                <w:rFonts w:ascii="Courier New" w:cs="Courier New" w:eastAsia="Courier New" w:hAnsi="Courier New"/>
                <w:sz w:val="15"/>
                <w:szCs w:val="15"/>
                <w:color w:val="auto"/>
              </w:rPr>
              <w:t>HP:</w:t>
            </w:r>
          </w:p>
        </w:tc>
        <w:tc>
          <w:tcPr>
            <w:tcW w:w="2540" w:type="dxa"/>
            <w:vAlign w:val="bottom"/>
          </w:tcPr>
          <w:p>
            <w:pPr>
              <w:spacing w:after="0"/>
              <w:rPr>
                <w:sz w:val="14"/>
                <w:szCs w:val="14"/>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ind w:left="1080"/>
              <w:spacing w:after="0"/>
              <w:rPr>
                <w:sz w:val="20"/>
                <w:szCs w:val="20"/>
                <w:color w:val="auto"/>
              </w:rPr>
            </w:pPr>
            <w:r>
              <w:rPr>
                <w:rFonts w:ascii="Courier New" w:cs="Courier New" w:eastAsia="Courier New" w:hAnsi="Courier New"/>
                <w:sz w:val="15"/>
                <w:szCs w:val="15"/>
                <w:color w:val="auto"/>
                <w:w w:val="88"/>
              </w:rPr>
              <w:t>--</w:t>
            </w:r>
          </w:p>
        </w:tc>
        <w:tc>
          <w:tcPr>
            <w:tcW w:w="2540" w:type="dxa"/>
            <w:vAlign w:val="bottom"/>
          </w:tcPr>
          <w:p>
            <w:pPr>
              <w:spacing w:after="0"/>
              <w:rPr>
                <w:sz w:val="15"/>
                <w:szCs w:val="15"/>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6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spacing w:after="0"/>
              <w:rPr>
                <w:sz w:val="24"/>
                <w:szCs w:val="24"/>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ADDRESS:  Brocade Communications</w:t>
            </w:r>
          </w:p>
        </w:tc>
        <w:tc>
          <w:tcPr>
            <w:tcW w:w="3800" w:type="dxa"/>
            <w:vAlign w:val="bottom"/>
            <w:gridSpan w:val="2"/>
          </w:tcPr>
          <w:p>
            <w:pPr>
              <w:ind w:left="900"/>
              <w:spacing w:after="0"/>
              <w:rPr>
                <w:sz w:val="20"/>
                <w:szCs w:val="20"/>
                <w:color w:val="auto"/>
              </w:rPr>
            </w:pPr>
            <w:r>
              <w:rPr>
                <w:rFonts w:ascii="Courier New" w:cs="Courier New" w:eastAsia="Courier New" w:hAnsi="Courier New"/>
                <w:sz w:val="15"/>
                <w:szCs w:val="15"/>
                <w:color w:val="auto"/>
                <w:w w:val="99"/>
              </w:rPr>
              <w:t>ADDRESS: Hewlett-Packard Company</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1745 Technology Drive</w:t>
            </w:r>
          </w:p>
        </w:tc>
        <w:tc>
          <w:tcPr>
            <w:tcW w:w="1260" w:type="dxa"/>
            <w:vAlign w:val="bottom"/>
          </w:tcPr>
          <w:p>
            <w:pPr>
              <w:ind w:left="900"/>
              <w:spacing w:after="0"/>
              <w:rPr>
                <w:sz w:val="20"/>
                <w:szCs w:val="20"/>
                <w:color w:val="auto"/>
              </w:rPr>
            </w:pPr>
            <w:r>
              <w:rPr>
                <w:rFonts w:ascii="Courier New" w:cs="Courier New" w:eastAsia="Courier New" w:hAnsi="Courier New"/>
                <w:sz w:val="15"/>
                <w:szCs w:val="15"/>
                <w:color w:val="auto"/>
              </w:rPr>
              <w:t>602</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 Montecito St.</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San Jose. CA 95110</w:t>
            </w:r>
          </w:p>
        </w:tc>
        <w:tc>
          <w:tcPr>
            <w:tcW w:w="38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Santa Barbara, CA 93103</w:t>
            </w:r>
          </w:p>
        </w:tc>
      </w:tr>
      <w:tr>
        <w:trPr>
          <w:trHeight w:val="175"/>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FOLLOWING PERSONS ARE DESIGNATED AS TECHNICAL SUPPORT CONTACTS: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SUPPLIER:</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HP:</w:t>
            </w:r>
          </w:p>
        </w:tc>
        <w:tc>
          <w:tcPr>
            <w:tcW w:w="2540" w:type="dxa"/>
            <w:vAlign w:val="bottom"/>
          </w:tcPr>
          <w:p>
            <w:pPr>
              <w:spacing w:after="0"/>
              <w:rPr>
                <w:sz w:val="14"/>
                <w:szCs w:val="14"/>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2540" w:type="dxa"/>
            <w:vAlign w:val="bottom"/>
          </w:tcPr>
          <w:p>
            <w:pPr>
              <w:spacing w:after="0"/>
              <w:rPr>
                <w:sz w:val="15"/>
                <w:szCs w:val="15"/>
                <w:color w:val="auto"/>
              </w:rPr>
            </w:pPr>
          </w:p>
        </w:tc>
      </w:tr>
      <w:tr>
        <w:trPr>
          <w:trHeight w:val="350"/>
        </w:trPr>
        <w:tc>
          <w:tcPr>
            <w:tcW w:w="37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ADDRESS: Brocade Communications</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spacing w:after="0"/>
              <w:rPr>
                <w:sz w:val="15"/>
                <w:szCs w:val="15"/>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1745 Technology Drive</w:t>
            </w:r>
          </w:p>
        </w:tc>
        <w:tc>
          <w:tcPr>
            <w:tcW w:w="3860" w:type="dxa"/>
            <w:vAlign w:val="bottom"/>
            <w:gridSpan w:val="2"/>
          </w:tcPr>
          <w:p>
            <w:pPr>
              <w:ind w:left="960"/>
              <w:spacing w:after="0"/>
              <w:rPr>
                <w:sz w:val="20"/>
                <w:szCs w:val="20"/>
                <w:color w:val="auto"/>
              </w:rPr>
            </w:pPr>
            <w:r>
              <w:rPr>
                <w:rFonts w:ascii="Courier New" w:cs="Courier New" w:eastAsia="Courier New" w:hAnsi="Courier New"/>
                <w:sz w:val="15"/>
                <w:szCs w:val="15"/>
                <w:color w:val="auto"/>
                <w:w w:val="99"/>
              </w:rPr>
              <w:t>ADDRESS: Hewlett-Packard Company</w:t>
            </w: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San Jose, CA 95110</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602</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E. Montecito St.</w:t>
            </w:r>
          </w:p>
        </w:tc>
      </w:tr>
      <w:tr>
        <w:trPr>
          <w:trHeight w:val="175"/>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86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Santa Barbara, CA 93103</w:t>
            </w:r>
          </w:p>
        </w:tc>
      </w:tr>
      <w:tr>
        <w:trPr>
          <w:trHeight w:val="175"/>
        </w:trPr>
        <w:tc>
          <w:tcPr>
            <w:tcW w:w="3760" w:type="dxa"/>
            <w:vAlign w:val="bottom"/>
          </w:tcPr>
          <w:p>
            <w:pPr>
              <w:spacing w:after="0"/>
              <w:rPr>
                <w:sz w:val="15"/>
                <w:szCs w:val="15"/>
                <w:color w:val="auto"/>
              </w:rPr>
            </w:pP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8 of 9</w:t>
      </w:r>
    </w:p>
    <w:p>
      <w:pPr>
        <w:sectPr>
          <w:pgSz w:w="11900" w:h="16838" w:orient="portrait"/>
          <w:cols w:equalWidth="0" w:num="1">
            <w:col w:w="10226"/>
          </w:cols>
          <w:pgMar w:left="233" w:top="643" w:right="1440" w:bottom="1440" w:gutter="0" w:footer="0" w:header="0"/>
        </w:sectPr>
      </w:pPr>
    </w:p>
    <w:bookmarkStart w:id="220" w:name="page221"/>
    <w:bookmarkEnd w:id="220"/>
    <w:p>
      <w:pPr>
        <w:jc w:val="center"/>
        <w:ind w:right="2852"/>
        <w:spacing w:after="0"/>
        <w:rPr>
          <w:sz w:val="20"/>
          <w:szCs w:val="20"/>
          <w:color w:val="auto"/>
        </w:rPr>
      </w:pPr>
      <w:r>
        <w:rPr>
          <w:rFonts w:ascii="Courier New" w:cs="Courier New" w:eastAsia="Courier New" w:hAnsi="Courier New"/>
          <w:sz w:val="15"/>
          <w:szCs w:val="15"/>
          <w:color w:val="auto"/>
        </w:rPr>
        <w:t>APPENDIX II</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PERMANENT FIX OR</w:t>
            </w:r>
          </w:p>
        </w:tc>
      </w:tr>
      <w:tr>
        <w:trPr>
          <w:trHeight w:val="175"/>
        </w:trPr>
        <w:tc>
          <w:tcPr>
            <w:tcW w:w="1760" w:type="dxa"/>
            <w:vAlign w:val="bottom"/>
          </w:tcPr>
          <w:p>
            <w:pPr>
              <w:spacing w:after="0"/>
              <w:rPr>
                <w:sz w:val="15"/>
                <w:szCs w:val="15"/>
                <w:color w:val="auto"/>
              </w:rPr>
            </w:pPr>
          </w:p>
        </w:tc>
        <w:tc>
          <w:tcPr>
            <w:tcW w:w="1920" w:type="dxa"/>
            <w:vAlign w:val="bottom"/>
          </w:tcPr>
          <w:p>
            <w:pPr>
              <w:ind w:left="500"/>
              <w:spacing w:after="0"/>
              <w:rPr>
                <w:sz w:val="20"/>
                <w:szCs w:val="20"/>
                <w:color w:val="auto"/>
              </w:rPr>
            </w:pPr>
            <w:r>
              <w:rPr>
                <w:rFonts w:ascii="Courier New" w:cs="Courier New" w:eastAsia="Courier New" w:hAnsi="Courier New"/>
                <w:sz w:val="15"/>
                <w:szCs w:val="15"/>
                <w:color w:val="auto"/>
              </w:rPr>
              <w:t>ACKNOWLEDGE</w:t>
            </w: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LONG TERM ACTION</w:t>
            </w:r>
          </w:p>
        </w:tc>
      </w:tr>
      <w:tr>
        <w:trPr>
          <w:trHeight w:val="175"/>
        </w:trPr>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HP CAL/PROBLEM</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PROBLEM RECEIPT;</w:t>
            </w:r>
          </w:p>
        </w:tc>
        <w:tc>
          <w:tcPr>
            <w:tcW w:w="1900" w:type="dxa"/>
            <w:vAlign w:val="bottom"/>
          </w:tcPr>
          <w:p>
            <w:pPr>
              <w:ind w:left="320"/>
              <w:spacing w:after="0"/>
              <w:rPr>
                <w:sz w:val="20"/>
                <w:szCs w:val="20"/>
                <w:color w:val="auto"/>
              </w:rPr>
            </w:pPr>
            <w:r>
              <w:rPr>
                <w:rFonts w:ascii="Courier New" w:cs="Courier New" w:eastAsia="Courier New" w:hAnsi="Courier New"/>
                <w:sz w:val="15"/>
                <w:szCs w:val="15"/>
                <w:color w:val="auto"/>
              </w:rPr>
              <w:t>INITIAL ACTION</w:t>
            </w:r>
          </w:p>
        </w:tc>
        <w:tc>
          <w:tcPr>
            <w:tcW w:w="1780" w:type="dxa"/>
            <w:vAlign w:val="bottom"/>
          </w:tcPr>
          <w:p>
            <w:pPr>
              <w:ind w:left="500"/>
              <w:spacing w:after="0"/>
              <w:rPr>
                <w:sz w:val="20"/>
                <w:szCs w:val="20"/>
                <w:color w:val="auto"/>
              </w:rPr>
            </w:pPr>
            <w:r>
              <w:rPr>
                <w:rFonts w:ascii="Courier New" w:cs="Courier New" w:eastAsia="Courier New" w:hAnsi="Courier New"/>
                <w:sz w:val="15"/>
                <w:szCs w:val="15"/>
                <w:color w:val="auto"/>
              </w:rPr>
              <w:t>FIX, OR</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FOR A PERMANENT</w:t>
            </w:r>
          </w:p>
        </w:tc>
      </w:tr>
      <w:tr>
        <w:trPr>
          <w:trHeight w:val="175"/>
        </w:trPr>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CLASSIFICATION</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ENGINEER ASSIGNED</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PLAN/STATUS UPDATE</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WORKAROUND TO HP</w:t>
            </w:r>
          </w:p>
        </w:tc>
        <w:tc>
          <w:tcPr>
            <w:tcW w:w="1640" w:type="dxa"/>
            <w:vAlign w:val="bottom"/>
          </w:tcPr>
          <w:p>
            <w:pPr>
              <w:ind w:left="720"/>
              <w:spacing w:after="0"/>
              <w:rPr>
                <w:sz w:val="20"/>
                <w:szCs w:val="20"/>
                <w:color w:val="auto"/>
              </w:rPr>
            </w:pPr>
            <w:r>
              <w:rPr>
                <w:rFonts w:ascii="Courier New" w:cs="Courier New" w:eastAsia="Courier New" w:hAnsi="Courier New"/>
                <w:sz w:val="15"/>
                <w:szCs w:val="15"/>
                <w:color w:val="auto"/>
              </w:rPr>
              <w:t>FIX</w:t>
            </w:r>
          </w:p>
        </w:tc>
      </w:tr>
      <w:tr>
        <w:trPr>
          <w:trHeight w:val="175"/>
        </w:trPr>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176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88"/>
              </w:rPr>
              <w:t>[*]</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88"/>
              </w:rPr>
              <w:t>[*]</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88"/>
              </w:rPr>
              <w:t>[*]</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88"/>
              </w:rPr>
              <w:t>[*]</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88"/>
              </w:rPr>
              <w:t>[*]</w:t>
            </w:r>
          </w:p>
        </w:tc>
        <w:tc>
          <w:tcPr>
            <w:tcW w:w="19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*BCS =Business Continuity Service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CLASSIFICATION OF PROBLEM SITUATION.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(D)</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9 of 9</w:t>
      </w:r>
    </w:p>
    <w:p>
      <w:pPr>
        <w:sectPr>
          <w:pgSz w:w="11900" w:h="16838" w:orient="portrait"/>
          <w:cols w:equalWidth="0" w:num="1">
            <w:col w:w="10226"/>
          </w:cols>
          <w:pgMar w:left="233" w:top="643" w:right="1440" w:bottom="1440" w:gutter="0" w:footer="0" w:header="0"/>
        </w:sectPr>
      </w:pPr>
    </w:p>
    <w:bookmarkStart w:id="221" w:name="page222"/>
    <w:bookmarkEnd w:id="221"/>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(E)</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HP EQUIPMENT LOAN AGREEMENT</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THIS EQUIPMENT LOAN AGREEMENT, (the "Agreement") is entered into between HEWLETT-PACKARD COMPANY, ("HP"), and Brocade. This Agreement is effective as of February 28, 2001 (the "Effective Date").</w:t>
      </w:r>
    </w:p>
    <w:p>
      <w:pPr>
        <w:spacing w:after="0" w:line="174" w:lineRule="exact"/>
        <w:rPr>
          <w:sz w:val="20"/>
          <w:szCs w:val="20"/>
          <w:color w:val="auto"/>
        </w:rPr>
      </w:pPr>
    </w:p>
    <w:p>
      <w:pPr>
        <w:ind w:left="727" w:right="3139" w:hanging="727"/>
        <w:spacing w:after="0" w:line="246" w:lineRule="auto"/>
        <w:tabs>
          <w:tab w:leader="none" w:pos="182"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LOAN OF EQUIPMENT. HP hereby loans to Brocade, for the applicable Term defined below, the HP-owned equipment (collectively, "HP Equipment"), which may consist of hardware, software and documentation described in the HP Equipment Schedule attached as Exhibit A. HP may, from time to time, add, upgrade, or remove HP Equipment from Brocade's site during the Term. All HP Equipment received by Brocade during the Term will be described in an amended HP Equipment Schedule signed by Brocade and appended to this Equipment Loan Agreement. Brocade agrees, by its receipt of HP Equipment, that all HP Equipment is subject to the provisions of this Agreement.</w:t>
      </w:r>
    </w:p>
    <w:p>
      <w:pPr>
        <w:spacing w:after="0" w:line="180" w:lineRule="exact"/>
        <w:rPr>
          <w:rFonts w:ascii="Courier New" w:cs="Courier New" w:eastAsia="Courier New" w:hAnsi="Courier New"/>
          <w:sz w:val="15"/>
          <w:szCs w:val="15"/>
          <w:color w:val="auto"/>
        </w:rPr>
      </w:pPr>
    </w:p>
    <w:p>
      <w:pPr>
        <w:ind w:left="727" w:right="2959" w:hanging="727"/>
        <w:spacing w:after="0" w:line="246" w:lineRule="auto"/>
        <w:tabs>
          <w:tab w:leader="none" w:pos="182"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TERM. This Agreement will begin as of the Effective Date and run for a term of [*] or the completion of [*] (the "Term"), unless earlier terminated by HP or Brocade upon [*] written notice to the other. HP may in writing extend the Term, or establish a separate Term with respect to particular items of HP Equipment.</w:t>
      </w:r>
    </w:p>
    <w:p>
      <w:pPr>
        <w:spacing w:after="0" w:line="177" w:lineRule="exact"/>
        <w:rPr>
          <w:rFonts w:ascii="Courier New" w:cs="Courier New" w:eastAsia="Courier New" w:hAnsi="Courier New"/>
          <w:sz w:val="15"/>
          <w:szCs w:val="15"/>
          <w:color w:val="auto"/>
        </w:rPr>
      </w:pPr>
    </w:p>
    <w:p>
      <w:pPr>
        <w:ind w:left="727" w:right="2959" w:hanging="727"/>
        <w:spacing w:after="0" w:line="246" w:lineRule="auto"/>
        <w:tabs>
          <w:tab w:leader="none" w:pos="182"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USE. Brocade may use the HP Equipment solely for purpose of performing testing services in support of the HP NSSO/SNS Testing. Brocade may not use this equipment or offer testing services to any third party or other HP Divisions or Entities without express written permission from the SNS division of HP. Brocade may not move any HP Equipment from the location specified in the HP Equipment Schedule without the prior written consent of HP. Brocade's right to use the HP Equipment is non-transferable.</w:t>
      </w:r>
    </w:p>
    <w:p>
      <w:pPr>
        <w:spacing w:after="0" w:line="179" w:lineRule="exact"/>
        <w:rPr>
          <w:rFonts w:ascii="Courier New" w:cs="Courier New" w:eastAsia="Courier New" w:hAnsi="Courier New"/>
          <w:sz w:val="15"/>
          <w:szCs w:val="15"/>
          <w:color w:val="auto"/>
        </w:rPr>
      </w:pPr>
    </w:p>
    <w:p>
      <w:pPr>
        <w:ind w:left="727" w:right="2779" w:hanging="727"/>
        <w:spacing w:after="0" w:line="246" w:lineRule="auto"/>
        <w:tabs>
          <w:tab w:leader="none" w:pos="182"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SOFTWARE AND DOCUMENTATION. All software provided with the HP Equipment is hereby licensed to Brocade Under HP's Software License Terms, a current form of which is attached as Exhibit B. If Brocade requires a license to use any software other than as stated in the Software License Terms, that license must be specified in the HP Equipment Schedule. Any documentation listed in the HP Equipment Schedule is licensed to Brocade for its use solely for tile purposes stated in Section 3 above. If Brocade wishes to make copies of any documentation, it must first obtain HP's prior written consent.</w:t>
      </w:r>
    </w:p>
    <w:p>
      <w:pPr>
        <w:spacing w:after="0" w:line="180"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OWNERSHIP.  HP retains all right, title and ownership to the HP</w:t>
      </w:r>
    </w:p>
    <w:p>
      <w:pPr>
        <w:spacing w:after="0" w:line="5" w:lineRule="exact"/>
        <w:rPr>
          <w:sz w:val="20"/>
          <w:szCs w:val="20"/>
          <w:color w:val="auto"/>
        </w:rPr>
      </w:pPr>
    </w:p>
    <w:p>
      <w:pPr>
        <w:ind w:left="727" w:right="2959"/>
        <w:spacing w:after="0" w:line="246" w:lineRule="auto"/>
        <w:rPr>
          <w:sz w:val="20"/>
          <w:szCs w:val="20"/>
          <w:color w:val="auto"/>
        </w:rPr>
      </w:pPr>
      <w:r>
        <w:rPr>
          <w:rFonts w:ascii="Courier New" w:cs="Courier New" w:eastAsia="Courier New" w:hAnsi="Courier New"/>
          <w:sz w:val="15"/>
          <w:szCs w:val="15"/>
          <w:color w:val="auto"/>
        </w:rPr>
        <w:t>Equipment, unless any such HP Equipment is purchased by Brocade. Brocade hereby nominates and appoints HP as its attorney-in-fact for the sole purpose of executing and filing, on Brocade's behalf, UCC-1 financing statements (and any appropriate amendments thereto) or a suitable substitute document (including this Agreement) under the provisions of the Uniform Commercial Code for the HP Equipment loaned to Brocade hereunder. If requested by HP, Brocade will affix any label or marking supplied by HP evidencing HP's ownership of the HP Equipment. HP may, from time to time, inspect the HP Equipment. Brocade may not sell, transfer, assign, pledge, or in any way encumber or convey the HP Equipment or any portion or component of such equipment.</w:t>
      </w:r>
    </w:p>
    <w:p>
      <w:pPr>
        <w:spacing w:after="0" w:line="181" w:lineRule="exact"/>
        <w:rPr>
          <w:sz w:val="20"/>
          <w:szCs w:val="20"/>
          <w:color w:val="auto"/>
        </w:rPr>
      </w:pPr>
    </w:p>
    <w:p>
      <w:pPr>
        <w:ind w:left="727" w:right="2959" w:hanging="727"/>
        <w:spacing w:after="0" w:line="247" w:lineRule="auto"/>
        <w:tabs>
          <w:tab w:leader="none" w:pos="182"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WARRANTY DISCLAIMER. ALL HP EQUIPMENT IS PROVIDED "AS IS", WITHOUT WARRANTY OF ANY KIND, WRITTEN OR ORAL, EXPRESS OR IMPLIED, INCLUDING BUT NOT LIMITED TO ANY WARRANTY OF MERCHANTABILITY OR FITNESS FOR A PARTICULAR PURPOSE. Brocade understands that some newly manufactured HP equipment may contain remanufactured parts equivalent to new in performance.</w:t>
      </w:r>
    </w:p>
    <w:p>
      <w:pPr>
        <w:spacing w:after="0" w:line="349" w:lineRule="exact"/>
        <w:rPr>
          <w:rFonts w:ascii="Courier New" w:cs="Courier New" w:eastAsia="Courier New" w:hAnsi="Courier New"/>
          <w:sz w:val="15"/>
          <w:szCs w:val="15"/>
          <w:color w:val="auto"/>
        </w:rPr>
      </w:pPr>
    </w:p>
    <w:p>
      <w:pPr>
        <w:ind w:left="727" w:right="3039" w:hanging="727"/>
        <w:spacing w:after="0" w:line="246" w:lineRule="auto"/>
        <w:tabs>
          <w:tab w:leader="none" w:pos="182"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INDEMNIFICATION. Brocade hereby agrees to defend, indemnify and hold HP harmless from any claims or suits against HP arising From Brocade's use of the HP Equipment, including use by its employees, agents or subcontractors. Brocade will pay [*] incurred by HP and will pay [*] with respect to any such claim or agreed to in any settlement.</w:t>
      </w:r>
    </w:p>
    <w:p>
      <w:pPr>
        <w:spacing w:after="0" w:line="353" w:lineRule="exact"/>
        <w:rPr>
          <w:sz w:val="20"/>
          <w:szCs w:val="20"/>
          <w:color w:val="auto"/>
        </w:rPr>
      </w:pPr>
    </w:p>
    <w:p>
      <w:pPr>
        <w:ind w:left="447" w:right="2959" w:hanging="447"/>
        <w:spacing w:after="0" w:line="247" w:lineRule="auto"/>
        <w:tabs>
          <w:tab w:leader="none" w:pos="447"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1 of 8</w:t>
      </w:r>
    </w:p>
    <w:p>
      <w:pPr>
        <w:sectPr>
          <w:pgSz w:w="11900" w:h="16838" w:orient="portrait"/>
          <w:cols w:equalWidth="0" w:num="1">
            <w:col w:w="10226"/>
          </w:cols>
          <w:pgMar w:left="233" w:top="643" w:right="1440" w:bottom="1440" w:gutter="0" w:footer="0" w:header="0"/>
        </w:sectPr>
      </w:pPr>
    </w:p>
    <w:bookmarkStart w:id="222" w:name="page223"/>
    <w:bookmarkEnd w:id="222"/>
    <w:p>
      <w:pPr>
        <w:ind w:left="727" w:right="2959" w:hanging="727"/>
        <w:spacing w:after="0" w:line="246" w:lineRule="auto"/>
        <w:tabs>
          <w:tab w:leader="none" w:pos="182"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MAINTENANCE. During the Term, Brocade will maintain all HP Equipment in good operating order and condition. All maintenance must be provided by personnel authorized by HP. HP will provide standard installation, support and maintenance for the HP Equipment [*] to Brocade during the Term; however, [*] due to Brocade's negligence will be borne by Brocade. Brocade will be responsible for providing HP personnel ready and safe access to the HP Equipment for such maintenance and support.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RISK OF LOSS. Brocade will bear [*] risk of loss with respect to the</w:t>
      </w:r>
    </w:p>
    <w:p>
      <w:pPr>
        <w:spacing w:after="0" w:line="5" w:lineRule="exact"/>
        <w:rPr>
          <w:sz w:val="20"/>
          <w:szCs w:val="20"/>
          <w:color w:val="auto"/>
        </w:rPr>
      </w:pPr>
    </w:p>
    <w:p>
      <w:pPr>
        <w:ind w:left="727" w:right="2959"/>
        <w:spacing w:after="0" w:line="246" w:lineRule="auto"/>
        <w:rPr>
          <w:sz w:val="20"/>
          <w:szCs w:val="20"/>
          <w:color w:val="auto"/>
        </w:rPr>
      </w:pPr>
      <w:r>
        <w:rPr>
          <w:rFonts w:ascii="Courier New" w:cs="Courier New" w:eastAsia="Courier New" w:hAnsi="Courier New"/>
          <w:sz w:val="15"/>
          <w:szCs w:val="15"/>
          <w:color w:val="auto"/>
        </w:rPr>
        <w:t>HP Equipment from receipt until such HP Equipment is returned to HP. All HP Equipment returned to HP must include the same components as received by Brocade, and must be in good operating order and condition. Charges may be imposed by HP if Brocade fails to return the HP Equipment in such condition or within the return timeframe set forth herein.</w:t>
      </w:r>
    </w:p>
    <w:p>
      <w:pPr>
        <w:spacing w:after="0" w:line="178" w:lineRule="exact"/>
        <w:rPr>
          <w:sz w:val="20"/>
          <w:szCs w:val="20"/>
          <w:color w:val="auto"/>
        </w:rPr>
      </w:pPr>
    </w:p>
    <w:p>
      <w:pPr>
        <w:ind w:left="727" w:right="3219" w:hanging="727"/>
        <w:spacing w:after="0" w:line="247" w:lineRule="auto"/>
        <w:tabs>
          <w:tab w:leader="none" w:pos="182"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SHIPPING COSTS. Unless otherwise agreed in writing by HP, Brocade will be responsible for and pay [*] with respect to the delivery or return of any HP Equipment hereunder.</w:t>
      </w:r>
    </w:p>
    <w:p>
      <w:pPr>
        <w:spacing w:after="0" w:line="174" w:lineRule="exact"/>
        <w:rPr>
          <w:rFonts w:ascii="Courier New" w:cs="Courier New" w:eastAsia="Courier New" w:hAnsi="Courier New"/>
          <w:sz w:val="15"/>
          <w:szCs w:val="15"/>
          <w:color w:val="auto"/>
        </w:rPr>
      </w:pPr>
    </w:p>
    <w:p>
      <w:pPr>
        <w:ind w:left="727" w:right="2959" w:hanging="727"/>
        <w:spacing w:after="0" w:line="246" w:lineRule="auto"/>
        <w:tabs>
          <w:tab w:leader="none" w:pos="182"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LIMITATION OF LIABILITY. HP WILL NOT BE LIABLE FOR ANY DIRECT, INDIRECT, SPECIAL, INCIDENTAL OR CONSEQUENTIAL DAMAGES, WHETHER BASED ON CONTRACT, TORT, OR ANY OTHER LEGAL THEORY, ARISING OUT OF THIS EQUIPMENT LOAN AGREEMENT OR BROCADE'S USE OF THE HP EQUIPMENT.</w:t>
      </w:r>
    </w:p>
    <w:p>
      <w:pPr>
        <w:spacing w:after="0" w:line="177" w:lineRule="exact"/>
        <w:rPr>
          <w:rFonts w:ascii="Courier New" w:cs="Courier New" w:eastAsia="Courier New" w:hAnsi="Courier New"/>
          <w:sz w:val="15"/>
          <w:szCs w:val="15"/>
          <w:color w:val="auto"/>
        </w:rPr>
      </w:pPr>
    </w:p>
    <w:p>
      <w:pPr>
        <w:ind w:left="727" w:right="3039" w:hanging="727"/>
        <w:spacing w:after="0" w:line="246" w:lineRule="auto"/>
        <w:tabs>
          <w:tab w:leader="none" w:pos="182"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TERMINATION. Upon expiration or earlier termination of the Term, Brocade will return to HP all HP Equipment within [*]. HP may permit Brocade to purchase certain items of the HP Equipment upon termination under the purchase terms set forth below. In the event that Brocade is permitted to purchase any of the HP Equipment and fails to return that Equipment to HP upon expiration of the Term within such [*] period, Brocade will be deemed to have elected to purchase the LIP Equipment, and HP will invoice Brocade accordingly.</w:t>
      </w:r>
    </w:p>
    <w:p>
      <w:pPr>
        <w:spacing w:after="0" w:line="179" w:lineRule="exact"/>
        <w:rPr>
          <w:rFonts w:ascii="Courier New" w:cs="Courier New" w:eastAsia="Courier New" w:hAnsi="Courier New"/>
          <w:sz w:val="15"/>
          <w:szCs w:val="15"/>
          <w:color w:val="auto"/>
        </w:rPr>
      </w:pPr>
    </w:p>
    <w:p>
      <w:pPr>
        <w:ind w:left="727" w:right="2959" w:hanging="727"/>
        <w:spacing w:after="0" w:line="246" w:lineRule="auto"/>
        <w:tabs>
          <w:tab w:leader="none" w:pos="182"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PURCHASE OPTION. If HP permits Brocade to purchase any of the HP Equipment, Brocade may elect to purchase those items of the HP Equipment Under HP's then current standard terms and conditions. Upon purchase, such HP Equipment will be provided with HP's then current standard warranty provisions for used equipment. The purchase price for HP Equipment purchased under tills Section will be [*]. No other promotional or purchase discounts will apply. Such purchase will not quality for any stock rotation or price protection under any other agreement which Brocade may have with HP.</w:t>
      </w:r>
    </w:p>
    <w:p>
      <w:pPr>
        <w:spacing w:after="0" w:line="180"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PROVISIONS.</w:t>
      </w:r>
    </w:p>
    <w:p>
      <w:pPr>
        <w:spacing w:after="0" w:line="179" w:lineRule="exact"/>
        <w:rPr>
          <w:rFonts w:ascii="Courier New" w:cs="Courier New" w:eastAsia="Courier New" w:hAnsi="Courier New"/>
          <w:sz w:val="15"/>
          <w:szCs w:val="15"/>
          <w:color w:val="auto"/>
        </w:rPr>
      </w:pPr>
    </w:p>
    <w:p>
      <w:pPr>
        <w:ind w:left="1087" w:right="2959" w:hanging="360"/>
        <w:spacing w:after="0" w:line="246" w:lineRule="auto"/>
        <w:tabs>
          <w:tab w:leader="none" w:pos="1359"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to be given under this Agreement must be in writing and addressed to the location specified in the Master Agreement or as designated in the opening paragraph of this Agreement if there is no Master Agreement. Notices are validly given upon the earlier of confirmed receipt by the receiving party or three days after dispatch by courier or certified mail, postage prepaid, properly addressed to the receiving party. Notices may also be delivered by telefax and will be validly given upon oral or written confirmation of receipt. Either party may change its address for purposes of notice by giving notice to the other party in accordance with these provisions.</w:t>
      </w:r>
    </w:p>
    <w:p>
      <w:pPr>
        <w:spacing w:after="0" w:line="181" w:lineRule="exact"/>
        <w:rPr>
          <w:rFonts w:ascii="Courier New" w:cs="Courier New" w:eastAsia="Courier New" w:hAnsi="Courier New"/>
          <w:sz w:val="15"/>
          <w:szCs w:val="15"/>
          <w:color w:val="auto"/>
        </w:rPr>
      </w:pPr>
    </w:p>
    <w:p>
      <w:pPr>
        <w:ind w:left="1087" w:right="2959" w:hanging="360"/>
        <w:spacing w:after="0" w:line="246" w:lineRule="auto"/>
        <w:tabs>
          <w:tab w:leader="none" w:pos="1359"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Assignment. Neither this Agreement nor any right, privilege, license or obligation set forth herein may, be assigned, transferred or shared by Brocade without HP's prior written consent, and any such attempted assignment or transfer is void. Any merger, consolidation, reorganization, transfer of substantially all assets of Brocade or other change in control or ownership of Brocade will be considered an assignment for the purposes of this Agreement.</w:t>
      </w:r>
    </w:p>
    <w:p>
      <w:pPr>
        <w:spacing w:after="0" w:line="179" w:lineRule="exact"/>
        <w:rPr>
          <w:rFonts w:ascii="Courier New" w:cs="Courier New" w:eastAsia="Courier New" w:hAnsi="Courier New"/>
          <w:sz w:val="15"/>
          <w:szCs w:val="15"/>
          <w:color w:val="auto"/>
        </w:rPr>
      </w:pPr>
    </w:p>
    <w:p>
      <w:pPr>
        <w:ind w:left="1087" w:right="3039" w:hanging="360"/>
        <w:spacing w:after="0" w:line="247" w:lineRule="auto"/>
        <w:tabs>
          <w:tab w:leader="none" w:pos="1359"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attached Exhibits comprise tile entire understanding between the parties with respect to its subject matter and supersede any previous communications,</w:t>
      </w:r>
    </w:p>
    <w:p>
      <w:pPr>
        <w:spacing w:after="0" w:line="349" w:lineRule="exact"/>
        <w:rPr>
          <w:sz w:val="20"/>
          <w:szCs w:val="20"/>
          <w:color w:val="auto"/>
        </w:rPr>
      </w:pPr>
    </w:p>
    <w:p>
      <w:pPr>
        <w:ind w:left="447" w:right="2959" w:hanging="447"/>
        <w:spacing w:after="0" w:line="247" w:lineRule="auto"/>
        <w:tabs>
          <w:tab w:leader="none" w:pos="447"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2 of 8</w:t>
      </w:r>
    </w:p>
    <w:p>
      <w:pPr>
        <w:sectPr>
          <w:pgSz w:w="11900" w:h="16838" w:orient="portrait"/>
          <w:cols w:equalWidth="0" w:num="1">
            <w:col w:w="10226"/>
          </w:cols>
          <w:pgMar w:left="233" w:top="643" w:right="1440" w:bottom="1440" w:gutter="0" w:footer="0" w:header="0"/>
        </w:sectPr>
      </w:pPr>
    </w:p>
    <w:bookmarkStart w:id="223" w:name="page224"/>
    <w:bookmarkEnd w:id="223"/>
    <w:p>
      <w:pPr>
        <w:ind w:left="1080" w:right="2959"/>
        <w:spacing w:after="0" w:line="246" w:lineRule="auto"/>
        <w:rPr>
          <w:sz w:val="20"/>
          <w:szCs w:val="20"/>
          <w:color w:val="auto"/>
        </w:rPr>
      </w:pPr>
      <w:r>
        <w:rPr>
          <w:rFonts w:ascii="Courier New" w:cs="Courier New" w:eastAsia="Courier New" w:hAnsi="Courier New"/>
          <w:sz w:val="15"/>
          <w:szCs w:val="15"/>
          <w:color w:val="auto"/>
        </w:rPr>
        <w:t>representations, or agreements, whether oral or written. No modification of this Agreement will be binding on either party unless in writing and signed by an authorized representative of each party.</w:t>
      </w:r>
    </w:p>
    <w:p>
      <w:pPr>
        <w:spacing w:after="0" w:line="177" w:lineRule="exact"/>
        <w:rPr>
          <w:sz w:val="20"/>
          <w:szCs w:val="20"/>
          <w:color w:val="auto"/>
        </w:rPr>
      </w:pPr>
    </w:p>
    <w:p>
      <w:pPr>
        <w:ind w:left="1080" w:right="2959" w:hanging="360"/>
        <w:spacing w:after="0" w:line="246" w:lineRule="auto"/>
        <w:tabs>
          <w:tab w:leader="none" w:pos="1353"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will be governed in all respects by the laws of the State of California without reference to any choice of laws provisions, as though this Agreement were entered into by residents of that State to be wholly performed within that State. The parties hereby waive any application of the United Nations Convention on Contracts for the International Sale of Goods (as promulgated in 1980 and any successor or subsequent conventions) with respect to the performance or interpretation of this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AND AGREED:</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5" w:lineRule="exact"/>
        <w:rPr>
          <w:sz w:val="20"/>
          <w:szCs w:val="20"/>
          <w:color w:val="auto"/>
        </w:rPr>
      </w:pPr>
    </w:p>
    <w:p>
      <w:pPr>
        <w:sectPr>
          <w:pgSz w:w="11900" w:h="16838" w:orient="portrait"/>
          <w:cols w:equalWidth="0" w:num="2">
            <w:col w:w="3900" w:space="720"/>
            <w:col w:w="5599"/>
          </w:cols>
          <w:pgMar w:left="240" w:top="643" w:right="1440" w:bottom="1440" w:gutter="0" w:footer="0" w:header="0"/>
          <w:type w:val="continuous"/>
        </w:sectPr>
      </w:pPr>
    </w:p>
    <w:p>
      <w:pPr>
        <w:ind w:left="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3"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Charles Smith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Martin D. King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260" w:space="100"/>
            <w:col w:w="3540" w:space="720"/>
            <w:col w:w="559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Print Name: Charles Smith</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Print Name: Martin D. King</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900" w:space="720"/>
            <w:col w:w="559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 VP, Worldwide Sales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 Functional Manager</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SNS Solutions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Development Organization</w:t>
      </w:r>
    </w:p>
    <w:p>
      <w:pPr>
        <w:spacing w:after="0" w:line="200" w:lineRule="exact"/>
        <w:rPr>
          <w:sz w:val="20"/>
          <w:szCs w:val="20"/>
          <w:color w:val="auto"/>
        </w:rPr>
      </w:pPr>
    </w:p>
    <w:p>
      <w:pPr>
        <w:sectPr>
          <w:pgSz w:w="11900" w:h="16838" w:orient="portrait"/>
          <w:cols w:equalWidth="0" w:num="2">
            <w:col w:w="3900" w:space="720"/>
            <w:col w:w="5599"/>
          </w:cols>
          <w:pgMar w:left="240" w:top="643" w:right="1440" w:bottom="1440" w:gutter="0" w:footer="0" w:header="0"/>
          <w:type w:val="continuous"/>
        </w:sectPr>
      </w:pPr>
    </w:p>
    <w:p>
      <w:pPr>
        <w:spacing w:after="0" w:line="1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 of 8</w:t>
      </w:r>
    </w:p>
    <w:p>
      <w:pPr>
        <w:sectPr>
          <w:pgSz w:w="11900" w:h="16838" w:orient="portrait"/>
          <w:cols w:equalWidth="0" w:num="1">
            <w:col w:w="10219"/>
          </w:cols>
          <w:pgMar w:left="240" w:top="643" w:right="1440" w:bottom="1440" w:gutter="0" w:footer="0" w:header="0"/>
          <w:type w:val="continuous"/>
        </w:sectPr>
      </w:pPr>
    </w:p>
    <w:bookmarkStart w:id="224" w:name="page225"/>
    <w:bookmarkEnd w:id="224"/>
    <w:p>
      <w:pPr>
        <w:jc w:val="center"/>
        <w:ind w:right="2872"/>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HP EQUIPMENT SCHEDULE</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HARDWARE</w:t>
            </w:r>
          </w:p>
        </w:tc>
        <w:tc>
          <w:tcPr>
            <w:tcW w:w="20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99"/>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24"/>
                <w:szCs w:val="24"/>
                <w:color w:val="auto"/>
              </w:rPr>
            </w:pP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spacing w:after="0"/>
              <w:rPr>
                <w:sz w:val="15"/>
                <w:szCs w:val="15"/>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524"/>
        </w:trPr>
        <w:tc>
          <w:tcPr>
            <w:tcW w:w="94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2000" w:type="dxa"/>
            <w:vAlign w:val="bottom"/>
          </w:tcPr>
          <w:p>
            <w:pPr>
              <w:spacing w:after="0"/>
              <w:rPr>
                <w:sz w:val="24"/>
                <w:szCs w:val="24"/>
                <w:color w:val="auto"/>
              </w:rPr>
            </w:pPr>
          </w:p>
        </w:tc>
        <w:tc>
          <w:tcPr>
            <w:tcW w:w="2640" w:type="dxa"/>
            <w:vAlign w:val="bottom"/>
          </w:tcPr>
          <w:p>
            <w:pPr>
              <w:ind w:left="1320"/>
              <w:spacing w:after="0"/>
              <w:rPr>
                <w:sz w:val="20"/>
                <w:szCs w:val="20"/>
                <w:color w:val="auto"/>
              </w:rPr>
            </w:pPr>
            <w:r>
              <w:rPr>
                <w:rFonts w:ascii="Courier New" w:cs="Courier New" w:eastAsia="Courier New" w:hAnsi="Courier New"/>
                <w:sz w:val="15"/>
                <w:szCs w:val="15"/>
                <w:color w:val="auto"/>
              </w:rPr>
              <w:t>LICENSE TYPE</w:t>
            </w:r>
          </w:p>
        </w:tc>
        <w:tc>
          <w:tcPr>
            <w:tcW w:w="1420" w:type="dxa"/>
            <w:vAlign w:val="bottom"/>
          </w:tcPr>
          <w:p>
            <w:pPr>
              <w:spacing w:after="0"/>
              <w:rPr>
                <w:sz w:val="24"/>
                <w:szCs w:val="24"/>
                <w:color w:val="auto"/>
              </w:rPr>
            </w:pPr>
          </w:p>
        </w:tc>
      </w:tr>
      <w:tr>
        <w:trPr>
          <w:trHeight w:val="350"/>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24"/>
                <w:szCs w:val="24"/>
                <w:color w:val="auto"/>
              </w:rPr>
            </w:pPr>
          </w:p>
        </w:tc>
        <w:tc>
          <w:tcPr>
            <w:tcW w:w="406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See attached License Agreement</w:t>
            </w:r>
          </w:p>
        </w:tc>
      </w:tr>
      <w:tr>
        <w:trPr>
          <w:trHeight w:val="175"/>
        </w:trPr>
        <w:tc>
          <w:tcPr>
            <w:tcW w:w="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DOCUMENTATION</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LOCATION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1745 Technology Drive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San Jose, Ca 95110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ACKNOWLEDGED:</w:t>
      </w:r>
    </w:p>
    <w:p>
      <w:pPr>
        <w:sectPr>
          <w:pgSz w:w="11900" w:h="16838" w:orient="portrait"/>
          <w:cols w:equalWidth="0" w:num="1">
            <w:col w:w="10226"/>
          </w:cols>
          <w:pgMar w:left="233" w:top="468"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HEWLETT-PACKARD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w:t>
      </w:r>
    </w:p>
    <w:p>
      <w:pPr>
        <w:spacing w:after="0" w:line="200" w:lineRule="exact"/>
        <w:rPr>
          <w:sz w:val="20"/>
          <w:szCs w:val="20"/>
          <w:color w:val="auto"/>
        </w:rPr>
      </w:pPr>
    </w:p>
    <w:p>
      <w:pPr>
        <w:sectPr>
          <w:pgSz w:w="11900" w:h="16838" w:orient="portrait"/>
          <w:cols w:equalWidth="0" w:num="2">
            <w:col w:w="3187" w:space="720"/>
            <w:col w:w="6319"/>
          </w:cols>
          <w:pgMar w:left="233" w:top="468"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 Raskin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Jay Rafati</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267" w:space="180"/>
            <w:col w:w="2740" w:space="720"/>
            <w:col w:w="6319"/>
          </w:cols>
          <w:pgMar w:left="233" w:top="468"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Print: Ken Raskin</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Print: Jay Rafati</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187" w:space="720"/>
            <w:col w:w="6319"/>
          </w:cols>
          <w:pgMar w:left="233" w:top="468"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Title: R&amp;D Project Manager</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039"/>
        <w:spacing w:after="0"/>
        <w:rPr>
          <w:sz w:val="20"/>
          <w:szCs w:val="20"/>
          <w:color w:val="auto"/>
        </w:rPr>
      </w:pPr>
      <w:r>
        <w:rPr>
          <w:rFonts w:ascii="Courier New" w:cs="Courier New" w:eastAsia="Courier New" w:hAnsi="Courier New"/>
          <w:sz w:val="15"/>
          <w:szCs w:val="15"/>
          <w:color w:val="auto"/>
        </w:rPr>
        <w:t>Title: SAN Solutions Project Manager</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187" w:space="720"/>
            <w:col w:w="6319"/>
          </w:cols>
          <w:pgMar w:left="233" w:top="468" w:right="1440" w:bottom="1440" w:gutter="0" w:footer="0" w:header="0"/>
          <w:type w:val="continuous"/>
        </w:sectPr>
      </w:pPr>
    </w:p>
    <w:p>
      <w:pPr>
        <w:spacing w:after="0" w:line="329" w:lineRule="exact"/>
        <w:rPr>
          <w:sz w:val="20"/>
          <w:szCs w:val="20"/>
          <w:color w:val="auto"/>
        </w:rPr>
      </w:pPr>
    </w:p>
    <w:p>
      <w:pPr>
        <w:ind w:left="447" w:right="2959" w:hanging="447"/>
        <w:spacing w:after="0" w:line="247" w:lineRule="auto"/>
        <w:tabs>
          <w:tab w:leader="none" w:pos="447"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4 of 8</w:t>
      </w:r>
    </w:p>
    <w:p>
      <w:pPr>
        <w:sectPr>
          <w:pgSz w:w="11900" w:h="16838" w:orient="portrait"/>
          <w:cols w:equalWidth="0" w:num="1">
            <w:col w:w="10226"/>
          </w:cols>
          <w:pgMar w:left="233" w:top="468" w:right="1440" w:bottom="1440" w:gutter="0" w:footer="0" w:header="0"/>
          <w:type w:val="continuous"/>
        </w:sectPr>
      </w:pPr>
    </w:p>
    <w:bookmarkStart w:id="225" w:name="page226"/>
    <w:bookmarkEnd w:id="225"/>
    <w:p>
      <w:pPr>
        <w:jc w:val="center"/>
        <w:ind w:right="407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HP SOFTWARE LICENSE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Page 5 of 8</w:t>
      </w:r>
    </w:p>
    <w:p>
      <w:pPr>
        <w:sectPr>
          <w:pgSz w:w="11900" w:h="16838" w:orient="portrait"/>
          <w:cols w:equalWidth="0" w:num="1">
            <w:col w:w="9019"/>
          </w:cols>
          <w:pgMar w:left="1440" w:top="642" w:right="1440" w:bottom="1440" w:gutter="0" w:footer="0" w:header="0"/>
        </w:sectPr>
      </w:pPr>
    </w:p>
    <w:bookmarkStart w:id="226" w:name="page227"/>
    <w:bookmarkEnd w:id="226"/>
    <w:p>
      <w:pPr>
        <w:ind w:left="2447"/>
        <w:spacing w:after="0"/>
        <w:rPr>
          <w:sz w:val="20"/>
          <w:szCs w:val="20"/>
          <w:color w:val="auto"/>
        </w:rPr>
      </w:pPr>
      <w:r>
        <w:rPr>
          <w:rFonts w:ascii="Courier New" w:cs="Courier New" w:eastAsia="Courier New" w:hAnsi="Courier New"/>
          <w:sz w:val="15"/>
          <w:szCs w:val="15"/>
          <w:color w:val="auto"/>
        </w:rPr>
        <w:t>HP EQUIPMENT LOAN AGREEMENT</w:t>
      </w:r>
    </w:p>
    <w:p>
      <w:pPr>
        <w:spacing w:after="0" w:line="5" w:lineRule="exact"/>
        <w:rPr>
          <w:sz w:val="20"/>
          <w:szCs w:val="20"/>
          <w:color w:val="auto"/>
        </w:rPr>
      </w:pPr>
    </w:p>
    <w:p>
      <w:pPr>
        <w:ind w:left="187" w:hanging="187"/>
        <w:spacing w:after="0"/>
        <w:tabs>
          <w:tab w:leader="none" w:pos="187"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UPON PURCHASE OF AND PAYMENT FOR THE SOFTWARE LICENSE, USE OF THE SOFTWARE IS SUBJECT TO THE HP SOFTWARE LICENSE TERMS SET FORTH BELOW, USING THE SOFTWARE INDICATES YOUR ACCEPTANCE OF THESE LICENSE TERMS. IF YOU DO NOT ACCEPT THESE LICENSE TERMS, YOU MAY RETURN THE SOFTWARE FOR A FULL REFUND. IF THE SOFTWARE IS BUNDLED WITH ANOTHER PRODUCT, YOU MAY RETURN THE ENTIRE UNUSED PRODUCT FOR A FULL REFUND.</w:t>
      </w:r>
    </w:p>
    <w:p>
      <w:pPr>
        <w:spacing w:after="0" w:line="178"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HP SOFTWARE LICENSE TERMS</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Upon purchase of and payment for the appropriate software license, the following License Terms govern your use of the accompanying Software unless you have a separate written agreement with HP.</w:t>
      </w:r>
    </w:p>
    <w:p>
      <w:pPr>
        <w:spacing w:after="0" w:line="17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LICENSE GRANT. HP grants you a license to Use one copy of the Software. "Use" means storing, loading, installing, executing or displaying the Software. You may not modify the Software or disable any licensing, or control features of the Software. If the Software is licensed for "concurrent use", you may not allow more than the maximum number of authorized users to Use the Software concurrently. Additional license restrictions if any, for HP OpenView products are contained in "Additional License Restrictions" as attached.</w:t>
      </w:r>
    </w:p>
    <w:p>
      <w:pPr>
        <w:spacing w:after="0" w:line="179"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OWNERSHIP. The Software is owned and copyrighted by HP or its third party suppliers. Your license confers no title to, or ownership in, the software and is not a sale of any rights in the Software. HP's third party suppliers may protect their rights in the event of any violation of these License Terms.</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COPIES AND ADAPTATION. You may only make copies or adaptations of the Software for archival purposes or when copying or adaptation is an essential step in the authorized Use of the Software. You must reproduce all copyright notices in the original Software on all copies or adaptations. You may not copy the Software onto any public network.</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NO DISASSEMBLY OR DECRYPTION. You may not disassemble or decompile the Software unless HP's prior written consent is obtained. In some jurisdictions, HP's consent may not be required for limited disassembly or decompilation. Upon request, you will provide HP with reasonably detailed information regarding any disassembly or decompilation. You may not decrypt the Software unless decryption is a necessary part of the operation of the Software.</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TRANSFER. Your license will automatically terminate upon any transfer of the Software. Upon transfer, you must deliver the Software, including any copies and related documentation, to the transferee. The transferee must accept these License Terms as a condition to the transfer.</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TERMINATION. HP may terminate your license upon notice for failure to comply with any of these License Terms. Upon termination, you must immediately destroy the Software, together with all copies, adaptations and merged portions in any form.</w:t>
      </w:r>
    </w:p>
    <w:p>
      <w:pPr>
        <w:spacing w:after="0" w:line="177"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EXPORT REQUIREMENTS. You may not export or re-export the Software or any copy or adaptation in violation of any applicable laws or regulations.</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U.S. GOVERNMENT RESTRICTED RIGHT. The Software and Documentation have been developed entirely at private expense. They are delivered and licensed as "commercial computer software" as defined in DFARS 252.227-7013 (Oct 1988), DFARS 252.211-7015 (May 1991) or DFARS 252.227-7014 (Jun 1995), as a "commercial item" as defined in FAR 2.101 (a), or as "Restricted computer software" as defined in FAR 52.227-19 (Jun 1987) (or any equivalent agency regulation or contract clause), whichever is applicable. You have only those rights provided for such Software and Documentation by the applicable FAR or DFARS clause or the HP standard software agreement for the product involved.</w:t>
      </w:r>
    </w:p>
    <w:p>
      <w:pPr>
        <w:spacing w:after="0" w:line="200" w:lineRule="exact"/>
        <w:rPr>
          <w:sz w:val="20"/>
          <w:szCs w:val="20"/>
          <w:color w:val="auto"/>
        </w:rPr>
      </w:pPr>
    </w:p>
    <w:p>
      <w:pPr>
        <w:spacing w:after="0" w:line="33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6 of 8</w:t>
      </w:r>
    </w:p>
    <w:p>
      <w:pPr>
        <w:sectPr>
          <w:pgSz w:w="11900" w:h="16838" w:orient="portrait"/>
          <w:cols w:equalWidth="0" w:num="1">
            <w:col w:w="10226"/>
          </w:cols>
          <w:pgMar w:left="233" w:top="817" w:right="1440" w:bottom="1440" w:gutter="0" w:footer="0" w:header="0"/>
        </w:sectPr>
      </w:pPr>
    </w:p>
    <w:bookmarkStart w:id="227" w:name="page228"/>
    <w:bookmarkEnd w:id="227"/>
    <w:p>
      <w:pPr>
        <w:ind w:left="7"/>
        <w:spacing w:after="0"/>
        <w:rPr>
          <w:sz w:val="20"/>
          <w:szCs w:val="20"/>
          <w:color w:val="auto"/>
        </w:rPr>
      </w:pPr>
      <w:r>
        <w:rPr>
          <w:rFonts w:ascii="Courier New" w:cs="Courier New" w:eastAsia="Courier New" w:hAnsi="Courier New"/>
          <w:sz w:val="15"/>
          <w:szCs w:val="15"/>
          <w:color w:val="auto"/>
        </w:rPr>
        <w:t>ADDITIONAL LICENSE RESTRICTIONS FOR HP OPENVIEW STORAGE AREA MANAGER SOFTWARE</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You are granted the right to install and use the Software for management of your SAN in accordance with the storage based licensing policy. You are only granted the right to manage as much storage as your license allows (specified in your HP Entitlement Certificate). Exceeding that limit is a violation of this license agreement.</w:t>
      </w:r>
    </w:p>
    <w:p>
      <w:pPr>
        <w:spacing w:after="0" w:line="178"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ADDITIONAL LICENSE RESTRICTIONS FOR ANY EMBEDDED HP-UX RUNTIME ENVIRONMENT FOR</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JAVA SOFTWARE</w:t>
      </w:r>
    </w:p>
    <w:p>
      <w:pPr>
        <w:spacing w:after="0" w:line="180" w:lineRule="exact"/>
        <w:rPr>
          <w:sz w:val="20"/>
          <w:szCs w:val="20"/>
          <w:color w:val="auto"/>
        </w:rPr>
      </w:pPr>
    </w:p>
    <w:p>
      <w:pPr>
        <w:ind w:left="7" w:right="2959" w:hanging="7"/>
        <w:spacing w:after="0" w:line="246" w:lineRule="auto"/>
        <w:tabs>
          <w:tab w:leader="none" w:pos="189"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to Distribute HP-UX Runtime Environment for Java (tm). You are granted a royalty-free right to reproduce and distribute the HP-UX Runtime Environment for Java provided that you distribute the HP-UX Runtime Environment for Java complete and unmodified, only as a part of, and for the sole purpose of running your Java compatible applet or application into which the HP-UX Runtime Environment for Java is incorporated.</w:t>
      </w:r>
    </w:p>
    <w:p>
      <w:pPr>
        <w:spacing w:after="0" w:line="178" w:lineRule="exact"/>
        <w:rPr>
          <w:rFonts w:ascii="Courier New" w:cs="Courier New" w:eastAsia="Courier New" w:hAnsi="Courier New"/>
          <w:sz w:val="15"/>
          <w:szCs w:val="15"/>
          <w:color w:val="auto"/>
        </w:rPr>
      </w:pPr>
    </w:p>
    <w:p>
      <w:pPr>
        <w:ind w:left="7" w:right="2959" w:hanging="7"/>
        <w:spacing w:after="0" w:line="246" w:lineRule="auto"/>
        <w:tabs>
          <w:tab w:leader="none" w:pos="189"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Java Platform Interface. Licensee may not modify the Java Platform Interface ("JPI," identified as classes contained within the "java" package or any subpackages of the "java" package), by creating additional classes within the JPI or otherwise causing the addition to or modification of the classes in the JPI. In the event that Licensee creates any Java-related API and distributes such API to others for applet or application development, Licensee must promptly publish broadly, an accurate specification for such API for free use by all developers of Java-based software.</w:t>
      </w:r>
    </w:p>
    <w:p>
      <w:pPr>
        <w:spacing w:after="0" w:line="179" w:lineRule="exact"/>
        <w:rPr>
          <w:rFonts w:ascii="Courier New" w:cs="Courier New" w:eastAsia="Courier New" w:hAnsi="Courier New"/>
          <w:sz w:val="15"/>
          <w:szCs w:val="15"/>
          <w:color w:val="auto"/>
        </w:rPr>
      </w:pPr>
    </w:p>
    <w:p>
      <w:pPr>
        <w:ind w:left="7" w:right="3039" w:hanging="7"/>
        <w:spacing w:after="0" w:line="246" w:lineRule="auto"/>
        <w:tabs>
          <w:tab w:leader="none" w:pos="189"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the Software is not designed or intended for use in on-line control of aircraft, air traffic, aircraft navigation, or aircraft communications; or in the design, construction, operation or maintenance of any nuclear facility. HP disclaims any express or implied warranty of fitness for such uses.</w:t>
      </w:r>
    </w:p>
    <w:p>
      <w:pPr>
        <w:spacing w:after="0" w:line="177" w:lineRule="exact"/>
        <w:rPr>
          <w:rFonts w:ascii="Courier New" w:cs="Courier New" w:eastAsia="Courier New" w:hAnsi="Courier New"/>
          <w:sz w:val="15"/>
          <w:szCs w:val="15"/>
          <w:color w:val="auto"/>
        </w:rPr>
      </w:pPr>
    </w:p>
    <w:p>
      <w:pPr>
        <w:ind w:left="7" w:right="3039" w:hanging="7"/>
        <w:spacing w:after="0" w:line="246" w:lineRule="auto"/>
        <w:tabs>
          <w:tab w:leader="none" w:pos="189"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make the HP-UX Runtime Environment for Java accessible to application programs developed by you provided that the programs allow such access only through the Invocation Interface specified and provided that you shall not expose or document other interfaces that permit access to such HP-UX Runtime Environment for Java. You shall not be restricted hereunder from exposing or documenting interfaces to software components that use or access the HP-UX Runtime Environment for Java.</w:t>
      </w:r>
    </w:p>
    <w:p>
      <w:pPr>
        <w:spacing w:after="0" w:line="200" w:lineRule="exact"/>
        <w:rPr>
          <w:sz w:val="20"/>
          <w:szCs w:val="20"/>
          <w:color w:val="auto"/>
        </w:rPr>
      </w:pPr>
    </w:p>
    <w:p>
      <w:pPr>
        <w:spacing w:after="0" w:line="32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7 of 8</w:t>
      </w:r>
    </w:p>
    <w:p>
      <w:pPr>
        <w:sectPr>
          <w:pgSz w:w="11900" w:h="16838" w:orient="portrait"/>
          <w:cols w:equalWidth="0" w:num="1">
            <w:col w:w="10226"/>
          </w:cols>
          <w:pgMar w:left="233" w:top="817" w:right="1440" w:bottom="1440" w:gutter="0" w:footer="0" w:header="0"/>
        </w:sectPr>
      </w:pPr>
    </w:p>
    <w:bookmarkStart w:id="228" w:name="page229"/>
    <w:bookmarkEnd w:id="228"/>
    <w:p>
      <w:pPr>
        <w:ind w:left="1827"/>
        <w:spacing w:after="0"/>
        <w:rPr>
          <w:sz w:val="20"/>
          <w:szCs w:val="20"/>
          <w:color w:val="auto"/>
        </w:rPr>
      </w:pPr>
      <w:r>
        <w:rPr>
          <w:rFonts w:ascii="Courier New" w:cs="Courier New" w:eastAsia="Courier New" w:hAnsi="Courier New"/>
          <w:sz w:val="15"/>
          <w:szCs w:val="15"/>
          <w:color w:val="auto"/>
        </w:rPr>
        <w:t>HP OPENVIEW STORAGE AREA MANAGER SOFTWARE</w:t>
      </w:r>
    </w:p>
    <w:p>
      <w:pPr>
        <w:spacing w:after="0" w:line="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LIMITED WARRANTY STATEMENT</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limited warranty: 90 clays from date of purchase.</w:t>
      </w:r>
    </w:p>
    <w:p>
      <w:pPr>
        <w:spacing w:after="0" w:line="179" w:lineRule="exact"/>
        <w:rPr>
          <w:rFonts w:ascii="Courier New" w:cs="Courier New" w:eastAsia="Courier New" w:hAnsi="Courier New"/>
          <w:sz w:val="15"/>
          <w:szCs w:val="15"/>
          <w:color w:val="auto"/>
        </w:rPr>
      </w:pPr>
    </w:p>
    <w:p>
      <w:pPr>
        <w:ind w:left="7" w:right="3139" w:hanging="7"/>
        <w:spacing w:after="0" w:line="246" w:lineRule="auto"/>
        <w:tabs>
          <w:tab w:leader="none" w:pos="189"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warrants to you, the end customer, that the media upon which this product is recorded will be free from defects in materials and workmanship after the date of purchase for the period specified above. If HP receives notice of such defects during; the warranty period, HP will, at its option, either repair or replace products which prove to be defective.</w:t>
      </w:r>
    </w:p>
    <w:p>
      <w:pPr>
        <w:spacing w:after="0" w:line="177" w:lineRule="exact"/>
        <w:rPr>
          <w:rFonts w:ascii="Courier New" w:cs="Courier New" w:eastAsia="Courier New" w:hAnsi="Courier New"/>
          <w:sz w:val="15"/>
          <w:szCs w:val="15"/>
          <w:color w:val="auto"/>
        </w:rPr>
      </w:pPr>
    </w:p>
    <w:p>
      <w:pPr>
        <w:ind w:left="7" w:right="3039" w:hanging="7"/>
        <w:spacing w:after="0" w:line="246" w:lineRule="auto"/>
        <w:tabs>
          <w:tab w:leader="none" w:pos="189"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warrants to you that the Software will not fail to execute its programming instructions after the date of purchase, for the period specified above, due to defects in materials and workmanship when properly installed and used. If HP receives notice of such defects during the warranty period, HP will replace Software which does not execute its programming instructions due to such defects.</w:t>
      </w:r>
    </w:p>
    <w:p>
      <w:pPr>
        <w:spacing w:after="0" w:line="178" w:lineRule="exact"/>
        <w:rPr>
          <w:rFonts w:ascii="Courier New" w:cs="Courier New" w:eastAsia="Courier New" w:hAnsi="Courier New"/>
          <w:sz w:val="15"/>
          <w:szCs w:val="15"/>
          <w:color w:val="auto"/>
        </w:rPr>
      </w:pPr>
    </w:p>
    <w:p>
      <w:pPr>
        <w:ind w:left="7" w:right="2959" w:hanging="7"/>
        <w:spacing w:after="0" w:line="246" w:lineRule="auto"/>
        <w:tabs>
          <w:tab w:leader="none" w:pos="189"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does not warrant that the operation of HP products will be uninterrupted or error free. If HP is unable, within a reasonable time, to repair or replace any product to a condition warranted, you will be entitled to a refund of the purchase price upon prompt return of the product. Alternatively, in the case of HP Software, you will be entitled to a refund of the purchase price upon prompt delivery to HP of written notice from you confirming destruction of the HP Software, together with all copies, adaptations, and merged portions in any form.</w:t>
      </w:r>
    </w:p>
    <w:p>
      <w:pPr>
        <w:spacing w:after="0" w:line="179" w:lineRule="exact"/>
        <w:rPr>
          <w:rFonts w:ascii="Courier New" w:cs="Courier New" w:eastAsia="Courier New" w:hAnsi="Courier New"/>
          <w:sz w:val="15"/>
          <w:szCs w:val="15"/>
          <w:color w:val="auto"/>
        </w:rPr>
      </w:pPr>
    </w:p>
    <w:p>
      <w:pPr>
        <w:ind w:left="7" w:right="3039" w:hanging="7"/>
        <w:spacing w:after="0" w:line="246" w:lineRule="auto"/>
        <w:tabs>
          <w:tab w:leader="none" w:pos="189"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does not apply to defects resulting from: (a) improper or inadequate maintenance or calibration; (b) software, interfacing, parts or supplies not supplied by HP, (c) unauthorized modification or misuse; (d) operation outside of the published environmental specifications for the product, or (e) improper site preparation or maintenance. * Warranty does not apply to non-HP software supplied by third parties including the embedded HP-UX runtime environment for Java.</w:t>
      </w:r>
    </w:p>
    <w:p>
      <w:pPr>
        <w:spacing w:after="0" w:line="179" w:lineRule="exact"/>
        <w:rPr>
          <w:rFonts w:ascii="Courier New" w:cs="Courier New" w:eastAsia="Courier New" w:hAnsi="Courier New"/>
          <w:sz w:val="15"/>
          <w:szCs w:val="15"/>
          <w:color w:val="auto"/>
        </w:rPr>
      </w:pPr>
    </w:p>
    <w:p>
      <w:pPr>
        <w:ind w:left="7" w:right="2959" w:hanging="7"/>
        <w:spacing w:after="0" w:line="246" w:lineRule="auto"/>
        <w:tabs>
          <w:tab w:leader="none" w:pos="189"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ALLOWED BY LOCAL LAW. THE ABOVE WARRANTIES ARE EXCLUSIVE AND NO OTHER WARRANTY OR CONDITION. WHETHER WRITTEN OR ORAL, IS EXPRESSED OR IMPLIED. HP SPECIFICALLY DISCLAIMS ANY IMPLIED WARRANTIES OR CONDITIONS OF MERCHANTABILITY, SATISFACTORY QUALITY, AND FITNESS FOR A PARTICULAR PURPOSE. Some Countries, states or provinces do not allow limitations on the duration of an implied warranty, so the above limitation or exclusion might not apply to you. This warranty gives you specific legal rights and you might also have other rights that vary from country to country, state to state, or province to province.</w:t>
      </w:r>
    </w:p>
    <w:p>
      <w:pPr>
        <w:spacing w:after="0" w:line="180" w:lineRule="exact"/>
        <w:rPr>
          <w:rFonts w:ascii="Courier New" w:cs="Courier New" w:eastAsia="Courier New" w:hAnsi="Courier New"/>
          <w:sz w:val="15"/>
          <w:szCs w:val="15"/>
          <w:color w:val="auto"/>
        </w:rPr>
      </w:pPr>
    </w:p>
    <w:p>
      <w:pPr>
        <w:ind w:left="7" w:right="2959" w:hanging="7"/>
        <w:spacing w:after="0" w:line="246" w:lineRule="auto"/>
        <w:tabs>
          <w:tab w:leader="none" w:pos="189"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ALLOWED BY LOCAL LAW. THE REMEDIES IN THIS WARRANTY STATEMENT ARE YOUR SOLE AND EXCLUSIVE REMEDIES. EXCEPT TO THE EXTENT PROHIBITED BY LOCAL LAW. IN NO EVENT WILL HP OR ITS SUBSIDIARIES, AFFILIATES OR SUPPLIERS BE LIABLE FOR DIRECT. SPECIAL, INCIDENTAL, CONSEQUENTIAL OR OTHER DAMAGES (INCLUDING LOST PROFIT, LOST DATA, OR DOWNTIME COSTS), ARISING OUT OF THE USE, INABILITY TO USE, OR THE RESULTS OF USE OF THE SOFTWARE, WHETHER BASED IN WARRANTY, CONTRACT, TORT OR OTHER LEGAL THEORY, AND WHETHER OR NOT ADVISED OF THE POSSIBILITY OF SUCH DAMAGES. Your use of the Software is entirely at your own risk. Some Countries, states and provinces do not allow the exclusion or limitation of liability for incidental or consequential damages, so the above limitation may not apply you.</w:t>
      </w:r>
    </w:p>
    <w:p>
      <w:pPr>
        <w:spacing w:after="0" w:line="180" w:lineRule="exact"/>
        <w:rPr>
          <w:rFonts w:ascii="Courier New" w:cs="Courier New" w:eastAsia="Courier New" w:hAnsi="Courier New"/>
          <w:sz w:val="15"/>
          <w:szCs w:val="15"/>
          <w:color w:val="auto"/>
        </w:rPr>
      </w:pPr>
    </w:p>
    <w:p>
      <w:pPr>
        <w:ind w:left="7" w:right="3319" w:hanging="7"/>
        <w:spacing w:after="0" w:line="247" w:lineRule="auto"/>
        <w:tabs>
          <w:tab w:leader="none" w:pos="189"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allowed by local law, these warranty terms do not exclude, restrict or modify, and are in addition to, the mandatory statutory rights applicable to the license of the software to you.</w:t>
      </w:r>
    </w:p>
    <w:p>
      <w:pPr>
        <w:spacing w:after="0" w:line="174" w:lineRule="exact"/>
        <w:rPr>
          <w:rFonts w:ascii="Courier New" w:cs="Courier New" w:eastAsia="Courier New" w:hAnsi="Courier New"/>
          <w:sz w:val="15"/>
          <w:szCs w:val="15"/>
          <w:color w:val="auto"/>
        </w:rPr>
      </w:pPr>
    </w:p>
    <w:p>
      <w:pPr>
        <w:ind w:left="7" w:right="3139" w:hanging="7"/>
        <w:spacing w:after="0" w:line="247" w:lineRule="auto"/>
        <w:tabs>
          <w:tab w:leader="none" w:pos="189"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service may be obtained from the nearest 1-IP sales office or other location indicated in the owners manual or service booklet.</w:t>
      </w:r>
    </w:p>
    <w:p>
      <w:pPr>
        <w:spacing w:after="0" w:line="200" w:lineRule="exact"/>
        <w:rPr>
          <w:sz w:val="20"/>
          <w:szCs w:val="20"/>
          <w:color w:val="auto"/>
        </w:rPr>
      </w:pPr>
    </w:p>
    <w:p>
      <w:pPr>
        <w:spacing w:after="0" w:line="32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8 of 8</w:t>
      </w:r>
    </w:p>
    <w:p>
      <w:pPr>
        <w:sectPr>
          <w:pgSz w:w="11900" w:h="16838" w:orient="portrait"/>
          <w:cols w:equalWidth="0" w:num="1">
            <w:col w:w="10226"/>
          </w:cols>
          <w:pgMar w:left="233" w:top="643" w:right="1440" w:bottom="1440" w:gutter="0" w:footer="0" w:header="0"/>
        </w:sectPr>
      </w:pPr>
    </w:p>
    <w:bookmarkStart w:id="229" w:name="page230"/>
    <w:bookmarkEnd w:id="229"/>
    <w:p>
      <w:pPr>
        <w:jc w:val="center"/>
        <w:ind w:right="2852"/>
        <w:spacing w:after="0"/>
        <w:rPr>
          <w:sz w:val="20"/>
          <w:szCs w:val="20"/>
          <w:color w:val="auto"/>
        </w:rPr>
      </w:pPr>
      <w:r>
        <w:rPr>
          <w:rFonts w:ascii="Courier New" w:cs="Courier New" w:eastAsia="Courier New" w:hAnsi="Courier New"/>
          <w:sz w:val="15"/>
          <w:szCs w:val="15"/>
          <w:color w:val="auto"/>
        </w:rPr>
        <w:t>EXHIBIT (F)</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CONFIDENTIAL DISCLOSURE AGREEMENT</w:t>
      </w:r>
    </w:p>
    <w:p>
      <w:pPr>
        <w:spacing w:after="0" w:line="200" w:lineRule="exact"/>
        <w:rPr>
          <w:sz w:val="20"/>
          <w:szCs w:val="20"/>
          <w:color w:val="auto"/>
        </w:rPr>
      </w:pPr>
    </w:p>
    <w:p>
      <w:pPr>
        <w:spacing w:after="0" w:line="329"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In order to protect certain confidential information, HP and the Participant identified below, agree to the Following:</w:t>
      </w:r>
    </w:p>
    <w:p>
      <w:pPr>
        <w:spacing w:after="0" w:line="175" w:lineRule="exact"/>
        <w:rPr>
          <w:sz w:val="20"/>
          <w:szCs w:val="20"/>
          <w:color w:val="auto"/>
        </w:rPr>
      </w:pPr>
    </w:p>
    <w:p>
      <w:pPr>
        <w:ind w:left="727" w:right="2779" w:hanging="727"/>
        <w:spacing w:after="0" w:line="246" w:lineRule="auto"/>
        <w:tabs>
          <w:tab w:leader="none" w:pos="182"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 Discloser is a party disclosing confidential information. A Recipient is u party receiving disclosed confidential information. An Associate is a subsidiary, parent or corporate affiliate of Recipient,</w:t>
      </w:r>
    </w:p>
    <w:p>
      <w:pPr>
        <w:spacing w:after="0" w:line="1" w:lineRule="exact"/>
        <w:rPr>
          <w:rFonts w:ascii="Courier New" w:cs="Courier New" w:eastAsia="Courier New" w:hAnsi="Courier New"/>
          <w:sz w:val="15"/>
          <w:szCs w:val="15"/>
          <w:color w:val="auto"/>
        </w:rPr>
      </w:pPr>
    </w:p>
    <w:p>
      <w:pPr>
        <w:ind w:left="72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a third party contractually bound to Recipient in accord with this Agreement.</w:t>
      </w:r>
    </w:p>
    <w:p>
      <w:pPr>
        <w:spacing w:after="0" w:line="174" w:lineRule="exact"/>
        <w:rPr>
          <w:rFonts w:ascii="Courier New" w:cs="Courier New" w:eastAsia="Courier New" w:hAnsi="Courier New"/>
          <w:sz w:val="15"/>
          <w:szCs w:val="15"/>
          <w:color w:val="auto"/>
        </w:rPr>
      </w:pPr>
    </w:p>
    <w:p>
      <w:pPr>
        <w:ind w:left="727" w:right="3039" w:hanging="727"/>
        <w:spacing w:after="0" w:line="247" w:lineRule="auto"/>
        <w:tabs>
          <w:tab w:leader="none" w:pos="182"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COORDINATOR. Each party designates the following person, if any, as its Agreement Coordinator for coordinating the disclosure or receipt of confidential information:</w:t>
      </w:r>
    </w:p>
    <w:p>
      <w:pPr>
        <w:spacing w:after="0" w:line="17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right="6779" w:hanging="727"/>
        <w:spacing w:after="0" w:line="493" w:lineRule="auto"/>
        <w:tabs>
          <w:tab w:leader="none" w:pos="182"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CONFIDENTIAL INFORMATION. [*]</w:t>
      </w:r>
    </w:p>
    <w:p>
      <w:pPr>
        <w:spacing w:after="0" w:line="1" w:lineRule="exact"/>
        <w:rPr>
          <w:rFonts w:ascii="Courier New" w:cs="Courier New" w:eastAsia="Courier New" w:hAnsi="Courier New"/>
          <w:sz w:val="15"/>
          <w:szCs w:val="15"/>
          <w:color w:val="auto"/>
        </w:rPr>
      </w:pPr>
    </w:p>
    <w:p>
      <w:pPr>
        <w:ind w:left="727" w:right="5959" w:hanging="727"/>
        <w:spacing w:after="0" w:line="493" w:lineRule="auto"/>
        <w:tabs>
          <w:tab w:leader="none" w:pos="182"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CONFIDENTIAL INFORMATION. [*]</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-RECIPIENT'S OBLIGATIONS.</w:t>
      </w:r>
    </w:p>
    <w:p>
      <w:pPr>
        <w:spacing w:after="0" w:line="179" w:lineRule="exact"/>
        <w:rPr>
          <w:rFonts w:ascii="Courier New" w:cs="Courier New" w:eastAsia="Courier New" w:hAnsi="Courier New"/>
          <w:sz w:val="15"/>
          <w:szCs w:val="15"/>
          <w:color w:val="auto"/>
        </w:rPr>
      </w:pPr>
    </w:p>
    <w:p>
      <w:pPr>
        <w:ind w:left="1447" w:right="3039" w:hanging="720"/>
        <w:spacing w:after="0" w:line="246" w:lineRule="auto"/>
        <w:tabs>
          <w:tab w:leader="none" w:pos="1447" w:val="left"/>
        </w:tabs>
        <w:numPr>
          <w:ilvl w:val="1"/>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will protect, and will ensure its participating Associates will protect, the disclosed confidential information by using the same degree of care, but no less than a reasonable degree of cart, to prevent the unauthorized use, dissemination or publication of the confidential information its Recipient uses to protect its own confidential information of a like nature. Recipient may reassign its employees. Recipient will provide reasonable prior notice to Discloser if Recipient is required to disclose the confidential information under operation of low.</w:t>
      </w:r>
    </w:p>
    <w:p>
      <w:pPr>
        <w:spacing w:after="0" w:line="180" w:lineRule="exact"/>
        <w:rPr>
          <w:rFonts w:ascii="Courier New" w:cs="Courier New" w:eastAsia="Courier New" w:hAnsi="Courier New"/>
          <w:sz w:val="15"/>
          <w:szCs w:val="15"/>
          <w:color w:val="auto"/>
        </w:rPr>
      </w:pPr>
    </w:p>
    <w:p>
      <w:pPr>
        <w:ind w:left="1447" w:hanging="720"/>
        <w:spacing w:after="0"/>
        <w:tabs>
          <w:tab w:leader="none" w:pos="1447" w:val="left"/>
        </w:tabs>
        <w:numPr>
          <w:ilvl w:val="1"/>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will comply with all applicable export laws.</w:t>
      </w:r>
    </w:p>
    <w:p>
      <w:pPr>
        <w:spacing w:after="0" w:line="179" w:lineRule="exact"/>
        <w:rPr>
          <w:rFonts w:ascii="Courier New" w:cs="Courier New" w:eastAsia="Courier New" w:hAnsi="Courier New"/>
          <w:sz w:val="15"/>
          <w:szCs w:val="15"/>
          <w:color w:val="auto"/>
        </w:rPr>
      </w:pPr>
    </w:p>
    <w:p>
      <w:pPr>
        <w:ind w:left="727" w:right="2959" w:hanging="727"/>
        <w:spacing w:after="0" w:line="246" w:lineRule="auto"/>
        <w:tabs>
          <w:tab w:leader="none" w:pos="182"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AND PROTECTION PERIODS. The Disclosure Period and the Protection Period start on the Begin Disclosure Date unless a different start date is specified. Recipient's obligations under Section 5(a) only apply to confidential information disclosed during the Disclosure Period. Recipient's obligations under Section 5(a) stop at the end of the Protection Period.</w:t>
      </w:r>
    </w:p>
    <w:p>
      <w:pPr>
        <w:spacing w:after="0" w:line="178" w:lineRule="exact"/>
        <w:rPr>
          <w:sz w:val="20"/>
          <w:szCs w:val="20"/>
          <w:color w:val="auto"/>
        </w:rPr>
      </w:pPr>
    </w:p>
    <w:p>
      <w:pPr>
        <w:ind w:left="727"/>
        <w:spacing w:after="0"/>
        <w:tabs>
          <w:tab w:leader="none" w:pos="3426" w:val="left"/>
        </w:tabs>
        <w:rPr>
          <w:sz w:val="20"/>
          <w:szCs w:val="20"/>
          <w:color w:val="auto"/>
        </w:rPr>
      </w:pPr>
      <w:r>
        <w:rPr>
          <w:rFonts w:ascii="Courier New" w:cs="Courier New" w:eastAsia="Courier New" w:hAnsi="Courier New"/>
          <w:sz w:val="15"/>
          <w:szCs w:val="15"/>
          <w:color w:val="auto"/>
        </w:rPr>
        <w:t>The Begin Disclosure Date is</w:t>
        <w:tab/>
        <w:t>[*].</w:t>
      </w:r>
    </w:p>
    <w:p>
      <w:pPr>
        <w:spacing w:after="0" w:line="5" w:lineRule="exact"/>
        <w:rPr>
          <w:sz w:val="20"/>
          <w:szCs w:val="20"/>
          <w:color w:val="auto"/>
        </w:rPr>
      </w:pPr>
    </w:p>
    <w:p>
      <w:pPr>
        <w:ind w:left="727"/>
        <w:spacing w:after="0"/>
        <w:tabs>
          <w:tab w:leader="none" w:pos="3526" w:val="left"/>
        </w:tabs>
        <w:rPr>
          <w:sz w:val="20"/>
          <w:szCs w:val="20"/>
          <w:color w:val="auto"/>
        </w:rPr>
      </w:pPr>
      <w:r>
        <w:rPr>
          <w:rFonts w:ascii="Courier New" w:cs="Courier New" w:eastAsia="Courier New" w:hAnsi="Courier New"/>
          <w:sz w:val="15"/>
          <w:szCs w:val="15"/>
          <w:color w:val="auto"/>
        </w:rPr>
        <w:t>The Disclosure Period ends on</w:t>
        <w:tab/>
        <w:t>[*]</w:t>
      </w:r>
    </w:p>
    <w:p>
      <w:pPr>
        <w:spacing w:after="0" w:line="5" w:lineRule="exact"/>
        <w:rPr>
          <w:sz w:val="20"/>
          <w:szCs w:val="20"/>
          <w:color w:val="auto"/>
        </w:rPr>
      </w:pPr>
    </w:p>
    <w:p>
      <w:pPr>
        <w:ind w:left="727"/>
        <w:spacing w:after="0"/>
        <w:tabs>
          <w:tab w:leader="none" w:pos="3526" w:val="left"/>
        </w:tabs>
        <w:rPr>
          <w:sz w:val="20"/>
          <w:szCs w:val="20"/>
          <w:color w:val="auto"/>
        </w:rPr>
      </w:pPr>
      <w:r>
        <w:rPr>
          <w:rFonts w:ascii="Courier New" w:cs="Courier New" w:eastAsia="Courier New" w:hAnsi="Courier New"/>
          <w:sz w:val="15"/>
          <w:szCs w:val="15"/>
          <w:color w:val="auto"/>
        </w:rPr>
        <w:t>The Protection Period ends on</w:t>
        <w:tab/>
        <w:t>[*]</w:t>
      </w:r>
    </w:p>
    <w:p>
      <w:pPr>
        <w:spacing w:after="0" w:line="180" w:lineRule="exact"/>
        <w:rPr>
          <w:sz w:val="20"/>
          <w:szCs w:val="20"/>
          <w:color w:val="auto"/>
        </w:rPr>
      </w:pPr>
    </w:p>
    <w:p>
      <w:pPr>
        <w:ind w:left="727" w:right="3139" w:hanging="727"/>
        <w:spacing w:after="0" w:line="247" w:lineRule="auto"/>
        <w:tabs>
          <w:tab w:leader="none" w:pos="182"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-MARKING. Recipient's obligations under this Agreement extend only to confidential information that is</w:t>
      </w:r>
    </w:p>
    <w:p>
      <w:pPr>
        <w:spacing w:after="0" w:line="174" w:lineRule="exact"/>
        <w:rPr>
          <w:rFonts w:ascii="Courier New" w:cs="Courier New" w:eastAsia="Courier New" w:hAnsi="Courier New"/>
          <w:sz w:val="15"/>
          <w:szCs w:val="15"/>
          <w:color w:val="auto"/>
        </w:rPr>
      </w:pPr>
    </w:p>
    <w:p>
      <w:pPr>
        <w:ind w:left="1447" w:hanging="720"/>
        <w:spacing w:after="0"/>
        <w:tabs>
          <w:tab w:leader="none" w:pos="1447" w:val="left"/>
        </w:tabs>
        <w:numPr>
          <w:ilvl w:val="1"/>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itemized in Section 3(a) or 4(a); or</w:t>
      </w:r>
    </w:p>
    <w:p>
      <w:pPr>
        <w:spacing w:after="0" w:line="179" w:lineRule="exact"/>
        <w:rPr>
          <w:rFonts w:ascii="Courier New" w:cs="Courier New" w:eastAsia="Courier New" w:hAnsi="Courier New"/>
          <w:sz w:val="15"/>
          <w:szCs w:val="15"/>
          <w:color w:val="auto"/>
        </w:rPr>
      </w:pPr>
    </w:p>
    <w:p>
      <w:pPr>
        <w:ind w:left="1447" w:hanging="720"/>
        <w:spacing w:after="0"/>
        <w:tabs>
          <w:tab w:leader="none" w:pos="1447" w:val="left"/>
        </w:tabs>
        <w:numPr>
          <w:ilvl w:val="1"/>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described generally in Section 3(a) or 4(a) and</w:t>
      </w:r>
    </w:p>
    <w:p>
      <w:pPr>
        <w:spacing w:after="0" w:line="179" w:lineRule="exact"/>
        <w:rPr>
          <w:rFonts w:ascii="Courier New" w:cs="Courier New" w:eastAsia="Courier New" w:hAnsi="Courier New"/>
          <w:sz w:val="15"/>
          <w:szCs w:val="15"/>
          <w:color w:val="auto"/>
        </w:rPr>
      </w:pPr>
    </w:p>
    <w:p>
      <w:pPr>
        <w:ind w:left="2187" w:right="4039" w:hanging="733"/>
        <w:spacing w:after="0" w:line="247" w:lineRule="auto"/>
        <w:tabs>
          <w:tab w:leader="none" w:pos="2187" w:val="left"/>
        </w:tabs>
        <w:numPr>
          <w:ilvl w:val="2"/>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marked at the time of disclosure to show its confidential nature, or</w:t>
      </w:r>
    </w:p>
    <w:p>
      <w:pPr>
        <w:spacing w:after="0" w:line="174" w:lineRule="exact"/>
        <w:rPr>
          <w:rFonts w:ascii="Courier New" w:cs="Courier New" w:eastAsia="Courier New" w:hAnsi="Courier New"/>
          <w:sz w:val="15"/>
          <w:szCs w:val="15"/>
          <w:color w:val="auto"/>
        </w:rPr>
      </w:pPr>
    </w:p>
    <w:p>
      <w:pPr>
        <w:ind w:left="2187" w:right="3039" w:hanging="733"/>
        <w:spacing w:after="0" w:line="246" w:lineRule="auto"/>
        <w:tabs>
          <w:tab w:leader="none" w:pos="2187" w:val="left"/>
        </w:tabs>
        <w:numPr>
          <w:ilvl w:val="2"/>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unmarked (for example, orally or visually disclosed) bill treated ns confidential at the time of disclosure, and designated to show its confidential nature in a written message sent to Recipient's Agreement Coordinator within thirty days after disclosure, summarizing the disclosed confidential information sufficiently for identification.</w:t>
      </w:r>
    </w:p>
    <w:p>
      <w:pPr>
        <w:spacing w:after="0" w:line="179" w:lineRule="exact"/>
        <w:rPr>
          <w:rFonts w:ascii="Courier New" w:cs="Courier New" w:eastAsia="Courier New" w:hAnsi="Courier New"/>
          <w:sz w:val="15"/>
          <w:szCs w:val="15"/>
          <w:color w:val="auto"/>
        </w:rPr>
      </w:pPr>
    </w:p>
    <w:p>
      <w:pPr>
        <w:ind w:left="727" w:right="2959" w:hanging="727"/>
        <w:spacing w:after="0" w:line="246" w:lineRule="auto"/>
        <w:tabs>
          <w:tab w:leader="none" w:pos="182"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-EXCLUSIONS. This Agreement imposes no obligation upon Recipient with respect to information that (a) was in Recipient's possession before receipt from Discloser, (b) is or becomes publicly known without breach by Recipient, (c) is rightfully received by Recipient from a third party without a duty of confidentiality, (d) is disclosed by Discloser to a third [)any without a duty of confidentially on the third parry, (e) is independently developed or learned by Recipient or (f) is disclosed by Recipient with Discloser's prior written approval.</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right="2959" w:hanging="727"/>
        <w:spacing w:after="0" w:line="246" w:lineRule="auto"/>
        <w:tabs>
          <w:tab w:leader="none" w:pos="182"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OR LAW. Without regard to choice or law provisions, this Agreement is governed by and will be consented in accordance with the laws of the State of New York and the USA unless if filled in here, thin the laws of ___________________.</w:t>
      </w:r>
    </w:p>
    <w:p>
      <w:pPr>
        <w:spacing w:after="0" w:line="177"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Each Discloser warrants that it has the right to make the</w:t>
      </w:r>
    </w:p>
    <w:p>
      <w:pPr>
        <w:sectPr>
          <w:pgSz w:w="11900" w:h="16838" w:orient="portrait"/>
          <w:cols w:equalWidth="0" w:num="1">
            <w:col w:w="10226"/>
          </w:cols>
          <w:pgMar w:left="233" w:top="817" w:right="1440" w:bottom="0" w:gutter="0" w:footer="0" w:header="0"/>
        </w:sectPr>
      </w:pPr>
    </w:p>
    <w:bookmarkStart w:id="230" w:name="page231"/>
    <w:bookmarkEnd w:id="230"/>
    <w:p>
      <w:pPr>
        <w:ind w:left="727" w:right="2959"/>
        <w:spacing w:after="0" w:line="246" w:lineRule="auto"/>
        <w:rPr>
          <w:sz w:val="20"/>
          <w:szCs w:val="20"/>
          <w:color w:val="auto"/>
        </w:rPr>
      </w:pPr>
      <w:r>
        <w:rPr>
          <w:rFonts w:ascii="Courier New" w:cs="Courier New" w:eastAsia="Courier New" w:hAnsi="Courier New"/>
          <w:sz w:val="15"/>
          <w:szCs w:val="15"/>
          <w:color w:val="auto"/>
        </w:rPr>
        <w:t>disclosures under this Agreement. Each Recipient warrants that its participating Associates will protect disclosed confidential information in accordance with the toms of this Agreement. NO OTHER WARRANTIES ARE MADE BY EITHER PARTY UNDER THIS AGREEMENT. ANY CONFIDENTIAL INFORMATION DISCLOSED UNDER THIS AGREEMENT IS PROVIDED "AS IS."</w:t>
      </w:r>
    </w:p>
    <w:p>
      <w:pPr>
        <w:spacing w:after="0" w:line="178" w:lineRule="exact"/>
        <w:rPr>
          <w:sz w:val="20"/>
          <w:szCs w:val="20"/>
          <w:color w:val="auto"/>
        </w:rPr>
      </w:pPr>
    </w:p>
    <w:p>
      <w:pPr>
        <w:ind w:left="727" w:right="2959" w:hanging="727"/>
        <w:spacing w:after="0" w:line="246" w:lineRule="auto"/>
        <w:tabs>
          <w:tab w:leader="none" w:pos="18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Neither party acquires any intellectual property rights under this Agreement except the rights granted in Sections 3, 4 and 9. This Agreement imposes no obligation on either party to purchase, sell, license, transfer or otherwise dispose of any technology, services or products. This Agreement does not create any agency or partnership relationship. All additions or modifications to this Agreement</w:t>
      </w:r>
    </w:p>
    <w:p>
      <w:pPr>
        <w:spacing w:after="0" w:line="200" w:lineRule="exact"/>
        <w:rPr>
          <w:sz w:val="20"/>
          <w:szCs w:val="20"/>
          <w:color w:val="auto"/>
        </w:rPr>
      </w:pPr>
    </w:p>
    <w:p>
      <w:pPr>
        <w:spacing w:after="0" w:line="328" w:lineRule="exact"/>
        <w:rPr>
          <w:sz w:val="20"/>
          <w:szCs w:val="20"/>
          <w:color w:val="auto"/>
        </w:rPr>
      </w:pPr>
    </w:p>
    <w:p>
      <w:pPr>
        <w:ind w:left="447" w:right="2959" w:hanging="447"/>
        <w:spacing w:after="0" w:line="247" w:lineRule="auto"/>
        <w:tabs>
          <w:tab w:leader="none" w:pos="447"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(F)</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1 of 2</w:t>
      </w:r>
    </w:p>
    <w:p>
      <w:pPr>
        <w:sectPr>
          <w:pgSz w:w="11900" w:h="16838" w:orient="portrait"/>
          <w:cols w:equalWidth="0" w:num="1">
            <w:col w:w="10226"/>
          </w:cols>
          <w:pgMar w:left="233" w:top="141" w:right="1440" w:bottom="1440" w:gutter="0" w:footer="0" w:header="0"/>
        </w:sectPr>
      </w:pPr>
    </w:p>
    <w:bookmarkStart w:id="231" w:name="page232"/>
    <w:bookmarkEnd w:id="231"/>
    <w:p>
      <w:pPr>
        <w:ind w:left="720" w:right="3039"/>
        <w:spacing w:after="0" w:line="246" w:lineRule="auto"/>
        <w:rPr>
          <w:sz w:val="20"/>
          <w:szCs w:val="20"/>
          <w:color w:val="auto"/>
        </w:rPr>
      </w:pPr>
      <w:r>
        <w:rPr>
          <w:rFonts w:ascii="Courier New" w:cs="Courier New" w:eastAsia="Courier New" w:hAnsi="Courier New"/>
          <w:sz w:val="15"/>
          <w:szCs w:val="15"/>
          <w:color w:val="auto"/>
        </w:rPr>
        <w:t>must be made in writing, and must be signed by both panics. This Agreement may be signed in duplicate originals, or in separate counterparts, which arc effective as if the parties signed to single original. A facsimile of an original signature transmitted to the other parry is effective as if the original was sent to the other Party.</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HP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w:t>
      </w:r>
    </w:p>
    <w:p>
      <w:pPr>
        <w:spacing w:after="0" w:line="200" w:lineRule="exact"/>
        <w:rPr>
          <w:sz w:val="20"/>
          <w:szCs w:val="20"/>
          <w:color w:val="auto"/>
        </w:rPr>
      </w:pPr>
    </w:p>
    <w:p>
      <w:pPr>
        <w:sectPr>
          <w:pgSz w:w="11900" w:h="16838" w:orient="portrait"/>
          <w:cols w:equalWidth="0" w:num="2">
            <w:col w:w="4540" w:space="720"/>
            <w:col w:w="4959"/>
          </w:cols>
          <w:pgMar w:left="240" w:top="642"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w:t>
      </w:r>
    </w:p>
    <w:p>
      <w:pPr>
        <w:spacing w:after="0" w:line="5"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000" w:space="720"/>
            <w:col w:w="5499"/>
          </w:cols>
          <w:pgMar w:left="240" w:top="642" w:right="1440" w:bottom="1440" w:gutter="0" w:footer="0" w:header="0"/>
          <w:type w:val="continuous"/>
        </w:sectPr>
      </w:pPr>
    </w:p>
    <w:p>
      <w:pPr>
        <w:spacing w:after="0" w:line="247" w:lineRule="auto"/>
        <w:rPr>
          <w:sz w:val="20"/>
          <w:szCs w:val="20"/>
          <w:color w:val="auto"/>
        </w:rPr>
      </w:pPr>
      <w:r>
        <w:rPr>
          <w:rFonts w:ascii="Courier New" w:cs="Courier New" w:eastAsia="Courier New" w:hAnsi="Courier New"/>
          <w:sz w:val="15"/>
          <w:szCs w:val="15"/>
          <w:color w:val="auto"/>
        </w:rPr>
        <w:t>- --------------------------------------- (Address)</w:t>
      </w:r>
    </w:p>
    <w:p>
      <w:pPr>
        <w:spacing w:after="0" w:line="20" w:lineRule="exact"/>
        <w:rPr>
          <w:sz w:val="20"/>
          <w:szCs w:val="20"/>
          <w:color w:val="auto"/>
        </w:rPr>
      </w:pPr>
      <w:r>
        <w:rPr>
          <w:sz w:val="20"/>
          <w:szCs w:val="20"/>
          <w:color w:val="auto"/>
        </w:rPr>
        <w:br w:type="column"/>
      </w:r>
    </w:p>
    <w:p>
      <w:pPr>
        <w:ind w:right="2859" w:firstLine="182"/>
        <w:spacing w:after="0" w:line="247" w:lineRule="auto"/>
        <w:rPr>
          <w:sz w:val="20"/>
          <w:szCs w:val="20"/>
          <w:color w:val="auto"/>
        </w:rPr>
      </w:pPr>
      <w:r>
        <w:rPr>
          <w:rFonts w:ascii="Courier New" w:cs="Courier New" w:eastAsia="Courier New" w:hAnsi="Courier New"/>
          <w:sz w:val="15"/>
          <w:szCs w:val="15"/>
          <w:color w:val="auto"/>
        </w:rPr>
        <w:t>---------------------------------- (Address)</w:t>
      </w:r>
    </w:p>
    <w:p>
      <w:pPr>
        <w:spacing w:after="0" w:line="175" w:lineRule="exact"/>
        <w:rPr>
          <w:sz w:val="20"/>
          <w:szCs w:val="20"/>
          <w:color w:val="auto"/>
        </w:rPr>
      </w:pPr>
    </w:p>
    <w:p>
      <w:pPr>
        <w:sectPr>
          <w:pgSz w:w="11900" w:h="16838" w:orient="portrait"/>
          <w:cols w:equalWidth="0" w:num="2">
            <w:col w:w="3720" w:space="360"/>
            <w:col w:w="6139"/>
          </w:cols>
          <w:pgMar w:left="240" w:top="642" w:right="1440" w:bottom="1440" w:gutter="0" w:footer="0" w:header="0"/>
          <w:type w:val="continuous"/>
        </w:sectPr>
      </w:pPr>
    </w:p>
    <w:p>
      <w:pPr>
        <w:spacing w:after="0" w:line="247" w:lineRule="auto"/>
        <w:rPr>
          <w:sz w:val="20"/>
          <w:szCs w:val="20"/>
          <w:color w:val="auto"/>
        </w:rPr>
      </w:pPr>
      <w:r>
        <w:rPr>
          <w:rFonts w:ascii="Courier New" w:cs="Courier New" w:eastAsia="Courier New" w:hAnsi="Courier New"/>
          <w:sz w:val="15"/>
          <w:szCs w:val="15"/>
          <w:color w:val="auto"/>
        </w:rPr>
        <w:t>- --------------------------------------- (Address)</w:t>
      </w:r>
    </w:p>
    <w:p>
      <w:pPr>
        <w:spacing w:after="0" w:line="20" w:lineRule="exact"/>
        <w:rPr>
          <w:sz w:val="20"/>
          <w:szCs w:val="20"/>
          <w:color w:val="auto"/>
        </w:rPr>
      </w:pPr>
      <w:r>
        <w:rPr>
          <w:sz w:val="20"/>
          <w:szCs w:val="20"/>
          <w:color w:val="auto"/>
        </w:rPr>
        <w:br w:type="column"/>
      </w:r>
    </w:p>
    <w:p>
      <w:pPr>
        <w:ind w:right="2859" w:firstLine="182"/>
        <w:spacing w:after="0" w:line="247" w:lineRule="auto"/>
        <w:rPr>
          <w:sz w:val="20"/>
          <w:szCs w:val="20"/>
          <w:color w:val="auto"/>
        </w:rPr>
      </w:pPr>
      <w:r>
        <w:rPr>
          <w:rFonts w:ascii="Courier New" w:cs="Courier New" w:eastAsia="Courier New" w:hAnsi="Courier New"/>
          <w:sz w:val="15"/>
          <w:szCs w:val="15"/>
          <w:color w:val="auto"/>
        </w:rPr>
        <w:t>---------------------------------- (Address)</w:t>
      </w:r>
    </w:p>
    <w:p>
      <w:pPr>
        <w:spacing w:after="0" w:line="175" w:lineRule="exact"/>
        <w:rPr>
          <w:sz w:val="20"/>
          <w:szCs w:val="20"/>
          <w:color w:val="auto"/>
        </w:rPr>
      </w:pPr>
    </w:p>
    <w:p>
      <w:pPr>
        <w:sectPr>
          <w:pgSz w:w="11900" w:h="16838" w:orient="portrait"/>
          <w:cols w:equalWidth="0" w:num="2">
            <w:col w:w="3720" w:space="360"/>
            <w:col w:w="613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/s/ Martin D. King</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Manager's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Charles Smith</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Signature)</w:t>
      </w:r>
    </w:p>
    <w:p>
      <w:pPr>
        <w:spacing w:after="0" w:line="180" w:lineRule="exact"/>
        <w:rPr>
          <w:sz w:val="20"/>
          <w:szCs w:val="20"/>
          <w:color w:val="auto"/>
        </w:rPr>
      </w:pPr>
    </w:p>
    <w:p>
      <w:pPr>
        <w:sectPr>
          <w:pgSz w:w="11900" w:h="16838" w:orient="portrait"/>
          <w:cols w:equalWidth="0" w:num="2">
            <w:col w:w="3540" w:space="540"/>
            <w:col w:w="613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Martin D. 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Charles Smith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80" w:lineRule="exact"/>
        <w:rPr>
          <w:sz w:val="20"/>
          <w:szCs w:val="20"/>
          <w:color w:val="auto"/>
        </w:rPr>
      </w:pPr>
    </w:p>
    <w:p>
      <w:pPr>
        <w:sectPr>
          <w:pgSz w:w="11900" w:h="16838" w:orient="portrait"/>
          <w:cols w:equalWidth="0" w:num="2">
            <w:col w:w="3720" w:space="360"/>
            <w:col w:w="613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Product Engineering Center Manager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VP, OEM Sales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3720" w:space="360"/>
            <w:col w:w="6139"/>
          </w:cols>
          <w:pgMar w:left="240" w:top="642" w:right="1440" w:bottom="1440" w:gutter="0" w:footer="0" w:header="0"/>
          <w:type w:val="continuous"/>
        </w:sect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(F)</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 of 2</w:t>
      </w:r>
    </w:p>
    <w:p>
      <w:pPr>
        <w:sectPr>
          <w:pgSz w:w="11900" w:h="16838" w:orient="portrait"/>
          <w:cols w:equalWidth="0" w:num="1">
            <w:col w:w="10219"/>
          </w:cols>
          <w:pgMar w:left="240" w:top="642" w:right="1440" w:bottom="1440" w:gutter="0" w:footer="0" w:header="0"/>
          <w:type w:val="continuous"/>
        </w:sectPr>
      </w:pPr>
    </w:p>
    <w:bookmarkStart w:id="232" w:name="page233"/>
    <w:bookmarkEnd w:id="232"/>
    <w:p>
      <w:pPr>
        <w:jc w:val="center"/>
        <w:ind w:right="2852"/>
        <w:spacing w:after="0"/>
        <w:rPr>
          <w:sz w:val="20"/>
          <w:szCs w:val="20"/>
          <w:color w:val="auto"/>
        </w:rPr>
      </w:pPr>
      <w:r>
        <w:rPr>
          <w:rFonts w:ascii="Courier New" w:cs="Courier New" w:eastAsia="Courier New" w:hAnsi="Courier New"/>
          <w:sz w:val="15"/>
          <w:szCs w:val="15"/>
          <w:color w:val="auto"/>
        </w:rPr>
        <w:t>EXHIBIT (G)</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RECIPIENTS FOR RECEIPT OF NOTICES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HP:</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SUPPLIER: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BUSINESS CONTACT: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8000 Foothills Blvd.</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Roseville, CA 95747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BUSINESS CONTACT: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1745 Technology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 95110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@brocade.com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12"/>
        <w:spacing w:after="0"/>
        <w:rPr>
          <w:sz w:val="20"/>
          <w:szCs w:val="20"/>
          <w:color w:val="auto"/>
        </w:rPr>
      </w:pPr>
      <w:r>
        <w:rPr>
          <w:rFonts w:ascii="Courier New" w:cs="Courier New" w:eastAsia="Courier New" w:hAnsi="Courier New"/>
          <w:sz w:val="15"/>
          <w:szCs w:val="15"/>
          <w:color w:val="auto"/>
        </w:rPr>
        <w:t>TECHNICAL CONTACT:</w:t>
      </w:r>
    </w:p>
    <w:p>
      <w:pPr>
        <w:sectPr>
          <w:pgSz w:w="11900" w:h="16838" w:orient="portrait"/>
          <w:cols w:equalWidth="0" w:num="1">
            <w:col w:w="10226"/>
          </w:cols>
          <w:pgMar w:left="233" w:top="643" w:right="1440" w:bottom="144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Technical Contact: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8000 Foothills Blvd.</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Roseville, CA 95747</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1745 Technology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 95110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ind w:left="4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(G)</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1 of 1</w:t>
      </w:r>
    </w:p>
    <w:p>
      <w:pPr>
        <w:sectPr>
          <w:pgSz w:w="11900" w:h="16838" w:orient="portrait"/>
          <w:cols w:equalWidth="0" w:num="1">
            <w:col w:w="10226"/>
          </w:cols>
          <w:pgMar w:left="233" w:top="643" w:right="1440" w:bottom="1440" w:gutter="0" w:footer="0" w:header="0"/>
          <w:type w:val="continuous"/>
        </w:sectPr>
      </w:pPr>
    </w:p>
    <w:bookmarkStart w:id="233" w:name="page234"/>
    <w:bookmarkEnd w:id="233"/>
    <w:p>
      <w:pPr>
        <w:jc w:val="center"/>
        <w:ind w:right="2852"/>
        <w:spacing w:after="0"/>
        <w:rPr>
          <w:sz w:val="20"/>
          <w:szCs w:val="20"/>
          <w:color w:val="auto"/>
        </w:rPr>
      </w:pPr>
      <w:r>
        <w:rPr>
          <w:rFonts w:ascii="Courier New" w:cs="Courier New" w:eastAsia="Courier New" w:hAnsi="Courier New"/>
          <w:sz w:val="15"/>
          <w:szCs w:val="15"/>
          <w:color w:val="auto"/>
        </w:rPr>
        <w:t>EXHIBIT (H)</w:t>
      </w:r>
    </w:p>
    <w:p>
      <w:pPr>
        <w:spacing w:after="0" w:line="180"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HP SUPPLIER QUALITY SYSTEM REQUIREMENTS</w:t>
      </w:r>
    </w:p>
    <w:p>
      <w:pPr>
        <w:spacing w:after="0" w:line="354" w:lineRule="exact"/>
        <w:rPr>
          <w:sz w:val="20"/>
          <w:szCs w:val="20"/>
          <w:color w:val="auto"/>
        </w:rPr>
      </w:pPr>
    </w:p>
    <w:p>
      <w:pPr>
        <w:jc w:val="both"/>
        <w:ind w:left="7" w:right="3039"/>
        <w:spacing w:after="0" w:line="247" w:lineRule="auto"/>
        <w:rPr>
          <w:sz w:val="20"/>
          <w:szCs w:val="20"/>
          <w:color w:val="auto"/>
        </w:rPr>
      </w:pPr>
      <w:r>
        <w:rPr>
          <w:rFonts w:ascii="Courier New" w:cs="Courier New" w:eastAsia="Courier New" w:hAnsi="Courier New"/>
          <w:sz w:val="15"/>
          <w:szCs w:val="15"/>
          <w:color w:val="auto"/>
        </w:rPr>
        <w:t>Note: The parties intend to amend this Exhibit (H) to include the applicable HP Supplier Quality System Requirements for the [*] as soon as such information is made available.</w:t>
      </w:r>
    </w:p>
    <w:p>
      <w:pPr>
        <w:spacing w:after="0" w:line="174"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------------HEWLETT-PACKARD CO.-----------</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This page provides a running history of changes for a multi-page drawing. List all changes below, referencing page number and section number, if applicable. Be concise when describing changes. If extensive revisions have been made, a general statement that the document has been "revised and redrawn" is permissible.</w:t>
      </w:r>
    </w:p>
    <w:p>
      <w:pPr>
        <w:spacing w:after="0" w:line="200" w:lineRule="exact"/>
        <w:rPr>
          <w:sz w:val="20"/>
          <w:szCs w:val="20"/>
          <w:color w:val="auto"/>
        </w:rPr>
      </w:pPr>
    </w:p>
    <w:p>
      <w:pPr>
        <w:spacing w:after="0" w:line="327" w:lineRule="exact"/>
        <w:rPr>
          <w:sz w:val="20"/>
          <w:szCs w:val="20"/>
          <w:color w:val="auto"/>
        </w:rPr>
      </w:pPr>
    </w:p>
    <w:p>
      <w:pPr>
        <w:ind w:left="187" w:hanging="187"/>
        <w:spacing w:after="0"/>
        <w:tabs>
          <w:tab w:leader="none" w:pos="187"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87"/>
        <w:spacing w:after="0"/>
        <w:tabs>
          <w:tab w:leader="none" w:pos="2246" w:val="left"/>
          <w:tab w:leader="none" w:pos="5066" w:val="left"/>
          <w:tab w:leader="none" w:pos="6986" w:val="left"/>
        </w:tabs>
        <w:rPr>
          <w:sz w:val="20"/>
          <w:szCs w:val="20"/>
          <w:color w:val="auto"/>
        </w:rPr>
      </w:pPr>
      <w:r>
        <w:rPr>
          <w:rFonts w:ascii="Courier New" w:cs="Courier New" w:eastAsia="Courier New" w:hAnsi="Courier New"/>
          <w:sz w:val="15"/>
          <w:szCs w:val="15"/>
          <w:color w:val="auto"/>
        </w:rPr>
        <w:t>LTR.</w:t>
      </w:r>
      <w:r>
        <w:rPr>
          <w:sz w:val="20"/>
          <w:szCs w:val="20"/>
          <w:color w:val="auto"/>
        </w:rPr>
        <w:tab/>
      </w:r>
      <w:r>
        <w:rPr>
          <w:rFonts w:ascii="Courier New" w:cs="Courier New" w:eastAsia="Courier New" w:hAnsi="Courier New"/>
          <w:sz w:val="15"/>
          <w:szCs w:val="15"/>
          <w:color w:val="auto"/>
        </w:rPr>
        <w:t>REVISIONS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OEM MANAGER</w:t>
      </w:r>
    </w:p>
    <w:p>
      <w:pPr>
        <w:spacing w:after="0" w:line="34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87"/>
        <w:spacing w:after="0"/>
        <w:tabs>
          <w:tab w:leader="none" w:pos="1066" w:val="left"/>
          <w:tab w:leader="none" w:pos="4986" w:val="left"/>
          <w:tab w:leader="none" w:pos="7426"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Preliminary Draft</w:t>
      </w:r>
      <w:r>
        <w:rPr>
          <w:sz w:val="20"/>
          <w:szCs w:val="20"/>
          <w:color w:val="auto"/>
        </w:rPr>
        <w:tab/>
      </w:r>
      <w:r>
        <w:rPr>
          <w:rFonts w:ascii="Courier New" w:cs="Courier New" w:eastAsia="Courier New" w:hAnsi="Courier New"/>
          <w:sz w:val="15"/>
          <w:szCs w:val="15"/>
          <w:color w:val="auto"/>
        </w:rPr>
        <w:t>3/31/01</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[LOGO]</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HP PROPRIETARY</w:t>
      </w:r>
    </w:p>
    <w:p>
      <w:pPr>
        <w:spacing w:after="0" w:line="35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This document is the property of Hewlett-Packard Company (HP) and contains confidential and proprietary information of HP. Neither it, nor the information contained herein shall be disclosed to others, or duplicated, or used by other except as authorized by HP writing.</w:t>
      </w: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1166" w:val="left"/>
          <w:tab w:leader="none" w:pos="3986" w:val="left"/>
          <w:tab w:leader="none" w:pos="4786" w:val="left"/>
        </w:tabs>
        <w:rPr>
          <w:sz w:val="20"/>
          <w:szCs w:val="20"/>
          <w:color w:val="auto"/>
        </w:rPr>
      </w:pPr>
      <w:r>
        <w:rPr>
          <w:rFonts w:ascii="Courier New" w:cs="Courier New" w:eastAsia="Courier New" w:hAnsi="Courier New"/>
          <w:sz w:val="15"/>
          <w:szCs w:val="15"/>
          <w:color w:val="auto"/>
        </w:rPr>
        <w:t>ASSEMBLY #:</w:t>
        <w:tab/>
        <w:t>N/A</w:t>
      </w:r>
      <w:r>
        <w:rPr>
          <w:sz w:val="20"/>
          <w:szCs w:val="20"/>
          <w:color w:val="auto"/>
        </w:rPr>
        <w:tab/>
      </w:r>
      <w:r>
        <w:rPr>
          <w:rFonts w:ascii="Courier New" w:cs="Courier New" w:eastAsia="Courier New" w:hAnsi="Courier New"/>
          <w:sz w:val="15"/>
          <w:szCs w:val="15"/>
          <w:color w:val="auto"/>
        </w:rPr>
        <w:t>HP P/N:</w:t>
        <w:tab/>
        <w:t>TBD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606" w:val="left"/>
          <w:tab w:leader="none" w:pos="3986" w:val="left"/>
        </w:tabs>
        <w:rPr>
          <w:sz w:val="20"/>
          <w:szCs w:val="20"/>
          <w:color w:val="auto"/>
        </w:rPr>
      </w:pPr>
      <w:r>
        <w:rPr>
          <w:rFonts w:ascii="Courier New" w:cs="Courier New" w:eastAsia="Courier New" w:hAnsi="Courier New"/>
          <w:sz w:val="15"/>
          <w:szCs w:val="15"/>
          <w:color w:val="auto"/>
        </w:rPr>
        <w:t>DATE:</w:t>
        <w:tab/>
        <w:t>March 31, 2001</w:t>
      </w:r>
      <w:r>
        <w:rPr>
          <w:sz w:val="20"/>
          <w:szCs w:val="20"/>
          <w:color w:val="auto"/>
        </w:rPr>
        <w:tab/>
      </w: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4007"/>
        <w:spacing w:after="0"/>
        <w:tabs>
          <w:tab w:leader="none" w:pos="4986" w:val="left"/>
        </w:tabs>
        <w:rPr>
          <w:sz w:val="20"/>
          <w:szCs w:val="20"/>
          <w:color w:val="auto"/>
        </w:rPr>
      </w:pPr>
      <w:r>
        <w:rPr>
          <w:rFonts w:ascii="Courier New" w:cs="Courier New" w:eastAsia="Courier New" w:hAnsi="Courier New"/>
          <w:sz w:val="15"/>
          <w:szCs w:val="15"/>
          <w:color w:val="auto"/>
        </w:rPr>
        <w:t>DOCUMENT:</w:t>
        <w:tab/>
        <w:t>Quality Plan</w:t>
      </w:r>
    </w:p>
    <w:p>
      <w:pPr>
        <w:spacing w:after="0" w:line="5" w:lineRule="exact"/>
        <w:rPr>
          <w:sz w:val="20"/>
          <w:szCs w:val="20"/>
          <w:color w:val="auto"/>
        </w:rPr>
      </w:pPr>
    </w:p>
    <w:p>
      <w:pPr>
        <w:ind w:left="187" w:hanging="187"/>
        <w:spacing w:after="0"/>
        <w:tabs>
          <w:tab w:leader="none" w:pos="187"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DWG#:</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547" w:hanging="184"/>
        <w:spacing w:after="0"/>
        <w:tabs>
          <w:tab w:leader="none" w:pos="3547" w:val="left"/>
        </w:tabs>
        <w:numPr>
          <w:ilvl w:val="1"/>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(H)</w:t>
      </w:r>
    </w:p>
    <w:p>
      <w:pPr>
        <w:sectPr>
          <w:pgSz w:w="11900" w:h="16838" w:orient="portrait"/>
          <w:cols w:equalWidth="0" w:num="1">
            <w:col w:w="10226"/>
          </w:cols>
          <w:pgMar w:left="233" w:top="643" w:right="1440" w:bottom="1440" w:gutter="0" w:footer="0" w:header="0"/>
        </w:sectPr>
      </w:pPr>
    </w:p>
    <w:bookmarkStart w:id="234" w:name="page235"/>
    <w:bookmarkEnd w:id="234"/>
    <w:p>
      <w:pPr>
        <w:ind w:left="3187"/>
        <w:spacing w:after="0"/>
        <w:rPr>
          <w:sz w:val="20"/>
          <w:szCs w:val="20"/>
          <w:color w:val="auto"/>
        </w:rPr>
      </w:pPr>
      <w:r>
        <w:rPr>
          <w:rFonts w:ascii="Courier New" w:cs="Courier New" w:eastAsia="Courier New" w:hAnsi="Courier New"/>
          <w:sz w:val="15"/>
          <w:szCs w:val="15"/>
          <w:color w:val="auto"/>
        </w:rPr>
        <w:t>BROCADE [*]</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SUPPLIER QUALITY/RELIABILITY</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REQUIREMENTS DOCUMENT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Model Numbers:</w:t>
      </w:r>
    </w:p>
    <w:p>
      <w:pPr>
        <w:spacing w:after="0" w:line="5"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TBD -</w:t>
        <w:tab/>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Brocade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7" w:hanging="187"/>
        <w:spacing w:after="0"/>
        <w:tabs>
          <w:tab w:leader="none" w:pos="187"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DOCUMENT REVISION HISTORY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7"/>
        <w:spacing w:after="0"/>
        <w:tabs>
          <w:tab w:leader="none" w:pos="1806" w:val="left"/>
          <w:tab w:leader="none" w:pos="3806" w:val="left"/>
        </w:tabs>
        <w:rPr>
          <w:sz w:val="20"/>
          <w:szCs w:val="20"/>
          <w:color w:val="auto"/>
        </w:rPr>
      </w:pPr>
      <w:r>
        <w:rPr>
          <w:rFonts w:ascii="Courier New" w:cs="Courier New" w:eastAsia="Courier New" w:hAnsi="Courier New"/>
          <w:sz w:val="15"/>
          <w:szCs w:val="15"/>
          <w:color w:val="auto"/>
        </w:rPr>
        <w:t>REVISION #</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DESCRIPTION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627" w:hanging="1082"/>
        <w:spacing w:after="0"/>
        <w:tabs>
          <w:tab w:leader="none" w:pos="1627" w:val="left"/>
        </w:tabs>
        <w:numPr>
          <w:ilvl w:val="1"/>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3/31/01- Initial Release</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547" w:hanging="184"/>
        <w:spacing w:after="0"/>
        <w:tabs>
          <w:tab w:leader="none" w:pos="3547" w:val="left"/>
        </w:tabs>
        <w:numPr>
          <w:ilvl w:val="1"/>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(H)</w:t>
      </w:r>
    </w:p>
    <w:p>
      <w:pPr>
        <w:sectPr>
          <w:pgSz w:w="11900" w:h="16838" w:orient="portrait"/>
          <w:cols w:equalWidth="0" w:num="1">
            <w:col w:w="10226"/>
          </w:cols>
          <w:pgMar w:left="233" w:top="817" w:right="1440" w:bottom="1440" w:gutter="0" w:footer="0" w:header="0"/>
        </w:sectPr>
      </w:pPr>
    </w:p>
    <w:bookmarkStart w:id="235" w:name="page236"/>
    <w:bookmarkEnd w:id="235"/>
    <w:tbl>
      <w:tblPr>
        <w:tblLayout w:type="fixed"/>
        <w:tblInd w:w="7" w:type="dxa"/>
        <w:tblCellMar>
          <w:top w:w="0" w:type="dxa"/>
          <w:left w:w="0" w:type="dxa"/>
          <w:bottom w:w="0" w:type="dxa"/>
          <w:right w:w="0" w:type="dxa"/>
        </w:tblCellMar>
      </w:tblPr>
      <w:tr>
        <w:trPr>
          <w:trHeight w:val="170"/>
        </w:trPr>
        <w:tc>
          <w:tcPr>
            <w:tcW w:w="8800" w:type="dxa"/>
            <w:vAlign w:val="bottom"/>
            <w:gridSpan w:val="3"/>
          </w:tcPr>
          <w:p>
            <w:pPr>
              <w:jc w:val="right"/>
              <w:ind w:right="7184"/>
              <w:spacing w:after="0"/>
              <w:rPr>
                <w:sz w:val="20"/>
                <w:szCs w:val="20"/>
                <w:color w:val="auto"/>
              </w:rPr>
            </w:pPr>
            <w:r>
              <w:rPr>
                <w:rFonts w:ascii="Courier New" w:cs="Courier New" w:eastAsia="Courier New" w:hAnsi="Courier New"/>
                <w:sz w:val="15"/>
                <w:szCs w:val="15"/>
                <w:color w:val="auto"/>
                <w:w w:val="99"/>
              </w:rPr>
              <w:t>TABLE OF CONTENTS</w:t>
            </w:r>
          </w:p>
        </w:tc>
        <w:tc>
          <w:tcPr>
            <w:tcW w:w="100" w:type="dxa"/>
            <w:vAlign w:val="bottom"/>
          </w:tcPr>
          <w:p>
            <w:pPr>
              <w:spacing w:after="0"/>
              <w:rPr>
                <w:sz w:val="14"/>
                <w:szCs w:val="14"/>
                <w:color w:val="auto"/>
              </w:rPr>
            </w:pPr>
          </w:p>
        </w:tc>
      </w:tr>
      <w:tr>
        <w:trPr>
          <w:trHeight w:val="699"/>
        </w:trPr>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8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PURPOSE......................................................................................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8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DEFECTIVE PRODUCT............................................................................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2.1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8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TEST PROCESS.............................................................................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HP Incoming [*]..........................................................................</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3.3</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Dock-To-Stock............................................................................</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OOBA Inspection .........................................................................</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8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FIELD QUALITY/ RELIABILITY...................................................................</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AFR (Annual Failure Rate)................................................................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FAILURE ANALYSIS EXPECTATIONS................................................................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8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QUALITY DATA EXPECTATIONS....................................................................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6.1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HP'S Responsibility .....................................................................</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6.2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Supplier's Responsibility ...............................................................</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r>
        <w:trPr>
          <w:trHeight w:val="175"/>
        </w:trPr>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  Reports.............................................................................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r>
      <w:tr>
        <w:trPr>
          <w:trHeight w:val="175"/>
        </w:trPr>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Other Reports............................................................................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8</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8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COMMUNICATION EXPECTATIONS...................................................................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8</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7.1</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PRODUCT Changes REQUIRING HP Approval....................................................</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8</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7.2</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Process Changes Requiring HP Approval....................................................</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8</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7.3</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Shipment Hold Notification...............................................................</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8</w:t>
            </w:r>
          </w:p>
        </w:tc>
      </w:tr>
      <w:tr>
        <w:trPr>
          <w:trHeight w:val="175"/>
        </w:trPr>
        <w:tc>
          <w:tcPr>
            <w:tcW w:w="3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7.4</w:t>
            </w:r>
          </w:p>
        </w:tc>
        <w:tc>
          <w:tcPr>
            <w:tcW w:w="8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9</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8.0</w:t>
            </w:r>
          </w:p>
        </w:tc>
        <w:tc>
          <w:tcPr>
            <w:tcW w:w="8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SUPPLIER QUALITY SYSTEM......................................................................</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9</w:t>
            </w:r>
          </w:p>
        </w:tc>
      </w:tr>
    </w:tbl>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(H)</w:t>
      </w:r>
    </w:p>
    <w:p>
      <w:pPr>
        <w:sectPr>
          <w:pgSz w:w="11900" w:h="16838" w:orient="portrait"/>
          <w:cols w:equalWidth="0" w:num="1">
            <w:col w:w="10226"/>
          </w:cols>
          <w:pgMar w:left="233" w:top="643" w:right="1440" w:bottom="1440" w:gutter="0" w:footer="0" w:header="0"/>
        </w:sectPr>
      </w:pPr>
    </w:p>
    <w:bookmarkStart w:id="236" w:name="page237"/>
    <w:bookmarkEnd w:id="236"/>
    <w:p>
      <w:pPr>
        <w:ind w:left="727" w:hanging="727"/>
        <w:spacing w:after="0"/>
        <w:tabs>
          <w:tab w:leader="none" w:pos="727"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purpose of this QualiM/Reliability Requirements Document is to establish an understanding and agreement between Hewlett-Packard (HP) and Seller with regard to quality and reliability expectations and responsibilities. The terms Supplier and Seller are used interchangeably in this Quality/Reliability Requirements Document. It is HP's objective to receive Product of the [*]. The Product must consistently [*] the requirements of this document and the individual specifications applicable to each Product. It is HP's expectation that Supplier shall strive to ship defect-free, fully tested Product as measured at the first operational test at HP. Repaired units are subject to the same Product Specifications as when originally shipped.</w:t>
      </w:r>
    </w:p>
    <w:p>
      <w:pPr>
        <w:spacing w:after="0" w:line="181"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HP's objective is to work in close cooperation with Supplier to resolve any quality issue, and expects the Supplier to work diligently to resolve any quality issue.</w:t>
      </w:r>
    </w:p>
    <w:p>
      <w:pPr>
        <w:spacing w:after="0" w:line="174" w:lineRule="exact"/>
        <w:rPr>
          <w:sz w:val="20"/>
          <w:szCs w:val="20"/>
          <w:color w:val="auto"/>
        </w:rPr>
      </w:pPr>
    </w:p>
    <w:p>
      <w:pPr>
        <w:ind w:left="727" w:hanging="727"/>
        <w:spacing w:after="0"/>
        <w:tabs>
          <w:tab w:leader="none" w:pos="727"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DEFECTIVE PRODUCT:</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HP shall inform Supplier of any units or lots that fail, and provide Supplier with yield percentages. Defective units or lots will be shipped to Supplier's facility as instructed by Supplier. Supplier shall test and verify all failed units, and provide the data of failure symptoms observed or NTF (No Trouble Found), on all units returned from HP worldwide manufacturing sites.</w:t>
      </w:r>
    </w:p>
    <w:p>
      <w:pPr>
        <w:spacing w:after="0" w:line="178"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2.1 [*]</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(H)</w:t>
      </w:r>
    </w:p>
    <w:p>
      <w:pPr>
        <w:sectPr>
          <w:pgSz w:w="11900" w:h="16838" w:orient="portrait"/>
          <w:cols w:equalWidth="0" w:num="1">
            <w:col w:w="10226"/>
          </w:cols>
          <w:pgMar w:left="233" w:top="642" w:right="1440" w:bottom="1440" w:gutter="0" w:footer="0" w:header="0"/>
        </w:sectPr>
      </w:pPr>
    </w:p>
    <w:bookmarkStart w:id="237" w:name="page238"/>
    <w:bookmarkEnd w:id="237"/>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 3.</w:t>
        <w:tab/>
        <w:t>[*] TEST PROCESS</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3.1 [*] [*]</w:t>
      </w:r>
    </w:p>
    <w:p>
      <w:pPr>
        <w:spacing w:after="0" w:line="180" w:lineRule="exact"/>
        <w:rPr>
          <w:sz w:val="20"/>
          <w:szCs w:val="20"/>
          <w:color w:val="auto"/>
        </w:rPr>
      </w:pPr>
    </w:p>
    <w:p>
      <w:pPr>
        <w:ind w:left="727" w:right="3319"/>
        <w:spacing w:after="0" w:line="247" w:lineRule="auto"/>
        <w:rPr>
          <w:sz w:val="20"/>
          <w:szCs w:val="20"/>
          <w:color w:val="auto"/>
        </w:rPr>
      </w:pPr>
      <w:r>
        <w:rPr>
          <w:rFonts w:ascii="Courier New" w:cs="Courier New" w:eastAsia="Courier New" w:hAnsi="Courier New"/>
          <w:sz w:val="15"/>
          <w:szCs w:val="15"/>
          <w:color w:val="auto"/>
        </w:rPr>
        <w:t>First production shipment to HP will be [*][*] listed in the Configuration Specification. The [*][*] will include a review of the following items:</w:t>
      </w:r>
    </w:p>
    <w:p>
      <w:pPr>
        <w:spacing w:after="0" w:line="174" w:lineRule="exact"/>
        <w:rPr>
          <w:sz w:val="20"/>
          <w:szCs w:val="20"/>
          <w:color w:val="auto"/>
        </w:rPr>
      </w:pPr>
    </w:p>
    <w:p>
      <w:pPr>
        <w:ind w:left="2187" w:hanging="733"/>
        <w:spacing w:after="0"/>
        <w:tabs>
          <w:tab w:leader="none" w:pos="2187"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(check for damage during shipment)</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(labeling of product and package)</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 (proper components in the package)</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Configuration (correct revisions, jumper settings, etc)</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3.2HP INCOMING [*]</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All new suppliers must demonstrate relevant process control through a quality system [*]. HP shall thoroughly [*] the [*] units received from the Supplier. If there are any functional failures or cosmetic failures HP has the right to [*] the Supplier's manufacturing process immediately.</w:t>
      </w:r>
    </w:p>
    <w:p>
      <w:pPr>
        <w:spacing w:after="0" w:line="177"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Incoming [*] will include a review of the following items:</w:t>
      </w:r>
    </w:p>
    <w:p>
      <w:pPr>
        <w:spacing w:after="0" w:line="180" w:lineRule="exact"/>
        <w:rPr>
          <w:sz w:val="20"/>
          <w:szCs w:val="20"/>
          <w:color w:val="auto"/>
        </w:rPr>
      </w:pPr>
    </w:p>
    <w:p>
      <w:pPr>
        <w:ind w:left="2187" w:hanging="733"/>
        <w:spacing w:after="0"/>
        <w:tabs>
          <w:tab w:leader="none" w:pos="218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(check for damage during shipment)</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(labeling of product and package)</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 (proper components in the package)</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Configuration (correct revisions, jumper settings, etc)</w:t>
      </w:r>
    </w:p>
    <w:p>
      <w:pPr>
        <w:spacing w:after="0" w:line="179" w:lineRule="exact"/>
        <w:rPr>
          <w:rFonts w:ascii="Courier New" w:cs="Courier New" w:eastAsia="Courier New" w:hAnsi="Courier New"/>
          <w:sz w:val="15"/>
          <w:szCs w:val="15"/>
          <w:color w:val="auto"/>
        </w:rPr>
      </w:pPr>
    </w:p>
    <w:p>
      <w:pPr>
        <w:ind w:left="2187" w:hanging="733"/>
        <w:spacing w:after="0"/>
        <w:tabs>
          <w:tab w:leader="none" w:pos="218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 (HP manufacturing test)</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(H)</w:t>
      </w:r>
    </w:p>
    <w:p>
      <w:pPr>
        <w:sectPr>
          <w:pgSz w:w="11900" w:h="16838" w:orient="portrait"/>
          <w:cols w:equalWidth="0" w:num="1">
            <w:col w:w="10226"/>
          </w:cols>
          <w:pgMar w:left="233" w:top="643" w:right="1440" w:bottom="1440" w:gutter="0" w:footer="0" w:header="0"/>
        </w:sectPr>
      </w:pPr>
    </w:p>
    <w:bookmarkStart w:id="238" w:name="page239"/>
    <w:bookmarkEnd w:id="238"/>
    <w:p>
      <w:pPr>
        <w:ind w:left="2187" w:hanging="733"/>
        <w:spacing w:after="0"/>
        <w:tabs>
          <w:tab w:leader="none" w:pos="2187"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Firmware level and license key.</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All failures require a corrective action report completed by the Supplier within</w:t>
      </w:r>
    </w:p>
    <w:p>
      <w:pPr>
        <w:spacing w:after="0" w:line="5" w:lineRule="exact"/>
        <w:rPr>
          <w:sz w:val="20"/>
          <w:szCs w:val="20"/>
          <w:color w:val="auto"/>
        </w:rPr>
      </w:pPr>
    </w:p>
    <w:p>
      <w:pPr>
        <w:ind w:left="7" w:right="3039" w:hanging="7"/>
        <w:spacing w:after="0" w:line="246" w:lineRule="auto"/>
        <w:tabs>
          <w:tab w:leader="none" w:pos="370"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notification. If the Supplier needs the defective unit to determine the root cause, the Supplier shall complete a [*] report within [*] after receipt of the defective unit(s). The report shall contain detailed explanation of the root cause and [*] performed. HP shall verify the report during the audit.</w:t>
      </w:r>
    </w:p>
    <w:p>
      <w:pPr>
        <w:spacing w:after="0" w:line="178"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DOCK-TO-STOCK</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Product will move to Dock-To-Stock status after successful completion of [*] as listed in Section 3.2. Upon successful completion of [*] and [*], subsequent shipments will not be inspected as they are received by HP-NSSO.</w:t>
      </w:r>
    </w:p>
    <w:p>
      <w:pPr>
        <w:spacing w:after="0" w:line="174"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OOBA INSPECTION</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OOBA is performed after a [*] final Inspection on the BROCADE manufacturing line. The focus of OOBA is to screen for failures, rectify any lots with problems, and implement [*] based on the observed failures.</w:t>
      </w:r>
    </w:p>
    <w:p>
      <w:pPr>
        <w:spacing w:after="0" w:line="174" w:lineRule="exact"/>
        <w:rPr>
          <w:sz w:val="20"/>
          <w:szCs w:val="20"/>
          <w:color w:val="auto"/>
        </w:rPr>
      </w:pPr>
    </w:p>
    <w:p>
      <w:pPr>
        <w:jc w:val="both"/>
        <w:ind w:left="7" w:right="3599"/>
        <w:spacing w:after="0" w:line="247" w:lineRule="auto"/>
        <w:rPr>
          <w:sz w:val="20"/>
          <w:szCs w:val="20"/>
          <w:color w:val="auto"/>
        </w:rPr>
      </w:pPr>
      <w:r>
        <w:rPr>
          <w:rFonts w:ascii="Courier New" w:cs="Courier New" w:eastAsia="Courier New" w:hAnsi="Courier New"/>
          <w:sz w:val="15"/>
          <w:szCs w:val="15"/>
          <w:color w:val="auto"/>
        </w:rPr>
        <w:t>The In-Process Acceptance Limit has been established and specified in the following chart. The In-Process Lot Sample Inspection shall be used when determining the Q1 score for the TQRDC/E review.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DPM</w:t>
      </w:r>
    </w:p>
    <w:p>
      <w:pPr>
        <w:spacing w:after="0" w:line="5" w:lineRule="exact"/>
        <w:rPr>
          <w:sz w:val="20"/>
          <w:szCs w:val="20"/>
          <w:color w:val="auto"/>
        </w:rPr>
      </w:pPr>
    </w:p>
    <w:p>
      <w:pPr>
        <w:ind w:left="827"/>
        <w:spacing w:after="0"/>
        <w:tabs>
          <w:tab w:leader="none" w:pos="2706" w:val="left"/>
          <w:tab w:leader="none" w:pos="4346" w:val="left"/>
        </w:tabs>
        <w:rPr>
          <w:sz w:val="20"/>
          <w:szCs w:val="20"/>
          <w:color w:val="auto"/>
        </w:rPr>
      </w:pPr>
      <w:r>
        <w:rPr>
          <w:rFonts w:ascii="Courier New" w:cs="Courier New" w:eastAsia="Courier New" w:hAnsi="Courier New"/>
          <w:sz w:val="15"/>
          <w:szCs w:val="15"/>
          <w:color w:val="auto"/>
        </w:rPr>
        <w:t>PART DESCRIPTION</w:t>
      </w:r>
      <w:r>
        <w:rPr>
          <w:sz w:val="20"/>
          <w:szCs w:val="20"/>
          <w:color w:val="auto"/>
        </w:rPr>
        <w:tab/>
      </w:r>
      <w:r>
        <w:rPr>
          <w:rFonts w:ascii="Courier New" w:cs="Courier New" w:eastAsia="Courier New" w:hAnsi="Courier New"/>
          <w:sz w:val="15"/>
          <w:szCs w:val="15"/>
          <w:color w:val="auto"/>
        </w:rPr>
        <w:t>PART NUMBER</w:t>
      </w:r>
      <w:r>
        <w:rPr>
          <w:sz w:val="20"/>
          <w:szCs w:val="20"/>
          <w:color w:val="auto"/>
        </w:rPr>
        <w:tab/>
      </w:r>
      <w:r>
        <w:rPr>
          <w:rFonts w:ascii="Courier New" w:cs="Courier New" w:eastAsia="Courier New" w:hAnsi="Courier New"/>
          <w:sz w:val="15"/>
          <w:szCs w:val="15"/>
          <w:color w:val="auto"/>
        </w:rPr>
        <w:t>UPPER LIMIT</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3066" w:val="left"/>
          <w:tab w:leader="none" w:pos="47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TBD</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29" w:lineRule="exact"/>
        <w:rPr>
          <w:sz w:val="20"/>
          <w:szCs w:val="20"/>
          <w:color w:val="auto"/>
        </w:rPr>
      </w:pPr>
    </w:p>
    <w:p>
      <w:pPr>
        <w:ind w:left="727" w:right="3219"/>
        <w:spacing w:after="0" w:line="247" w:lineRule="auto"/>
        <w:rPr>
          <w:sz w:val="20"/>
          <w:szCs w:val="20"/>
          <w:color w:val="auto"/>
        </w:rPr>
      </w:pPr>
      <w:r>
        <w:rPr>
          <w:rFonts w:ascii="Courier New" w:cs="Courier New" w:eastAsia="Courier New" w:hAnsi="Courier New"/>
          <w:sz w:val="15"/>
          <w:szCs w:val="15"/>
          <w:color w:val="auto"/>
        </w:rPr>
        <w:t>If the DPM goal is not met, Brocade will provide [*] and [*] the manufacturing process (and/or contract supplier process if necessary) and hold [*] until [*] the stated goal.</w:t>
      </w:r>
    </w:p>
    <w:p>
      <w:pPr>
        <w:spacing w:after="0" w:line="174"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hanging="727"/>
        <w:spacing w:after="0"/>
        <w:tabs>
          <w:tab w:leader="none" w:pos="727"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FIELD QUALITY / RELIABILITY</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4.1AFR (ANNUAL FAILURE RATE)</w:t>
      </w:r>
    </w:p>
    <w:p>
      <w:pPr>
        <w:spacing w:after="0" w:line="179" w:lineRule="exact"/>
        <w:rPr>
          <w:rFonts w:ascii="Courier New" w:cs="Courier New" w:eastAsia="Courier New" w:hAnsi="Courier New"/>
          <w:sz w:val="15"/>
          <w:szCs w:val="15"/>
          <w:color w:val="auto"/>
        </w:rPr>
      </w:pPr>
    </w:p>
    <w:p>
      <w:pPr>
        <w:ind w:left="72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AFR Limits are defined in the following AFR Chart. The Field Failure Rate (AFR) Limit shall be used when determining the Q2 score for the TQRDC/E review.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7"/>
        <w:spacing w:after="0"/>
        <w:tabs>
          <w:tab w:leader="none" w:pos="4346" w:val="left"/>
        </w:tabs>
        <w:rPr>
          <w:sz w:val="20"/>
          <w:szCs w:val="20"/>
          <w:color w:val="auto"/>
        </w:rPr>
      </w:pPr>
      <w:r>
        <w:rPr>
          <w:rFonts w:ascii="Courier New" w:cs="Courier New" w:eastAsia="Courier New" w:hAnsi="Courier New"/>
          <w:sz w:val="15"/>
          <w:szCs w:val="15"/>
          <w:color w:val="auto"/>
        </w:rPr>
        <w:t>HP REPLACEMENT</w:t>
      </w:r>
      <w:r>
        <w:rPr>
          <w:sz w:val="20"/>
          <w:szCs w:val="20"/>
          <w:color w:val="auto"/>
        </w:rPr>
        <w:tab/>
      </w:r>
      <w:r>
        <w:rPr>
          <w:rFonts w:ascii="Courier New" w:cs="Courier New" w:eastAsia="Courier New" w:hAnsi="Courier New"/>
          <w:sz w:val="15"/>
          <w:szCs w:val="15"/>
          <w:color w:val="auto"/>
        </w:rPr>
        <w:t>FIELD FAILURE</w:t>
      </w:r>
    </w:p>
    <w:p>
      <w:pPr>
        <w:spacing w:after="0" w:line="5" w:lineRule="exact"/>
        <w:rPr>
          <w:sz w:val="20"/>
          <w:szCs w:val="20"/>
          <w:color w:val="auto"/>
        </w:rPr>
      </w:pPr>
    </w:p>
    <w:p>
      <w:pPr>
        <w:ind w:left="827"/>
        <w:spacing w:after="0"/>
        <w:tabs>
          <w:tab w:leader="none" w:pos="2706" w:val="left"/>
          <w:tab w:leader="none" w:pos="4166" w:val="left"/>
        </w:tabs>
        <w:rPr>
          <w:sz w:val="20"/>
          <w:szCs w:val="20"/>
          <w:color w:val="auto"/>
        </w:rPr>
      </w:pPr>
      <w:r>
        <w:rPr>
          <w:rFonts w:ascii="Courier New" w:cs="Courier New" w:eastAsia="Courier New" w:hAnsi="Courier New"/>
          <w:sz w:val="15"/>
          <w:szCs w:val="15"/>
          <w:color w:val="auto"/>
        </w:rPr>
        <w:t>PART DESCRIPTION</w:t>
      </w:r>
      <w:r>
        <w:rPr>
          <w:sz w:val="20"/>
          <w:szCs w:val="20"/>
          <w:color w:val="auto"/>
        </w:rPr>
        <w:tab/>
      </w:r>
      <w:r>
        <w:rPr>
          <w:rFonts w:ascii="Courier New" w:cs="Courier New" w:eastAsia="Courier New" w:hAnsi="Courier New"/>
          <w:sz w:val="15"/>
          <w:szCs w:val="15"/>
          <w:color w:val="auto"/>
        </w:rPr>
        <w:t>PART NUMBER</w:t>
      </w:r>
      <w:r>
        <w:rPr>
          <w:sz w:val="20"/>
          <w:szCs w:val="20"/>
          <w:color w:val="auto"/>
        </w:rPr>
        <w:tab/>
      </w:r>
      <w:r>
        <w:rPr>
          <w:rFonts w:ascii="Courier New" w:cs="Courier New" w:eastAsia="Courier New" w:hAnsi="Courier New"/>
          <w:sz w:val="14"/>
          <w:szCs w:val="14"/>
          <w:color w:val="auto"/>
        </w:rPr>
        <w:t>RATE (AFR) LIMIT</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3066" w:val="left"/>
          <w:tab w:leader="none" w:pos="47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TBD</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These number do not include [*].</w:t>
      </w:r>
    </w:p>
    <w:p>
      <w:pPr>
        <w:spacing w:after="0" w:line="180" w:lineRule="exact"/>
        <w:rPr>
          <w:sz w:val="20"/>
          <w:szCs w:val="20"/>
          <w:color w:val="auto"/>
        </w:rPr>
      </w:pPr>
    </w:p>
    <w:p>
      <w:pPr>
        <w:ind w:left="727" w:hanging="727"/>
        <w:spacing w:after="0"/>
        <w:tabs>
          <w:tab w:leader="none" w:pos="727"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ANALYSIS EXPECTATIONS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Supplier shall test and verify all unit failures returned by HP worldwide manufacturing organizations, HP field or found in Brocade's manufacturing line. The supplier shall promptly institute the [*] report and [*] that may be required to prevent any further rejects for such cause.</w:t>
      </w:r>
    </w:p>
    <w:p>
      <w:pPr>
        <w:spacing w:after="0" w:line="177" w:lineRule="exact"/>
        <w:rPr>
          <w:sz w:val="20"/>
          <w:szCs w:val="20"/>
          <w:color w:val="auto"/>
        </w:rPr>
      </w:pPr>
    </w:p>
    <w:p>
      <w:pPr>
        <w:ind w:left="7" w:right="3039" w:hanging="7"/>
        <w:spacing w:after="0" w:line="246" w:lineRule="auto"/>
        <w:tabs>
          <w:tab w:leader="none" w:pos="37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evaluation shall be completed to the component level within [*] after receipt of the unit at Brocade. If problem cannot be detected with typical diagnostic tests and burn-in/stress testing is required, then an evaluation report will be sent within [*] of receipt of unit. Complete [*] report will be completed in [*] and sent to OEM Engineering at HP.</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(H)</w:t>
      </w:r>
    </w:p>
    <w:p>
      <w:pPr>
        <w:sectPr>
          <w:pgSz w:w="11900" w:h="16838" w:orient="portrait"/>
          <w:cols w:equalWidth="0" w:num="1">
            <w:col w:w="10226"/>
          </w:cols>
          <w:pgMar w:left="233" w:top="818" w:right="1440" w:bottom="0" w:gutter="0" w:footer="0" w:header="0"/>
        </w:sectPr>
      </w:pPr>
    </w:p>
    <w:bookmarkStart w:id="239" w:name="page240"/>
    <w:bookmarkEnd w:id="239"/>
    <w:p>
      <w:pPr>
        <w:ind w:left="727" w:hanging="727"/>
        <w:spacing w:after="0"/>
        <w:tabs>
          <w:tab w:leader="none" w:pos="727"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DATA EXPECTATIONS</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Quality data supplied by Supplier shall include, but not be limited to, [*] and [*] regarding failures.</w:t>
      </w:r>
    </w:p>
    <w:p>
      <w:pPr>
        <w:spacing w:after="0" w:line="175"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HP'S RESPONSIBILITY</w:t>
      </w:r>
    </w:p>
    <w:p>
      <w:pPr>
        <w:spacing w:after="0" w:line="180" w:lineRule="exact"/>
        <w:rPr>
          <w:sz w:val="20"/>
          <w:szCs w:val="20"/>
          <w:color w:val="auto"/>
        </w:rPr>
      </w:pPr>
    </w:p>
    <w:p>
      <w:pPr>
        <w:ind w:left="727" w:right="3139"/>
        <w:spacing w:after="0" w:line="247" w:lineRule="auto"/>
        <w:rPr>
          <w:sz w:val="20"/>
          <w:szCs w:val="20"/>
          <w:color w:val="auto"/>
        </w:rPr>
      </w:pPr>
      <w:r>
        <w:rPr>
          <w:rFonts w:ascii="Courier New" w:cs="Courier New" w:eastAsia="Courier New" w:hAnsi="Courier New"/>
          <w:sz w:val="15"/>
          <w:szCs w:val="15"/>
          <w:color w:val="auto"/>
        </w:rPr>
        <w:t>HP shall inform Supplier of In-Process Failures that occur at [*] on a [*] basis.</w:t>
      </w:r>
    </w:p>
    <w:p>
      <w:pPr>
        <w:spacing w:after="0" w:line="175"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SUPPLIER'S RESPONSIBILITY</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 REPORTS</w:t>
      </w:r>
    </w:p>
    <w:p>
      <w:pPr>
        <w:spacing w:after="0" w:line="180" w:lineRule="exact"/>
        <w:rPr>
          <w:sz w:val="20"/>
          <w:szCs w:val="20"/>
          <w:color w:val="auto"/>
        </w:rPr>
      </w:pPr>
    </w:p>
    <w:p>
      <w:pPr>
        <w:ind w:left="727" w:right="3679"/>
        <w:spacing w:after="0" w:line="247" w:lineRule="auto"/>
        <w:rPr>
          <w:sz w:val="20"/>
          <w:szCs w:val="20"/>
          <w:color w:val="auto"/>
        </w:rPr>
      </w:pPr>
      <w:r>
        <w:rPr>
          <w:rFonts w:ascii="Courier New" w:cs="Courier New" w:eastAsia="Courier New" w:hAnsi="Courier New"/>
          <w:sz w:val="15"/>
          <w:szCs w:val="15"/>
          <w:color w:val="auto"/>
        </w:rPr>
        <w:t>Supplier shall provide the following reports to HP-LASSO s OEivl Engineer on a [*] basis:</w:t>
      </w:r>
    </w:p>
    <w:p>
      <w:pPr>
        <w:spacing w:after="0" w:line="175" w:lineRule="exact"/>
        <w:rPr>
          <w:sz w:val="20"/>
          <w:szCs w:val="20"/>
          <w:color w:val="auto"/>
        </w:rPr>
      </w:pPr>
    </w:p>
    <w:p>
      <w:pPr>
        <w:ind w:left="1447" w:right="2959" w:hanging="720"/>
        <w:spacing w:after="0" w:line="247" w:lineRule="auto"/>
        <w:tabs>
          <w:tab w:leader="none" w:pos="1447"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all reports contained in following [*] report section.printed: Supplier shall provide the following reports to HP-NSSO's Mass Storage OEM Engineers on a [*] basis:</w:t>
      </w:r>
    </w:p>
    <w:p>
      <w:pPr>
        <w:spacing w:after="0" w:line="174"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OTHER REPORTS</w:t>
      </w:r>
    </w:p>
    <w:p>
      <w:pPr>
        <w:spacing w:after="0" w:line="180" w:lineRule="exact"/>
        <w:rPr>
          <w:sz w:val="20"/>
          <w:szCs w:val="20"/>
          <w:color w:val="auto"/>
        </w:rPr>
      </w:pPr>
    </w:p>
    <w:p>
      <w:pPr>
        <w:ind w:left="727" w:right="3219"/>
        <w:spacing w:after="0" w:line="247" w:lineRule="auto"/>
        <w:rPr>
          <w:sz w:val="20"/>
          <w:szCs w:val="20"/>
          <w:color w:val="auto"/>
        </w:rPr>
      </w:pPr>
      <w:r>
        <w:rPr>
          <w:rFonts w:ascii="Courier New" w:cs="Courier New" w:eastAsia="Courier New" w:hAnsi="Courier New"/>
          <w:sz w:val="15"/>
          <w:szCs w:val="15"/>
          <w:color w:val="auto"/>
        </w:rPr>
        <w:t>Supplier shall provide the following additional information to the HP Fibre Channel OEM Engineer.</w:t>
      </w:r>
    </w:p>
    <w:p>
      <w:pPr>
        <w:spacing w:after="0" w:line="175" w:lineRule="exact"/>
        <w:rPr>
          <w:sz w:val="20"/>
          <w:szCs w:val="20"/>
          <w:color w:val="auto"/>
        </w:rPr>
      </w:pPr>
    </w:p>
    <w:p>
      <w:pPr>
        <w:ind w:left="2187" w:hanging="733"/>
        <w:spacing w:after="0"/>
        <w:tabs>
          <w:tab w:leader="none" w:pos="2187" w:val="left"/>
        </w:tabs>
        <w:numPr>
          <w:ilvl w:val="1"/>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upon completion.</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EXPECTATIONS</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7.1PRODUCT CHANGES REQUIRING HP APPROVAL</w:t>
      </w:r>
    </w:p>
    <w:p>
      <w:pPr>
        <w:spacing w:after="0" w:line="179" w:lineRule="exact"/>
        <w:rPr>
          <w:rFonts w:ascii="Courier New" w:cs="Courier New" w:eastAsia="Courier New" w:hAnsi="Courier New"/>
          <w:sz w:val="15"/>
          <w:szCs w:val="15"/>
          <w:color w:val="auto"/>
        </w:rPr>
      </w:pPr>
    </w:p>
    <w:p>
      <w:pPr>
        <w:ind w:left="72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evaluation period for changes is covered in the HP/Brocade Purchase Agreement. The intent is to allow HP [*] to review the proposed change and Supplier [*] and to perform [*], if necessary. Supplier must [ * ] of upcoming changes in order to assure a smooth implementation. Changes must be communicated in writing in the form of an Engineering Change Request (ECR) document and sent to the OEM Engineer. Changes that must be communicated in writing are:</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PROCESS CHANGES REQUIRING HP APPROVAL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shall notify HP of any major changes to the manufacturing process in</w:t>
      </w:r>
    </w:p>
    <w:p>
      <w:pPr>
        <w:spacing w:after="0" w:line="5" w:lineRule="exact"/>
        <w:rPr>
          <w:sz w:val="20"/>
          <w:szCs w:val="20"/>
          <w:color w:val="auto"/>
        </w:rPr>
      </w:pPr>
    </w:p>
    <w:p>
      <w:pPr>
        <w:ind w:left="367" w:hanging="367"/>
        <w:spacing w:after="0"/>
        <w:tabs>
          <w:tab w:leader="none" w:pos="367"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implementation. These include:</w:t>
      </w:r>
    </w:p>
    <w:p>
      <w:pPr>
        <w:spacing w:after="0" w:line="179" w:lineRule="exact"/>
        <w:rPr>
          <w:rFonts w:ascii="Courier New" w:cs="Courier New" w:eastAsia="Courier New" w:hAnsi="Courier New"/>
          <w:sz w:val="15"/>
          <w:szCs w:val="15"/>
          <w:color w:val="auto"/>
        </w:rPr>
      </w:pPr>
    </w:p>
    <w:p>
      <w:pPr>
        <w:ind w:left="1447" w:hanging="720"/>
        <w:spacing w:after="0"/>
        <w:tabs>
          <w:tab w:leader="none" w:pos="1447" w:val="left"/>
        </w:tabs>
        <w:numPr>
          <w:ilvl w:val="1"/>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(H)</w:t>
      </w:r>
    </w:p>
    <w:p>
      <w:pPr>
        <w:sectPr>
          <w:pgSz w:w="11900" w:h="16838" w:orient="portrait"/>
          <w:cols w:equalWidth="0" w:num="1">
            <w:col w:w="10226"/>
          </w:cols>
          <w:pgMar w:left="233" w:top="643" w:right="1440" w:bottom="1440" w:gutter="0" w:footer="0" w:header="0"/>
        </w:sectPr>
      </w:pPr>
    </w:p>
    <w:bookmarkStart w:id="240" w:name="page241"/>
    <w:bookmarkEnd w:id="240"/>
    <w:p>
      <w:pPr>
        <w:ind w:left="727"/>
        <w:spacing w:after="0"/>
        <w:tabs>
          <w:tab w:leader="none" w:pos="1426"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SHIPMENT HOLD NOTIFICATION</w:t>
      </w:r>
    </w:p>
    <w:p>
      <w:pPr>
        <w:spacing w:after="0" w:line="180" w:lineRule="exact"/>
        <w:rPr>
          <w:sz w:val="20"/>
          <w:szCs w:val="20"/>
          <w:color w:val="auto"/>
        </w:rPr>
      </w:pPr>
    </w:p>
    <w:p>
      <w:pPr>
        <w:ind w:left="727" w:right="3139"/>
        <w:spacing w:after="0" w:line="246" w:lineRule="auto"/>
        <w:rPr>
          <w:sz w:val="20"/>
          <w:szCs w:val="20"/>
          <w:color w:val="auto"/>
        </w:rPr>
      </w:pPr>
      <w:r>
        <w:rPr>
          <w:rFonts w:ascii="Courier New" w:cs="Courier New" w:eastAsia="Courier New" w:hAnsi="Courier New"/>
          <w:sz w:val="15"/>
          <w:szCs w:val="15"/>
          <w:color w:val="auto"/>
        </w:rPr>
        <w:t>Supplier shall notify HP verbally of any line-down or ship hold situations that will adversely affect HP shipments or HP's installed base within [*] of such situation occurring. A written analysis of I-IP's inventory exposure and a recover, plan, if applicable, shall be provided within [*] of such situation occurring.</w:t>
      </w:r>
    </w:p>
    <w:p>
      <w:pPr>
        <w:spacing w:after="0" w:line="178" w:lineRule="exact"/>
        <w:rPr>
          <w:sz w:val="20"/>
          <w:szCs w:val="20"/>
          <w:color w:val="auto"/>
        </w:rPr>
      </w:pPr>
    </w:p>
    <w:p>
      <w:pPr>
        <w:ind w:left="727"/>
        <w:spacing w:after="0"/>
        <w:tabs>
          <w:tab w:leader="none" w:pos="1426"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27" w:right="2959"/>
        <w:spacing w:after="0" w:line="247" w:lineRule="auto"/>
        <w:rPr>
          <w:sz w:val="20"/>
          <w:szCs w:val="20"/>
          <w:color w:val="auto"/>
        </w:rPr>
      </w:pPr>
      <w:r>
        <w:rPr>
          <w:rFonts w:ascii="Courier New" w:cs="Courier New" w:eastAsia="Courier New" w:hAnsi="Courier New"/>
          <w:sz w:val="15"/>
          <w:szCs w:val="15"/>
          <w:color w:val="auto"/>
        </w:rPr>
        <w:t>Supplier will maintain a [*] with HP to address all open issues and will [*].</w:t>
      </w:r>
    </w:p>
    <w:p>
      <w:pPr>
        <w:spacing w:after="0" w:line="175" w:lineRule="exact"/>
        <w:rPr>
          <w:sz w:val="20"/>
          <w:szCs w:val="20"/>
          <w:color w:val="auto"/>
        </w:rPr>
      </w:pPr>
    </w:p>
    <w:p>
      <w:pPr>
        <w:ind w:left="3447" w:right="6499" w:hanging="2720"/>
        <w:spacing w:after="0" w:line="494" w:lineRule="auto"/>
        <w:tabs>
          <w:tab w:leader="none" w:pos="1447"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QUALITY SYSTEM [*]</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(H)</w:t>
      </w:r>
    </w:p>
    <w:p>
      <w:pPr>
        <w:sectPr>
          <w:pgSz w:w="11900" w:h="16838" w:orient="portrait"/>
          <w:cols w:equalWidth="0" w:num="1">
            <w:col w:w="10226"/>
          </w:cols>
          <w:pgMar w:left="233" w:top="818" w:right="1440" w:bottom="1440" w:gutter="0" w:footer="0" w:header="0"/>
        </w:sectPr>
      </w:pPr>
    </w:p>
    <w:bookmarkStart w:id="241" w:name="page242"/>
    <w:bookmarkEnd w:id="241"/>
    <w:p>
      <w:pPr>
        <w:jc w:val="center"/>
        <w:ind w:right="2879"/>
        <w:spacing w:after="0"/>
        <w:rPr>
          <w:sz w:val="20"/>
          <w:szCs w:val="20"/>
          <w:color w:val="auto"/>
        </w:rPr>
      </w:pPr>
      <w:r>
        <w:rPr>
          <w:rFonts w:ascii="Courier New" w:cs="Courier New" w:eastAsia="Courier New" w:hAnsi="Courier New"/>
          <w:sz w:val="15"/>
          <w:szCs w:val="15"/>
          <w:color w:val="auto"/>
        </w:rPr>
        <w:t>EXHIBIT (I)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HP END USER SOFTWARE LICENSE AGREEMENT</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ATTENTION NOTICE</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ATTENTION: USE OF THE SOFTWARE IS SUBJECT TO THE HP SOFTWARE LICENSE TERMS CONTAINED IN THE ACCOMPANYING DOCUMENTATION. USING THE SOFTWARE INDICATES YOUR ACCEPTANCE OF THESE LICENSE TERMS. IF YOU DO NOT ACCEPT THESE LICENSE TERMS, YOU MAY RETURN THE SOFTWARE FOR A FULL REFUND. IF THE SOFTWARE IS BUNDLED WITH ANOTHER PRODUCT, YOU MAY RETURN THE ENTIRE UNUSED PRODUCT FOR A FULL REFUND.</w:t>
      </w:r>
    </w:p>
    <w:p>
      <w:pPr>
        <w:spacing w:after="0" w:line="200" w:lineRule="exact"/>
        <w:rPr>
          <w:sz w:val="20"/>
          <w:szCs w:val="20"/>
          <w:color w:val="auto"/>
        </w:rPr>
      </w:pPr>
    </w:p>
    <w:p>
      <w:pPr>
        <w:spacing w:after="0" w:line="32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(I)</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 of 2</w:t>
      </w:r>
    </w:p>
    <w:p>
      <w:pPr>
        <w:sectPr>
          <w:pgSz w:w="11900" w:h="16838" w:orient="portrait"/>
          <w:cols w:equalWidth="0" w:num="1">
            <w:col w:w="10219"/>
          </w:cols>
          <w:pgMar w:left="240" w:top="643" w:right="1440" w:bottom="1440" w:gutter="0" w:footer="0" w:header="0"/>
        </w:sectPr>
      </w:pPr>
    </w:p>
    <w:bookmarkStart w:id="242" w:name="page243"/>
    <w:bookmarkEnd w:id="242"/>
    <w:p>
      <w:pPr>
        <w:ind w:right="2959"/>
        <w:spacing w:after="0" w:line="246" w:lineRule="auto"/>
        <w:rPr>
          <w:sz w:val="20"/>
          <w:szCs w:val="20"/>
          <w:color w:val="auto"/>
        </w:rPr>
      </w:pPr>
      <w:r>
        <w:rPr>
          <w:rFonts w:ascii="Courier New" w:cs="Courier New" w:eastAsia="Courier New" w:hAnsi="Courier New"/>
          <w:sz w:val="15"/>
          <w:szCs w:val="15"/>
          <w:color w:val="auto"/>
        </w:rPr>
        <w:t>ATTENTION: USE OF THE SOFTWARE IS SUBJECT TO THE HP SOFTWARE LICENSE TERMS SET FORTH BELOW. USING THE SOFTWARE INDICATES YOUR ACCEPTANCE OF THESE LICENSE TERMS. IF YOU DO NOT ACCEPT THESE LICENSE TERMS, YOU MAY RETURN THE SOFTWARE FOR A FULL REFUND. IF THE SOFTWARE IS BUNDLED WITH ANOTHER PRODUCT, YOU MAY RETURN THE ENTIRE UNUSED PRODUCT FOR A FULL REFUND.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SOFTWARE LICENSE TERMS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following License Terms govern your use of the accompanying Software unless you have a separate written agreement with HP.</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LICENSE GRANT. HP grants you a license to Use one copy of the Software. "Use" means storing, loading, installing, executing or displaying the Software. You may not modify the Software or disable any licensing or control features of the Software. If the Software is licensed for "concurrent use", you may not allow more than the maximum number of authorized users to Use the Software concurrently.</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OWNERSHIP. The Software is owned and copyrighted by HP or its third party suppliers. Your license confers no title or ownership and is not a sale of any rights in the Software, its documentation or the media on which they are recorded or printed. Third party suppliers may protect their rights in the Software in the event of any infringement.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COPIES AND ADAPTATIONS. You may only make copies or adaptations of the Software for archival purposes or when copying or adaptation is an essential step in the authorized Use of the Software on a backup product, provided that copies and adaptations are used in no other manner and provided further that Use on the backup product is discontinued when the original or replacement product becomes operable. You must reproduce all copyright notices in the original Software on all copies or adaptations. You may not copy the Software onto any public or distributed network.</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 DISASSEMBLY OR DECRYPTION. You may not disassemble or decompile the Software without HP's prior written consent. Where you have other rights under statute, you will provide HP with reasonably detailed information regarding any intended disassembly or decompilation. You may not decrypt the Software unless necessary for the legitimate use of the Software.</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TRANSFER. Your license will automatically terminate upon any transfer of the Software. Upon transfer, you must deliver the Software, including any copies and related documentation, to the transferee. The transferee must accept these License Terms as a condition to the transfer.</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TERMINATION. HP may terminate your license upon notice for failure to comply with any of these License Terms. Upon termination, you must immediately destroy the Software, together with all copies, adaptations and merged portions in any form.</w:t>
      </w:r>
    </w:p>
    <w:p>
      <w:pPr>
        <w:spacing w:after="0" w:line="177"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EXPORT REQUIREMENTS. You may not export or re-export the Software or any copy or adaptation in violation of any applicable laws or regulations.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U.S. GOVERNMENT RESTRICTED RIGHTS. The Software and any accompanying documentation have been developed entirely at private expense. They are delivered and licensed as "commercial computer software" as defined in DFARS 252.227-7013 (Oct. 1988), DFARS 252.211-7015 (May 1991) or DFARS 252.227-7014 (Jun 1995), as a "commercial item" as defined in FAR 2.101(a), or as "Restricted computer software" as defined in FAR 52.227-19 (Jun 1987) (or any equivalent agency regulation or contract clause), whichever is applicable. You have only those rights provided for such Software and any accompanying documentation by the applicable FAR or DFARS clause or the HP standard software agreement for the product involved.</w:t>
      </w:r>
    </w:p>
    <w:p>
      <w:pPr>
        <w:spacing w:after="0" w:line="200" w:lineRule="exact"/>
        <w:rPr>
          <w:sz w:val="20"/>
          <w:szCs w:val="20"/>
          <w:color w:val="auto"/>
        </w:rPr>
      </w:pPr>
    </w:p>
    <w:p>
      <w:pPr>
        <w:spacing w:after="0" w:line="33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EXHIBIT (I)</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 of 2</w:t>
      </w:r>
    </w:p>
    <w:p>
      <w:pPr>
        <w:sectPr>
          <w:pgSz w:w="11900" w:h="16838" w:orient="portrait"/>
          <w:cols w:equalWidth="0" w:num="1">
            <w:col w:w="10219"/>
          </w:cols>
          <w:pgMar w:left="240" w:top="643" w:right="1440" w:bottom="1440" w:gutter="0" w:footer="0" w:header="0"/>
        </w:sectPr>
      </w:pPr>
    </w:p>
    <w:bookmarkStart w:id="243" w:name="page244"/>
    <w:bookmarkEnd w:id="243"/>
    <w:p>
      <w:pPr>
        <w:ind w:left="3367"/>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7" w:right="2959" w:hanging="447"/>
        <w:spacing w:after="0" w:line="247" w:lineRule="auto"/>
        <w:tabs>
          <w:tab w:leader="none" w:pos="447"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(J)</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1 of 4</w:t>
      </w:r>
    </w:p>
    <w:p>
      <w:pPr>
        <w:sectPr>
          <w:pgSz w:w="11900" w:h="16838" w:orient="portrait"/>
          <w:cols w:equalWidth="0" w:num="1">
            <w:col w:w="10226"/>
          </w:cols>
          <w:pgMar w:left="233" w:top="643" w:right="1440" w:bottom="1440" w:gutter="0" w:footer="0" w:header="0"/>
        </w:sectPr>
      </w:pPr>
    </w:p>
    <w:bookmarkStart w:id="244" w:name="page245"/>
    <w:bookmarkEnd w:id="244"/>
    <w:p>
      <w:pPr>
        <w:ind w:left="344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7" w:right="2959" w:hanging="447"/>
        <w:spacing w:after="0" w:line="247" w:lineRule="auto"/>
        <w:tabs>
          <w:tab w:leader="none" w:pos="447"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(J)</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2 of 4</w:t>
      </w:r>
    </w:p>
    <w:p>
      <w:pPr>
        <w:sectPr>
          <w:pgSz w:w="11900" w:h="16838" w:orient="portrait"/>
          <w:cols w:equalWidth="0" w:num="1">
            <w:col w:w="10226"/>
          </w:cols>
          <w:pgMar w:left="233" w:top="643" w:right="1440" w:bottom="1440" w:gutter="0" w:footer="0" w:header="0"/>
        </w:sectPr>
      </w:pPr>
    </w:p>
    <w:bookmarkStart w:id="245" w:name="page246"/>
    <w:bookmarkEnd w:id="245"/>
    <w:p>
      <w:pPr>
        <w:ind w:left="3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2959" w:hanging="447"/>
        <w:spacing w:after="0" w:line="247" w:lineRule="auto"/>
        <w:tabs>
          <w:tab w:leader="none" w:pos="447"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(J)</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3 of 4</w:t>
      </w:r>
    </w:p>
    <w:p>
      <w:pPr>
        <w:sectPr>
          <w:pgSz w:w="11900" w:h="16838" w:orient="portrait"/>
          <w:cols w:equalWidth="0" w:num="1">
            <w:col w:w="10226"/>
          </w:cols>
          <w:pgMar w:left="233" w:top="643" w:right="1440" w:bottom="1440" w:gutter="0" w:footer="0" w:header="0"/>
        </w:sectPr>
      </w:pPr>
    </w:p>
    <w:bookmarkStart w:id="246" w:name="page247"/>
    <w:bookmarkEnd w:id="246"/>
    <w:p>
      <w:pPr>
        <w:ind w:left="344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(J)</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4 of 4</w:t>
      </w:r>
    </w:p>
    <w:p>
      <w:pPr>
        <w:sectPr>
          <w:pgSz w:w="11900" w:h="16838" w:orient="portrait"/>
          <w:cols w:equalWidth="0" w:num="1">
            <w:col w:w="10226"/>
          </w:cols>
          <w:pgMar w:left="233" w:top="817" w:right="1440" w:bottom="1440" w:gutter="0" w:footer="0" w:header="0"/>
        </w:sectPr>
      </w:pPr>
    </w:p>
    <w:bookmarkStart w:id="247" w:name="page248"/>
    <w:bookmarkEnd w:id="247"/>
    <w:p>
      <w:pPr>
        <w:jc w:val="right"/>
        <w:ind w:right="2959"/>
        <w:spacing w:after="0"/>
        <w:rPr>
          <w:sz w:val="20"/>
          <w:szCs w:val="20"/>
          <w:color w:val="auto"/>
        </w:rPr>
      </w:pPr>
      <w:r>
        <w:rPr>
          <w:rFonts w:ascii="Courier New" w:cs="Courier New" w:eastAsia="Courier New" w:hAnsi="Courier New"/>
          <w:sz w:val="15"/>
          <w:szCs w:val="15"/>
          <w:color w:val="auto"/>
        </w:rPr>
        <w:t>Exhibit 10.42</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AMENDMENT NO. 1 TO</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OEM PURCHASE AGREEMENT</w:t>
      </w:r>
    </w:p>
    <w:p>
      <w:pPr>
        <w:spacing w:after="0" w:line="180" w:lineRule="exact"/>
        <w:rPr>
          <w:sz w:val="20"/>
          <w:szCs w:val="20"/>
          <w:color w:val="auto"/>
        </w:rPr>
      </w:pPr>
    </w:p>
    <w:p>
      <w:pPr>
        <w:ind w:right="2959" w:firstLine="727"/>
        <w:spacing w:after="0" w:line="246" w:lineRule="auto"/>
        <w:rPr>
          <w:sz w:val="20"/>
          <w:szCs w:val="20"/>
          <w:color w:val="auto"/>
        </w:rPr>
      </w:pPr>
      <w:r>
        <w:rPr>
          <w:rFonts w:ascii="Courier New" w:cs="Courier New" w:eastAsia="Courier New" w:hAnsi="Courier New"/>
          <w:sz w:val="15"/>
          <w:szCs w:val="15"/>
          <w:color w:val="auto"/>
        </w:rPr>
        <w:t>This Amendment No. 1 (the "Amendment") to the OEM Purchase Agreement dated April 20, '2001 by and between HEWLETT-PACKARD COMPANY, a Delaware corporation ("HP") and BROCADE COMMUNICATIONS SYSTEMS, INC., a Delaware corporation, having its principal place of business at 1745 Technology Drive, San Jose, California 95110, and Brocade Communications Switzerland SarL, a corporation organized under the laws of Geneva, and having its principal place of business at 29-31 Route de l'Aeroport, CH-1205 Geneva, Switzerland (collectively "Supplier") (the "Agreement") is entered into by HP and Supplier effective as of July 1, 2001 (the "Effective Date"). The parties hereby agree as follows.</w:t>
      </w:r>
    </w:p>
    <w:p>
      <w:pPr>
        <w:spacing w:after="0" w:line="181" w:lineRule="exact"/>
        <w:rPr>
          <w:sz w:val="20"/>
          <w:szCs w:val="20"/>
          <w:color w:val="auto"/>
        </w:rPr>
      </w:pPr>
    </w:p>
    <w:p>
      <w:pPr>
        <w:ind w:right="2959" w:firstLine="727"/>
        <w:spacing w:after="0" w:line="246" w:lineRule="auto"/>
        <w:rPr>
          <w:sz w:val="20"/>
          <w:szCs w:val="20"/>
          <w:color w:val="auto"/>
        </w:rPr>
      </w:pPr>
      <w:r>
        <w:rPr>
          <w:rFonts w:ascii="Courier New" w:cs="Courier New" w:eastAsia="Courier New" w:hAnsi="Courier New"/>
          <w:sz w:val="15"/>
          <w:szCs w:val="15"/>
          <w:color w:val="auto"/>
        </w:rPr>
        <w:t>Except as expressly amended herein all unmodified and remaining terms and conditions of the Agreement shall remain in full force and effect. All capitalized terms not defined in this Amendment shall have the meaning set forth in the Agreement.</w:t>
      </w:r>
    </w:p>
    <w:p>
      <w:pPr>
        <w:spacing w:after="0" w:line="177" w:lineRule="exact"/>
        <w:rPr>
          <w:sz w:val="20"/>
          <w:szCs w:val="20"/>
          <w:color w:val="auto"/>
        </w:rPr>
      </w:pPr>
    </w:p>
    <w:p>
      <w:pPr>
        <w:ind w:right="3679" w:firstLine="727"/>
        <w:spacing w:after="0" w:line="247" w:lineRule="auto"/>
        <w:rPr>
          <w:sz w:val="20"/>
          <w:szCs w:val="20"/>
          <w:color w:val="auto"/>
        </w:rPr>
      </w:pPr>
      <w:r>
        <w:rPr>
          <w:rFonts w:ascii="Courier New" w:cs="Courier New" w:eastAsia="Courier New" w:hAnsi="Courier New"/>
          <w:sz w:val="15"/>
          <w:szCs w:val="15"/>
          <w:color w:val="auto"/>
        </w:rPr>
        <w:t>WHEREAS, HP and Supplier wish to amend certain provisions of the Agreement to provide revised pricing.</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80" w:lineRule="exact"/>
        <w:rPr>
          <w:sz w:val="20"/>
          <w:szCs w:val="20"/>
          <w:color w:val="auto"/>
        </w:rPr>
      </w:pPr>
    </w:p>
    <w:p>
      <w:pPr>
        <w:ind w:right="3319" w:firstLine="727"/>
        <w:spacing w:after="0" w:line="247" w:lineRule="auto"/>
        <w:rPr>
          <w:sz w:val="20"/>
          <w:szCs w:val="20"/>
          <w:color w:val="auto"/>
        </w:rPr>
      </w:pPr>
      <w:r>
        <w:rPr>
          <w:rFonts w:ascii="Courier New" w:cs="Courier New" w:eastAsia="Courier New" w:hAnsi="Courier New"/>
          <w:sz w:val="15"/>
          <w:szCs w:val="15"/>
          <w:color w:val="auto"/>
        </w:rPr>
        <w:t>Section 1. Amendment to page 2 of 5 of Exhibit C of the Agreement. : Page 2 of Exhibit C to the Agreement is hereby deleted in its entirety and replaced with the revised Page 2 as set forth in Exhibit A attached hereto.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w:t>
      </w:r>
    </w:p>
    <w:p>
      <w:pPr>
        <w:sectPr>
          <w:pgSz w:w="11900" w:h="16838" w:orient="portrait"/>
          <w:cols w:equalWidth="0" w:num="1">
            <w:col w:w="10219"/>
          </w:cols>
          <w:pgMar w:left="240" w:top="316"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354" w:lineRule="exact"/>
        <w:rPr>
          <w:sz w:val="20"/>
          <w:szCs w:val="20"/>
          <w:color w:val="auto"/>
        </w:rPr>
      </w:pPr>
    </w:p>
    <w:p>
      <w:pPr>
        <w:sectPr>
          <w:pgSz w:w="11900" w:h="16838" w:orient="portrait"/>
          <w:cols w:equalWidth="0" w:num="2">
            <w:col w:w="3360" w:space="720"/>
            <w:col w:w="6139"/>
          </w:cols>
          <w:pgMar w:left="240" w:top="31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/s/ Jack Cuthbert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Jack Cuthbert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VP Worldwide Marketing,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Support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Don Kleinschnitz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Don Kleinschnitz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GM SNS Hewlett-Packard</w:t>
      </w:r>
    </w:p>
    <w:p>
      <w:pPr>
        <w:spacing w:after="0" w:line="354" w:lineRule="exact"/>
        <w:rPr>
          <w:sz w:val="20"/>
          <w:szCs w:val="20"/>
          <w:color w:val="auto"/>
        </w:rPr>
      </w:pPr>
    </w:p>
    <w:p>
      <w:pPr>
        <w:sectPr>
          <w:pgSz w:w="11900" w:h="16838" w:orient="portrait"/>
          <w:cols w:equalWidth="0" w:num="2">
            <w:col w:w="3360" w:space="720"/>
            <w:col w:w="6139"/>
          </w:cols>
          <w:pgMar w:left="240" w:top="31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 SARL.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route de l'Aeroport, CP 105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1211 Geneve 15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Jean Marie Mathiot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Jean Marie Mathiot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Vice President EMEA</w:t>
      </w:r>
    </w:p>
    <w:p>
      <w:pPr>
        <w:sectPr>
          <w:pgSz w:w="11900" w:h="16838" w:orient="portrait"/>
          <w:cols w:equalWidth="0" w:num="1">
            <w:col w:w="10219"/>
          </w:cols>
          <w:pgMar w:left="240" w:top="316" w:right="1440" w:bottom="1440" w:gutter="0" w:footer="0" w:header="0"/>
          <w:type w:val="continuous"/>
        </w:sectPr>
      </w:pPr>
    </w:p>
    <w:bookmarkStart w:id="248" w:name="page249"/>
    <w:bookmarkEnd w:id="248"/>
    <w:p>
      <w:pPr>
        <w:jc w:val="center"/>
        <w:ind w:right="2872"/>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jc w:val="both"/>
        <w:ind w:left="7" w:right="3039"/>
        <w:spacing w:after="0" w:line="247" w:lineRule="auto"/>
        <w:rPr>
          <w:sz w:val="20"/>
          <w:szCs w:val="20"/>
          <w:color w:val="auto"/>
        </w:rPr>
      </w:pPr>
      <w:r>
        <w:rPr>
          <w:rFonts w:ascii="Courier New" w:cs="Courier New" w:eastAsia="Courier New" w:hAnsi="Courier New"/>
          <w:sz w:val="15"/>
          <w:szCs w:val="15"/>
          <w:color w:val="auto"/>
        </w:rPr>
        <w:t>Software Delivery. All Software provided by Supplier under this Agreement shall be offered to HP [ * ]</w:t>
      </w:r>
    </w:p>
    <w:p>
      <w:pPr>
        <w:spacing w:after="0" w:line="175" w:lineRule="exact"/>
        <w:rPr>
          <w:sz w:val="20"/>
          <w:szCs w:val="20"/>
          <w:color w:val="auto"/>
        </w:rPr>
      </w:pPr>
    </w:p>
    <w:p>
      <w:pPr>
        <w:jc w:val="both"/>
        <w:ind w:left="7" w:right="3039"/>
        <w:spacing w:after="0" w:line="247" w:lineRule="auto"/>
        <w:rPr>
          <w:sz w:val="20"/>
          <w:szCs w:val="20"/>
          <w:color w:val="auto"/>
        </w:rPr>
      </w:pPr>
      <w:r>
        <w:rPr>
          <w:rFonts w:ascii="Courier New" w:cs="Courier New" w:eastAsia="Courier New" w:hAnsi="Courier New"/>
          <w:sz w:val="15"/>
          <w:szCs w:val="15"/>
          <w:color w:val="auto"/>
        </w:rPr>
        <w:t>Software Licenses. All Software license OEM Products listed in this Exhibit (C) shall include HP's right to [ * ] will be due for any package item subsequently [ * ].</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SILKWORM 6400 AGGREGATOR FC SWITCH OEM PRODUCT PRICING.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PART DESCRIPTION: HP Surestore FC-6400 (64-Port Fibre Channel Fabric Switch)</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MODEL NO./DESCRIPTION: [ * ]</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4940" w:type="dxa"/>
            <w:vAlign w:val="bottom"/>
            <w:gridSpan w:val="2"/>
          </w:tcPr>
          <w:p>
            <w:pPr>
              <w:ind w:left="1220"/>
              <w:spacing w:after="0"/>
              <w:rPr>
                <w:sz w:val="20"/>
                <w:szCs w:val="20"/>
                <w:color w:val="auto"/>
              </w:rPr>
            </w:pPr>
            <w:r>
              <w:rPr>
                <w:rFonts w:ascii="Courier New" w:cs="Courier New" w:eastAsia="Courier New" w:hAnsi="Courier New"/>
                <w:sz w:val="15"/>
                <w:szCs w:val="15"/>
                <w:color w:val="auto"/>
              </w:rPr>
              <w:t>HP PURCHASE PRICE</w:t>
            </w:r>
          </w:p>
        </w:tc>
      </w:tr>
      <w:tr>
        <w:trPr>
          <w:trHeight w:val="175"/>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3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350"/>
        </w:trPr>
        <w:tc>
          <w:tcPr>
            <w:tcW w:w="16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3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350"/>
        </w:trPr>
        <w:tc>
          <w:tcPr>
            <w:tcW w:w="16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3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350"/>
        </w:trPr>
        <w:tc>
          <w:tcPr>
            <w:tcW w:w="16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3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FABRIC SOFTWARE OEM PRODUCT PER-COPY FEES.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PART DESCRIPTION: [HP private-label name pending]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MODEL NO./DESCRIPTION: [ *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per-license fee: [ *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PART DESCRIPTION: [HP private-label name pending]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MODEL NO./DESCRIPTION: [ *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per-license fee: [ * ]</w:t>
      </w:r>
    </w:p>
    <w:p>
      <w:pPr>
        <w:spacing w:after="0" w:line="354" w:lineRule="exact"/>
        <w:rPr>
          <w:sz w:val="20"/>
          <w:szCs w:val="20"/>
          <w:color w:val="auto"/>
        </w:rPr>
      </w:pPr>
    </w:p>
    <w:p>
      <w:pPr>
        <w:ind w:left="447" w:right="2959" w:hanging="447"/>
        <w:spacing w:after="0" w:line="247" w:lineRule="auto"/>
        <w:tabs>
          <w:tab w:leader="none" w:pos="447"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AMENDMENT NO. 1</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2 of 3</w:t>
      </w:r>
    </w:p>
    <w:p>
      <w:pPr>
        <w:sectPr>
          <w:pgSz w:w="11900" w:h="16838" w:orient="portrait"/>
          <w:cols w:equalWidth="0" w:num="1">
            <w:col w:w="10226"/>
          </w:cols>
          <w:pgMar w:left="233" w:top="468" w:right="1440" w:bottom="1440" w:gutter="0" w:footer="0" w:header="0"/>
        </w:sectPr>
      </w:pPr>
    </w:p>
    <w:bookmarkStart w:id="249" w:name="page250"/>
    <w:bookmarkEnd w:id="249"/>
    <w:p>
      <w:pPr>
        <w:ind w:left="7"/>
        <w:spacing w:after="0"/>
        <w:rPr>
          <w:sz w:val="20"/>
          <w:szCs w:val="20"/>
          <w:color w:val="auto"/>
        </w:rPr>
      </w:pPr>
      <w:r>
        <w:rPr>
          <w:rFonts w:ascii="Courier New" w:cs="Courier New" w:eastAsia="Courier New" w:hAnsi="Courier New"/>
          <w:sz w:val="15"/>
          <w:szCs w:val="15"/>
          <w:color w:val="auto"/>
        </w:rPr>
        <w:t>HP PART DESCRIPTION: [HP private-label name pending]</w:t>
      </w:r>
    </w:p>
    <w:p>
      <w:pPr>
        <w:spacing w:after="0" w:line="180" w:lineRule="exact"/>
        <w:rPr>
          <w:sz w:val="20"/>
          <w:szCs w:val="20"/>
          <w:color w:val="auto"/>
        </w:rPr>
      </w:pPr>
    </w:p>
    <w:p>
      <w:pPr>
        <w:ind w:left="7"/>
        <w:spacing w:after="0"/>
        <w:tabs>
          <w:tab w:leader="none" w:pos="2986" w:val="left"/>
        </w:tabs>
        <w:rPr>
          <w:sz w:val="20"/>
          <w:szCs w:val="20"/>
          <w:color w:val="auto"/>
        </w:rPr>
      </w:pPr>
      <w:r>
        <w:rPr>
          <w:rFonts w:ascii="Courier New" w:cs="Courier New" w:eastAsia="Courier New" w:hAnsi="Courier New"/>
          <w:sz w:val="15"/>
          <w:szCs w:val="15"/>
          <w:color w:val="auto"/>
        </w:rPr>
        <w:t>SUPPLIER MODEL NO./DESCRIPTION:</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per-license fee: [ * ]</w:t>
      </w:r>
    </w:p>
    <w:p>
      <w:pPr>
        <w:spacing w:after="0" w:line="354" w:lineRule="exact"/>
        <w:rPr>
          <w:sz w:val="20"/>
          <w:szCs w:val="20"/>
          <w:color w:val="auto"/>
        </w:rPr>
      </w:pPr>
    </w:p>
    <w:p>
      <w:pPr>
        <w:ind w:left="447" w:right="2959" w:hanging="447"/>
        <w:spacing w:after="0" w:line="247" w:lineRule="auto"/>
        <w:tabs>
          <w:tab w:leader="none" w:pos="447"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AMENDMENT NO. 1</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3 of 3</w:t>
      </w:r>
    </w:p>
    <w:p>
      <w:pPr>
        <w:sectPr>
          <w:pgSz w:w="11900" w:h="16838" w:orient="portrait"/>
          <w:cols w:equalWidth="0" w:num="1">
            <w:col w:w="10226"/>
          </w:cols>
          <w:pgMar w:left="233" w:top="468" w:right="1440" w:bottom="1440" w:gutter="0" w:footer="0" w:header="0"/>
        </w:sectPr>
      </w:pPr>
    </w:p>
    <w:bookmarkStart w:id="250" w:name="page251"/>
    <w:bookmarkEnd w:id="250"/>
    <w:p>
      <w:pPr>
        <w:jc w:val="right"/>
        <w:ind w:right="2959"/>
        <w:spacing w:after="0"/>
        <w:rPr>
          <w:sz w:val="20"/>
          <w:szCs w:val="20"/>
          <w:color w:val="auto"/>
        </w:rPr>
      </w:pPr>
      <w:r>
        <w:rPr>
          <w:rFonts w:ascii="Courier New" w:cs="Courier New" w:eastAsia="Courier New" w:hAnsi="Courier New"/>
          <w:sz w:val="15"/>
          <w:szCs w:val="15"/>
          <w:color w:val="auto"/>
        </w:rPr>
        <w:t>Exhibit 10.43</w:t>
      </w:r>
    </w:p>
    <w:p>
      <w:pPr>
        <w:spacing w:after="0" w:line="35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AMENDMENT NO. 2 TO</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OEM PURCHASE AGREEMENT</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This Amendment No. 2 (the "Amendment") to the OEM Purchase Agreement (the "Agreement") dated April 20, 2001 by and between HEWLETT-PACKARD COMPANY, a Delaware corporation ("HP") and BROCADE COMMUNICATIONS SYSTEMS, INC., a Delaware corporation, having its principal place of business at 1745 Technology Drive, San Jose, California 95110, and Brocade Communications Systems Switzerland SarL, a corporation organized under the laws of Geneva, and having its principal place of business at 29-31 Route de l'Aeroport, CH-1205 Geneva, Switzerland (collectively "Supplier") is entered into by HP and Supplier effective as of November 6, 2001, (the "Effective Date"). This Amendment is a Product Addendum as described in Section 2.18 of the Agreement. The parties hereby agree as follows.</w:t>
      </w:r>
    </w:p>
    <w:p>
      <w:pPr>
        <w:spacing w:after="0" w:line="181"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Except as expressly amended herein all unmodified and remaining terms and conditions of the Agreement shall remain in full force and effect. All capitalized terms not defined in this Amendment shall have the meaning set forth in the Agreement. In the event a conflict between the Agreement and this Amendment, the terms of this Amendment shall govern.</w:t>
      </w:r>
    </w:p>
    <w:p>
      <w:pPr>
        <w:spacing w:after="0" w:line="178"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WHEREAS, HP and Supplier wish to add additional OEM Products, and terms specific to those additional products.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80" w:lineRule="exact"/>
        <w:rPr>
          <w:sz w:val="20"/>
          <w:szCs w:val="20"/>
          <w:color w:val="auto"/>
        </w:rPr>
      </w:pPr>
    </w:p>
    <w:p>
      <w:pPr>
        <w:ind w:left="447" w:hanging="447"/>
        <w:spacing w:after="0"/>
        <w:tabs>
          <w:tab w:leader="none" w:pos="447"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TRAINING</w:t>
      </w:r>
    </w:p>
    <w:p>
      <w:pPr>
        <w:spacing w:after="0" w:line="179" w:lineRule="exact"/>
        <w:rPr>
          <w:rFonts w:ascii="Courier New" w:cs="Courier New" w:eastAsia="Courier New" w:hAnsi="Courier New"/>
          <w:sz w:val="15"/>
          <w:szCs w:val="15"/>
          <w:color w:val="auto"/>
        </w:rPr>
      </w:pPr>
    </w:p>
    <w:p>
      <w:pPr>
        <w:ind w:left="907" w:right="3039" w:hanging="454"/>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 Technical &amp; Presales Training. Supplier shall provide to HP, at [ * ] in Supplier's technical training course on installation and configuration of the Silkworm 3800. Such training shall take place at Supplier's San Jose location and within [ * ] prior to, and [ * ] after HP's product launch. In addition, Supplier shall provide to HP, at [ * ] per HP's [ * ] for the term of this Agreement, in Supplier's technical training course on installation and configuration of the Silkworm 3800.</w:t>
      </w:r>
    </w:p>
    <w:p>
      <w:pPr>
        <w:spacing w:after="0" w:line="180" w:lineRule="exact"/>
        <w:rPr>
          <w:sz w:val="20"/>
          <w:szCs w:val="20"/>
          <w:color w:val="auto"/>
        </w:rPr>
      </w:pPr>
    </w:p>
    <w:p>
      <w:pPr>
        <w:ind w:left="907" w:right="3039"/>
        <w:spacing w:after="0" w:line="246" w:lineRule="auto"/>
        <w:rPr>
          <w:sz w:val="20"/>
          <w:szCs w:val="20"/>
          <w:color w:val="auto"/>
        </w:rPr>
      </w:pPr>
      <w:r>
        <w:rPr>
          <w:rFonts w:ascii="Courier New" w:cs="Courier New" w:eastAsia="Courier New" w:hAnsi="Courier New"/>
          <w:sz w:val="15"/>
          <w:szCs w:val="15"/>
          <w:color w:val="auto"/>
        </w:rPr>
        <w:t>All such training provided by Supplier will be [ * ] by Supplier to HP. Supplier will maintain a designated training contact for HP University personnel, and will provide technical support for, and a qualified Supplier training resource to participate in, the first [ *</w:t>
      </w:r>
    </w:p>
    <w:p>
      <w:pPr>
        <w:spacing w:after="0" w:line="2" w:lineRule="exact"/>
        <w:rPr>
          <w:sz w:val="20"/>
          <w:szCs w:val="20"/>
          <w:color w:val="auto"/>
        </w:rPr>
      </w:pPr>
    </w:p>
    <w:p>
      <w:pPr>
        <w:ind w:left="907" w:right="2959" w:firstLine="2"/>
        <w:spacing w:after="0" w:line="246" w:lineRule="auto"/>
        <w:tabs>
          <w:tab w:leader="none" w:pos="1089"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taught by HP utilizing the training provided hereunder by Supplier. Such classes will be up to [ * ] in length. HP will be responsible for reasonable travel and expenses incurred by the Supplier training resource. Other training (including without limitation [*] technical training) will be provided upon mutually agreed terms and conditions.</w:t>
      </w:r>
    </w:p>
    <w:p>
      <w:pPr>
        <w:spacing w:after="0" w:line="178" w:lineRule="exact"/>
        <w:rPr>
          <w:sz w:val="20"/>
          <w:szCs w:val="20"/>
          <w:color w:val="auto"/>
        </w:rPr>
      </w:pPr>
    </w:p>
    <w:p>
      <w:pPr>
        <w:ind w:left="907" w:right="3139" w:hanging="453"/>
        <w:spacing w:after="0" w:line="246" w:lineRule="auto"/>
        <w:tabs>
          <w:tab w:leader="none" w:pos="886" w:val="left"/>
        </w:tabs>
        <w:rPr>
          <w:sz w:val="20"/>
          <w:szCs w:val="20"/>
          <w:color w:val="auto"/>
        </w:rPr>
      </w:pPr>
      <w:r>
        <w:rPr>
          <w:rFonts w:ascii="Courier New" w:cs="Courier New" w:eastAsia="Courier New" w:hAnsi="Courier New"/>
          <w:sz w:val="15"/>
          <w:szCs w:val="15"/>
          <w:color w:val="auto"/>
        </w:rPr>
        <w:t>1.2</w:t>
        <w:tab/>
        <w:t>HP's License to Training Materials. Subject to the provisions of Article (19) of the Agreement Supplier will provide to HP, [ * ] portions referred to as "Training Materials"). Supplier will provide</w:t>
      </w:r>
    </w:p>
    <w:p>
      <w:pPr>
        <w:spacing w:after="0" w:line="2" w:lineRule="exact"/>
        <w:rPr>
          <w:sz w:val="20"/>
          <w:szCs w:val="20"/>
          <w:color w:val="auto"/>
        </w:rPr>
      </w:pPr>
    </w:p>
    <w:p>
      <w:pPr>
        <w:ind w:left="1087" w:hanging="178"/>
        <w:spacing w:after="0"/>
        <w:tabs>
          <w:tab w:leader="none" w:pos="1087"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ectPr>
          <w:pgSz w:w="11900" w:h="16838" w:orient="portrait"/>
          <w:cols w:equalWidth="0" w:num="1">
            <w:col w:w="10226"/>
          </w:cols>
          <w:pgMar w:left="233" w:top="317" w:right="1440" w:bottom="1440" w:gutter="0" w:footer="0" w:header="0"/>
        </w:sectPr>
      </w:pPr>
    </w:p>
    <w:bookmarkStart w:id="251" w:name="page252"/>
    <w:bookmarkEnd w:id="251"/>
    <w:p>
      <w:pPr>
        <w:ind w:left="900" w:right="2959" w:firstLine="2"/>
        <w:spacing w:after="0" w:line="246" w:lineRule="auto"/>
        <w:tabs>
          <w:tab w:leader="none" w:pos="1082"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of the Silkworm 3800 to HP [ * ]. HP will then indicate to Supplier which of the portions of such materials HP would like to license. Once the [ * ] for which HP will receive a license, Supplier will provide the Training Materials [ * ] Supplier shall provide such Training Materials to HP no later than November 30, 2001. Supplier hereby grants to HP, under Supplier's copyright and trade secret rights, a non-exclusive, worldwide license to [ * ] of the Training Materials solely for use in conjunction with HP's delivery of internal training relative to the Silkworm 3800. The right to [ * ] is granted solely for the purpose of combining the Training Materials with HP produced instructional materials, and formatting and preparing the Training Materials for training delivery. Except as provided in this Section 1.2, HP may [ * ] No portion of the Training Materials may be offered for resale by HP or used by HP to offer courses other than to HP employees.</w:t>
      </w:r>
    </w:p>
    <w:p>
      <w:pPr>
        <w:spacing w:after="0" w:line="184"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1.3</w:t>
        <w:tab/>
        <w:t>HP Trainer Certification. HP shall use reasonable [ * ] to ensure that</w:t>
      </w:r>
    </w:p>
    <w:p>
      <w:pPr>
        <w:spacing w:after="0" w:line="5" w:lineRule="exact"/>
        <w:rPr>
          <w:sz w:val="20"/>
          <w:szCs w:val="20"/>
          <w:color w:val="auto"/>
        </w:rPr>
      </w:pPr>
    </w:p>
    <w:p>
      <w:pPr>
        <w:ind w:left="900" w:right="2959" w:firstLine="2"/>
        <w:spacing w:after="0" w:line="246" w:lineRule="auto"/>
        <w:tabs>
          <w:tab w:leader="none" w:pos="108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HP SNS personnel take and pass Supplier's "Fabric Professional" certification examination, no later than February 1, 2002. Such examinations will take place at a VUE location of HP's choice. Supplier will provide [ * ] to HP [ * ] vouchers valid for [ * ] each. If at least [ * ] of HP University's training personnel have not passed Supplier's "Fabric Professional" certification examination by March 15 1, 2002, Supplier may, at its sole option, suspend HP's license to Supplier's training materials, granted in article 1.2 herein, until such time as at least [ * ] of HP University's training personnel pass the examination.</w:t>
      </w:r>
    </w:p>
    <w:p>
      <w:pPr>
        <w:spacing w:after="0" w:line="181" w:lineRule="exact"/>
        <w:rPr>
          <w:sz w:val="20"/>
          <w:szCs w:val="20"/>
          <w:color w:val="auto"/>
        </w:rPr>
      </w:pPr>
    </w:p>
    <w:p>
      <w:pPr>
        <w:ind w:left="900" w:right="2959" w:hanging="453"/>
        <w:spacing w:after="0" w:line="246" w:lineRule="auto"/>
        <w:tabs>
          <w:tab w:leader="none" w:pos="880" w:val="left"/>
        </w:tabs>
        <w:rPr>
          <w:sz w:val="20"/>
          <w:szCs w:val="20"/>
          <w:color w:val="auto"/>
        </w:rPr>
      </w:pPr>
      <w:r>
        <w:rPr>
          <w:rFonts w:ascii="Courier New" w:cs="Courier New" w:eastAsia="Courier New" w:hAnsi="Courier New"/>
          <w:sz w:val="15"/>
          <w:szCs w:val="15"/>
          <w:color w:val="auto"/>
        </w:rPr>
        <w:t>1.4</w:t>
        <w:tab/>
        <w:t>HP Training Requirement. HP shall use its reasonable [ * ] to conduct, no later than March 15, 2002, internal training courses on the Silkworm 3800 sufficient to cover no less than [ * ] HP personnel in order to allow HP to become fully familiar with the Silkworm 3800 and its market. The HP resources may include but will not be limited to field and inside sales personnel, customer engineers, technical consultants, and HP University Trainers.</w:t>
      </w:r>
    </w:p>
    <w:p>
      <w:pPr>
        <w:spacing w:after="0" w:line="179"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1.5</w:t>
        <w:tab/>
        <w:t>HP TRAINING DEMONSTRATION HARDWARE. HP SNS will make its reasonable</w:t>
      </w:r>
    </w:p>
    <w:p>
      <w:pPr>
        <w:spacing w:after="0" w:line="5" w:lineRule="exact"/>
        <w:rPr>
          <w:sz w:val="20"/>
          <w:szCs w:val="20"/>
          <w:color w:val="auto"/>
        </w:rPr>
      </w:pPr>
    </w:p>
    <w:p>
      <w:pPr>
        <w:ind w:left="900" w:right="3039" w:firstLine="2"/>
        <w:spacing w:after="0" w:line="246" w:lineRule="auto"/>
        <w:tabs>
          <w:tab w:leader="none" w:pos="1082" w:val="left"/>
        </w:tabs>
        <w:numPr>
          <w:ilvl w:val="1"/>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provide Supplier with [ * ] of HP Demonstration Equipment to be hosted in Supplier's [ * ] facilities. For the purpose of this Agreement, HP Demonstration Equipment shall refer to HP [ * ] Hardware, of the current or recent generation of the applicable HP product. Each piece of HP Demonstration equipment will be provided under the terms of a separately executed HP Equipment Loan Agreement, the term of which shall be no less than [ * ].</w:t>
      </w:r>
    </w:p>
    <w:p>
      <w:pPr>
        <w:spacing w:after="0" w:line="35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ectPr>
          <w:pgSz w:w="11900" w:h="16838" w:orient="portrait"/>
          <w:cols w:equalWidth="0" w:num="1">
            <w:col w:w="10219"/>
          </w:cols>
          <w:pgMar w:left="240" w:top="468" w:right="1440" w:bottom="1440" w:gutter="0" w:footer="0" w:header="0"/>
        </w:sectPr>
      </w:pPr>
    </w:p>
    <w:bookmarkStart w:id="252" w:name="page253"/>
    <w:bookmarkEnd w:id="252"/>
    <w:p>
      <w:pPr>
        <w:ind w:left="447" w:hanging="447"/>
        <w:spacing w:after="0"/>
        <w:tabs>
          <w:tab w:leader="none" w:pos="447"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w:t>
      </w:r>
    </w:p>
    <w:p>
      <w:pPr>
        <w:spacing w:after="0" w:line="179" w:lineRule="exact"/>
        <w:rPr>
          <w:rFonts w:ascii="Courier New" w:cs="Courier New" w:eastAsia="Courier New" w:hAnsi="Courier New"/>
          <w:sz w:val="15"/>
          <w:szCs w:val="15"/>
          <w:color w:val="auto"/>
        </w:rPr>
      </w:pPr>
    </w:p>
    <w:p>
      <w:pPr>
        <w:ind w:left="907" w:right="3599" w:hanging="454"/>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 Preparation of Documentation. Supplier shall prepare for HP and provide a [ * ] of Supplier's standard documentation for</w:t>
      </w:r>
    </w:p>
    <w:p>
      <w:pPr>
        <w:spacing w:after="0" w:line="1" w:lineRule="exact"/>
        <w:rPr>
          <w:rFonts w:ascii="Courier New" w:cs="Courier New" w:eastAsia="Courier New" w:hAnsi="Courier New"/>
          <w:sz w:val="15"/>
          <w:szCs w:val="15"/>
          <w:color w:val="auto"/>
        </w:rPr>
      </w:pPr>
    </w:p>
    <w:p>
      <w:pPr>
        <w:ind w:left="90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Silkworm 3800 ("Documentation") [ * ] and in accordance with the provisions of Exhibit (A-5). Such Documentation will include planning, installation and operation, service and user guides, as enumerated in Exhibit (A-5). Supplier shall retain ownership of such Documentation.</w:t>
      </w:r>
    </w:p>
    <w:p>
      <w:pPr>
        <w:spacing w:after="0" w:line="177" w:lineRule="exact"/>
        <w:rPr>
          <w:rFonts w:ascii="Courier New" w:cs="Courier New" w:eastAsia="Courier New" w:hAnsi="Courier New"/>
          <w:sz w:val="15"/>
          <w:szCs w:val="15"/>
          <w:color w:val="auto"/>
        </w:rPr>
      </w:pPr>
    </w:p>
    <w:p>
      <w:pPr>
        <w:ind w:left="907" w:right="2959" w:hanging="454"/>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 License to Documentation. Supplier shall provide HP with master copies of the Documentation in both hard copy and electronic form. Except as otherwise provided and subject to the retention of all copyright notices and/or confidentiality legends, HP shall have the right to</w:t>
      </w:r>
    </w:p>
    <w:p>
      <w:pPr>
        <w:spacing w:after="0" w:line="2" w:lineRule="exact"/>
        <w:rPr>
          <w:rFonts w:ascii="Courier New" w:cs="Courier New" w:eastAsia="Courier New" w:hAnsi="Courier New"/>
          <w:sz w:val="15"/>
          <w:szCs w:val="15"/>
          <w:color w:val="auto"/>
        </w:rPr>
      </w:pPr>
    </w:p>
    <w:p>
      <w:pPr>
        <w:ind w:left="90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 for use internally by its employees, contract employees, and Resellers. HP shall have the right to [ * ] from the masters supplied to it by Supplier for distribution to purchasers of the HP version of the Silkworm 3800. HP shall not have the right to [ * ] except to</w:t>
      </w:r>
    </w:p>
    <w:p>
      <w:pPr>
        <w:spacing w:after="0" w:line="2" w:lineRule="exact"/>
        <w:rPr>
          <w:rFonts w:ascii="Courier New" w:cs="Courier New" w:eastAsia="Courier New" w:hAnsi="Courier New"/>
          <w:sz w:val="15"/>
          <w:szCs w:val="15"/>
          <w:color w:val="auto"/>
        </w:rPr>
      </w:pPr>
    </w:p>
    <w:p>
      <w:pPr>
        <w:ind w:left="90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 HP part numbers and or product names. HP shall provide Supplier with a copy of such [ * ] Product documentation for verification, and Supplier agrees to perform such verification on the first version of any release within [ * ] of receipt of such [ * ] Supplier's verification of the [ * ] Documentation is for Supplier's internal purposes only, and HP will not rely on such verification for any purposes. Further, HP shall have the right to distribute such Product documentation and software media to its Resellers and End User Customers. Such License shall continue during the Term of this Agreement and for [ * ] after the date of last shipment by HP of the Products purchased under this Amendment.</w:t>
      </w:r>
    </w:p>
    <w:p>
      <w:pPr>
        <w:spacing w:after="0" w:line="18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DEVICE PLUG-IN LICENSE</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the event that Supplier incorporates the same Management Information Base ("MIB") structure on the 3800 as is on the 2800 utilizing the same strategy of distinguishing between Supplier's existing devices, HP will use its reasonable</w:t>
      </w:r>
    </w:p>
    <w:p>
      <w:pPr>
        <w:spacing w:after="0" w:line="2" w:lineRule="exact"/>
        <w:rPr>
          <w:sz w:val="20"/>
          <w:szCs w:val="20"/>
          <w:color w:val="auto"/>
        </w:rPr>
      </w:pPr>
    </w:p>
    <w:p>
      <w:pPr>
        <w:ind w:left="187" w:hanging="187"/>
        <w:spacing w:after="0"/>
        <w:tabs>
          <w:tab w:leader="none" w:pos="187"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to perform the development and testing of a Device Plug-in ("DPI")</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to HP's OpenView Storage software products to support the 3800,</w:t>
      </w:r>
    </w:p>
    <w:p>
      <w:pPr>
        <w:spacing w:after="0" w:line="4" w:lineRule="exact"/>
        <w:rPr>
          <w:rFonts w:ascii="Courier New" w:cs="Courier New" w:eastAsia="Courier New" w:hAnsi="Courier New"/>
          <w:sz w:val="15"/>
          <w:szCs w:val="15"/>
          <w:color w:val="auto"/>
        </w:rPr>
      </w:pPr>
    </w:p>
    <w:p>
      <w:pPr>
        <w:ind w:left="7" w:right="2959" w:hanging="7"/>
        <w:spacing w:after="0" w:line="247" w:lineRule="auto"/>
        <w:tabs>
          <w:tab w:leader="none" w:pos="189"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Supplier shall maintain a designated development contact for HP, and will provide reasonable technical support [ * ] and discretion for HP's development of a DPI for the Silkworm 3800.</w:t>
      </w:r>
    </w:p>
    <w:p>
      <w:pPr>
        <w:spacing w:after="0" w:line="174"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In the event that Supplier incorporates a different MIB structure than the 2800, Supplier will use all reasonable efforts to support the Fibre Alliance MIB 3.0.</w:t>
      </w:r>
    </w:p>
    <w:p>
      <w:pPr>
        <w:spacing w:after="0" w:line="175" w:lineRule="exact"/>
        <w:rPr>
          <w:sz w:val="20"/>
          <w:szCs w:val="20"/>
          <w:color w:val="auto"/>
        </w:rPr>
      </w:pPr>
    </w:p>
    <w:p>
      <w:pPr>
        <w:ind w:left="367" w:hanging="367"/>
        <w:spacing w:after="0"/>
        <w:tabs>
          <w:tab w:leader="none" w:pos="367"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Notwithstanding the provisions of section 16 of the Agreement Supplier agrees that the Silkworm 3800 and its packaging will comply with HP's General Specifications for Environment, [ * ]</w:t>
      </w:r>
    </w:p>
    <w:p>
      <w:pPr>
        <w:spacing w:after="0" w:line="174" w:lineRule="exact"/>
        <w:rPr>
          <w:sz w:val="20"/>
          <w:szCs w:val="20"/>
          <w:color w:val="auto"/>
        </w:rPr>
      </w:pPr>
    </w:p>
    <w:p>
      <w:pPr>
        <w:ind w:left="447" w:right="2959" w:hanging="447"/>
        <w:spacing w:after="0" w:line="247" w:lineRule="auto"/>
        <w:tabs>
          <w:tab w:leader="none" w:pos="447"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253" w:name="page254"/>
    <w:bookmarkEnd w:id="253"/>
    <w:p>
      <w:pPr>
        <w:ind w:left="7" w:right="3039" w:hanging="7"/>
        <w:spacing w:after="0" w:line="247" w:lineRule="auto"/>
        <w:tabs>
          <w:tab w:leader="none" w:pos="189"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attached hereto as Exhibit (B) provided however that those provision(s) of HP's General Specifications for Environment relating to batteries should not apply.</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 HP EQUIPMENT [ * ]:</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Upon the effective date of this Amendment, and continuing for a period of not less than [ * ], HP shall extend to Supplier a [ * ] of [ * ] of HP's [ * ] for</w:t>
      </w:r>
    </w:p>
    <w:p>
      <w:pPr>
        <w:spacing w:after="0" w:line="1" w:lineRule="exact"/>
        <w:rPr>
          <w:sz w:val="20"/>
          <w:szCs w:val="20"/>
          <w:color w:val="auto"/>
        </w:rPr>
      </w:pPr>
    </w:p>
    <w:p>
      <w:pPr>
        <w:ind w:left="7" w:right="3139" w:hanging="7"/>
        <w:spacing w:after="0" w:line="247" w:lineRule="auto"/>
        <w:tabs>
          <w:tab w:leader="none" w:pos="189"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and related products, and [ * ] and related products. These [ * ] levels shall extend only to products procured by Supplier direct from HP's sales organization, for Supplier's internal production or testing use.</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6. HP [ * ]:</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For the term of the Agreement, HP shall [ * ] Supplier, on a [ * ], "[ * ] Data" relative to the OEM Products. Within [ * ] after the end of each [ * ] (beginning with January 2002), HP shall provide a [ * ] Data report covering</w:t>
      </w:r>
    </w:p>
    <w:p>
      <w:pPr>
        <w:spacing w:after="0" w:line="2" w:lineRule="exact"/>
        <w:rPr>
          <w:sz w:val="20"/>
          <w:szCs w:val="20"/>
          <w:color w:val="auto"/>
        </w:rPr>
      </w:pPr>
    </w:p>
    <w:p>
      <w:pPr>
        <w:ind w:left="7" w:right="3039" w:hanging="7"/>
        <w:spacing w:after="0" w:line="246" w:lineRule="auto"/>
        <w:tabs>
          <w:tab w:leader="none" w:pos="189"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during that [ * ]. For the purposes of this Agreement, "[ * ] Data" shall refer only to: the [ * ], separated by [ * ] and by [ * ] (and if possible,</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domestically, of each of the OEM Products [ * ] (as determined by the</w:t>
      </w:r>
    </w:p>
    <w:p>
      <w:pPr>
        <w:spacing w:after="0" w:line="4" w:lineRule="exact"/>
        <w:rPr>
          <w:rFonts w:ascii="Courier New" w:cs="Courier New" w:eastAsia="Courier New" w:hAnsi="Courier New"/>
          <w:sz w:val="15"/>
          <w:szCs w:val="15"/>
          <w:color w:val="auto"/>
        </w:rPr>
      </w:pPr>
    </w:p>
    <w:p>
      <w:pPr>
        <w:ind w:left="7" w:right="3219" w:hanging="7"/>
        <w:spacing w:after="0" w:line="247" w:lineRule="auto"/>
        <w:tabs>
          <w:tab w:leader="none" w:pos="189"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the HP [ * ] for each of the Products [ * ] and the total [ * ] the Products [ * ] Such [ * ] shall be provided subject to the provisions of Article (19) of the Agreement.</w:t>
      </w:r>
    </w:p>
    <w:p>
      <w:pPr>
        <w:spacing w:after="0" w:line="174"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For the purposes of this Amendment, [ * ] Data shall not include any [ * ] specific information.</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7. HP MARKETING [ * ]</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In [ * ] of Supplier's marketing activities related to Supplier's 2Gb fibre channel switching technology, HP shall provide [ * ] in the form of (1) an HP</w:t>
      </w:r>
    </w:p>
    <w:p>
      <w:pPr>
        <w:spacing w:after="0" w:line="1" w:lineRule="exact"/>
        <w:rPr>
          <w:sz w:val="20"/>
          <w:szCs w:val="20"/>
          <w:color w:val="auto"/>
        </w:rPr>
      </w:pPr>
    </w:p>
    <w:p>
      <w:pPr>
        <w:ind w:left="187" w:hanging="187"/>
        <w:spacing w:after="0"/>
        <w:tabs>
          <w:tab w:leader="none" w:pos="187"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 * ] of Supplier's 2Gb technology, which [ * ] shall be delivered in</w:t>
      </w:r>
    </w:p>
    <w:p>
      <w:pPr>
        <w:spacing w:after="0" w:line="4" w:lineRule="exact"/>
        <w:rPr>
          <w:rFonts w:ascii="Courier New" w:cs="Courier New" w:eastAsia="Courier New" w:hAnsi="Courier New"/>
          <w:sz w:val="15"/>
          <w:szCs w:val="15"/>
          <w:color w:val="auto"/>
        </w:rPr>
      </w:pPr>
    </w:p>
    <w:p>
      <w:pPr>
        <w:jc w:val="both"/>
        <w:ind w:left="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accordance with HP's standard [ * ] policy and no later than 12/31/01 and (2) an HP [ * ], delivered to Supplier no later than 11/3/01 in [ * ] of Supplier's 2Gb technology, which [ * ] may be referenced by Supplier in Supplier's [ * ]</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8. HP BUSINESS CONTINUANCE PROGRAM</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HP agrees to use its reasonable [ * ] to define a high value "Business Continuance" marketing program containing HP's XP512, VA7x00's, HP Surestore FC 6164, Extended Fabrics, Remote Switch, and HP's Disaster Recovery applications for the HPUX and NT environments. Deliverables will include [ * ] or more disaster recovery solution diagrams/slides utilizing the products and software applications mentioned above. Additionally, the [ * ]</w:t>
      </w:r>
    </w:p>
    <w:p>
      <w:pPr>
        <w:spacing w:after="0" w:line="178" w:lineRule="exact"/>
        <w:rPr>
          <w:sz w:val="20"/>
          <w:szCs w:val="20"/>
          <w:color w:val="auto"/>
        </w:rPr>
      </w:pPr>
    </w:p>
    <w:p>
      <w:pPr>
        <w:ind w:left="447" w:right="2959" w:hanging="447"/>
        <w:spacing w:after="0" w:line="247" w:lineRule="auto"/>
        <w:tabs>
          <w:tab w:leader="none" w:pos="447"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254" w:name="page255"/>
    <w:bookmarkEnd w:id="254"/>
    <w:p>
      <w:pPr>
        <w:ind w:left="7" w:right="2959"/>
        <w:spacing w:after="0" w:line="246" w:lineRule="auto"/>
        <w:rPr>
          <w:sz w:val="20"/>
          <w:szCs w:val="20"/>
          <w:color w:val="auto"/>
        </w:rPr>
      </w:pPr>
      <w:r>
        <w:rPr>
          <w:rFonts w:ascii="Courier New" w:cs="Courier New" w:eastAsia="Courier New" w:hAnsi="Courier New"/>
          <w:sz w:val="15"/>
          <w:szCs w:val="15"/>
          <w:color w:val="auto"/>
        </w:rPr>
        <w:t>solutions shall include [ * ] positioning information. It is intended that the components of these solutions are already tested and can be supported by the key labs and HP support organizations. HP shall use its best reasonable efforts to complete the Deliverables and deliver the Deliverables to HP's front-end storage marketing organizations no later than 12/15/01. By 11/20/2001, HP will conduct a marketing meeting with Supplier to define the Deliverables, and the Deliverables will be defined within [ * ] after such meeting.</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9. TERMINATION</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addition to the provisions in Article 22 of the Agreement, HP agrees that if this Amendment or the Agreement is terminated due to HP's breach, then HP will reimburse Supplier for its [ * ] to rework HP-customized Silkworm 3800 units back to Supplier's standard product, as described in exhibit (A-2) hereto. HP's duty to reimburse shall extend only to units within the [ * ] and to units for which HP-requested customization has begun or is completed, up to the number of units in the HP Forecasts as of the termination date.</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 EXHIBITS</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Each of the following Exhibits referred to in this Amendment is incorporated in full in this Amendment wherever reference to it is made: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AMENDMENT TWO - EXHIBIT (A) -- OEM PRODUCTS AND SPECIFICATIONS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(A-1) Supplier Product Specifications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(A-2) HP Configuration Specification Document</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(A-3) HP Supplier Quality System Requirements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(A-4) Packaging</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(A-5) Documentation</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(A-6) OEM Product Interoperability Requirements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AMENDMENT TWO -- EXHIBIT (B) HP's General Specifications for Environment, [ *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AMENDMENT TWO -- EXHIBIT (C) -- PRICING AND FEES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AGREED:</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COMMUNICATIONS SYSTEMS,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180" w:lineRule="exact"/>
        <w:rPr>
          <w:sz w:val="20"/>
          <w:szCs w:val="20"/>
          <w:color w:val="auto"/>
        </w:rPr>
      </w:pPr>
    </w:p>
    <w:p>
      <w:pPr>
        <w:sectPr>
          <w:pgSz w:w="11900" w:h="16838" w:orient="portrait"/>
          <w:cols w:equalWidth="0" w:num="2">
            <w:col w:w="3267" w:space="360"/>
            <w:col w:w="65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ectPr>
          <w:pgSz w:w="11900" w:h="16838" w:orient="portrait"/>
          <w:cols w:equalWidth="0" w:num="2">
            <w:col w:w="2907" w:space="720"/>
            <w:col w:w="6599"/>
          </w:cols>
          <w:pgMar w:left="233" w:top="643" w:right="1440" w:bottom="1440" w:gutter="0" w:footer="0" w:header="0"/>
          <w:type w:val="continuous"/>
        </w:sect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3547" w:space="720"/>
            <w:col w:w="595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ectPr>
          <w:pgSz w:w="11900" w:h="16838" w:orient="portrait"/>
          <w:cols w:equalWidth="0" w:num="2">
            <w:col w:w="2907" w:space="720"/>
            <w:col w:w="6599"/>
          </w:cols>
          <w:pgMar w:left="233" w:top="643" w:right="1440" w:bottom="1440" w:gutter="0" w:footer="0" w:header="0"/>
          <w:type w:val="continuous"/>
        </w:sect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3547" w:space="720"/>
            <w:col w:w="595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2907" w:space="720"/>
            <w:col w:w="6599"/>
          </w:cols>
          <w:pgMar w:left="233" w:top="643" w:right="1440" w:bottom="1440" w:gutter="0" w:footer="0" w:header="0"/>
          <w:type w:val="continuous"/>
        </w:sect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547" w:space="720"/>
            <w:col w:w="5959"/>
          </w:cols>
          <w:pgMar w:left="233" w:top="643" w:right="1440" w:bottom="1440" w:gutter="0" w:footer="0" w:header="0"/>
          <w:type w:val="continuous"/>
        </w:sectPr>
      </w:pPr>
    </w:p>
    <w:p>
      <w:pPr>
        <w:ind w:left="447" w:right="2959" w:hanging="447"/>
        <w:spacing w:after="0" w:line="247" w:lineRule="auto"/>
        <w:tabs>
          <w:tab w:leader="none" w:pos="447"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255" w:name="page256"/>
    <w:bookmarkEnd w:id="255"/>
    <w:p>
      <w:pPr>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 SARL.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3" w:right="1440" w:bottom="1440" w:gutter="0" w:footer="0" w:header="0"/>
        </w:sectPr>
      </w:pPr>
    </w:p>
    <w:bookmarkStart w:id="256" w:name="page257"/>
    <w:bookmarkEnd w:id="256"/>
    <w:p>
      <w:pPr>
        <w:jc w:val="center"/>
        <w:ind w:right="3239"/>
        <w:spacing w:after="0"/>
        <w:rPr>
          <w:sz w:val="20"/>
          <w:szCs w:val="20"/>
          <w:color w:val="auto"/>
        </w:rPr>
      </w:pPr>
      <w:r>
        <w:rPr>
          <w:rFonts w:ascii="Courier New" w:cs="Courier New" w:eastAsia="Courier New" w:hAnsi="Courier New"/>
          <w:sz w:val="15"/>
          <w:szCs w:val="15"/>
          <w:color w:val="auto"/>
        </w:rPr>
        <w:t>AMENDMENT TWO - EXHIBIT (A-1)</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SUPPLIER PRODUCT SPECIFICATIONS</w:t>
      </w:r>
    </w:p>
    <w:p>
      <w:pPr>
        <w:spacing w:after="0" w:line="18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[PROVIDED IN PDF FORM; TO BE PRINTED IN SIGNATURE VERSION OF DOCUMENT.]</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9859"/>
          </w:cols>
          <w:pgMar w:left="600" w:top="468" w:right="1440" w:bottom="1440" w:gutter="0" w:footer="0" w:header="0"/>
        </w:sectPr>
      </w:pPr>
    </w:p>
    <w:bookmarkStart w:id="257" w:name="page258"/>
    <w:bookmarkEnd w:id="257"/>
    <w:p>
      <w:pPr>
        <w:jc w:val="center"/>
        <w:ind w:right="4079"/>
        <w:spacing w:after="0"/>
        <w:rPr>
          <w:sz w:val="20"/>
          <w:szCs w:val="20"/>
          <w:color w:val="auto"/>
        </w:rPr>
      </w:pPr>
      <w:r>
        <w:rPr>
          <w:rFonts w:ascii="Courier New" w:cs="Courier New" w:eastAsia="Courier New" w:hAnsi="Courier New"/>
          <w:sz w:val="15"/>
          <w:szCs w:val="15"/>
          <w:color w:val="auto"/>
        </w:rPr>
        <w:t>AMENDMENT TWO - EXHIBIT (A-2)</w:t>
      </w:r>
    </w:p>
    <w:p>
      <w:pPr>
        <w:spacing w:after="0" w:line="5"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HP CONFIGURATION SPECIFICATION DOCUMENT</w:t>
      </w:r>
    </w:p>
    <w:p>
      <w:pPr>
        <w:spacing w:after="0" w:line="180"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Brocade's 3800 Network Switch</w:t>
      </w:r>
    </w:p>
    <w:p>
      <w:pPr>
        <w:spacing w:after="0" w:line="180"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9019"/>
          </w:cols>
          <w:pgMar w:left="1440" w:top="468" w:right="1440" w:bottom="1440" w:gutter="0" w:footer="0" w:header="0"/>
        </w:sectPr>
      </w:pPr>
    </w:p>
    <w:bookmarkStart w:id="258" w:name="page259"/>
    <w:bookmarkEnd w:id="258"/>
    <w:p>
      <w:pPr>
        <w:ind w:left="7"/>
        <w:spacing w:after="0"/>
        <w:rPr>
          <w:sz w:val="20"/>
          <w:szCs w:val="20"/>
          <w:color w:val="auto"/>
        </w:rPr>
      </w:pPr>
      <w:r>
        <w:rPr>
          <w:rFonts w:ascii="Courier New" w:cs="Courier New" w:eastAsia="Courier New" w:hAnsi="Courier New"/>
          <w:sz w:val="15"/>
          <w:szCs w:val="15"/>
          <w:color w:val="auto"/>
        </w:rPr>
        <w:t>Brocade 3800 Configuration Specification</w:t>
      </w:r>
    </w:p>
    <w:p>
      <w:pPr>
        <w:spacing w:after="0" w:line="180" w:lineRule="exact"/>
        <w:rPr>
          <w:sz w:val="20"/>
          <w:szCs w:val="20"/>
          <w:color w:val="auto"/>
        </w:rPr>
      </w:pPr>
    </w:p>
    <w:p>
      <w:pPr>
        <w:ind w:left="7"/>
        <w:spacing w:after="0"/>
        <w:tabs>
          <w:tab w:leader="none" w:pos="1606" w:val="left"/>
        </w:tabs>
        <w:rPr>
          <w:sz w:val="20"/>
          <w:szCs w:val="20"/>
          <w:color w:val="auto"/>
        </w:rPr>
      </w:pPr>
      <w:r>
        <w:rPr>
          <w:rFonts w:ascii="Courier New" w:cs="Courier New" w:eastAsia="Courier New" w:hAnsi="Courier New"/>
          <w:sz w:val="15"/>
          <w:szCs w:val="15"/>
          <w:color w:val="auto"/>
        </w:rPr>
        <w:t>Product Number:</w:t>
        <w:tab/>
        <w:t>[ * ]</w:t>
      </w:r>
    </w:p>
    <w:p>
      <w:pPr>
        <w:spacing w:after="0" w:line="180" w:lineRule="exact"/>
        <w:rPr>
          <w:sz w:val="20"/>
          <w:szCs w:val="20"/>
          <w:color w:val="auto"/>
        </w:rPr>
      </w:pPr>
    </w:p>
    <w:p>
      <w:pPr>
        <w:ind w:left="7"/>
        <w:spacing w:after="0"/>
        <w:tabs>
          <w:tab w:leader="none" w:pos="1606" w:val="left"/>
        </w:tabs>
        <w:rPr>
          <w:sz w:val="20"/>
          <w:szCs w:val="20"/>
          <w:color w:val="auto"/>
        </w:rPr>
      </w:pPr>
      <w:r>
        <w:rPr>
          <w:rFonts w:ascii="Courier New" w:cs="Courier New" w:eastAsia="Courier New" w:hAnsi="Courier New"/>
          <w:sz w:val="15"/>
          <w:szCs w:val="15"/>
          <w:color w:val="auto"/>
        </w:rPr>
        <w:t>Model Numbers:</w:t>
      </w:r>
      <w:r>
        <w:rPr>
          <w:sz w:val="20"/>
          <w:szCs w:val="20"/>
          <w:color w:val="auto"/>
        </w:rPr>
        <w:tab/>
      </w:r>
      <w:r>
        <w:rPr>
          <w:rFonts w:ascii="Courier New" w:cs="Courier New" w:eastAsia="Courier New" w:hAnsi="Courier New"/>
          <w:sz w:val="15"/>
          <w:szCs w:val="15"/>
          <w:color w:val="auto"/>
        </w:rPr>
        <w:t>[ * ]</w:t>
      </w:r>
    </w:p>
    <w:p>
      <w:pPr>
        <w:spacing w:after="0" w:line="180" w:lineRule="exact"/>
        <w:rPr>
          <w:sz w:val="20"/>
          <w:szCs w:val="20"/>
          <w:color w:val="auto"/>
        </w:rPr>
      </w:pPr>
    </w:p>
    <w:p>
      <w:pPr>
        <w:ind w:left="7"/>
        <w:spacing w:after="0"/>
        <w:tabs>
          <w:tab w:leader="none" w:pos="1606" w:val="left"/>
        </w:tabs>
        <w:rPr>
          <w:sz w:val="20"/>
          <w:szCs w:val="20"/>
          <w:color w:val="auto"/>
        </w:rPr>
      </w:pPr>
      <w:r>
        <w:rPr>
          <w:rFonts w:ascii="Courier New" w:cs="Courier New" w:eastAsia="Courier New" w:hAnsi="Courier New"/>
          <w:sz w:val="15"/>
          <w:szCs w:val="15"/>
          <w:color w:val="auto"/>
        </w:rPr>
        <w:t>Supplier:</w:t>
      </w:r>
      <w:r>
        <w:rPr>
          <w:sz w:val="20"/>
          <w:szCs w:val="20"/>
          <w:color w:val="auto"/>
        </w:rPr>
        <w:tab/>
      </w:r>
      <w:r>
        <w:rPr>
          <w:rFonts w:ascii="Courier New" w:cs="Courier New" w:eastAsia="Courier New" w:hAnsi="Courier New"/>
          <w:sz w:val="15"/>
          <w:szCs w:val="15"/>
          <w:color w:val="auto"/>
        </w:rPr>
        <w:t>Brocade</w:t>
      </w:r>
    </w:p>
    <w:p>
      <w:pPr>
        <w:spacing w:after="0" w:line="180" w:lineRule="exact"/>
        <w:rPr>
          <w:sz w:val="20"/>
          <w:szCs w:val="20"/>
          <w:color w:val="auto"/>
        </w:rPr>
      </w:pPr>
    </w:p>
    <w:p>
      <w:pPr>
        <w:ind w:left="447" w:right="2959" w:hanging="447"/>
        <w:spacing w:after="0" w:line="247" w:lineRule="auto"/>
        <w:tabs>
          <w:tab w:leader="none" w:pos="447"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259" w:name="page260"/>
    <w:bookmarkEnd w:id="259"/>
    <w:p>
      <w:pPr>
        <w:ind w:left="7"/>
        <w:spacing w:after="0"/>
        <w:rPr>
          <w:sz w:val="20"/>
          <w:szCs w:val="20"/>
          <w:color w:val="auto"/>
        </w:rPr>
      </w:pPr>
      <w:r>
        <w:rPr>
          <w:rFonts w:ascii="Courier New" w:cs="Courier New" w:eastAsia="Courier New" w:hAnsi="Courier New"/>
          <w:sz w:val="15"/>
          <w:szCs w:val="15"/>
          <w:color w:val="auto"/>
        </w:rPr>
        <w:t>1. Scope of Document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This document describes the expectations of how HP expects to receive the 2Gb</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Network Switch and all parts, devices and components associated with the switch.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Typical expectations described in this document are:</w:t>
      </w:r>
    </w:p>
    <w:p>
      <w:pPr>
        <w:spacing w:after="0" w:line="180" w:lineRule="exact"/>
        <w:rPr>
          <w:sz w:val="20"/>
          <w:szCs w:val="20"/>
          <w:color w:val="auto"/>
        </w:rPr>
      </w:pPr>
    </w:p>
    <w:p>
      <w:pPr>
        <w:ind w:left="827" w:hanging="372"/>
        <w:spacing w:after="0"/>
        <w:tabs>
          <w:tab w:leader="none" w:pos="82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Numbering and Cross Referencing</w:t>
      </w:r>
    </w:p>
    <w:p>
      <w:pPr>
        <w:spacing w:after="0" w:line="179"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Configuration and revision</w:t>
      </w:r>
    </w:p>
    <w:p>
      <w:pPr>
        <w:spacing w:after="0" w:line="179"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Labeling</w:t>
      </w:r>
    </w:p>
    <w:p>
      <w:pPr>
        <w:spacing w:after="0" w:line="179"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This document supercedes any specification described in the Supplier's Product Specification Documentation.</w:t>
      </w:r>
    </w:p>
    <w:p>
      <w:pPr>
        <w:spacing w:after="0" w:line="175" w:lineRule="exact"/>
        <w:rPr>
          <w:sz w:val="20"/>
          <w:szCs w:val="20"/>
          <w:color w:val="auto"/>
        </w:rPr>
      </w:pPr>
    </w:p>
    <w:p>
      <w:pPr>
        <w:ind w:left="267" w:hanging="267"/>
        <w:spacing w:after="0"/>
        <w:tabs>
          <w:tab w:leader="none" w:pos="267"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Hewlett-Packard's Product Requirements</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 SOURCING MATERIAL AS LOGICAL UNITS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All material shall be sourced as individual logical units as defined in section</w:t>
      </w:r>
    </w:p>
    <w:p>
      <w:pPr>
        <w:spacing w:after="0" w:line="5" w:lineRule="exact"/>
        <w:rPr>
          <w:sz w:val="20"/>
          <w:szCs w:val="20"/>
          <w:color w:val="auto"/>
        </w:rPr>
      </w:pPr>
    </w:p>
    <w:p>
      <w:pPr>
        <w:ind w:left="7" w:right="2959" w:hanging="7"/>
        <w:spacing w:after="0" w:line="246" w:lineRule="auto"/>
        <w:tabs>
          <w:tab w:leader="none" w:pos="279"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logical unit is one that will be consumed as a single item within a single process area or not consumed within the process area and can be set aside without impacting the integrity of the end product. See section 3 for definition and declaration of consumable and non-consumable material.</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All logical units must be labeled (human readable and 3x9 barcode for scanning) with a part number, serial number (if applicable) and quantity (if shipped in bulk). See bar code information for more details. Individual part labeling is applicable to all parts except when individual labeling is impractical (e.g. screws, nuts, bolts, etc.).</w:t>
      </w:r>
    </w:p>
    <w:p>
      <w:pPr>
        <w:spacing w:after="0" w:line="178"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ESD sensitive parts and material are to be packaged and labeled per industry standards.</w:t>
      </w:r>
    </w:p>
    <w:p>
      <w:pPr>
        <w:spacing w:after="0" w:line="175"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Shipping cartons shall not contain mixed logical units. Each shipping carton may contain a maximum of one purchase order line item or part number.</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2.2 BAR CODE REQUIREMENTS</w:t>
      </w:r>
    </w:p>
    <w:p>
      <w:pPr>
        <w:spacing w:after="0" w:line="180" w:lineRule="exact"/>
        <w:rPr>
          <w:sz w:val="20"/>
          <w:szCs w:val="20"/>
          <w:color w:val="auto"/>
        </w:rPr>
      </w:pPr>
    </w:p>
    <w:p>
      <w:pPr>
        <w:ind w:left="1367" w:right="3139" w:hanging="458"/>
        <w:spacing w:after="0" w:line="247" w:lineRule="auto"/>
        <w:tabs>
          <w:tab w:leader="none" w:pos="1367"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bar code symbol bar shall be Code 39 (also known as "Code 3 of 9") as specified by the AIM Uniform Symbology Specification Code 39.</w:t>
      </w:r>
    </w:p>
    <w:p>
      <w:pPr>
        <w:spacing w:after="0" w:line="174" w:lineRule="exact"/>
        <w:rPr>
          <w:rFonts w:ascii="Courier New" w:cs="Courier New" w:eastAsia="Courier New" w:hAnsi="Courier New"/>
          <w:sz w:val="15"/>
          <w:szCs w:val="15"/>
          <w:color w:val="auto"/>
        </w:rPr>
      </w:pPr>
    </w:p>
    <w:p>
      <w:pPr>
        <w:ind w:left="1367" w:right="3039" w:hanging="458"/>
        <w:spacing w:after="0" w:line="246" w:lineRule="auto"/>
        <w:tabs>
          <w:tab w:leader="none" w:pos="1367"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symbol bar shall start with a minimum "Quiet Zone" of .25 inches and an asterisk "Start" character ( * in Code 39) where applicable (no adjacent labels). The symbol shall end in the asterisk followed again by a minimum .25 inches of "Quiet Zone".</w:t>
      </w:r>
    </w:p>
    <w:p>
      <w:pPr>
        <w:spacing w:after="0" w:line="177" w:lineRule="exact"/>
        <w:rPr>
          <w:rFonts w:ascii="Courier New" w:cs="Courier New" w:eastAsia="Courier New" w:hAnsi="Courier New"/>
          <w:sz w:val="15"/>
          <w:szCs w:val="15"/>
          <w:color w:val="auto"/>
        </w:rPr>
      </w:pPr>
    </w:p>
    <w:p>
      <w:pPr>
        <w:ind w:left="1367" w:hanging="458"/>
        <w:spacing w:after="0"/>
        <w:tabs>
          <w:tab w:leader="none" w:pos="1367"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bar code height shall be .125 inches (minimum).</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2.3 POWER CORDS</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Power cords have strict sourcing requirements. Power cords may only be sourced from HP specified vendors and only under the HP part number. No other power cord shall be considered. Because of these requirements, it is not necessary to include power cords with the 6400 switch.</w:t>
      </w:r>
    </w:p>
    <w:p>
      <w:pPr>
        <w:sectPr>
          <w:pgSz w:w="11900" w:h="16838" w:orient="portrait"/>
          <w:cols w:equalWidth="0" w:num="1">
            <w:col w:w="10226"/>
          </w:cols>
          <w:pgMar w:left="233" w:top="468" w:right="1440" w:bottom="1440" w:gutter="0" w:footer="0" w:header="0"/>
        </w:sectPr>
      </w:pPr>
    </w:p>
    <w:bookmarkStart w:id="260" w:name="page261"/>
    <w:bookmarkEnd w:id="260"/>
    <w:tbl>
      <w:tblPr>
        <w:tblLayout w:type="fixed"/>
        <w:tblInd w:w="7"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3.0</w:t>
            </w:r>
          </w:p>
        </w:tc>
        <w:tc>
          <w:tcPr>
            <w:tcW w:w="2420" w:type="dxa"/>
            <w:vAlign w:val="bottom"/>
          </w:tcPr>
          <w:p>
            <w:pPr>
              <w:ind w:left="560"/>
              <w:spacing w:after="0"/>
              <w:rPr>
                <w:sz w:val="20"/>
                <w:szCs w:val="20"/>
                <w:color w:val="auto"/>
              </w:rPr>
            </w:pPr>
            <w:r>
              <w:rPr>
                <w:rFonts w:ascii="Courier New" w:cs="Courier New" w:eastAsia="Courier New" w:hAnsi="Courier New"/>
                <w:sz w:val="15"/>
                <w:szCs w:val="15"/>
                <w:color w:val="auto"/>
              </w:rPr>
              <w:t>NSSO Purchased Parts</w:t>
            </w:r>
          </w:p>
        </w:tc>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699"/>
        </w:trPr>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MODEL NUMBER: [ * ]</w:t>
            </w:r>
          </w:p>
        </w:tc>
      </w:tr>
      <w:tr>
        <w:trPr>
          <w:trHeight w:val="175"/>
        </w:trPr>
        <w:tc>
          <w:tcPr>
            <w:tcW w:w="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MODEL NUMBER [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PART NUMBER:</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 * ]</w:t>
            </w:r>
          </w:p>
        </w:tc>
      </w:tr>
      <w:tr>
        <w:trPr>
          <w:trHeight w:val="175"/>
        </w:trPr>
        <w:tc>
          <w:tcPr>
            <w:tcW w:w="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PART NUMBER: [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DESCRIPTION:</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PERFORMANCE UPGRADE</w:t>
            </w:r>
          </w:p>
        </w:tc>
      </w:tr>
      <w:tr>
        <w:trPr>
          <w:trHeight w:val="175"/>
        </w:trPr>
        <w:tc>
          <w:tcPr>
            <w:tcW w:w="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DESCRIPTION: BASE UNIT</w:t>
            </w:r>
          </w:p>
        </w:tc>
        <w:tc>
          <w:tcPr>
            <w:tcW w:w="640" w:type="dxa"/>
            <w:vAlign w:val="bottom"/>
          </w:tcPr>
          <w:p>
            <w:pPr>
              <w:ind w:left="320"/>
              <w:spacing w:after="0"/>
              <w:rPr>
                <w:sz w:val="20"/>
                <w:szCs w:val="20"/>
                <w:color w:val="auto"/>
              </w:rPr>
            </w:pPr>
            <w:r>
              <w:rPr>
                <w:rFonts w:ascii="Courier New" w:cs="Courier New" w:eastAsia="Courier New" w:hAnsi="Courier New"/>
                <w:sz w:val="15"/>
                <w:szCs w:val="15"/>
                <w:color w:val="auto"/>
              </w:rPr>
              <w:t>OPT</w:t>
            </w:r>
          </w:p>
        </w:tc>
        <w:tc>
          <w:tcPr>
            <w:tcW w:w="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001</w:t>
            </w:r>
          </w:p>
        </w:tc>
        <w:tc>
          <w:tcPr>
            <w:tcW w:w="2100" w:type="dxa"/>
            <w:vAlign w:val="bottom"/>
          </w:tcPr>
          <w:p>
            <w:pPr>
              <w:spacing w:after="0"/>
              <w:rPr>
                <w:sz w:val="15"/>
                <w:szCs w:val="15"/>
                <w:color w:val="auto"/>
              </w:rPr>
            </w:pPr>
          </w:p>
        </w:tc>
      </w:tr>
      <w:tr>
        <w:trPr>
          <w:trHeight w:val="175"/>
        </w:trPr>
        <w:tc>
          <w:tcPr>
            <w:tcW w:w="304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3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60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w:t>
            </w:r>
          </w:p>
        </w:tc>
      </w:tr>
      <w:tr>
        <w:trPr>
          <w:trHeight w:val="350"/>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LICENSES</w:t>
            </w: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Webtools</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Zoning</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Quickloop</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Fabric Watch</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Trunking</w:t>
            </w:r>
          </w:p>
        </w:tc>
        <w:tc>
          <w:tcPr>
            <w:tcW w:w="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Perf. Monitoring</w:t>
            </w:r>
          </w:p>
        </w:tc>
        <w:tc>
          <w:tcPr>
            <w:tcW w:w="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Extended Fabric</w:t>
            </w:r>
          </w:p>
        </w:tc>
        <w:tc>
          <w:tcPr>
            <w:tcW w:w="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Remote Switch</w:t>
            </w:r>
          </w:p>
        </w:tc>
        <w:tc>
          <w:tcPr>
            <w:tcW w:w="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HARDWARE</w:t>
            </w:r>
          </w:p>
        </w:tc>
        <w:tc>
          <w:tcPr>
            <w:tcW w:w="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Accessory Kit</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Rails</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Power Cords</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Manuals</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SWITCH CONFIGURATION</w:t>
            </w:r>
          </w:p>
        </w:tc>
        <w:tc>
          <w:tcPr>
            <w:tcW w:w="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Chassis Color</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Bezel Color</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Badge</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Firmware</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IP Address default</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Courier New" w:cs="Courier New" w:eastAsia="Courier New" w:hAnsi="Courier New"/>
                <w:sz w:val="15"/>
                <w:szCs w:val="15"/>
                <w:color w:val="auto"/>
              </w:rPr>
              <w:t>Subnetmask</w:t>
            </w:r>
          </w:p>
        </w:tc>
        <w:tc>
          <w:tcPr>
            <w:tcW w:w="360" w:type="dxa"/>
            <w:vAlign w:val="bottom"/>
          </w:tcPr>
          <w:p>
            <w:pPr>
              <w:spacing w:after="0"/>
              <w:rPr>
                <w:sz w:val="15"/>
                <w:szCs w:val="15"/>
                <w:color w:val="auto"/>
              </w:rPr>
            </w:pP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 ]</w:t>
            </w:r>
          </w:p>
        </w:tc>
        <w:tc>
          <w:tcPr>
            <w:tcW w:w="2100" w:type="dxa"/>
            <w:vAlign w:val="bottom"/>
          </w:tcPr>
          <w:p>
            <w:pPr>
              <w:spacing w:after="0"/>
              <w:rPr>
                <w:sz w:val="15"/>
                <w:szCs w:val="15"/>
                <w:color w:val="auto"/>
              </w:rPr>
            </w:pPr>
          </w:p>
        </w:tc>
      </w:tr>
      <w:tr>
        <w:trPr>
          <w:trHeight w:val="524"/>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4.0 Labels</w:t>
            </w: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699"/>
        </w:trPr>
        <w:tc>
          <w:tcPr>
            <w:tcW w:w="26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Label</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Description</w:t>
            </w:r>
          </w:p>
        </w:tc>
        <w:tc>
          <w:tcPr>
            <w:tcW w:w="15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Location</w:t>
            </w:r>
          </w:p>
        </w:tc>
        <w:tc>
          <w:tcPr>
            <w:tcW w:w="2100" w:type="dxa"/>
            <w:vAlign w:val="bottom"/>
          </w:tcPr>
          <w:p>
            <w:pPr>
              <w:spacing w:after="0"/>
              <w:rPr>
                <w:sz w:val="24"/>
                <w:szCs w:val="24"/>
                <w:color w:val="auto"/>
              </w:rPr>
            </w:pPr>
          </w:p>
        </w:tc>
      </w:tr>
      <w:tr>
        <w:trPr>
          <w:trHeight w:val="175"/>
        </w:trPr>
        <w:tc>
          <w:tcPr>
            <w:tcW w:w="26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36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r>
      <w:tr>
        <w:trPr>
          <w:trHeight w:val="350"/>
        </w:trPr>
        <w:tc>
          <w:tcPr>
            <w:tcW w:w="26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Serial Number</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HP Format (SN and bar code)</w:t>
            </w:r>
          </w:p>
        </w:tc>
        <w:tc>
          <w:tcPr>
            <w:tcW w:w="36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Switch: top, rear,</w:t>
            </w:r>
          </w:p>
        </w:tc>
      </w:tr>
      <w:tr>
        <w:trPr>
          <w:trHeight w:val="175"/>
        </w:trPr>
        <w:tc>
          <w:tcPr>
            <w:tcW w:w="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6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right dimple; centered</w:t>
            </w:r>
          </w:p>
        </w:tc>
      </w:tr>
      <w:tr>
        <w:trPr>
          <w:trHeight w:val="175"/>
        </w:trPr>
        <w:tc>
          <w:tcPr>
            <w:tcW w:w="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Base Unit:</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5"/>
        </w:trPr>
        <w:tc>
          <w:tcPr>
            <w:tcW w:w="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0"/>
        </w:trPr>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Performance Upgrade:</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5"/>
        </w:trPr>
        <w:tc>
          <w:tcPr>
            <w:tcW w:w="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0"/>
        </w:trPr>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See</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section 5.1 for details</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261" w:name="page262"/>
    <w:bookmarkEnd w:id="261"/>
    <w:tbl>
      <w:tblPr>
        <w:tblLayout w:type="fixed"/>
        <w:tblInd w:w="267"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Agency</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HP customized</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Switch: bottom, front in dimple;</w:t>
            </w: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See section 5.2</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centered.</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3800 Product label</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HP Part Number and Bar code</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Switch: top, rear, left dimple;</w:t>
            </w:r>
          </w:p>
        </w:tc>
      </w:tr>
      <w:tr>
        <w:trPr>
          <w:trHeight w:val="175"/>
        </w:trPr>
        <w:tc>
          <w:tcPr>
            <w:tcW w:w="2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centered.</w:t>
            </w: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Base Unit:</w:t>
            </w:r>
          </w:p>
        </w:tc>
        <w:tc>
          <w:tcPr>
            <w:tcW w:w="3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 * ]</w:t>
            </w:r>
          </w:p>
        </w:tc>
        <w:tc>
          <w:tcPr>
            <w:tcW w:w="3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[GRAPHIC IMAGE APPEARS HERE]</w:t>
            </w:r>
          </w:p>
        </w:tc>
        <w:tc>
          <w:tcPr>
            <w:tcW w:w="3760" w:type="dxa"/>
            <w:vAlign w:val="bottom"/>
          </w:tcPr>
          <w:p>
            <w:pPr>
              <w:spacing w:after="0"/>
              <w:rPr>
                <w:sz w:val="15"/>
                <w:szCs w:val="15"/>
                <w:color w:val="auto"/>
              </w:rPr>
            </w:pPr>
          </w:p>
        </w:tc>
      </w:tr>
      <w:tr>
        <w:trPr>
          <w:trHeight w:val="350"/>
        </w:trPr>
        <w:tc>
          <w:tcPr>
            <w:tcW w:w="2360" w:type="dxa"/>
            <w:vAlign w:val="bottom"/>
          </w:tcPr>
          <w:p>
            <w:pPr>
              <w:spacing w:after="0"/>
              <w:rPr>
                <w:sz w:val="24"/>
                <w:szCs w:val="24"/>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Performance Upgrade</w:t>
            </w:r>
          </w:p>
        </w:tc>
        <w:tc>
          <w:tcPr>
            <w:tcW w:w="3760" w:type="dxa"/>
            <w:vAlign w:val="bottom"/>
          </w:tcPr>
          <w:p>
            <w:pPr>
              <w:spacing w:after="0"/>
              <w:rPr>
                <w:sz w:val="24"/>
                <w:szCs w:val="24"/>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 * ]</w:t>
            </w:r>
          </w:p>
        </w:tc>
        <w:tc>
          <w:tcPr>
            <w:tcW w:w="3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[GRAPHIC IMAGE APPEARS HERE]</w:t>
            </w:r>
          </w:p>
        </w:tc>
        <w:tc>
          <w:tcPr>
            <w:tcW w:w="3760" w:type="dxa"/>
            <w:vAlign w:val="bottom"/>
          </w:tcPr>
          <w:p>
            <w:pPr>
              <w:spacing w:after="0"/>
              <w:rPr>
                <w:sz w:val="15"/>
                <w:szCs w:val="15"/>
                <w:color w:val="auto"/>
              </w:rPr>
            </w:pPr>
          </w:p>
        </w:tc>
      </w:tr>
      <w:tr>
        <w:trPr>
          <w:trHeight w:val="350"/>
        </w:trPr>
        <w:tc>
          <w:tcPr>
            <w:tcW w:w="2360" w:type="dxa"/>
            <w:vAlign w:val="bottom"/>
          </w:tcPr>
          <w:p>
            <w:pPr>
              <w:spacing w:after="0"/>
              <w:rPr>
                <w:sz w:val="24"/>
                <w:szCs w:val="24"/>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See section 5.3</w:t>
            </w:r>
          </w:p>
        </w:tc>
        <w:tc>
          <w:tcPr>
            <w:tcW w:w="3760" w:type="dxa"/>
            <w:vAlign w:val="bottom"/>
          </w:tcPr>
          <w:p>
            <w:pPr>
              <w:spacing w:after="0"/>
              <w:rPr>
                <w:sz w:val="24"/>
                <w:szCs w:val="24"/>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Shipping label</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Ship to Address</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Packaging: 2 labels per switch</w:t>
            </w: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Description</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placed in opposite sides of</w:t>
            </w: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HP Serial Number</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packing box in upper right</w:t>
            </w: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Revision</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corner.</w:t>
            </w: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HP Purchase Order</w:t>
            </w:r>
          </w:p>
        </w:tc>
        <w:tc>
          <w:tcPr>
            <w:tcW w:w="3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Brocade PN</w:t>
            </w:r>
          </w:p>
        </w:tc>
        <w:tc>
          <w:tcPr>
            <w:tcW w:w="3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CE mark</w:t>
            </w:r>
          </w:p>
        </w:tc>
        <w:tc>
          <w:tcPr>
            <w:tcW w:w="3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GOST mark</w:t>
            </w:r>
          </w:p>
        </w:tc>
        <w:tc>
          <w:tcPr>
            <w:tcW w:w="3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See section 5.7</w:t>
            </w:r>
          </w:p>
        </w:tc>
        <w:tc>
          <w:tcPr>
            <w:tcW w:w="376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3800 P/S rating label</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 * ]</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Switch (power supply):</w:t>
            </w:r>
          </w:p>
        </w:tc>
      </w:tr>
      <w:tr>
        <w:trPr>
          <w:trHeight w:val="175"/>
        </w:trPr>
        <w:tc>
          <w:tcPr>
            <w:tcW w:w="2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Top of power supply bezel,</w:t>
            </w:r>
          </w:p>
        </w:tc>
      </w:tr>
      <w:tr>
        <w:trPr>
          <w:trHeight w:val="175"/>
        </w:trPr>
        <w:tc>
          <w:tcPr>
            <w:tcW w:w="2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centered.</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Over pack label</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No change</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Upper right corner of pallet on</w:t>
            </w:r>
          </w:p>
        </w:tc>
      </w:tr>
      <w:tr>
        <w:trPr>
          <w:trHeight w:val="175"/>
        </w:trPr>
        <w:tc>
          <w:tcPr>
            <w:tcW w:w="2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top of shrink wrap</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IP address label</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[GRAPHIC IMAGE APPEARS HERE]</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Question: Will text be pad</w:t>
            </w:r>
          </w:p>
        </w:tc>
      </w:tr>
      <w:tr>
        <w:trPr>
          <w:trHeight w:val="175"/>
        </w:trPr>
        <w:tc>
          <w:tcPr>
            <w:tcW w:w="2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printed where IP label is placed?</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Front panel overlay label</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Background: Brocade default</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Switch: Front of unit</w:t>
            </w: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Text: Brocade default</w:t>
            </w:r>
          </w:p>
        </w:tc>
        <w:tc>
          <w:tcPr>
            <w:tcW w:w="3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[GRAPHIC IMAGE APPEARS HERE]</w:t>
            </w:r>
          </w:p>
        </w:tc>
        <w:tc>
          <w:tcPr>
            <w:tcW w:w="3760" w:type="dxa"/>
            <w:vAlign w:val="bottom"/>
          </w:tcPr>
          <w:p>
            <w:pPr>
              <w:spacing w:after="0"/>
              <w:rPr>
                <w:sz w:val="15"/>
                <w:szCs w:val="15"/>
                <w:color w:val="auto"/>
              </w:rPr>
            </w:pPr>
          </w:p>
        </w:tc>
      </w:tr>
      <w:tr>
        <w:trPr>
          <w:trHeight w:val="524"/>
        </w:trPr>
        <w:tc>
          <w:tcPr>
            <w:tcW w:w="2360" w:type="dxa"/>
            <w:vAlign w:val="bottom"/>
          </w:tcPr>
          <w:p>
            <w:pPr>
              <w:spacing w:after="0"/>
              <w:rPr>
                <w:sz w:val="20"/>
                <w:szCs w:val="20"/>
                <w:color w:val="auto"/>
              </w:rPr>
            </w:pPr>
            <w:r>
              <w:rPr>
                <w:rFonts w:ascii="Courier New" w:cs="Courier New" w:eastAsia="Courier New" w:hAnsi="Courier New"/>
                <w:sz w:val="15"/>
                <w:szCs w:val="15"/>
                <w:color w:val="auto"/>
              </w:rPr>
              <w:t>Brocade Serial Number</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No change</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Switch: Vertically placed to</w:t>
            </w:r>
          </w:p>
        </w:tc>
      </w:tr>
      <w:tr>
        <w:trPr>
          <w:trHeight w:val="175"/>
        </w:trPr>
        <w:tc>
          <w:tcPr>
            <w:tcW w:w="2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left of left power supply.</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Top cover</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Background: Brocade default</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Switch: Centered in recessed</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removal/insertion label</w:t>
            </w: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Text: Brocade default</w:t>
            </w:r>
          </w:p>
        </w:tc>
        <w:tc>
          <w:tcPr>
            <w:tcW w:w="3760" w:type="dxa"/>
            <w:vAlign w:val="bottom"/>
          </w:tcPr>
          <w:p>
            <w:pPr>
              <w:ind w:left="760"/>
              <w:spacing w:after="0"/>
              <w:rPr>
                <w:sz w:val="20"/>
                <w:szCs w:val="20"/>
                <w:color w:val="auto"/>
              </w:rPr>
            </w:pPr>
            <w:r>
              <w:rPr>
                <w:rFonts w:ascii="Courier New" w:cs="Courier New" w:eastAsia="Courier New" w:hAnsi="Courier New"/>
                <w:sz w:val="15"/>
                <w:szCs w:val="15"/>
                <w:color w:val="auto"/>
              </w:rPr>
              <w:t>area on top cover of enclosure</w:t>
            </w:r>
          </w:p>
        </w:tc>
      </w:tr>
      <w:tr>
        <w:trPr>
          <w:trHeight w:val="175"/>
        </w:trPr>
        <w:tc>
          <w:tcPr>
            <w:tcW w:w="2360" w:type="dxa"/>
            <w:vAlign w:val="bottom"/>
          </w:tcPr>
          <w:p>
            <w:pPr>
              <w:spacing w:after="0"/>
              <w:rPr>
                <w:sz w:val="15"/>
                <w:szCs w:val="15"/>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[GRAPHIC IMAGE APPEARS HERE]</w:t>
            </w:r>
          </w:p>
        </w:tc>
        <w:tc>
          <w:tcPr>
            <w:tcW w:w="3760" w:type="dxa"/>
            <w:vAlign w:val="bottom"/>
          </w:tcPr>
          <w:p>
            <w:pPr>
              <w:spacing w:after="0"/>
              <w:rPr>
                <w:sz w:val="15"/>
                <w:szCs w:val="15"/>
                <w:color w:val="auto"/>
              </w:rPr>
            </w:pP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992" w:right="1440"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LED label</w:t>
            </w:r>
          </w:p>
        </w:tc>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Background: Brocade default</w:t>
            </w: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Switch: On back of enclosure</w:t>
            </w:r>
          </w:p>
        </w:tc>
      </w:tr>
      <w:tr>
        <w:trPr>
          <w:trHeight w:val="175"/>
        </w:trPr>
        <w:tc>
          <w:tcPr>
            <w:tcW w:w="2100" w:type="dxa"/>
            <w:vAlign w:val="bottom"/>
          </w:tcPr>
          <w:p>
            <w:pPr>
              <w:spacing w:after="0"/>
              <w:rPr>
                <w:sz w:val="15"/>
                <w:szCs w:val="15"/>
                <w:color w:val="auto"/>
              </w:rPr>
            </w:pPr>
          </w:p>
        </w:tc>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Text: Brocade default</w:t>
            </w: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between cooling trays</w:t>
            </w:r>
          </w:p>
        </w:tc>
      </w:tr>
      <w:tr>
        <w:trPr>
          <w:trHeight w:val="175"/>
        </w:trPr>
        <w:tc>
          <w:tcPr>
            <w:tcW w:w="2100" w:type="dxa"/>
            <w:vAlign w:val="bottom"/>
          </w:tcPr>
          <w:p>
            <w:pPr>
              <w:spacing w:after="0"/>
              <w:rPr>
                <w:sz w:val="15"/>
                <w:szCs w:val="15"/>
                <w:color w:val="auto"/>
              </w:rPr>
            </w:pPr>
          </w:p>
        </w:tc>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[GRAPHIC IMAGE APPEARS HERE]</w:t>
            </w:r>
          </w:p>
        </w:tc>
        <w:tc>
          <w:tcPr>
            <w:tcW w:w="17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0"/>
        </w:trPr>
        <w:tc>
          <w:tcPr>
            <w:tcW w:w="2100" w:type="dxa"/>
            <w:vAlign w:val="bottom"/>
          </w:tcPr>
          <w:p>
            <w:pPr>
              <w:spacing w:after="0"/>
              <w:rPr>
                <w:sz w:val="20"/>
                <w:szCs w:val="20"/>
                <w:color w:val="auto"/>
              </w:rPr>
            </w:pPr>
            <w:r>
              <w:rPr>
                <w:rFonts w:ascii="Courier New" w:cs="Courier New" w:eastAsia="Courier New" w:hAnsi="Courier New"/>
                <w:sz w:val="15"/>
                <w:szCs w:val="15"/>
                <w:color w:val="auto"/>
              </w:rPr>
              <w:t>Warning label</w:t>
            </w:r>
          </w:p>
        </w:tc>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[GRAPHIC IMAGE APPEARS HERE]</w:t>
            </w: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Switch: Right</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side, towards</w:t>
            </w:r>
          </w:p>
        </w:tc>
      </w:tr>
      <w:tr>
        <w:trPr>
          <w:trHeight w:val="175"/>
        </w:trPr>
        <w:tc>
          <w:tcPr>
            <w:tcW w:w="21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front between</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screw thread holes.</w:t>
            </w:r>
          </w:p>
        </w:tc>
      </w:tr>
      <w:tr>
        <w:trPr>
          <w:trHeight w:val="350"/>
        </w:trPr>
        <w:tc>
          <w:tcPr>
            <w:tcW w:w="2100" w:type="dxa"/>
            <w:vAlign w:val="bottom"/>
          </w:tcPr>
          <w:p>
            <w:pPr>
              <w:spacing w:after="0"/>
              <w:rPr>
                <w:sz w:val="20"/>
                <w:szCs w:val="20"/>
                <w:color w:val="auto"/>
              </w:rPr>
            </w:pPr>
            <w:r>
              <w:rPr>
                <w:rFonts w:ascii="Courier New" w:cs="Courier New" w:eastAsia="Courier New" w:hAnsi="Courier New"/>
                <w:sz w:val="15"/>
                <w:szCs w:val="15"/>
                <w:color w:val="auto"/>
              </w:rPr>
              <w:t>Accessory Kit label</w:t>
            </w:r>
          </w:p>
        </w:tc>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Accessory Kit, 2Gb 16 Port Switch</w:t>
            </w:r>
          </w:p>
        </w:tc>
        <w:tc>
          <w:tcPr>
            <w:tcW w:w="3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Located on accessory kit box.</w:t>
            </w:r>
          </w:p>
        </w:tc>
      </w:tr>
      <w:tr>
        <w:trPr>
          <w:trHeight w:val="175"/>
        </w:trPr>
        <w:tc>
          <w:tcPr>
            <w:tcW w:w="2100" w:type="dxa"/>
            <w:vAlign w:val="bottom"/>
          </w:tcPr>
          <w:p>
            <w:pPr>
              <w:spacing w:after="0"/>
              <w:rPr>
                <w:sz w:val="15"/>
                <w:szCs w:val="15"/>
                <w:color w:val="auto"/>
              </w:rPr>
            </w:pPr>
          </w:p>
        </w:tc>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 * ]</w:t>
            </w: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Must contain:</w:t>
            </w:r>
          </w:p>
        </w:tc>
        <w:tc>
          <w:tcPr>
            <w:tcW w:w="1760" w:type="dxa"/>
            <w:vAlign w:val="bottom"/>
          </w:tcPr>
          <w:p>
            <w:pPr>
              <w:spacing w:after="0"/>
              <w:rPr>
                <w:sz w:val="15"/>
                <w:szCs w:val="15"/>
                <w:color w:val="auto"/>
              </w:rPr>
            </w:pPr>
          </w:p>
        </w:tc>
      </w:tr>
      <w:tr>
        <w:trPr>
          <w:trHeight w:val="175"/>
        </w:trPr>
        <w:tc>
          <w:tcPr>
            <w:tcW w:w="2100" w:type="dxa"/>
            <w:vAlign w:val="bottom"/>
          </w:tcPr>
          <w:p>
            <w:pPr>
              <w:spacing w:after="0"/>
              <w:rPr>
                <w:sz w:val="15"/>
                <w:szCs w:val="15"/>
                <w:color w:val="auto"/>
              </w:rPr>
            </w:pPr>
          </w:p>
        </w:tc>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[GRAPHIC IMAGE APPEARS HERE]</w:t>
            </w: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 Description</w:t>
            </w:r>
          </w:p>
        </w:tc>
        <w:tc>
          <w:tcPr>
            <w:tcW w:w="1760" w:type="dxa"/>
            <w:vAlign w:val="bottom"/>
          </w:tcPr>
          <w:p>
            <w:pPr>
              <w:spacing w:after="0"/>
              <w:rPr>
                <w:sz w:val="15"/>
                <w:szCs w:val="15"/>
                <w:color w:val="auto"/>
              </w:rPr>
            </w:pPr>
          </w:p>
        </w:tc>
      </w:tr>
      <w:tr>
        <w:trPr>
          <w:trHeight w:val="175"/>
        </w:trPr>
        <w:tc>
          <w:tcPr>
            <w:tcW w:w="21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 HP P/N</w:t>
            </w:r>
          </w:p>
        </w:tc>
        <w:tc>
          <w:tcPr>
            <w:tcW w:w="1760" w:type="dxa"/>
            <w:vAlign w:val="bottom"/>
          </w:tcPr>
          <w:p>
            <w:pPr>
              <w:spacing w:after="0"/>
              <w:rPr>
                <w:sz w:val="15"/>
                <w:szCs w:val="15"/>
                <w:color w:val="auto"/>
              </w:rPr>
            </w:pPr>
          </w:p>
        </w:tc>
      </w:tr>
      <w:tr>
        <w:trPr>
          <w:trHeight w:val="175"/>
        </w:trPr>
        <w:tc>
          <w:tcPr>
            <w:tcW w:w="21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 Bar code of</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P/N.</w:t>
            </w:r>
          </w:p>
        </w:tc>
      </w:tr>
    </w:tbl>
    <w:p>
      <w:pPr>
        <w:sectPr>
          <w:pgSz w:w="11900" w:h="16838" w:orient="portrait"/>
          <w:cols w:equalWidth="0" w:num="1">
            <w:col w:w="9959"/>
          </w:cols>
          <w:pgMar w:left="500" w:top="992" w:right="1440" w:bottom="1440" w:gutter="0" w:footer="0" w:header="0"/>
        </w:sectPr>
      </w:pPr>
    </w:p>
    <w:bookmarkStart w:id="263" w:name="page264"/>
    <w:bookmarkEnd w:id="263"/>
    <w:p>
      <w:pPr>
        <w:ind w:left="7"/>
        <w:spacing w:after="0"/>
        <w:rPr>
          <w:sz w:val="20"/>
          <w:szCs w:val="20"/>
          <w:color w:val="auto"/>
        </w:rPr>
      </w:pPr>
      <w:r>
        <w:rPr>
          <w:rFonts w:ascii="Courier New" w:cs="Courier New" w:eastAsia="Courier New" w:hAnsi="Courier New"/>
          <w:sz w:val="15"/>
          <w:szCs w:val="15"/>
          <w:color w:val="auto"/>
        </w:rPr>
        <w:t>5.0 Labels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5.1 HP SERIAL NUMBER LABEL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See 2.3 for more details.</w:t>
      </w:r>
    </w:p>
    <w:p>
      <w:pPr>
        <w:sectPr>
          <w:pgSz w:w="11900" w:h="16838" w:orient="portrait"/>
          <w:cols w:equalWidth="0" w:num="1">
            <w:col w:w="10226"/>
          </w:cols>
          <w:pgMar w:left="233" w:top="468" w:right="1440" w:bottom="1440" w:gutter="0" w:footer="0" w:header="0"/>
        </w:sectPr>
      </w:pP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BASE UNIT</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where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XXXXX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Country of Manufacture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Supplier ID, Brocade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Revision Number 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HP Product Name abbreviation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sequential numeric counter to start with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00001 and not reset when revision number is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changed.</w:t>
      </w:r>
    </w:p>
    <w:p>
      <w:pPr>
        <w:spacing w:after="0" w:line="180" w:lineRule="exact"/>
        <w:rPr>
          <w:sz w:val="20"/>
          <w:szCs w:val="20"/>
          <w:color w:val="auto"/>
        </w:rPr>
      </w:pPr>
    </w:p>
    <w:p>
      <w:pPr>
        <w:sectPr>
          <w:pgSz w:w="11900" w:h="16838" w:orient="portrait"/>
          <w:cols w:equalWidth="0" w:num="3">
            <w:col w:w="1827" w:space="0"/>
            <w:col w:w="460" w:space="720"/>
            <w:col w:w="7219"/>
          </w:cols>
          <w:pgMar w:left="233" w:top="468" w:right="1440" w:bottom="1440" w:gutter="0" w:footer="0" w:header="0"/>
          <w:type w:val="continuous"/>
        </w:sectPr>
      </w:pPr>
    </w:p>
    <w:p>
      <w:pPr>
        <w:ind w:left="1007"/>
        <w:spacing w:after="0"/>
        <w:rPr>
          <w:sz w:val="20"/>
          <w:szCs w:val="20"/>
          <w:color w:val="auto"/>
        </w:rPr>
      </w:pPr>
      <w:r>
        <w:rPr>
          <w:rFonts w:ascii="Courier New" w:cs="Courier New" w:eastAsia="Courier New" w:hAnsi="Courier New"/>
          <w:sz w:val="15"/>
          <w:szCs w:val="15"/>
          <w:color w:val="auto"/>
        </w:rPr>
        <w:t>PERFORMANCE UPGRADE</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1007"/>
        <w:spacing w:after="0"/>
        <w:tabs>
          <w:tab w:leader="none" w:pos="1806" w:val="left"/>
        </w:tabs>
        <w:rPr>
          <w:sz w:val="20"/>
          <w:szCs w:val="20"/>
          <w:color w:val="auto"/>
        </w:rPr>
      </w:pPr>
      <w:r>
        <w:rPr>
          <w:rFonts w:ascii="Courier New" w:cs="Courier New" w:eastAsia="Courier New" w:hAnsi="Courier New"/>
          <w:sz w:val="15"/>
          <w:szCs w:val="15"/>
          <w:color w:val="auto"/>
        </w:rPr>
        <w:t>where</w:t>
      </w:r>
      <w:r>
        <w:rPr>
          <w:sz w:val="20"/>
          <w:szCs w:val="20"/>
          <w:color w:val="auto"/>
        </w:rPr>
        <w:tab/>
      </w:r>
      <w:r>
        <w:rPr>
          <w:rFonts w:ascii="Courier New" w:cs="Courier New" w:eastAsia="Courier New" w:hAnsi="Courier New"/>
          <w:sz w:val="15"/>
          <w:szCs w:val="15"/>
          <w:color w:val="auto"/>
        </w:rPr>
        <w:t>US</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B</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XXXXX</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Country of Manufacture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Supplier ID, Brocade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Revision Number 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HP Product Name abbreviation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sequential numeric counter to start with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00001 and not reset when revision number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is changed.</w:t>
      </w:r>
    </w:p>
    <w:p>
      <w:pPr>
        <w:spacing w:after="0" w:line="180" w:lineRule="exact"/>
        <w:rPr>
          <w:sz w:val="20"/>
          <w:szCs w:val="20"/>
          <w:color w:val="auto"/>
        </w:rPr>
      </w:pPr>
    </w:p>
    <w:p>
      <w:pPr>
        <w:sectPr>
          <w:pgSz w:w="11900" w:h="16838" w:orient="portrait"/>
          <w:cols w:equalWidth="0" w:num="2">
            <w:col w:w="2727" w:space="280"/>
            <w:col w:w="7219"/>
          </w:cols>
          <w:pgMar w:left="233" w:top="468" w:right="1440" w:bottom="1440" w:gutter="0" w:footer="0" w:header="0"/>
          <w:type w:val="continuous"/>
        </w:sectPr>
      </w:pPr>
    </w:p>
    <w:p>
      <w:pPr>
        <w:ind w:left="827"/>
        <w:spacing w:after="0"/>
        <w:rPr>
          <w:sz w:val="20"/>
          <w:szCs w:val="20"/>
          <w:color w:val="auto"/>
        </w:rPr>
      </w:pPr>
      <w:r>
        <w:rPr>
          <w:rFonts w:ascii="Courier New" w:cs="Courier New" w:eastAsia="Courier New" w:hAnsi="Courier New"/>
          <w:sz w:val="15"/>
          <w:szCs w:val="15"/>
          <w:color w:val="auto"/>
        </w:rPr>
        <w:t>CONTENT:</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HP Serial Number format</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Bar code (3x9) of serial number</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Examples:</w:t>
      </w:r>
    </w:p>
    <w:p>
      <w:pPr>
        <w:sectPr>
          <w:pgSz w:w="11900" w:h="16838" w:orient="portrait"/>
          <w:cols w:equalWidth="0" w:num="1">
            <w:col w:w="10226"/>
          </w:cols>
          <w:pgMar w:left="233" w:top="468"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827"/>
        <w:spacing w:after="0"/>
        <w:rPr>
          <w:sz w:val="20"/>
          <w:szCs w:val="20"/>
          <w:color w:val="auto"/>
        </w:rPr>
      </w:pPr>
      <w:r>
        <w:rPr>
          <w:rFonts w:ascii="Courier New" w:cs="Courier New" w:eastAsia="Courier New" w:hAnsi="Courier New"/>
          <w:sz w:val="14"/>
          <w:szCs w:val="14"/>
          <w:color w:val="auto"/>
        </w:rPr>
        <w:t>Base Unit</w:t>
      </w:r>
    </w:p>
    <w:p>
      <w:pPr>
        <w:spacing w:after="0" w:line="16" w:lineRule="exact"/>
        <w:rPr>
          <w:sz w:val="20"/>
          <w:szCs w:val="20"/>
          <w:color w:val="auto"/>
        </w:rPr>
      </w:pPr>
    </w:p>
    <w:p>
      <w:pPr>
        <w:ind w:left="82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Upgrade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727" w:space="720"/>
            <w:col w:w="5779"/>
          </w:cols>
          <w:pgMar w:left="233" w:top="468" w:right="1440" w:bottom="1440" w:gutter="0" w:footer="0" w:header="0"/>
          <w:type w:val="continuous"/>
        </w:sectPr>
      </w:pPr>
    </w:p>
    <w:p>
      <w:pPr>
        <w:ind w:left="82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[GRAPHIC IMAGE APPEARS 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ectPr>
          <w:pgSz w:w="11900" w:h="16838" w:orient="portrait"/>
          <w:cols w:equalWidth="0" w:num="2">
            <w:col w:w="3727" w:space="720"/>
            <w:col w:w="5779"/>
          </w:cols>
          <w:pgMar w:left="233" w:top="468" w:right="1440" w:bottom="1440" w:gutter="0" w:footer="0" w:header="0"/>
          <w:type w:val="continuous"/>
        </w:sectPr>
      </w:pPr>
    </w:p>
    <w:p>
      <w:pPr>
        <w:spacing w:after="0" w:line="154"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LOCATION:</w:t>
      </w:r>
    </w:p>
    <w:p>
      <w:pPr>
        <w:spacing w:after="0" w:line="180" w:lineRule="exact"/>
        <w:rPr>
          <w:sz w:val="20"/>
          <w:szCs w:val="20"/>
          <w:color w:val="auto"/>
        </w:rPr>
      </w:pPr>
    </w:p>
    <w:p>
      <w:pPr>
        <w:ind w:left="1367" w:right="2959"/>
        <w:spacing w:after="0" w:line="247" w:lineRule="auto"/>
        <w:rPr>
          <w:sz w:val="20"/>
          <w:szCs w:val="20"/>
          <w:color w:val="auto"/>
        </w:rPr>
      </w:pPr>
      <w:r>
        <w:rPr>
          <w:rFonts w:ascii="Courier New" w:cs="Courier New" w:eastAsia="Courier New" w:hAnsi="Courier New"/>
          <w:sz w:val="15"/>
          <w:szCs w:val="15"/>
          <w:color w:val="auto"/>
        </w:rPr>
        <w:t>Switch: Top, rear (power supply side) of unit, in dimple to right of unit.</w:t>
      </w:r>
    </w:p>
    <w:p>
      <w:pPr>
        <w:spacing w:after="0" w:line="17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FONT: Same as HP part number label. 11 font.</w:t>
      </w:r>
    </w:p>
    <w:p>
      <w:pPr>
        <w:spacing w:after="0" w:line="354" w:lineRule="exact"/>
        <w:rPr>
          <w:sz w:val="20"/>
          <w:szCs w:val="20"/>
          <w:color w:val="auto"/>
        </w:rPr>
      </w:pPr>
    </w:p>
    <w:p>
      <w:pPr>
        <w:ind w:left="447" w:right="2959" w:hanging="447"/>
        <w:spacing w:after="0" w:line="247" w:lineRule="auto"/>
        <w:tabs>
          <w:tab w:leader="none" w:pos="447"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type w:val="continuous"/>
        </w:sectPr>
      </w:pPr>
    </w:p>
    <w:bookmarkStart w:id="264" w:name="page265"/>
    <w:bookmarkEnd w:id="264"/>
    <w:p>
      <w:pPr>
        <w:spacing w:after="0"/>
        <w:rPr>
          <w:sz w:val="20"/>
          <w:szCs w:val="20"/>
          <w:color w:val="auto"/>
        </w:rPr>
      </w:pPr>
      <w:r>
        <w:rPr>
          <w:rFonts w:ascii="Courier New" w:cs="Courier New" w:eastAsia="Courier New" w:hAnsi="Courier New"/>
          <w:sz w:val="15"/>
          <w:szCs w:val="15"/>
          <w:color w:val="auto"/>
        </w:rPr>
        <w:t>5.2 AGENCY LABEL</w:t>
      </w:r>
    </w:p>
    <w:p>
      <w:pPr>
        <w:spacing w:after="0" w:line="180" w:lineRule="exact"/>
        <w:rPr>
          <w:sz w:val="20"/>
          <w:szCs w:val="20"/>
          <w:color w:val="auto"/>
        </w:rPr>
      </w:pPr>
    </w:p>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Note: These drawings are for reference only. The text of the label now states "surestore fc 1Gb/2Gb switch 16B" not "surestore fc switch 4316" as shown.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label below shall be used once Korean Regulatory Approval is obtained.</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label below shall be used until Korean Regulatory Approval is obtained.</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AGENCY LABEL PLACEMENT: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Bottom of unit, rear (towards power supplies) centered in dimple.</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 3800 PRODUCT LABEL</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w:t>
      </w:r>
    </w:p>
    <w:p>
      <w:pPr>
        <w:spacing w:after="0" w:line="180" w:lineRule="exact"/>
        <w:rPr>
          <w:sz w:val="20"/>
          <w:szCs w:val="20"/>
          <w:color w:val="auto"/>
        </w:rPr>
      </w:pPr>
    </w:p>
    <w:p>
      <w:pPr>
        <w:ind w:left="900" w:right="3039"/>
        <w:spacing w:after="0" w:line="247" w:lineRule="auto"/>
        <w:rPr>
          <w:sz w:val="20"/>
          <w:szCs w:val="20"/>
          <w:color w:val="auto"/>
        </w:rPr>
      </w:pPr>
      <w:r>
        <w:rPr>
          <w:rFonts w:ascii="Courier New" w:cs="Courier New" w:eastAsia="Courier New" w:hAnsi="Courier New"/>
          <w:sz w:val="15"/>
          <w:szCs w:val="15"/>
          <w:color w:val="auto"/>
        </w:rPr>
        <w:t>HP Part Number Human Readable (either A7430-63001 or A7340-63004) Bar code (3x9) of HP part Number</w:t>
      </w:r>
    </w:p>
    <w:p>
      <w:pPr>
        <w:sectPr>
          <w:pgSz w:w="11900" w:h="16838" w:orient="portrait"/>
          <w:cols w:equalWidth="0" w:num="1">
            <w:col w:w="10219"/>
          </w:cols>
          <w:pgMar w:left="240" w:top="643" w:right="1440" w:bottom="1440" w:gutter="0" w:footer="0" w:header="0"/>
        </w:sectPr>
      </w:pPr>
    </w:p>
    <w:bookmarkStart w:id="265" w:name="page266"/>
    <w:bookmarkEnd w:id="265"/>
    <w:p>
      <w:pPr>
        <w:ind w:left="3080"/>
        <w:spacing w:after="0"/>
        <w:rPr>
          <w:sz w:val="20"/>
          <w:szCs w:val="20"/>
          <w:color w:val="auto"/>
        </w:rPr>
      </w:pPr>
      <w:r>
        <w:rPr>
          <w:rFonts w:ascii="Courier New" w:cs="Courier New" w:eastAsia="Courier New" w:hAnsi="Courier New"/>
          <w:sz w:val="15"/>
          <w:szCs w:val="15"/>
          <w:color w:val="auto"/>
        </w:rPr>
        <w:t>Examples for:</w:t>
      </w:r>
    </w:p>
    <w:p>
      <w:pPr>
        <w:sectPr>
          <w:pgSz w:w="11900" w:h="16838" w:orient="portrait"/>
          <w:cols w:equalWidth="0" w:num="1">
            <w:col w:w="10219"/>
          </w:cols>
          <w:pgMar w:left="240" w:top="468"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Base Unit</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Upgrade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820" w:space="720"/>
            <w:col w:w="5679"/>
          </w:cols>
          <w:pgMar w:left="240" w:top="468" w:right="1440" w:bottom="1440" w:gutter="0" w:footer="0" w:header="0"/>
          <w:type w:val="continuous"/>
        </w:sectPr>
      </w:pPr>
    </w:p>
    <w:p>
      <w:pPr>
        <w:ind w:left="118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[GRAPHIC IMAGE APPEARS 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ectPr>
          <w:pgSz w:w="11900" w:h="16838" w:orient="portrait"/>
          <w:cols w:equalWidth="0" w:num="2">
            <w:col w:w="3820" w:space="720"/>
            <w:col w:w="5679"/>
          </w:cols>
          <w:pgMar w:left="240" w:top="468" w:right="1440" w:bottom="1440" w:gutter="0" w:footer="0" w:header="0"/>
          <w:type w:val="continuous"/>
        </w:sectPr>
      </w:pP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LOCATION</w:t>
      </w:r>
    </w:p>
    <w:p>
      <w:pPr>
        <w:spacing w:after="0" w:line="180" w:lineRule="exact"/>
        <w:rPr>
          <w:sz w:val="20"/>
          <w:szCs w:val="20"/>
          <w:color w:val="auto"/>
        </w:rPr>
      </w:pPr>
    </w:p>
    <w:p>
      <w:pPr>
        <w:ind w:left="900" w:right="3219"/>
        <w:spacing w:after="0" w:line="247" w:lineRule="auto"/>
        <w:rPr>
          <w:sz w:val="20"/>
          <w:szCs w:val="20"/>
          <w:color w:val="auto"/>
        </w:rPr>
      </w:pPr>
      <w:r>
        <w:rPr>
          <w:rFonts w:ascii="Courier New" w:cs="Courier New" w:eastAsia="Courier New" w:hAnsi="Courier New"/>
          <w:sz w:val="15"/>
          <w:szCs w:val="15"/>
          <w:color w:val="auto"/>
        </w:rPr>
        <w:t>Switch: Top, rear (power supply slide) of unit in dimple to left of unit.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SIZE:</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2.25"(h) x 2"(w) (maximum)</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FONT: 11 and same as 3800 product label.</w:t>
      </w:r>
    </w:p>
    <w:p>
      <w:pPr>
        <w:spacing w:after="0" w:line="18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5.4</w:t>
        <w:tab/>
        <w:t>RATING LABEL</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440" w:right="2959"/>
        <w:spacing w:after="0" w:line="247" w:lineRule="auto"/>
        <w:rPr>
          <w:sz w:val="20"/>
          <w:szCs w:val="20"/>
          <w:color w:val="auto"/>
        </w:rPr>
      </w:pPr>
      <w:r>
        <w:rPr>
          <w:rFonts w:ascii="Courier New" w:cs="Courier New" w:eastAsia="Courier New" w:hAnsi="Courier New"/>
          <w:sz w:val="15"/>
          <w:szCs w:val="15"/>
          <w:color w:val="auto"/>
        </w:rPr>
        <w:t>Place rating label on top of power supply bezel, centered. Present location is left side of recessed area at the front of the power supply. It is obstructed and difficult to read in this location.</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5.5</w:t>
        <w:tab/>
        <w:t>ACCESSORY KIT LABEL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Accessory kit box must be labeled with the following:</w:t>
      </w:r>
    </w:p>
    <w:p>
      <w:pPr>
        <w:sectPr>
          <w:pgSz w:w="11900" w:h="16838" w:orient="portrait"/>
          <w:cols w:equalWidth="0" w:num="1">
            <w:col w:w="10219"/>
          </w:cols>
          <w:pgMar w:left="240" w:top="468" w:right="1440" w:bottom="1440" w:gutter="0" w:footer="0" w:header="0"/>
          <w:type w:val="continuous"/>
        </w:sectPr>
      </w:pP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3"/>
          <w:szCs w:val="13"/>
          <w:color w:val="auto"/>
        </w:rPr>
        <w:t>-</w:t>
      </w:r>
    </w:p>
    <w:p>
      <w:pPr>
        <w:spacing w:after="0" w:line="28" w:lineRule="exact"/>
        <w:rPr>
          <w:sz w:val="20"/>
          <w:szCs w:val="20"/>
          <w:color w:val="auto"/>
        </w:rPr>
      </w:pPr>
    </w:p>
    <w:p>
      <w:pPr>
        <w:ind w:left="8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Number: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Accessory Kit, 2Gb 16 Port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ectPr>
          <w:pgSz w:w="11900" w:h="16838" w:orient="portrait"/>
          <w:cols w:equalWidth="0" w:num="3">
            <w:col w:w="900" w:space="360"/>
            <w:col w:w="1640" w:space="720"/>
            <w:col w:w="6599"/>
          </w:cols>
          <w:pgMar w:left="240" w:top="468" w:right="1440" w:bottom="1440" w:gutter="0" w:footer="0" w:header="0"/>
          <w:type w:val="continuous"/>
        </w:sectPr>
      </w:pPr>
    </w:p>
    <w:p>
      <w:pPr>
        <w:ind w:left="1260" w:hanging="449"/>
        <w:spacing w:after="0"/>
        <w:tabs>
          <w:tab w:leader="none" w:pos="1260"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 Code of part number:  [GRAPHIC IMAGE APPEARS HERE]</w:t>
      </w:r>
    </w:p>
    <w:p>
      <w:pPr>
        <w:spacing w:after="0" w:line="35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ectPr>
          <w:pgSz w:w="11900" w:h="16838" w:orient="portrait"/>
          <w:cols w:equalWidth="0" w:num="1">
            <w:col w:w="10219"/>
          </w:cols>
          <w:pgMar w:left="240" w:top="468" w:right="1440" w:bottom="1440" w:gutter="0" w:footer="0" w:header="0"/>
          <w:type w:val="continuous"/>
        </w:sectPr>
      </w:pPr>
    </w:p>
    <w:bookmarkStart w:id="266" w:name="page267"/>
    <w:bookmarkEnd w:id="266"/>
    <w:p>
      <w:pPr>
        <w:ind w:left="2540"/>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5.6</w:t>
        <w:tab/>
        <w:t>BROCADE SHIPPING LABEL</w:t>
      </w:r>
    </w:p>
    <w:p>
      <w:pPr>
        <w:spacing w:after="0" w:line="180" w:lineRule="exact"/>
        <w:rPr>
          <w:sz w:val="20"/>
          <w:szCs w:val="20"/>
          <w:color w:val="auto"/>
        </w:rPr>
      </w:pPr>
    </w:p>
    <w:p>
      <w:pPr>
        <w:ind w:left="440" w:right="3679"/>
        <w:spacing w:after="0" w:line="247" w:lineRule="auto"/>
        <w:rPr>
          <w:sz w:val="20"/>
          <w:szCs w:val="20"/>
          <w:color w:val="auto"/>
        </w:rPr>
      </w:pPr>
      <w:r>
        <w:rPr>
          <w:rFonts w:ascii="Courier New" w:cs="Courier New" w:eastAsia="Courier New" w:hAnsi="Courier New"/>
          <w:sz w:val="15"/>
          <w:szCs w:val="15"/>
          <w:color w:val="auto"/>
        </w:rPr>
        <w:t>The shipping label for A7340-63001 and A7340-63004 must contain the following fields:</w:t>
      </w:r>
    </w:p>
    <w:p>
      <w:pPr>
        <w:spacing w:after="0" w:line="175" w:lineRule="exact"/>
        <w:rPr>
          <w:sz w:val="20"/>
          <w:szCs w:val="20"/>
          <w:color w:val="auto"/>
        </w:rPr>
      </w:pPr>
    </w:p>
    <w:p>
      <w:pPr>
        <w:ind w:left="1360" w:hanging="458"/>
        <w:spacing w:after="0"/>
        <w:tabs>
          <w:tab w:leader="none" w:pos="136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 to Address</w:t>
      </w:r>
    </w:p>
    <w:p>
      <w:pPr>
        <w:spacing w:after="0" w:line="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w:t>
      </w:r>
    </w:p>
    <w:p>
      <w:pPr>
        <w:spacing w:after="0" w:line="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Serial Number</w:t>
      </w:r>
    </w:p>
    <w:p>
      <w:pPr>
        <w:spacing w:after="0" w:line="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Revision</w:t>
      </w:r>
    </w:p>
    <w:p>
      <w:pPr>
        <w:spacing w:after="0" w:line="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Order</w:t>
      </w:r>
    </w:p>
    <w:p>
      <w:pPr>
        <w:spacing w:after="0" w:line="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Brocade Part Number</w:t>
      </w:r>
    </w:p>
    <w:p>
      <w:pPr>
        <w:spacing w:after="0" w:line="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 mark</w:t>
      </w:r>
    </w:p>
    <w:p>
      <w:pPr>
        <w:spacing w:after="0" w:line="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GOST mark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Example:</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Label location [GRAPHIC IMAGE APPEARS HERE]</w:t>
      </w:r>
    </w:p>
    <w:p>
      <w:pPr>
        <w:spacing w:after="0" w:line="18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6.0</w:t>
        <w:tab/>
        <w:t>Bezel Graphics</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19"/>
          </w:cols>
          <w:pgMar w:left="240" w:top="468" w:right="1440" w:bottom="1440" w:gutter="0" w:footer="0" w:header="0"/>
        </w:sectPr>
      </w:pPr>
    </w:p>
    <w:bookmarkStart w:id="267" w:name="page268"/>
    <w:bookmarkEnd w:id="267"/>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Note: Brocade default color with Quartz Gray lettering</w:t>
      </w:r>
    </w:p>
    <w:p>
      <w:pPr>
        <w:spacing w:after="0" w:line="180"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7.0</w:t>
        <w:tab/>
        <w:t>FRUs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Supplier Part</w:t>
            </w:r>
          </w:p>
        </w:tc>
        <w:tc>
          <w:tcPr>
            <w:tcW w:w="2500" w:type="dxa"/>
            <w:vAlign w:val="bottom"/>
          </w:tcPr>
          <w:p>
            <w:pPr>
              <w:ind w:left="60"/>
              <w:spacing w:after="0"/>
              <w:rPr>
                <w:sz w:val="20"/>
                <w:szCs w:val="20"/>
                <w:color w:val="auto"/>
              </w:rPr>
            </w:pPr>
            <w:r>
              <w:rPr>
                <w:rFonts w:ascii="Courier New" w:cs="Courier New" w:eastAsia="Courier New" w:hAnsi="Courier New"/>
                <w:sz w:val="15"/>
                <w:szCs w:val="15"/>
                <w:color w:val="auto"/>
              </w:rPr>
              <w:t>HP Replacement</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Number</w:t>
            </w:r>
          </w:p>
        </w:tc>
        <w:tc>
          <w:tcPr>
            <w:tcW w:w="2500" w:type="dxa"/>
            <w:vAlign w:val="bottom"/>
          </w:tcPr>
          <w:p>
            <w:pPr>
              <w:ind w:left="60"/>
              <w:spacing w:after="0"/>
              <w:rPr>
                <w:sz w:val="20"/>
                <w:szCs w:val="20"/>
                <w:color w:val="auto"/>
              </w:rPr>
            </w:pPr>
            <w:r>
              <w:rPr>
                <w:rFonts w:ascii="Courier New" w:cs="Courier New" w:eastAsia="Courier New" w:hAnsi="Courier New"/>
                <w:sz w:val="15"/>
                <w:szCs w:val="15"/>
                <w:color w:val="auto"/>
              </w:rPr>
              <w:t>Part Number</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ind w:left="24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2120" w:type="dxa"/>
            <w:vAlign w:val="bottom"/>
          </w:tcPr>
          <w:p>
            <w:pPr>
              <w:spacing w:after="0"/>
              <w:rPr>
                <w:sz w:val="20"/>
                <w:szCs w:val="20"/>
                <w:color w:val="auto"/>
              </w:rPr>
            </w:pPr>
            <w:r>
              <w:rPr>
                <w:rFonts w:ascii="Courier New" w:cs="Courier New" w:eastAsia="Courier New" w:hAnsi="Courier New"/>
                <w:sz w:val="15"/>
                <w:szCs w:val="15"/>
                <w:color w:val="auto"/>
              </w:rPr>
              <w:t>Switch</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c>
          <w:tcPr>
            <w:tcW w:w="250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Power Supply</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c>
          <w:tcPr>
            <w:tcW w:w="250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Fan Module</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c>
          <w:tcPr>
            <w:tcW w:w="250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Serial Cable</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c>
          <w:tcPr>
            <w:tcW w:w="250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r>
      <w:tr>
        <w:trPr>
          <w:trHeight w:val="524"/>
        </w:trPr>
        <w:tc>
          <w:tcPr>
            <w:tcW w:w="2120" w:type="dxa"/>
            <w:vAlign w:val="bottom"/>
          </w:tcPr>
          <w:p>
            <w:pPr>
              <w:spacing w:after="0"/>
              <w:rPr>
                <w:sz w:val="20"/>
                <w:szCs w:val="20"/>
                <w:color w:val="auto"/>
              </w:rPr>
            </w:pPr>
            <w:r>
              <w:rPr>
                <w:rFonts w:ascii="Courier New" w:cs="Courier New" w:eastAsia="Courier New" w:hAnsi="Courier New"/>
                <w:sz w:val="15"/>
                <w:szCs w:val="15"/>
                <w:color w:val="auto"/>
              </w:rPr>
              <w:t>8.0 CD-ROM Artwork</w:t>
            </w:r>
          </w:p>
        </w:tc>
        <w:tc>
          <w:tcPr>
            <w:tcW w:w="2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50"/>
        </w:trPr>
        <w:tc>
          <w:tcPr>
            <w:tcW w:w="212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Courier New" w:cs="Courier New" w:eastAsia="Courier New" w:hAnsi="Courier New"/>
                <w:sz w:val="15"/>
                <w:szCs w:val="15"/>
                <w:color w:val="auto"/>
              </w:rPr>
              <w:t>[GRAPHIC IMAGE APPEARS HERE]</w:t>
            </w:r>
          </w:p>
        </w:tc>
        <w:tc>
          <w:tcPr>
            <w:tcW w:w="2500" w:type="dxa"/>
            <w:vAlign w:val="bottom"/>
          </w:tcPr>
          <w:p>
            <w:pPr>
              <w:spacing w:after="0"/>
              <w:rPr>
                <w:sz w:val="24"/>
                <w:szCs w:val="24"/>
                <w:color w:val="auto"/>
              </w:rPr>
            </w:pPr>
          </w:p>
        </w:tc>
      </w:tr>
    </w:tbl>
    <w:p>
      <w:pPr>
        <w:spacing w:after="0" w:line="179" w:lineRule="exact"/>
        <w:rPr>
          <w:sz w:val="20"/>
          <w:szCs w:val="20"/>
          <w:color w:val="auto"/>
        </w:rPr>
      </w:pPr>
    </w:p>
    <w:p>
      <w:pPr>
        <w:ind w:left="447" w:right="180" w:hanging="447"/>
        <w:spacing w:after="0" w:line="247" w:lineRule="auto"/>
        <w:tabs>
          <w:tab w:leader="none" w:pos="447"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HP Exchange</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Part Number</w:t>
      </w:r>
    </w:p>
    <w:p>
      <w:pPr>
        <w:spacing w:after="0" w:line="5" w:lineRule="exact"/>
        <w:rPr>
          <w:sz w:val="20"/>
          <w:szCs w:val="20"/>
          <w:color w:val="auto"/>
        </w:rPr>
      </w:pPr>
    </w:p>
    <w:p>
      <w:pPr>
        <w:ind w:left="189"/>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ind w:left="189" w:hanging="189"/>
        <w:spacing w:after="0"/>
        <w:tabs>
          <w:tab w:leader="none" w:pos="189"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9" w:hanging="189"/>
        <w:spacing w:after="0"/>
        <w:tabs>
          <w:tab w:leader="none" w:pos="189"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9" w:hanging="189"/>
        <w:spacing w:after="0"/>
        <w:tabs>
          <w:tab w:leader="none" w:pos="189"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89" w:hanging="189"/>
        <w:spacing w:after="0"/>
        <w:tabs>
          <w:tab w:leader="none" w:pos="189"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ectPr>
          <w:pgSz w:w="11900" w:h="16838" w:orient="portrait"/>
          <w:cols w:equalWidth="0" w:num="2">
            <w:col w:w="7447" w:space="551"/>
            <w:col w:w="2229"/>
          </w:cols>
          <w:pgMar w:left="233" w:top="468" w:right="1440" w:bottom="1440" w:gutter="0" w:footer="0" w:header="0"/>
        </w:sectPr>
      </w:pPr>
    </w:p>
    <w:bookmarkStart w:id="268" w:name="page269"/>
    <w:bookmarkEnd w:id="268"/>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AMENDMENT TWO - EXHIBIT (A-3)</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HP SUPPLIER QUALITY SYSTEM REQUIREMENTS</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 HEWLETT-PACKARD CO. --</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This page provides a running history of changes for a multi-page drawing. List all changes below, referencing page number and section number, if applicable. Be concise when describing changes. If extensive revisions have been made, a general statement that the document has been "revised and redrawn" is permissible.</w:t>
      </w:r>
    </w:p>
    <w:p>
      <w:pPr>
        <w:spacing w:after="0" w:line="200" w:lineRule="exact"/>
        <w:rPr>
          <w:sz w:val="20"/>
          <w:szCs w:val="20"/>
          <w:color w:val="auto"/>
        </w:rPr>
      </w:pPr>
    </w:p>
    <w:p>
      <w:pPr>
        <w:spacing w:after="0" w:line="327"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jc w:val="center"/>
              <w:ind w:left="744"/>
              <w:spacing w:after="0"/>
              <w:rPr>
                <w:sz w:val="20"/>
                <w:szCs w:val="20"/>
                <w:color w:val="auto"/>
              </w:rPr>
            </w:pPr>
            <w:r>
              <w:rPr>
                <w:rFonts w:ascii="Courier New" w:cs="Courier New" w:eastAsia="Courier New" w:hAnsi="Courier New"/>
                <w:sz w:val="15"/>
                <w:szCs w:val="15"/>
                <w:color w:val="auto"/>
              </w:rPr>
              <w:t>INITIALS</w:t>
            </w:r>
          </w:p>
        </w:tc>
      </w:tr>
      <w:tr>
        <w:trPr>
          <w:trHeight w:val="175"/>
        </w:trPr>
        <w:tc>
          <w:tcPr>
            <w:tcW w:w="460" w:type="dxa"/>
            <w:vAlign w:val="bottom"/>
          </w:tcPr>
          <w:p>
            <w:pPr>
              <w:spacing w:after="0"/>
              <w:rPr>
                <w:sz w:val="20"/>
                <w:szCs w:val="20"/>
                <w:color w:val="auto"/>
              </w:rPr>
            </w:pPr>
            <w:r>
              <w:rPr>
                <w:rFonts w:ascii="Courier New" w:cs="Courier New" w:eastAsia="Courier New" w:hAnsi="Courier New"/>
                <w:sz w:val="15"/>
                <w:szCs w:val="15"/>
                <w:color w:val="auto"/>
              </w:rPr>
              <w:t>LTR.</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REVISIONS</w:t>
            </w:r>
          </w:p>
        </w:tc>
        <w:tc>
          <w:tcPr>
            <w:tcW w:w="2000" w:type="dxa"/>
            <w:vAlign w:val="bottom"/>
          </w:tcPr>
          <w:p>
            <w:pPr>
              <w:ind w:left="640"/>
              <w:spacing w:after="0"/>
              <w:rPr>
                <w:sz w:val="20"/>
                <w:szCs w:val="20"/>
                <w:color w:val="auto"/>
              </w:rPr>
            </w:pPr>
            <w:r>
              <w:rPr>
                <w:rFonts w:ascii="Courier New" w:cs="Courier New" w:eastAsia="Courier New" w:hAnsi="Courier New"/>
                <w:sz w:val="15"/>
                <w:szCs w:val="15"/>
                <w:color w:val="auto"/>
              </w:rPr>
              <w:t>DATE</w:t>
            </w:r>
          </w:p>
        </w:tc>
        <w:tc>
          <w:tcPr>
            <w:tcW w:w="1920" w:type="dxa"/>
            <w:vAlign w:val="bottom"/>
          </w:tcPr>
          <w:p>
            <w:pPr>
              <w:jc w:val="center"/>
              <w:ind w:left="744"/>
              <w:spacing w:after="0"/>
              <w:rPr>
                <w:sz w:val="20"/>
                <w:szCs w:val="20"/>
                <w:color w:val="auto"/>
              </w:rPr>
            </w:pPr>
            <w:r>
              <w:rPr>
                <w:rFonts w:ascii="Courier New" w:cs="Courier New" w:eastAsia="Courier New" w:hAnsi="Courier New"/>
                <w:sz w:val="15"/>
                <w:szCs w:val="15"/>
                <w:color w:val="auto"/>
              </w:rPr>
              <w:t>OEM ENGINEER</w:t>
            </w:r>
          </w:p>
        </w:tc>
      </w:tr>
      <w:tr>
        <w:trPr>
          <w:trHeight w:val="175"/>
        </w:trPr>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left="744"/>
              <w:spacing w:after="0"/>
              <w:rPr>
                <w:sz w:val="20"/>
                <w:szCs w:val="20"/>
                <w:color w:val="auto"/>
              </w:rPr>
            </w:pPr>
            <w:r>
              <w:rPr>
                <w:rFonts w:ascii="Courier New" w:cs="Courier New" w:eastAsia="Courier New" w:hAnsi="Courier New"/>
                <w:sz w:val="15"/>
                <w:szCs w:val="15"/>
                <w:color w:val="auto"/>
              </w:rPr>
              <w:t>------------</w:t>
            </w:r>
          </w:p>
        </w:tc>
      </w:tr>
      <w:tr>
        <w:trPr>
          <w:trHeight w:val="350"/>
        </w:trPr>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Preliminary Draft</w:t>
            </w:r>
          </w:p>
        </w:tc>
        <w:tc>
          <w:tcPr>
            <w:tcW w:w="2000" w:type="dxa"/>
            <w:vAlign w:val="bottom"/>
          </w:tcPr>
          <w:p>
            <w:pPr>
              <w:jc w:val="center"/>
              <w:ind w:right="264"/>
              <w:spacing w:after="0"/>
              <w:rPr>
                <w:sz w:val="20"/>
                <w:szCs w:val="20"/>
                <w:color w:val="auto"/>
              </w:rPr>
            </w:pPr>
            <w:r>
              <w:rPr>
                <w:rFonts w:ascii="Courier New" w:cs="Courier New" w:eastAsia="Courier New" w:hAnsi="Courier New"/>
                <w:sz w:val="15"/>
                <w:szCs w:val="15"/>
                <w:color w:val="auto"/>
                <w:w w:val="99"/>
              </w:rPr>
              <w:t>9/6/01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r>
      <w:tr>
        <w:trPr>
          <w:trHeight w:val="175"/>
        </w:trPr>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Updated Draft</w:t>
            </w:r>
          </w:p>
        </w:tc>
        <w:tc>
          <w:tcPr>
            <w:tcW w:w="20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11/02/01</w:t>
            </w:r>
          </w:p>
        </w:tc>
        <w:tc>
          <w:tcPr>
            <w:tcW w:w="1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69" w:name="page270"/>
    <w:bookmarkEnd w:id="269"/>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[HEWLETT PACKARD LOGO]</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HP PROPRIETARY</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This document is the property of Hewlett-Packard Company (HP) and contains confidential and proprietary information of HP. Neither it, nor the information contained herein shall be disclosed to others, or duplicated, or used by other except as authorized by HP writing.</w:t>
      </w:r>
    </w:p>
    <w:p>
      <w:pPr>
        <w:spacing w:after="0" w:line="200" w:lineRule="exact"/>
        <w:rPr>
          <w:sz w:val="20"/>
          <w:szCs w:val="20"/>
          <w:color w:val="auto"/>
        </w:rPr>
      </w:pPr>
    </w:p>
    <w:p>
      <w:pPr>
        <w:spacing w:after="0" w:line="327"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HP P/N: [*]</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468" w:right="1440" w:bottom="1440" w:gutter="0" w:footer="0" w:header="0"/>
        </w:sectPr>
      </w:pP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DATE: NOVEMBER 2, 2001</w:t>
      </w:r>
    </w:p>
    <w:p>
      <w:pPr>
        <w:spacing w:after="0" w:line="354" w:lineRule="exact"/>
        <w:rPr>
          <w:sz w:val="20"/>
          <w:szCs w:val="20"/>
          <w:color w:val="auto"/>
        </w:rPr>
      </w:pPr>
    </w:p>
    <w:p>
      <w:pPr>
        <w:ind w:left="87"/>
        <w:spacing w:after="0"/>
        <w:tabs>
          <w:tab w:leader="none" w:pos="526" w:val="left"/>
        </w:tabs>
        <w:rPr>
          <w:sz w:val="20"/>
          <w:szCs w:val="20"/>
          <w:color w:val="auto"/>
        </w:rPr>
      </w:pPr>
      <w:r>
        <w:rPr>
          <w:rFonts w:ascii="Courier New" w:cs="Courier New" w:eastAsia="Courier New" w:hAnsi="Courier New"/>
          <w:sz w:val="15"/>
          <w:szCs w:val="15"/>
          <w:color w:val="auto"/>
        </w:rPr>
        <w:t>BY:</w:t>
        <w:tab/>
        <w:t>[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PORT 2GB 3800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 QUALITY PLAN</w:t>
      </w:r>
    </w:p>
    <w:p>
      <w:pPr>
        <w:spacing w:after="0" w:line="200" w:lineRule="exact"/>
        <w:rPr>
          <w:sz w:val="20"/>
          <w:szCs w:val="20"/>
          <w:color w:val="auto"/>
        </w:rPr>
      </w:pPr>
    </w:p>
    <w:p>
      <w:pPr>
        <w:sectPr>
          <w:pgSz w:w="11900" w:h="16838" w:orient="portrait"/>
          <w:cols w:equalWidth="0" w:num="2">
            <w:col w:w="2467" w:space="720"/>
            <w:col w:w="7039"/>
          </w:cols>
          <w:pgMar w:left="233" w:top="468" w:right="1440" w:bottom="1440" w:gutter="0" w:footer="0" w:header="0"/>
          <w:type w:val="continuous"/>
        </w:sectPr>
      </w:pPr>
    </w:p>
    <w:p>
      <w:pPr>
        <w:spacing w:after="0" w:line="1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BROCADE 3800 2Gb SWITCH</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SUPPLIER QUALITY/RELIABILITY</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REQUIREMENTS DOCUMENT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Model Numbers:</w:t>
      </w:r>
    </w:p>
    <w:p>
      <w:pPr>
        <w:sectPr>
          <w:pgSz w:w="11900" w:h="16838" w:orient="portrait"/>
          <w:cols w:equalWidth="0" w:num="1">
            <w:col w:w="10226"/>
          </w:cols>
          <w:pgMar w:left="233" w:top="468" w:right="1440" w:bottom="1440" w:gutter="0" w:footer="0" w:header="0"/>
          <w:type w:val="continuous"/>
        </w:sectPr>
      </w:pPr>
    </w:p>
    <w:p>
      <w:pPr>
        <w:spacing w:after="0" w:line="180" w:lineRule="exact"/>
        <w:rPr>
          <w:sz w:val="20"/>
          <w:szCs w:val="20"/>
          <w:color w:val="auto"/>
        </w:rPr>
      </w:pPr>
    </w:p>
    <w:p>
      <w:pPr>
        <w:ind w:left="447" w:right="2959" w:hanging="447"/>
        <w:spacing w:after="0" w:line="247" w:lineRule="auto"/>
        <w:tabs>
          <w:tab w:leader="none" w:pos="447"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type w:val="continuous"/>
        </w:sectPr>
      </w:pPr>
    </w:p>
    <w:bookmarkStart w:id="270" w:name="page271"/>
    <w:bookmarkEnd w:id="270"/>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A7340A/AZ -- 16 Port 2Gb 3800 Switch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Brocade</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DOCUMENT REVISION HISTORY</w:t>
      </w:r>
    </w:p>
    <w:p>
      <w:pPr>
        <w:sectPr>
          <w:pgSz w:w="11900" w:h="16838" w:orient="portrait"/>
          <w:cols w:equalWidth="0" w:num="1">
            <w:col w:w="10219"/>
          </w:cols>
          <w:pgMar w:left="240" w:top="468"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REVISION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3">
            <w:col w:w="1080" w:space="640"/>
            <w:col w:w="820" w:space="80"/>
            <w:col w:w="7599"/>
          </w:cols>
          <w:pgMar w:left="240" w:top="468"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00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09/06/01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Initial Release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sectPr>
          <w:pgSz w:w="11900" w:h="16838" w:orient="portrait"/>
          <w:cols w:equalWidth="0" w:num="3">
            <w:col w:w="900" w:space="720"/>
            <w:col w:w="740" w:space="260"/>
            <w:col w:w="7599"/>
          </w:cols>
          <w:pgMar w:left="240" w:top="468" w:right="1440" w:bottom="1440" w:gutter="0" w:footer="0" w:header="0"/>
          <w:type w:val="continuous"/>
        </w:sectPr>
      </w:pPr>
    </w:p>
    <w:p>
      <w:pPr>
        <w:ind w:left="3000" w:hanging="190"/>
        <w:spacing w:after="0"/>
        <w:tabs>
          <w:tab w:leader="none" w:pos="3000"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000" w:hanging="190"/>
        <w:spacing w:after="0"/>
        <w:tabs>
          <w:tab w:leader="none" w:pos="3000"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000" w:hanging="190"/>
        <w:spacing w:after="0"/>
        <w:tabs>
          <w:tab w:leader="none" w:pos="3000"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000" w:hanging="190"/>
        <w:spacing w:after="0"/>
        <w:tabs>
          <w:tab w:leader="none" w:pos="3000" w:val="left"/>
        </w:tabs>
        <w:numPr>
          <w:ilvl w:val="1"/>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19"/>
          </w:cols>
          <w:pgMar w:left="240" w:top="468" w:right="1440" w:bottom="1440" w:gutter="0" w:footer="0" w:header="0"/>
          <w:type w:val="continuous"/>
        </w:sectPr>
      </w:pPr>
    </w:p>
    <w:bookmarkStart w:id="271" w:name="page272"/>
    <w:bookmarkEnd w:id="271"/>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80" w:type="dxa"/>
            <w:vAlign w:val="bottom"/>
          </w:tcPr>
          <w:p>
            <w:pPr>
              <w:spacing w:after="0"/>
              <w:rPr>
                <w:sz w:val="14"/>
                <w:szCs w:val="14"/>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PURPOSE</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DEFECTIVE PRODUCT: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2.1.</w:t>
            </w:r>
          </w:p>
        </w:tc>
        <w:tc>
          <w:tcPr>
            <w:tcW w:w="4540" w:type="dxa"/>
            <w:vAlign w:val="bottom"/>
          </w:tcPr>
          <w:p>
            <w:pPr>
              <w:ind w:left="500"/>
              <w:spacing w:after="0"/>
              <w:rPr>
                <w:sz w:val="20"/>
                <w:szCs w:val="20"/>
                <w:color w:val="auto"/>
              </w:rPr>
            </w:pPr>
            <w:r>
              <w:rPr>
                <w:rFonts w:ascii="Courier New" w:cs="Courier New" w:eastAsia="Courier New" w:hAnsi="Courier New"/>
                <w:sz w:val="15"/>
                <w:szCs w:val="15"/>
                <w:color w:val="auto"/>
              </w:rPr>
              <w:t>[ * ]</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4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 ] TEST PROCESS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3.1.</w:t>
            </w:r>
          </w:p>
        </w:tc>
        <w:tc>
          <w:tcPr>
            <w:tcW w:w="4540" w:type="dxa"/>
            <w:vAlign w:val="bottom"/>
          </w:tcPr>
          <w:p>
            <w:pPr>
              <w:ind w:left="500"/>
              <w:spacing w:after="0"/>
              <w:rPr>
                <w:sz w:val="20"/>
                <w:szCs w:val="20"/>
                <w:color w:val="auto"/>
              </w:rPr>
            </w:pPr>
            <w:r>
              <w:rPr>
                <w:rFonts w:ascii="Courier New" w:cs="Courier New" w:eastAsia="Courier New" w:hAnsi="Courier New"/>
                <w:sz w:val="15"/>
                <w:szCs w:val="15"/>
                <w:color w:val="auto"/>
              </w:rPr>
              <w:t>[ * ]</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3.2.</w:t>
            </w:r>
          </w:p>
        </w:tc>
        <w:tc>
          <w:tcPr>
            <w:tcW w:w="4540" w:type="dxa"/>
            <w:vAlign w:val="bottom"/>
          </w:tcPr>
          <w:p>
            <w:pPr>
              <w:ind w:left="500"/>
              <w:spacing w:after="0"/>
              <w:rPr>
                <w:sz w:val="20"/>
                <w:szCs w:val="20"/>
                <w:color w:val="auto"/>
              </w:rPr>
            </w:pPr>
            <w:r>
              <w:rPr>
                <w:rFonts w:ascii="Courier New" w:cs="Courier New" w:eastAsia="Courier New" w:hAnsi="Courier New"/>
                <w:sz w:val="15"/>
                <w:szCs w:val="15"/>
                <w:color w:val="auto"/>
              </w:rPr>
              <w:t>HP INCOMING [ * ]</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3.3.</w:t>
            </w:r>
          </w:p>
        </w:tc>
        <w:tc>
          <w:tcPr>
            <w:tcW w:w="4540" w:type="dxa"/>
            <w:vAlign w:val="bottom"/>
          </w:tcPr>
          <w:p>
            <w:pPr>
              <w:ind w:left="500"/>
              <w:spacing w:after="0"/>
              <w:rPr>
                <w:sz w:val="20"/>
                <w:szCs w:val="20"/>
                <w:color w:val="auto"/>
              </w:rPr>
            </w:pPr>
            <w:r>
              <w:rPr>
                <w:rFonts w:ascii="Courier New" w:cs="Courier New" w:eastAsia="Courier New" w:hAnsi="Courier New"/>
                <w:sz w:val="15"/>
                <w:szCs w:val="15"/>
                <w:color w:val="auto"/>
              </w:rPr>
              <w:t>DOCK-TO-STOCK</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0"/>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3.4.</w:t>
            </w:r>
          </w:p>
        </w:tc>
        <w:tc>
          <w:tcPr>
            <w:tcW w:w="4540" w:type="dxa"/>
            <w:vAlign w:val="bottom"/>
          </w:tcPr>
          <w:p>
            <w:pPr>
              <w:ind w:left="500"/>
              <w:spacing w:after="0"/>
              <w:rPr>
                <w:sz w:val="20"/>
                <w:szCs w:val="20"/>
                <w:color w:val="auto"/>
              </w:rPr>
            </w:pPr>
            <w:r>
              <w:rPr>
                <w:rFonts w:ascii="Courier New" w:cs="Courier New" w:eastAsia="Courier New" w:hAnsi="Courier New"/>
                <w:sz w:val="15"/>
                <w:szCs w:val="15"/>
                <w:color w:val="auto"/>
              </w:rPr>
              <w:t>OOBA INSPECTION</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FIELD QUALITY / RELIABILITY</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50"/>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4.1.</w:t>
            </w:r>
          </w:p>
        </w:tc>
        <w:tc>
          <w:tcPr>
            <w:tcW w:w="4540" w:type="dxa"/>
            <w:vAlign w:val="bottom"/>
          </w:tcPr>
          <w:p>
            <w:pPr>
              <w:ind w:left="500"/>
              <w:spacing w:after="0"/>
              <w:rPr>
                <w:sz w:val="20"/>
                <w:szCs w:val="20"/>
                <w:color w:val="auto"/>
              </w:rPr>
            </w:pPr>
            <w:r>
              <w:rPr>
                <w:rFonts w:ascii="Courier New" w:cs="Courier New" w:eastAsia="Courier New" w:hAnsi="Courier New"/>
                <w:sz w:val="15"/>
                <w:szCs w:val="15"/>
                <w:color w:val="auto"/>
              </w:rPr>
              <w:t>AFR (ANNUAL FAILURE RATE)</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FAILURE ANALYSIS EXPECTATIONS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Courier New" w:cs="Courier New" w:eastAsia="Courier New" w:hAnsi="Courier New"/>
                <w:sz w:val="15"/>
                <w:szCs w:val="15"/>
                <w:color w:val="auto"/>
              </w:rPr>
              <w:t>QUALITY DATA EXPECTATIONS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50"/>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6.1.</w:t>
            </w:r>
          </w:p>
        </w:tc>
        <w:tc>
          <w:tcPr>
            <w:tcW w:w="4540" w:type="dxa"/>
            <w:vAlign w:val="bottom"/>
          </w:tcPr>
          <w:p>
            <w:pPr>
              <w:ind w:left="500"/>
              <w:spacing w:after="0"/>
              <w:rPr>
                <w:sz w:val="20"/>
                <w:szCs w:val="20"/>
                <w:color w:val="auto"/>
              </w:rPr>
            </w:pPr>
            <w:r>
              <w:rPr>
                <w:rFonts w:ascii="Courier New" w:cs="Courier New" w:eastAsia="Courier New" w:hAnsi="Courier New"/>
                <w:sz w:val="15"/>
                <w:szCs w:val="15"/>
                <w:color w:val="auto"/>
              </w:rPr>
              <w:t>HP'S RESPONSIBILITY</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72" w:name="page273"/>
    <w:bookmarkEnd w:id="272"/>
    <w:tbl>
      <w:tblPr>
        <w:tblLayout w:type="fixed"/>
        <w:tblInd w:w="7"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5360" w:type="dxa"/>
            <w:vAlign w:val="bottom"/>
          </w:tcPr>
          <w:p>
            <w:pPr>
              <w:ind w:left="2140"/>
              <w:spacing w:after="0"/>
              <w:rPr>
                <w:sz w:val="20"/>
                <w:szCs w:val="20"/>
                <w:color w:val="auto"/>
              </w:rPr>
            </w:pPr>
            <w:r>
              <w:rPr>
                <w:rFonts w:ascii="Courier New" w:cs="Courier New" w:eastAsia="Courier New" w:hAnsi="Courier New"/>
                <w:sz w:val="15"/>
                <w:szCs w:val="15"/>
                <w:color w:val="auto"/>
              </w:rPr>
              <w:t>BROCADE / HP CONFIDENTIAL</w:t>
            </w:r>
          </w:p>
        </w:tc>
        <w:tc>
          <w:tcPr>
            <w:tcW w:w="1140" w:type="dxa"/>
            <w:vAlign w:val="bottom"/>
          </w:tcPr>
          <w:p>
            <w:pPr>
              <w:spacing w:after="0"/>
              <w:rPr>
                <w:sz w:val="14"/>
                <w:szCs w:val="14"/>
                <w:color w:val="auto"/>
              </w:rPr>
            </w:pPr>
          </w:p>
        </w:tc>
      </w:tr>
      <w:tr>
        <w:trPr>
          <w:trHeight w:val="699"/>
        </w:trPr>
        <w:tc>
          <w:tcPr>
            <w:tcW w:w="40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5360" w:type="dxa"/>
            <w:vAlign w:val="bottom"/>
          </w:tcPr>
          <w:p>
            <w:pPr>
              <w:ind w:left="500"/>
              <w:spacing w:after="0"/>
              <w:rPr>
                <w:sz w:val="20"/>
                <w:szCs w:val="20"/>
                <w:color w:val="auto"/>
              </w:rPr>
            </w:pPr>
            <w:r>
              <w:rPr>
                <w:rFonts w:ascii="Courier New" w:cs="Courier New" w:eastAsia="Courier New" w:hAnsi="Courier New"/>
                <w:sz w:val="15"/>
                <w:szCs w:val="15"/>
                <w:color w:val="auto"/>
              </w:rPr>
              <w:t>SUPPLIER'S RESPONSIBILITY</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400" w:type="dxa"/>
            <w:vAlign w:val="bottom"/>
          </w:tcPr>
          <w:p>
            <w:pPr>
              <w:spacing w:after="0"/>
              <w:rPr>
                <w:sz w:val="15"/>
                <w:szCs w:val="15"/>
                <w:color w:val="auto"/>
              </w:rPr>
            </w:pPr>
          </w:p>
        </w:tc>
        <w:tc>
          <w:tcPr>
            <w:tcW w:w="5360" w:type="dxa"/>
            <w:vAlign w:val="bottom"/>
          </w:tcPr>
          <w:p>
            <w:pPr>
              <w:ind w:left="500"/>
              <w:spacing w:after="0"/>
              <w:rPr>
                <w:sz w:val="20"/>
                <w:szCs w:val="20"/>
                <w:color w:val="auto"/>
              </w:rPr>
            </w:pPr>
            <w:r>
              <w:rPr>
                <w:rFonts w:ascii="Courier New" w:cs="Courier New" w:eastAsia="Courier New" w:hAnsi="Courier New"/>
                <w:sz w:val="15"/>
                <w:szCs w:val="15"/>
                <w:color w:val="auto"/>
              </w:rPr>
              <w:t>[ * ] REPORTS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400" w:type="dxa"/>
            <w:vAlign w:val="bottom"/>
          </w:tcPr>
          <w:p>
            <w:pPr>
              <w:spacing w:after="0"/>
              <w:rPr>
                <w:sz w:val="15"/>
                <w:szCs w:val="15"/>
                <w:color w:val="auto"/>
              </w:rPr>
            </w:pPr>
          </w:p>
        </w:tc>
        <w:tc>
          <w:tcPr>
            <w:tcW w:w="5360" w:type="dxa"/>
            <w:vAlign w:val="bottom"/>
          </w:tcPr>
          <w:p>
            <w:pPr>
              <w:ind w:left="500"/>
              <w:spacing w:after="0"/>
              <w:rPr>
                <w:sz w:val="20"/>
                <w:szCs w:val="20"/>
                <w:color w:val="auto"/>
              </w:rPr>
            </w:pPr>
            <w:r>
              <w:rPr>
                <w:rFonts w:ascii="Courier New" w:cs="Courier New" w:eastAsia="Courier New" w:hAnsi="Courier New"/>
                <w:sz w:val="15"/>
                <w:szCs w:val="15"/>
                <w:color w:val="auto"/>
              </w:rPr>
              <w:t>OTHER REPORTS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5360" w:type="dxa"/>
            <w:vAlign w:val="bottom"/>
          </w:tcPr>
          <w:p>
            <w:pPr>
              <w:jc w:val="right"/>
              <w:ind w:right="2864"/>
              <w:spacing w:after="0"/>
              <w:rPr>
                <w:sz w:val="20"/>
                <w:szCs w:val="20"/>
                <w:color w:val="auto"/>
              </w:rPr>
            </w:pPr>
            <w:r>
              <w:rPr>
                <w:rFonts w:ascii="Courier New" w:cs="Courier New" w:eastAsia="Courier New" w:hAnsi="Courier New"/>
                <w:sz w:val="15"/>
                <w:szCs w:val="15"/>
                <w:color w:val="auto"/>
              </w:rPr>
              <w:t>COMMUNICATION EXPECTATIONS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5360" w:type="dxa"/>
            <w:vAlign w:val="bottom"/>
          </w:tcPr>
          <w:p>
            <w:pPr>
              <w:ind w:left="500"/>
              <w:spacing w:after="0"/>
              <w:rPr>
                <w:sz w:val="20"/>
                <w:szCs w:val="20"/>
                <w:color w:val="auto"/>
              </w:rPr>
            </w:pPr>
            <w:r>
              <w:rPr>
                <w:rFonts w:ascii="Courier New" w:cs="Courier New" w:eastAsia="Courier New" w:hAnsi="Courier New"/>
                <w:sz w:val="15"/>
                <w:szCs w:val="15"/>
                <w:color w:val="auto"/>
              </w:rPr>
              <w:t>PRODUCT CHANGES REQUIRING HP APPROVAL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7.2</w:t>
            </w:r>
          </w:p>
        </w:tc>
        <w:tc>
          <w:tcPr>
            <w:tcW w:w="5360" w:type="dxa"/>
            <w:vAlign w:val="bottom"/>
          </w:tcPr>
          <w:p>
            <w:pPr>
              <w:ind w:left="500"/>
              <w:spacing w:after="0"/>
              <w:rPr>
                <w:sz w:val="20"/>
                <w:szCs w:val="20"/>
                <w:color w:val="auto"/>
              </w:rPr>
            </w:pPr>
            <w:r>
              <w:rPr>
                <w:rFonts w:ascii="Courier New" w:cs="Courier New" w:eastAsia="Courier New" w:hAnsi="Courier New"/>
                <w:sz w:val="15"/>
                <w:szCs w:val="15"/>
                <w:color w:val="auto"/>
              </w:rPr>
              <w:t>PROCESS CHANGES REQUIRING HP APPROVAL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5360" w:type="dxa"/>
            <w:vAlign w:val="bottom"/>
          </w:tcPr>
          <w:p>
            <w:pPr>
              <w:ind w:left="500"/>
              <w:spacing w:after="0"/>
              <w:rPr>
                <w:sz w:val="20"/>
                <w:szCs w:val="20"/>
                <w:color w:val="auto"/>
              </w:rPr>
            </w:pPr>
            <w:r>
              <w:rPr>
                <w:rFonts w:ascii="Courier New" w:cs="Courier New" w:eastAsia="Courier New" w:hAnsi="Courier New"/>
                <w:sz w:val="15"/>
                <w:szCs w:val="15"/>
                <w:color w:val="auto"/>
              </w:rPr>
              <w:t>SHIPMENT HOLD NOTIFICATION</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5360" w:type="dxa"/>
            <w:vAlign w:val="bottom"/>
          </w:tcPr>
          <w:p>
            <w:pPr>
              <w:ind w:left="500"/>
              <w:spacing w:after="0"/>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8.0</w:t>
            </w:r>
          </w:p>
        </w:tc>
        <w:tc>
          <w:tcPr>
            <w:tcW w:w="5360" w:type="dxa"/>
            <w:vAlign w:val="bottom"/>
          </w:tcPr>
          <w:p>
            <w:pPr>
              <w:jc w:val="right"/>
              <w:ind w:right="2864"/>
              <w:spacing w:after="0"/>
              <w:rPr>
                <w:sz w:val="20"/>
                <w:szCs w:val="20"/>
                <w:color w:val="auto"/>
              </w:rPr>
            </w:pPr>
            <w:r>
              <w:rPr>
                <w:rFonts w:ascii="Courier New" w:cs="Courier New" w:eastAsia="Courier New" w:hAnsi="Courier New"/>
                <w:sz w:val="15"/>
                <w:szCs w:val="15"/>
                <w:color w:val="auto"/>
              </w:rPr>
              <w:t>SUPPLIER QUALITY SYSTEM</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643"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purpose of this Quality/Reliability Requirements Document is to establish an understanding and agreement between Hewlett-Packard (HP) and the Supplier with regard to quality and reliability expectations and responsibilities. The terms Supplier and Seller are used interchangeably in this Quality/Reliability Requirements Document.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It is HP's objective to receive product of the [ * ]. The product must consistently [ * ] the requirements of this document and the individual specifications applicable to each Product. It is HP's expectation that Brocade shall strive to ship defect-free, fully tested product as measured at the first operational test at HP. Repaired units are subject to the same product specifications as when originally shipped.</w:t>
      </w:r>
    </w:p>
    <w:p>
      <w:pPr>
        <w:spacing w:after="0" w:line="178"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HP's objective is to work in close cooperation with Brocade to resolve any quality issue and expects Brocade to work diligently to resolve any quality issue.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DEFECTIVE PRODUCT: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HP shall inform Brocade of any units or lots that fail, and provide Brocade with yield percentages. Defective units or lots will be shipped to Brocade's facility as instructed by Brocade. Brocade shall test and verify all failed units, and provide the data of failure symptoms observed or NTF (No Trouble Found), on all units returned from HP worldwide manufacturing sites.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620" w:hanging="172"/>
        <w:spacing w:after="0"/>
        <w:tabs>
          <w:tab w:leader="none" w:pos="62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080" w:hanging="178"/>
        <w:spacing w:after="0"/>
        <w:tabs>
          <w:tab w:leader="none" w:pos="1080"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0" w:hanging="178"/>
        <w:spacing w:after="0"/>
        <w:tabs>
          <w:tab w:leader="none" w:pos="1080"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1080" w:hanging="178"/>
        <w:spacing w:after="0"/>
        <w:tabs>
          <w:tab w:leader="none" w:pos="108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0" w:hanging="178"/>
        <w:spacing w:after="0"/>
        <w:tabs>
          <w:tab w:leader="none" w:pos="108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1080" w:hanging="178"/>
        <w:spacing w:after="0"/>
        <w:tabs>
          <w:tab w:leader="none" w:pos="1080"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0" w:hanging="178"/>
        <w:spacing w:after="0"/>
        <w:tabs>
          <w:tab w:leader="none" w:pos="1080" w:val="left"/>
        </w:tabs>
        <w:numPr>
          <w:ilvl w:val="1"/>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19"/>
          </w:cols>
          <w:pgMar w:left="240" w:top="643" w:right="1440" w:bottom="1440" w:gutter="0" w:footer="0" w:header="0"/>
        </w:sectPr>
      </w:pPr>
    </w:p>
    <w:bookmarkStart w:id="274" w:name="page275"/>
    <w:bookmarkEnd w:id="274"/>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1087" w:hanging="178"/>
        <w:spacing w:after="0"/>
        <w:tabs>
          <w:tab w:leader="none" w:pos="1087"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1087" w:hanging="178"/>
        <w:spacing w:after="0"/>
        <w:tabs>
          <w:tab w:leader="none" w:pos="1087"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627" w:hanging="172"/>
        <w:spacing w:after="0"/>
        <w:tabs>
          <w:tab w:leader="none" w:pos="627"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627" w:hanging="172"/>
        <w:spacing w:after="0"/>
        <w:tabs>
          <w:tab w:leader="none" w:pos="627"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087" w:hanging="178"/>
        <w:spacing w:after="0"/>
        <w:tabs>
          <w:tab w:leader="none" w:pos="1087"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087" w:hanging="178"/>
        <w:spacing w:after="0"/>
        <w:tabs>
          <w:tab w:leader="none" w:pos="1087"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87" w:hanging="187"/>
        <w:spacing w:after="0"/>
        <w:tabs>
          <w:tab w:leader="none" w:pos="187"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TEST PROCESS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p>
      <w:pPr>
        <w:jc w:val="both"/>
        <w:ind w:left="447" w:right="3499"/>
        <w:spacing w:after="0" w:line="247" w:lineRule="auto"/>
        <w:rPr>
          <w:sz w:val="20"/>
          <w:szCs w:val="20"/>
          <w:color w:val="auto"/>
        </w:rPr>
      </w:pPr>
      <w:r>
        <w:rPr>
          <w:rFonts w:ascii="Courier New" w:cs="Courier New" w:eastAsia="Courier New" w:hAnsi="Courier New"/>
          <w:sz w:val="15"/>
          <w:szCs w:val="15"/>
          <w:color w:val="auto"/>
        </w:rPr>
        <w:t>First production shipment to HP will be [ * ] at [ * ] listed in HP's Configuration Specification for the 3800 switch. The [ * ] [ * ] will include a review of the following items:</w:t>
      </w:r>
    </w:p>
    <w:p>
      <w:pPr>
        <w:spacing w:after="0" w:line="174" w:lineRule="exact"/>
        <w:rPr>
          <w:sz w:val="20"/>
          <w:szCs w:val="20"/>
          <w:color w:val="auto"/>
        </w:rPr>
      </w:pPr>
    </w:p>
    <w:p>
      <w:pPr>
        <w:ind w:left="1367" w:hanging="458"/>
        <w:spacing w:after="0"/>
        <w:tabs>
          <w:tab w:leader="none" w:pos="1367"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(check for damage during shipment)</w:t>
      </w:r>
    </w:p>
    <w:p>
      <w:pPr>
        <w:spacing w:after="0" w:line="179" w:lineRule="exact"/>
        <w:rPr>
          <w:rFonts w:ascii="Courier New" w:cs="Courier New" w:eastAsia="Courier New" w:hAnsi="Courier New"/>
          <w:sz w:val="15"/>
          <w:szCs w:val="15"/>
          <w:color w:val="auto"/>
        </w:rPr>
      </w:pPr>
    </w:p>
    <w:p>
      <w:pPr>
        <w:ind w:left="1367" w:hanging="458"/>
        <w:spacing w:after="0"/>
        <w:tabs>
          <w:tab w:leader="none" w:pos="1367"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(labeling of product and package)</w:t>
      </w:r>
    </w:p>
    <w:p>
      <w:pPr>
        <w:spacing w:after="0" w:line="179" w:lineRule="exact"/>
        <w:rPr>
          <w:rFonts w:ascii="Courier New" w:cs="Courier New" w:eastAsia="Courier New" w:hAnsi="Courier New"/>
          <w:sz w:val="15"/>
          <w:szCs w:val="15"/>
          <w:color w:val="auto"/>
        </w:rPr>
      </w:pPr>
    </w:p>
    <w:p>
      <w:pPr>
        <w:ind w:left="1367" w:hanging="458"/>
        <w:spacing w:after="0"/>
        <w:tabs>
          <w:tab w:leader="none" w:pos="1367"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 (proper components in the package)</w:t>
      </w:r>
    </w:p>
    <w:p>
      <w:pPr>
        <w:spacing w:after="0" w:line="179" w:lineRule="exact"/>
        <w:rPr>
          <w:rFonts w:ascii="Courier New" w:cs="Courier New" w:eastAsia="Courier New" w:hAnsi="Courier New"/>
          <w:sz w:val="15"/>
          <w:szCs w:val="15"/>
          <w:color w:val="auto"/>
        </w:rPr>
      </w:pPr>
    </w:p>
    <w:p>
      <w:pPr>
        <w:ind w:left="7" w:right="3859" w:firstLine="902"/>
        <w:spacing w:after="0" w:line="493" w:lineRule="auto"/>
        <w:tabs>
          <w:tab w:leader="none" w:pos="137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Configuration (correct revisions, jumper settings, etc) HP INCOMING [ * ]</w:t>
      </w:r>
    </w:p>
    <w:p>
      <w:pPr>
        <w:spacing w:after="0" w:line="1" w:lineRule="exact"/>
        <w:rPr>
          <w:sz w:val="20"/>
          <w:szCs w:val="20"/>
          <w:color w:val="auto"/>
        </w:rPr>
      </w:pPr>
    </w:p>
    <w:p>
      <w:pPr>
        <w:ind w:left="447" w:right="3039"/>
        <w:spacing w:after="0" w:line="246" w:lineRule="auto"/>
        <w:rPr>
          <w:sz w:val="20"/>
          <w:szCs w:val="20"/>
          <w:color w:val="auto"/>
        </w:rPr>
      </w:pPr>
      <w:r>
        <w:rPr>
          <w:rFonts w:ascii="Courier New" w:cs="Courier New" w:eastAsia="Courier New" w:hAnsi="Courier New"/>
          <w:sz w:val="15"/>
          <w:szCs w:val="15"/>
          <w:color w:val="auto"/>
        </w:rPr>
        <w:t>Brocade's process control must be demonstrated through a [ * ] of all new product. HP shall [ * ] [ * ]units received from Brocade. If there are any functional failures or cosmetic failures HP has the right to [ * ] Brocade's [ * ].</w:t>
      </w:r>
    </w:p>
    <w:p>
      <w:pPr>
        <w:spacing w:after="0" w:line="352" w:lineRule="exact"/>
        <w:rPr>
          <w:sz w:val="20"/>
          <w:szCs w:val="20"/>
          <w:color w:val="auto"/>
        </w:rPr>
      </w:pPr>
    </w:p>
    <w:p>
      <w:pPr>
        <w:ind w:left="447" w:right="2959" w:hanging="447"/>
        <w:spacing w:after="0" w:line="247" w:lineRule="auto"/>
        <w:tabs>
          <w:tab w:leader="none" w:pos="447"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75" w:name="page276"/>
    <w:bookmarkEnd w:id="275"/>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1087" w:hanging="178"/>
        <w:spacing w:after="0"/>
        <w:tabs>
          <w:tab w:leader="none" w:pos="1087"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All failures require a [ * ] report completed by Brocade within [ * ] after notification. If Brocade needs the defective unit to determine the root cause, then Brocade shall complete a [ * ] report within [ * ] after receipt of the defective unit(s). The report shall contain detailed explanation of the root cause and [ * ] performed. HP shall verify the report during the [ * ]</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DOCK-TO-STOCK</w:t>
      </w:r>
    </w:p>
    <w:p>
      <w:pPr>
        <w:spacing w:after="0" w:line="180"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The 3800 switch will move to Dock-To-Stock status after successful completion of [ * ] as listed in Section 3.2. Upon successful completion of</w:t>
      </w:r>
    </w:p>
    <w:p>
      <w:pPr>
        <w:spacing w:after="0" w:line="1" w:lineRule="exact"/>
        <w:rPr>
          <w:sz w:val="20"/>
          <w:szCs w:val="20"/>
          <w:color w:val="auto"/>
        </w:rPr>
      </w:pPr>
    </w:p>
    <w:p>
      <w:pPr>
        <w:ind w:left="447" w:right="3419" w:firstLine="8"/>
        <w:spacing w:after="0" w:line="247" w:lineRule="auto"/>
        <w:tabs>
          <w:tab w:leader="none" w:pos="629"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and [ * ] subsequent shipments will not be inspected as they are received by HP-NSSO.</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OOBA INSPECTION</w:t>
      </w:r>
    </w:p>
    <w:p>
      <w:pPr>
        <w:spacing w:after="0" w:line="180" w:lineRule="exact"/>
        <w:rPr>
          <w:sz w:val="20"/>
          <w:szCs w:val="20"/>
          <w:color w:val="auto"/>
        </w:rPr>
      </w:pPr>
    </w:p>
    <w:p>
      <w:pPr>
        <w:ind w:left="447" w:right="2959"/>
        <w:spacing w:after="0" w:line="247" w:lineRule="auto"/>
        <w:rPr>
          <w:sz w:val="20"/>
          <w:szCs w:val="20"/>
          <w:color w:val="auto"/>
        </w:rPr>
      </w:pPr>
      <w:r>
        <w:rPr>
          <w:rFonts w:ascii="Courier New" w:cs="Courier New" w:eastAsia="Courier New" w:hAnsi="Courier New"/>
          <w:sz w:val="15"/>
          <w:szCs w:val="15"/>
          <w:color w:val="auto"/>
        </w:rPr>
        <w:t>OOBA is performed after a [ * ] Final Inspection at Brocade's manufacturing line. The focus of OOBA is to screen for failures, rectify any lots with problems, and implement [ * ] based on the observed failures.</w:t>
      </w:r>
    </w:p>
    <w:p>
      <w:pPr>
        <w:spacing w:after="0" w:line="174" w:lineRule="exact"/>
        <w:rPr>
          <w:sz w:val="20"/>
          <w:szCs w:val="20"/>
          <w:color w:val="auto"/>
        </w:rPr>
      </w:pPr>
    </w:p>
    <w:p>
      <w:pPr>
        <w:jc w:val="both"/>
        <w:ind w:left="447" w:right="3139"/>
        <w:spacing w:after="0" w:line="247" w:lineRule="auto"/>
        <w:rPr>
          <w:sz w:val="20"/>
          <w:szCs w:val="20"/>
          <w:color w:val="auto"/>
        </w:rPr>
      </w:pPr>
      <w:r>
        <w:rPr>
          <w:rFonts w:ascii="Courier New" w:cs="Courier New" w:eastAsia="Courier New" w:hAnsi="Courier New"/>
          <w:sz w:val="15"/>
          <w:szCs w:val="15"/>
          <w:color w:val="auto"/>
        </w:rPr>
        <w:t>The In-Process Acceptance Limit has been established and specified in the following chart. The In-Process Lot Sample Inspection shall be used when determining the Q1 score for the TQRDC/E review.</w:t>
      </w:r>
    </w:p>
    <w:p>
      <w:pPr>
        <w:sectPr>
          <w:pgSz w:w="11900" w:h="16838" w:orient="portrait"/>
          <w:cols w:equalWidth="0" w:num="1">
            <w:col w:w="10226"/>
          </w:cols>
          <w:pgMar w:left="233" w:top="4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PART DESCRIPTION</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DPM</w:t>
      </w:r>
    </w:p>
    <w:p>
      <w:pPr>
        <w:spacing w:after="0" w:line="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UPPER LIMIT</w:t>
      </w:r>
    </w:p>
    <w:p>
      <w:pPr>
        <w:spacing w:after="0" w:line="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2287" w:space="720"/>
            <w:col w:w="1540" w:space="720"/>
            <w:col w:w="4959"/>
          </w:cols>
          <w:pgMar w:left="233" w:top="468" w:right="1440" w:bottom="1440" w:gutter="0" w:footer="0" w:header="0"/>
          <w:type w:val="continuous"/>
        </w:sectPr>
      </w:pPr>
    </w:p>
    <w:p>
      <w:pPr>
        <w:ind w:left="827"/>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jc w:val="center"/>
        <w:ind w:right="1100"/>
        <w:spacing w:after="0"/>
        <w:rPr>
          <w:sz w:val="20"/>
          <w:szCs w:val="20"/>
          <w:color w:val="auto"/>
        </w:rPr>
      </w:pPr>
      <w:r>
        <w:rPr>
          <w:rFonts w:ascii="Courier New" w:cs="Courier New" w:eastAsia="Courier New" w:hAnsi="Courier New"/>
          <w:sz w:val="15"/>
          <w:szCs w:val="15"/>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ectPr>
          <w:pgSz w:w="11900" w:h="16838" w:orient="portrait"/>
          <w:cols w:equalWidth="0" w:num="3">
            <w:col w:w="2547" w:space="720"/>
            <w:col w:w="1560" w:space="720"/>
            <w:col w:w="4679"/>
          </w:cols>
          <w:pgMar w:left="233" w:top="468" w:right="1440" w:bottom="1440" w:gutter="0" w:footer="0" w:header="0"/>
          <w:type w:val="continuous"/>
        </w:sectPr>
      </w:pPr>
    </w:p>
    <w:p>
      <w:pPr>
        <w:spacing w:after="0" w:line="154" w:lineRule="exact"/>
        <w:rPr>
          <w:sz w:val="20"/>
          <w:szCs w:val="20"/>
          <w:color w:val="auto"/>
        </w:rPr>
      </w:pPr>
    </w:p>
    <w:p>
      <w:pPr>
        <w:ind w:left="447" w:right="3139"/>
        <w:spacing w:after="0" w:line="247" w:lineRule="auto"/>
        <w:rPr>
          <w:sz w:val="20"/>
          <w:szCs w:val="20"/>
          <w:color w:val="auto"/>
        </w:rPr>
      </w:pPr>
      <w:r>
        <w:rPr>
          <w:rFonts w:ascii="Courier New" w:cs="Courier New" w:eastAsia="Courier New" w:hAnsi="Courier New"/>
          <w:sz w:val="15"/>
          <w:szCs w:val="15"/>
          <w:color w:val="auto"/>
        </w:rPr>
        <w:t>If the DPM goal is not met, Brocade will provide [ * ] and [ * ]the manufacturing process (and/or contract supplier process if necessary) and hold [ * ] until [ * ] the stated goal.</w:t>
      </w:r>
    </w:p>
    <w:p>
      <w:pPr>
        <w:spacing w:after="0" w:line="349" w:lineRule="exact"/>
        <w:rPr>
          <w:sz w:val="20"/>
          <w:szCs w:val="20"/>
          <w:color w:val="auto"/>
        </w:rPr>
      </w:pPr>
    </w:p>
    <w:p>
      <w:pPr>
        <w:ind w:left="447" w:right="2959" w:hanging="447"/>
        <w:spacing w:after="0" w:line="247" w:lineRule="auto"/>
        <w:tabs>
          <w:tab w:leader="none" w:pos="447"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type w:val="continuous"/>
        </w:sectPr>
      </w:pPr>
    </w:p>
    <w:bookmarkStart w:id="276" w:name="page277"/>
    <w:bookmarkEnd w:id="276"/>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1087" w:hanging="178"/>
        <w:spacing w:after="0"/>
        <w:tabs>
          <w:tab w:leader="none" w:pos="1087"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FIELD QUALITY / RELIABILITY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AFR (ANNUAL FAILURE RATE)</w:t>
      </w:r>
    </w:p>
    <w:p>
      <w:pPr>
        <w:spacing w:after="0" w:line="180" w:lineRule="exact"/>
        <w:rPr>
          <w:sz w:val="20"/>
          <w:szCs w:val="20"/>
          <w:color w:val="auto"/>
        </w:rPr>
      </w:pPr>
    </w:p>
    <w:p>
      <w:pPr>
        <w:ind w:left="447" w:right="3219"/>
        <w:spacing w:after="0" w:line="247" w:lineRule="auto"/>
        <w:rPr>
          <w:sz w:val="20"/>
          <w:szCs w:val="20"/>
          <w:color w:val="auto"/>
        </w:rPr>
      </w:pPr>
      <w:r>
        <w:rPr>
          <w:rFonts w:ascii="Courier New" w:cs="Courier New" w:eastAsia="Courier New" w:hAnsi="Courier New"/>
          <w:sz w:val="15"/>
          <w:szCs w:val="15"/>
          <w:color w:val="auto"/>
        </w:rPr>
        <w:t>AFR is calculated as number of verified failures per annual installed based. The Field Failure Rate (AFR) Limit shall be used when determining the Q2 score for the TQRDC/E review.</w:t>
      </w:r>
    </w:p>
    <w:p>
      <w:pPr>
        <w:sectPr>
          <w:pgSz w:w="11900" w:h="16838" w:orient="portrait"/>
          <w:cols w:equalWidth="0" w:num="1">
            <w:col w:w="10226"/>
          </w:cols>
          <w:pgMar w:left="233" w:top="4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 DESCRIPTION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REPLACEMENT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PART NUMBER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FIELD FAILURE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(AFR) LIMIT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2287" w:space="720"/>
            <w:col w:w="1640" w:space="720"/>
            <w:col w:w="4859"/>
          </w:cols>
          <w:pgMar w:left="233" w:top="468" w:right="1440" w:bottom="1440" w:gutter="0" w:footer="0" w:header="0"/>
          <w:type w:val="continuous"/>
        </w:sectPr>
      </w:pPr>
    </w:p>
    <w:p>
      <w:pPr>
        <w:ind w:left="447"/>
        <w:spacing w:after="0"/>
        <w:rPr>
          <w:sz w:val="20"/>
          <w:szCs w:val="20"/>
          <w:color w:val="auto"/>
        </w:rPr>
      </w:pPr>
      <w:r>
        <w:rPr>
          <w:rFonts w:ascii="Courier New" w:cs="Courier New" w:eastAsia="Courier New" w:hAnsi="Courier New"/>
          <w:sz w:val="15"/>
          <w:szCs w:val="15"/>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ectPr>
          <w:pgSz w:w="11900" w:h="16838" w:orient="portrait"/>
          <w:cols w:equalWidth="0" w:num="3">
            <w:col w:w="2647" w:space="720"/>
            <w:col w:w="1820" w:space="720"/>
            <w:col w:w="4319"/>
          </w:cols>
          <w:pgMar w:left="233" w:top="468" w:right="1440" w:bottom="1440" w:gutter="0" w:footer="0" w:header="0"/>
          <w:type w:val="continuous"/>
        </w:sectPr>
      </w:pPr>
    </w:p>
    <w:p>
      <w:pPr>
        <w:spacing w:after="0" w:line="154" w:lineRule="exact"/>
        <w:rPr>
          <w:sz w:val="20"/>
          <w:szCs w:val="20"/>
          <w:color w:val="auto"/>
        </w:rPr>
      </w:pPr>
    </w:p>
    <w:p>
      <w:pPr>
        <w:ind w:left="907"/>
        <w:spacing w:after="0"/>
        <w:tabs>
          <w:tab w:leader="none" w:pos="1346" w:val="left"/>
        </w:tabs>
        <w:rPr>
          <w:sz w:val="20"/>
          <w:szCs w:val="20"/>
          <w:color w:val="auto"/>
        </w:rPr>
      </w:pPr>
      <w:r>
        <w:rPr>
          <w:rFonts w:ascii="Courier New" w:cs="Courier New" w:eastAsia="Courier New" w:hAnsi="Courier New"/>
          <w:sz w:val="15"/>
          <w:szCs w:val="15"/>
          <w:color w:val="auto"/>
        </w:rPr>
        <w:t>AFR</w:t>
        <w:tab/>
        <w:t>limit does not include [ *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FAILURE ANALYSIS EXPECTATIONS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Supplier shall test and verify all unit failures returned by HP worldwide manufacturing organizations, HP field and failures found at Brocade's manufacturing line. Brocade shall promptly institute the [ * ] report and [ * ] that may be required to prevent any further rejects for such cause.</w:t>
      </w:r>
    </w:p>
    <w:p>
      <w:pPr>
        <w:spacing w:after="0" w:line="352" w:lineRule="exact"/>
        <w:rPr>
          <w:sz w:val="20"/>
          <w:szCs w:val="20"/>
          <w:color w:val="auto"/>
        </w:rPr>
      </w:pPr>
    </w:p>
    <w:p>
      <w:pPr>
        <w:ind w:left="447" w:right="2959" w:hanging="447"/>
        <w:spacing w:after="0" w:line="247" w:lineRule="auto"/>
        <w:tabs>
          <w:tab w:leader="none" w:pos="447"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type w:val="continuous"/>
        </w:sectPr>
      </w:pPr>
    </w:p>
    <w:bookmarkStart w:id="277" w:name="page278"/>
    <w:bookmarkEnd w:id="277"/>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7" w:right="2959" w:hanging="7"/>
        <w:spacing w:after="0" w:line="246" w:lineRule="auto"/>
        <w:tabs>
          <w:tab w:leader="none" w:pos="189"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first evaluation shall be completed to the component level within [ * ] after receipt of the unit at Brocade. If problem cannot be detected with typical diagnostic tests and burn-in/stress testing is required, then an evaluation report will be sent within [ * ] of receipt of unit. Complete [ * ] report will be completed in [ * ] and sent to HP's Material Engineer.</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QUALITY DATA EXPECTATIONS</w:t>
      </w:r>
    </w:p>
    <w:p>
      <w:pPr>
        <w:spacing w:after="0" w:line="18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Brocade's quality data shall include, but not be limited to, [ * ] and [ * ] regarding failures.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HP'S RESPONSIBILITY</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HP shall inform Brocade of In-Process Failures that occur at [ * ] on a</w:t>
      </w:r>
    </w:p>
    <w:p>
      <w:pPr>
        <w:spacing w:after="0" w:line="5" w:lineRule="exact"/>
        <w:rPr>
          <w:sz w:val="20"/>
          <w:szCs w:val="20"/>
          <w:color w:val="auto"/>
        </w:rPr>
      </w:pPr>
    </w:p>
    <w:p>
      <w:pPr>
        <w:ind w:left="627" w:hanging="172"/>
        <w:spacing w:after="0"/>
        <w:tabs>
          <w:tab w:leader="none" w:pos="627"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basis.</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SUPPLIER'S RESPONSIBILITY</w:t>
      </w:r>
    </w:p>
    <w:p>
      <w:pPr>
        <w:spacing w:after="0" w:line="179" w:lineRule="exact"/>
        <w:rPr>
          <w:rFonts w:ascii="Courier New" w:cs="Courier New" w:eastAsia="Courier New" w:hAnsi="Courier New"/>
          <w:sz w:val="15"/>
          <w:szCs w:val="15"/>
          <w:color w:val="auto"/>
        </w:rPr>
      </w:pPr>
    </w:p>
    <w:p>
      <w:pPr>
        <w:ind w:left="627" w:hanging="172"/>
        <w:spacing w:after="0"/>
        <w:tabs>
          <w:tab w:leader="none" w:pos="627"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REPORTS</w:t>
      </w:r>
    </w:p>
    <w:p>
      <w:pPr>
        <w:spacing w:after="0" w:line="180" w:lineRule="exact"/>
        <w:rPr>
          <w:sz w:val="20"/>
          <w:szCs w:val="20"/>
          <w:color w:val="auto"/>
        </w:rPr>
      </w:pPr>
    </w:p>
    <w:p>
      <w:pPr>
        <w:ind w:left="447" w:right="2959"/>
        <w:spacing w:after="0" w:line="247" w:lineRule="auto"/>
        <w:rPr>
          <w:sz w:val="20"/>
          <w:szCs w:val="20"/>
          <w:color w:val="auto"/>
        </w:rPr>
      </w:pPr>
      <w:r>
        <w:rPr>
          <w:rFonts w:ascii="Courier New" w:cs="Courier New" w:eastAsia="Courier New" w:hAnsi="Courier New"/>
          <w:sz w:val="15"/>
          <w:szCs w:val="15"/>
          <w:color w:val="auto"/>
        </w:rPr>
        <w:t>Supplier shall provide the following reports to HP-NSSO's OEM Engineer on a [ * ]basis:</w:t>
      </w:r>
    </w:p>
    <w:p>
      <w:pPr>
        <w:spacing w:after="0" w:line="175" w:lineRule="exact"/>
        <w:rPr>
          <w:sz w:val="20"/>
          <w:szCs w:val="20"/>
          <w:color w:val="auto"/>
        </w:rPr>
      </w:pPr>
    </w:p>
    <w:p>
      <w:pPr>
        <w:ind w:left="447" w:right="3419" w:firstLine="8"/>
        <w:spacing w:after="0" w:line="493" w:lineRule="auto"/>
        <w:tabs>
          <w:tab w:leader="none" w:pos="901"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of all reports contained in following [ * ] report section. [ * ] REPORTS</w:t>
      </w:r>
    </w:p>
    <w:p>
      <w:pPr>
        <w:spacing w:after="0" w:line="1" w:lineRule="exact"/>
        <w:rPr>
          <w:sz w:val="20"/>
          <w:szCs w:val="20"/>
          <w:color w:val="auto"/>
        </w:rPr>
      </w:pPr>
    </w:p>
    <w:p>
      <w:pPr>
        <w:ind w:left="447" w:right="3139"/>
        <w:spacing w:after="0" w:line="247" w:lineRule="auto"/>
        <w:rPr>
          <w:sz w:val="20"/>
          <w:szCs w:val="20"/>
          <w:color w:val="auto"/>
        </w:rPr>
      </w:pPr>
      <w:r>
        <w:rPr>
          <w:rFonts w:ascii="Courier New" w:cs="Courier New" w:eastAsia="Courier New" w:hAnsi="Courier New"/>
          <w:sz w:val="15"/>
          <w:szCs w:val="15"/>
          <w:color w:val="auto"/>
        </w:rPr>
        <w:t>Brocade shall provide the following reports to HP-NSSO's Mass Storage OEM Engineers on a monthly basis:</w:t>
      </w:r>
    </w:p>
    <w:p>
      <w:pPr>
        <w:spacing w:after="0" w:line="175" w:lineRule="exact"/>
        <w:rPr>
          <w:sz w:val="20"/>
          <w:szCs w:val="20"/>
          <w:color w:val="auto"/>
        </w:rPr>
      </w:pPr>
    </w:p>
    <w:p>
      <w:pPr>
        <w:ind w:left="627" w:hanging="172"/>
        <w:spacing w:after="0"/>
        <w:tabs>
          <w:tab w:leader="none" w:pos="62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7" w:hanging="172"/>
        <w:spacing w:after="0"/>
        <w:tabs>
          <w:tab w:leader="none" w:pos="62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7" w:hanging="172"/>
        <w:spacing w:after="0"/>
        <w:tabs>
          <w:tab w:leader="none" w:pos="62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7" w:hanging="172"/>
        <w:spacing w:after="0"/>
        <w:tabs>
          <w:tab w:leader="none" w:pos="62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7" w:hanging="172"/>
        <w:spacing w:after="0"/>
        <w:tabs>
          <w:tab w:leader="none" w:pos="62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7" w:hanging="172"/>
        <w:spacing w:after="0"/>
        <w:tabs>
          <w:tab w:leader="none" w:pos="62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87" w:hanging="178"/>
        <w:spacing w:after="0"/>
        <w:tabs>
          <w:tab w:leader="none" w:pos="1087"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17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78" w:name="page279"/>
    <w:bookmarkEnd w:id="278"/>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OTHER REPORTS</w:t>
      </w:r>
    </w:p>
    <w:p>
      <w:pPr>
        <w:spacing w:after="0" w:line="180" w:lineRule="exact"/>
        <w:rPr>
          <w:sz w:val="20"/>
          <w:szCs w:val="20"/>
          <w:color w:val="auto"/>
        </w:rPr>
      </w:pPr>
    </w:p>
    <w:p>
      <w:pPr>
        <w:ind w:left="447" w:right="3419"/>
        <w:spacing w:after="0" w:line="247" w:lineRule="auto"/>
        <w:rPr>
          <w:sz w:val="20"/>
          <w:szCs w:val="20"/>
          <w:color w:val="auto"/>
        </w:rPr>
      </w:pPr>
      <w:r>
        <w:rPr>
          <w:rFonts w:ascii="Courier New" w:cs="Courier New" w:eastAsia="Courier New" w:hAnsi="Courier New"/>
          <w:sz w:val="15"/>
          <w:szCs w:val="15"/>
          <w:color w:val="auto"/>
        </w:rPr>
        <w:t>Brocade shall provide the following additional information to the HP's Material Engineer.</w:t>
      </w:r>
    </w:p>
    <w:p>
      <w:pPr>
        <w:spacing w:after="0" w:line="175" w:lineRule="exact"/>
        <w:rPr>
          <w:sz w:val="20"/>
          <w:szCs w:val="20"/>
          <w:color w:val="auto"/>
        </w:rPr>
      </w:pPr>
    </w:p>
    <w:p>
      <w:pPr>
        <w:ind w:left="907" w:hanging="452"/>
        <w:spacing w:after="0"/>
        <w:tabs>
          <w:tab w:leader="none" w:pos="907"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upon completion.</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EXPECTATIONS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  PRODUCT CHANGES REQUIRING HP APPROVAL</w:t>
      </w:r>
    </w:p>
    <w:p>
      <w:pPr>
        <w:spacing w:after="0" w:line="180" w:lineRule="exact"/>
        <w:rPr>
          <w:sz w:val="20"/>
          <w:szCs w:val="20"/>
          <w:color w:val="auto"/>
        </w:rPr>
      </w:pPr>
    </w:p>
    <w:p>
      <w:pPr>
        <w:ind w:left="447" w:right="3139"/>
        <w:spacing w:after="0" w:line="246" w:lineRule="auto"/>
        <w:rPr>
          <w:sz w:val="20"/>
          <w:szCs w:val="20"/>
          <w:color w:val="auto"/>
        </w:rPr>
      </w:pPr>
      <w:r>
        <w:rPr>
          <w:rFonts w:ascii="Courier New" w:cs="Courier New" w:eastAsia="Courier New" w:hAnsi="Courier New"/>
          <w:sz w:val="15"/>
          <w:szCs w:val="15"/>
          <w:color w:val="auto"/>
        </w:rPr>
        <w:t>The evaluation period for changes is covered in the HP/Brocade Purchase Agreement. The intent is to allow HP [ * ] to review the proposed change and supplier [ * ] and to perform [ * ], if necessary. Brocade must [ * ]</w:t>
      </w:r>
    </w:p>
    <w:p>
      <w:pPr>
        <w:spacing w:after="0" w:line="2" w:lineRule="exact"/>
        <w:rPr>
          <w:sz w:val="20"/>
          <w:szCs w:val="20"/>
          <w:color w:val="auto"/>
        </w:rPr>
      </w:pPr>
    </w:p>
    <w:p>
      <w:pPr>
        <w:jc w:val="both"/>
        <w:ind w:left="447" w:right="3219" w:firstLine="8"/>
        <w:spacing w:after="0" w:line="246" w:lineRule="auto"/>
        <w:tabs>
          <w:tab w:leader="none" w:pos="629"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of upcoming changes in order to assure a smooth implementation. Changes must be communicated in writing in the form of an Engineering Change Request (ECR) document and sent to the OEM Engineer. Changes that must be communicated in writing are:</w:t>
      </w:r>
    </w:p>
    <w:p>
      <w:pPr>
        <w:spacing w:after="0" w:line="177" w:lineRule="exact"/>
        <w:rPr>
          <w:sz w:val="20"/>
          <w:szCs w:val="20"/>
          <w:color w:val="auto"/>
        </w:rPr>
      </w:pPr>
    </w:p>
    <w:p>
      <w:pPr>
        <w:ind w:left="907" w:right="8499" w:firstLine="2"/>
        <w:spacing w:after="0" w:line="246" w:lineRule="auto"/>
        <w:tabs>
          <w:tab w:leader="none" w:pos="1270"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1"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447"/>
        <w:spacing w:after="0"/>
        <w:tabs>
          <w:tab w:leader="none" w:pos="886" w:val="left"/>
        </w:tabs>
        <w:rPr>
          <w:sz w:val="20"/>
          <w:szCs w:val="20"/>
          <w:color w:val="auto"/>
        </w:rPr>
      </w:pPr>
      <w:r>
        <w:rPr>
          <w:rFonts w:ascii="Courier New" w:cs="Courier New" w:eastAsia="Courier New" w:hAnsi="Courier New"/>
          <w:sz w:val="15"/>
          <w:szCs w:val="15"/>
          <w:color w:val="auto"/>
        </w:rPr>
        <w:t>7.2</w:t>
        <w:tab/>
        <w:t>PROCESS CHANGES REQUIRING HP APPROVAL</w:t>
      </w:r>
    </w:p>
    <w:p>
      <w:pPr>
        <w:spacing w:after="0" w:line="180" w:lineRule="exact"/>
        <w:rPr>
          <w:sz w:val="20"/>
          <w:szCs w:val="20"/>
          <w:color w:val="auto"/>
        </w:rPr>
      </w:pPr>
    </w:p>
    <w:p>
      <w:pPr>
        <w:ind w:left="827" w:right="3499"/>
        <w:spacing w:after="0" w:line="247" w:lineRule="auto"/>
        <w:rPr>
          <w:sz w:val="20"/>
          <w:szCs w:val="20"/>
          <w:color w:val="auto"/>
        </w:rPr>
      </w:pPr>
      <w:r>
        <w:rPr>
          <w:rFonts w:ascii="Courier New" w:cs="Courier New" w:eastAsia="Courier New" w:hAnsi="Courier New"/>
          <w:sz w:val="15"/>
          <w:szCs w:val="15"/>
          <w:color w:val="auto"/>
        </w:rPr>
        <w:t>Brocade shall notify HP of any major changes to the manufacturing process in writing [ * ] prior to proposed implementation. These include:</w:t>
      </w:r>
    </w:p>
    <w:p>
      <w:pPr>
        <w:spacing w:after="0" w:line="174" w:lineRule="exact"/>
        <w:rPr>
          <w:sz w:val="20"/>
          <w:szCs w:val="20"/>
          <w:color w:val="auto"/>
        </w:rPr>
      </w:pPr>
    </w:p>
    <w:p>
      <w:pPr>
        <w:ind w:left="1087" w:hanging="178"/>
        <w:spacing w:after="0"/>
        <w:tabs>
          <w:tab w:leader="none" w:pos="1087"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087" w:hanging="178"/>
        <w:spacing w:after="0"/>
        <w:tabs>
          <w:tab w:leader="none" w:pos="1087"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spacing w:after="0"/>
        <w:tabs>
          <w:tab w:leader="none" w:pos="886" w:val="left"/>
        </w:tabs>
        <w:rPr>
          <w:sz w:val="20"/>
          <w:szCs w:val="20"/>
          <w:color w:val="auto"/>
        </w:rPr>
      </w:pPr>
      <w:r>
        <w:rPr>
          <w:rFonts w:ascii="Courier New" w:cs="Courier New" w:eastAsia="Courier New" w:hAnsi="Courier New"/>
          <w:sz w:val="15"/>
          <w:szCs w:val="15"/>
          <w:color w:val="auto"/>
        </w:rPr>
        <w:t>7.3</w:t>
        <w:tab/>
        <w:t>SHIPMENT HOLD NOTIFICATION</w:t>
      </w:r>
    </w:p>
    <w:p>
      <w:pPr>
        <w:spacing w:after="0" w:line="180"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Brocade shall notify HP verbally of any line-down or ship hold situations that will adversely affect HP shipments or HP's installed base within [ * ] of such situation occurring. A written analysis of HP's inventory exposure and a recovery plan, if applicable, shall be provided within [ * ] of such situation occurring.</w:t>
      </w:r>
    </w:p>
    <w:p>
      <w:pPr>
        <w:spacing w:after="0" w:line="178" w:lineRule="exact"/>
        <w:rPr>
          <w:sz w:val="20"/>
          <w:szCs w:val="20"/>
          <w:color w:val="auto"/>
        </w:rPr>
      </w:pPr>
    </w:p>
    <w:p>
      <w:pPr>
        <w:ind w:left="447"/>
        <w:spacing w:after="0"/>
        <w:tabs>
          <w:tab w:leader="none" w:pos="886" w:val="left"/>
        </w:tabs>
        <w:rPr>
          <w:sz w:val="20"/>
          <w:szCs w:val="20"/>
          <w:color w:val="auto"/>
        </w:rPr>
      </w:pPr>
      <w:r>
        <w:rPr>
          <w:rFonts w:ascii="Courier New" w:cs="Courier New" w:eastAsia="Courier New" w:hAnsi="Courier New"/>
          <w:sz w:val="15"/>
          <w:szCs w:val="15"/>
          <w:color w:val="auto"/>
        </w:rPr>
        <w:t>7.4</w:t>
        <w:tab/>
        <w:t>[ * ]</w:t>
      </w:r>
    </w:p>
    <w:p>
      <w:pPr>
        <w:spacing w:after="0" w:line="180" w:lineRule="exact"/>
        <w:rPr>
          <w:sz w:val="20"/>
          <w:szCs w:val="20"/>
          <w:color w:val="auto"/>
        </w:rPr>
      </w:pPr>
    </w:p>
    <w:p>
      <w:pPr>
        <w:ind w:left="447" w:right="3139"/>
        <w:spacing w:after="0" w:line="247" w:lineRule="auto"/>
        <w:rPr>
          <w:sz w:val="20"/>
          <w:szCs w:val="20"/>
          <w:color w:val="auto"/>
        </w:rPr>
      </w:pPr>
      <w:r>
        <w:rPr>
          <w:rFonts w:ascii="Courier New" w:cs="Courier New" w:eastAsia="Courier New" w:hAnsi="Courier New"/>
          <w:sz w:val="15"/>
          <w:szCs w:val="15"/>
          <w:color w:val="auto"/>
        </w:rPr>
        <w:t>Brocade will maintain a [ * ] with HP to address all open issues and will [ * ]</w:t>
      </w:r>
    </w:p>
    <w:p>
      <w:pPr>
        <w:spacing w:after="0" w:line="175"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8.0</w:t>
        <w:tab/>
        <w:t>SUPPLIER QUALITY SYSTEM</w:t>
      </w:r>
    </w:p>
    <w:p>
      <w:pPr>
        <w:spacing w:after="0" w:line="354" w:lineRule="exact"/>
        <w:rPr>
          <w:sz w:val="20"/>
          <w:szCs w:val="20"/>
          <w:color w:val="auto"/>
        </w:rPr>
      </w:pPr>
    </w:p>
    <w:p>
      <w:pPr>
        <w:ind w:left="447" w:right="2959" w:hanging="447"/>
        <w:spacing w:after="0" w:line="247" w:lineRule="auto"/>
        <w:tabs>
          <w:tab w:leader="none" w:pos="447"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79" w:name="page280"/>
    <w:bookmarkEnd w:id="279"/>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900" w:hanging="452"/>
        <w:spacing w:after="0"/>
        <w:tabs>
          <w:tab w:leader="none" w:pos="900" w:val="left"/>
        </w:tabs>
        <w:numPr>
          <w:ilvl w:val="1"/>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1"/>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1"/>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5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19"/>
          </w:cols>
          <w:pgMar w:left="240" w:top="468" w:right="1440" w:bottom="1440" w:gutter="0" w:footer="0" w:header="0"/>
        </w:sectPr>
      </w:pPr>
    </w:p>
    <w:bookmarkStart w:id="280" w:name="page281"/>
    <w:bookmarkEnd w:id="280"/>
    <w:p>
      <w:pPr>
        <w:jc w:val="center"/>
        <w:ind w:right="4059"/>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AMENDMENT TWO - EXHIBIT (A-4)</w:t>
      </w:r>
    </w:p>
    <w:p>
      <w:pPr>
        <w:spacing w:after="0" w:line="5"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PACKAGING</w:t>
      </w:r>
    </w:p>
    <w:p>
      <w:pPr>
        <w:spacing w:after="0" w:line="35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9019"/>
          </w:cols>
          <w:pgMar w:left="1440" w:top="643" w:right="1440" w:bottom="1440" w:gutter="0" w:footer="0" w:header="0"/>
        </w:sectPr>
      </w:pPr>
    </w:p>
    <w:bookmarkStart w:id="281" w:name="page282"/>
    <w:bookmarkEnd w:id="281"/>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PARTS LIST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FOAM MATERIAL 2# PLM POLYETHYLENE FOAM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 WHITE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STYLE: CORR/FOAM SNAP CRADLE PACK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 FABRICATED PAD</w:t>
            </w: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SIZE: 2n x</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4 x 4.4375</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QTY: 3 PER</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SET</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 FABRICATED PAD</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SIZE: 2n x</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4 x 4.4375</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QTY: 2 PER</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SET</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 FABRICATED PAD</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SIZE: 2n x</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30625 x 4</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QTY: 4 PER</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SET</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 FABRICATED PAD</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SIZE: 2n x</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2.75 x 4</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QTY: 2 PER</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SET</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 FABRICATED PAD</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SIZE: 25n x 55 x 7.3125</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QTY: 4 PER SET</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 FABRICATED PAD</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SIZE: 2.5n</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x 2.75 x 4</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QTY: 2 PER SET</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 FABRICATED PAD</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SIZE: 2n x 3.1875 x ??</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QTY: 4 PER SET</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 SPDC</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9"/>
              </w:rPr>
              <w:t>MATERIAL: 200# C FLUTE KRAFT</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SIZE: 60 x 22 KNOCKED DOWN</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QTY: 1</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27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 OUTER CARTON (NOT SHOWN)</w:t>
            </w: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50"/>
        </w:trPr>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jc w:val="center"/>
              <w:ind w:right="1324"/>
              <w:spacing w:after="0"/>
              <w:rPr>
                <w:sz w:val="20"/>
                <w:szCs w:val="20"/>
                <w:color w:val="auto"/>
              </w:rPr>
            </w:pPr>
            <w:r>
              <w:rPr>
                <w:rFonts w:ascii="Courier New" w:cs="Courier New" w:eastAsia="Courier New" w:hAnsi="Courier New"/>
                <w:sz w:val="15"/>
                <w:szCs w:val="15"/>
                <w:color w:val="auto"/>
              </w:rPr>
              <w:t>XPEDX</w:t>
            </w:r>
          </w:p>
        </w:tc>
        <w:tc>
          <w:tcPr>
            <w:tcW w:w="196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60" w:type="dxa"/>
            <w:vAlign w:val="bottom"/>
            <w:gridSpan w:val="3"/>
          </w:tcPr>
          <w:p>
            <w:pPr>
              <w:ind w:left="1060"/>
              <w:spacing w:after="0"/>
              <w:rPr>
                <w:sz w:val="20"/>
                <w:szCs w:val="20"/>
                <w:color w:val="auto"/>
              </w:rPr>
            </w:pPr>
            <w:r>
              <w:rPr>
                <w:rFonts w:ascii="Courier New" w:cs="Courier New" w:eastAsia="Courier New" w:hAnsi="Courier New"/>
                <w:sz w:val="15"/>
                <w:szCs w:val="15"/>
                <w:color w:val="auto"/>
              </w:rPr>
              <w:t>31129 WIEGMAN ROAD HAYWARD, CA 95444</w:t>
            </w:r>
          </w:p>
        </w:tc>
        <w:tc>
          <w:tcPr>
            <w:tcW w:w="196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320" w:type="dxa"/>
            <w:vAlign w:val="bottom"/>
            <w:gridSpan w:val="4"/>
          </w:tcPr>
          <w:p>
            <w:pPr>
              <w:jc w:val="center"/>
              <w:ind w:right="784"/>
              <w:spacing w:after="0"/>
              <w:rPr>
                <w:sz w:val="20"/>
                <w:szCs w:val="20"/>
                <w:color w:val="auto"/>
              </w:rPr>
            </w:pPr>
            <w:r>
              <w:rPr>
                <w:rFonts w:ascii="Courier New" w:cs="Courier New" w:eastAsia="Courier New" w:hAnsi="Courier New"/>
                <w:sz w:val="15"/>
                <w:szCs w:val="15"/>
                <w:color w:val="auto"/>
              </w:rPr>
              <w:t>PHONE: 800-468-0204 FAX: (510)-477-6622</w:t>
            </w:r>
          </w:p>
        </w:tc>
      </w:tr>
      <w:tr>
        <w:trPr>
          <w:trHeight w:val="699"/>
        </w:trPr>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QTY. PER</w:t>
            </w:r>
          </w:p>
        </w:tc>
        <w:tc>
          <w:tcPr>
            <w:tcW w:w="1860" w:type="dxa"/>
            <w:vAlign w:val="bottom"/>
          </w:tcPr>
          <w:p>
            <w:pPr>
              <w:spacing w:after="0"/>
              <w:rPr>
                <w:sz w:val="24"/>
                <w:szCs w:val="24"/>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CLIENT:</w:t>
            </w:r>
          </w:p>
        </w:tc>
      </w:tr>
      <w:tr>
        <w:trPr>
          <w:trHeight w:val="175"/>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SET:</w:t>
            </w: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APPROVAL:</w:t>
            </w:r>
          </w:p>
        </w:tc>
        <w:tc>
          <w:tcPr>
            <w:tcW w:w="1860" w:type="dxa"/>
            <w:vAlign w:val="bottom"/>
          </w:tcPr>
          <w:p>
            <w:pPr>
              <w:ind w:left="280"/>
              <w:spacing w:after="0"/>
              <w:rPr>
                <w:sz w:val="20"/>
                <w:szCs w:val="20"/>
                <w:color w:val="auto"/>
              </w:rPr>
            </w:pPr>
            <w:r>
              <w:rPr>
                <w:rFonts w:ascii="Courier New" w:cs="Courier New" w:eastAsia="Courier New" w:hAnsi="Courier New"/>
                <w:sz w:val="15"/>
                <w:szCs w:val="15"/>
                <w:color w:val="auto"/>
              </w:rPr>
              <w:t>DATE:</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w w:val="99"/>
              </w:rPr>
              <w:t>BROCADE COMMUNICATION</w:t>
            </w:r>
          </w:p>
        </w:tc>
      </w:tr>
      <w:tr>
        <w:trPr>
          <w:trHeight w:val="350"/>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TOLERANCE:</w:t>
            </w:r>
          </w:p>
        </w:tc>
        <w:tc>
          <w:tcPr>
            <w:tcW w:w="16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SCALE:</w:t>
            </w:r>
          </w:p>
        </w:tc>
        <w:tc>
          <w:tcPr>
            <w:tcW w:w="1860" w:type="dxa"/>
            <w:vAlign w:val="bottom"/>
          </w:tcPr>
          <w:p>
            <w:pPr>
              <w:ind w:left="280"/>
              <w:spacing w:after="0"/>
              <w:rPr>
                <w:sz w:val="20"/>
                <w:szCs w:val="20"/>
                <w:color w:val="auto"/>
              </w:rPr>
            </w:pPr>
            <w:r>
              <w:rPr>
                <w:rFonts w:ascii="Courier New" w:cs="Courier New" w:eastAsia="Courier New" w:hAnsi="Courier New"/>
                <w:sz w:val="15"/>
                <w:szCs w:val="15"/>
                <w:color w:val="auto"/>
              </w:rPr>
              <w:t>UNITS:</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CUSTOMER:</w:t>
            </w:r>
          </w:p>
        </w:tc>
      </w:tr>
      <w:tr>
        <w:trPr>
          <w:trHeight w:val="35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1.125 UNLESS NOTED</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NONE</w:t>
            </w:r>
          </w:p>
        </w:tc>
        <w:tc>
          <w:tcPr>
            <w:tcW w:w="1860" w:type="dxa"/>
            <w:vAlign w:val="bottom"/>
          </w:tcPr>
          <w:p>
            <w:pPr>
              <w:ind w:left="280"/>
              <w:spacing w:after="0"/>
              <w:rPr>
                <w:sz w:val="20"/>
                <w:szCs w:val="20"/>
                <w:color w:val="auto"/>
              </w:rPr>
            </w:pPr>
            <w:r>
              <w:rPr>
                <w:rFonts w:ascii="Courier New" w:cs="Courier New" w:eastAsia="Courier New" w:hAnsi="Courier New"/>
                <w:sz w:val="15"/>
                <w:szCs w:val="15"/>
                <w:color w:val="auto"/>
              </w:rPr>
              <w:t>INCH</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PART#:</w:t>
            </w:r>
          </w:p>
        </w:tc>
      </w:tr>
      <w:tr>
        <w:trPr>
          <w:trHeight w:val="350"/>
        </w:trPr>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MATERIAL/FINISH NOTED AS</w:t>
            </w:r>
          </w:p>
        </w:tc>
        <w:tc>
          <w:tcPr>
            <w:tcW w:w="196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APPLICABLE</w:t>
            </w: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CYLON</w:t>
            </w:r>
          </w:p>
        </w:tc>
      </w:tr>
      <w:tr>
        <w:trPr>
          <w:trHeight w:val="175"/>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XP=DX</w:t>
            </w:r>
          </w:p>
        </w:tc>
        <w:tc>
          <w:tcPr>
            <w:tcW w:w="1960" w:type="dxa"/>
            <w:vAlign w:val="bottom"/>
          </w:tcPr>
          <w:p>
            <w:pPr>
              <w:spacing w:after="0"/>
              <w:rPr>
                <w:sz w:val="15"/>
                <w:szCs w:val="15"/>
                <w:color w:val="auto"/>
              </w:rPr>
            </w:pPr>
          </w:p>
        </w:tc>
      </w:tr>
      <w:tr>
        <w:trPr>
          <w:trHeight w:val="35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UNLESS OTHERWISE NOTED ALL</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FILE REF#:CYLON</w:t>
            </w: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UNITS ARE INCH RULE</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ASSEMBLY</w:t>
            </w: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DIMENSIONS ARE VARIABLE</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UNTIL FINAL APPROVAL</w:t>
            </w: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r>
    </w:tbl>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DRAFTER:??USTEN</w:t>
      </w: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BAUSEWEIN</w:t>
      </w:r>
    </w:p>
    <w:p>
      <w:pPr>
        <w:spacing w:after="0" w:line="180"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DATE:08 08 01</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PAGE: 1 OF 3 REV#: B0</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NOT SCALE DRAWING</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19"/>
          </w:cols>
          <w:pgMar w:left="240" w:top="468" w:right="1440" w:bottom="1440" w:gutter="0" w:footer="0" w:header="0"/>
        </w:sectPr>
      </w:pPr>
    </w:p>
    <w:bookmarkStart w:id="282" w:name="page283"/>
    <w:bookmarkEnd w:id="282"/>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7" w:hanging="267"/>
        <w:spacing w:after="0"/>
        <w:tabs>
          <w:tab w:leader="none" w:pos="267"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XPEDX</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31129 WIEGHAN ROAD HAYWARD, CA 95444</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PHONE: 800-468-0204 FAX: (510)-477-6622</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QTY. PER SET:</w:t>
            </w:r>
          </w:p>
        </w:tc>
        <w:tc>
          <w:tcPr>
            <w:tcW w:w="1460" w:type="dxa"/>
            <w:vAlign w:val="bottom"/>
          </w:tcPr>
          <w:p>
            <w:pPr>
              <w:spacing w:after="0"/>
              <w:rPr>
                <w:sz w:val="14"/>
                <w:szCs w:val="14"/>
                <w:color w:val="auto"/>
              </w:rPr>
            </w:pP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CLIENT:</w:t>
            </w:r>
          </w:p>
        </w:tc>
        <w:tc>
          <w:tcPr>
            <w:tcW w:w="146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APPROVAL:</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DATE:</w:t>
            </w: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BROCADE</w:t>
            </w:r>
          </w:p>
        </w:tc>
        <w:tc>
          <w:tcPr>
            <w:tcW w:w="1460" w:type="dxa"/>
            <w:vAlign w:val="bottom"/>
          </w:tcPr>
          <w:p>
            <w:pPr>
              <w:spacing w:after="0"/>
              <w:rPr>
                <w:sz w:val="15"/>
                <w:szCs w:val="15"/>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TOLERANCE:</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SCALE:</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UNITS:</w:t>
            </w:r>
          </w:p>
        </w:tc>
        <w:tc>
          <w:tcPr>
            <w:tcW w:w="26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CUSTOMER:</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125 UNLESS NOTED</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50"/>
        </w:trPr>
        <w:tc>
          <w:tcPr>
            <w:tcW w:w="2260" w:type="dxa"/>
            <w:vAlign w:val="bottom"/>
          </w:tcPr>
          <w:p>
            <w:pPr>
              <w:spacing w:after="0"/>
              <w:rPr>
                <w:sz w:val="24"/>
                <w:szCs w:val="2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MATERIAL/FINISH NOTED AS</w:t>
            </w: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PART #:</w:t>
            </w:r>
          </w:p>
        </w:tc>
        <w:tc>
          <w:tcPr>
            <w:tcW w:w="1460" w:type="dxa"/>
            <w:vAlign w:val="bottom"/>
          </w:tcPr>
          <w:p>
            <w:pPr>
              <w:spacing w:after="0"/>
              <w:rPr>
                <w:sz w:val="24"/>
                <w:szCs w:val="24"/>
                <w:color w:val="auto"/>
              </w:rPr>
            </w:pPr>
          </w:p>
        </w:tc>
      </w:tr>
      <w:tr>
        <w:trPr>
          <w:trHeight w:val="175"/>
        </w:trPr>
        <w:tc>
          <w:tcPr>
            <w:tcW w:w="22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APPLICABLE</w:t>
            </w: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NYLON FOAM</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UNLESS OTHERWISE NOTED:</w:t>
            </w:r>
          </w:p>
        </w:tc>
        <w:tc>
          <w:tcPr>
            <w:tcW w:w="1360" w:type="dxa"/>
            <w:vAlign w:val="bottom"/>
          </w:tcPr>
          <w:p>
            <w:pPr>
              <w:spacing w:after="0"/>
              <w:rPr>
                <w:sz w:val="15"/>
                <w:szCs w:val="15"/>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XP=DX</w:t>
            </w: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ALL UNITS ARE INCH RULE</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DIMENSIONS ARE VARIABLE</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UNTIL FINAL APPROVAL</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2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FILE REF#:CYLON FOAM</w:t>
            </w:r>
          </w:p>
        </w:tc>
      </w:tr>
      <w:tr>
        <w:trPr>
          <w:trHeight w:val="350"/>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w w:val="97"/>
              </w:rPr>
              <w:t>DRAFTER:</w:t>
            </w:r>
          </w:p>
        </w:tc>
        <w:tc>
          <w:tcPr>
            <w:tcW w:w="1460" w:type="dxa"/>
            <w:vAlign w:val="bottom"/>
          </w:tcPr>
          <w:p>
            <w:pPr>
              <w:spacing w:after="0"/>
              <w:rPr>
                <w:sz w:val="24"/>
                <w:szCs w:val="24"/>
                <w:color w:val="auto"/>
              </w:rPr>
            </w:pPr>
          </w:p>
        </w:tc>
      </w:tr>
      <w:tr>
        <w:trPr>
          <w:trHeight w:val="350"/>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DATE: 8</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08 01</w:t>
            </w:r>
          </w:p>
        </w:tc>
      </w:tr>
      <w:tr>
        <w:trPr>
          <w:trHeight w:val="350"/>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PAGE: 2</w:t>
            </w:r>
          </w:p>
        </w:tc>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OF 3 / REV #: ??</w:t>
            </w:r>
          </w:p>
        </w:tc>
      </w:tr>
    </w:tbl>
    <w:p>
      <w:pPr>
        <w:spacing w:after="0" w:line="35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83" w:name="page284"/>
    <w:bookmarkEnd w:id="283"/>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not scale drawing.</w:t>
      </w:r>
    </w:p>
    <w:p>
      <w:pPr>
        <w:spacing w:after="0" w:line="180" w:lineRule="exact"/>
        <w:rPr>
          <w:sz w:val="20"/>
          <w:szCs w:val="20"/>
          <w:color w:val="auto"/>
        </w:rPr>
      </w:pPr>
    </w:p>
    <w:p>
      <w:pPr>
        <w:jc w:val="right"/>
        <w:ind w:right="4219"/>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19"/>
          </w:cols>
          <w:pgMar w:left="240" w:top="468" w:right="1440" w:bottom="1440" w:gutter="0" w:footer="0" w:header="0"/>
        </w:sectPr>
      </w:pPr>
    </w:p>
    <w:bookmarkStart w:id="284" w:name="page285"/>
    <w:bookmarkEnd w:id="284"/>
    <w:p>
      <w:pPr>
        <w:ind w:left="1340"/>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9019"/>
          </w:cols>
          <w:pgMar w:left="1440" w:top="468" w:right="1440" w:bottom="1440" w:gutter="0" w:footer="0" w:header="0"/>
        </w:sectPr>
      </w:pPr>
    </w:p>
    <w:bookmarkStart w:id="285" w:name="page286"/>
    <w:bookmarkEnd w:id="285"/>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w:t>
      </w:r>
    </w:p>
    <w:p>
      <w:pPr>
        <w:spacing w:after="0" w:line="354" w:lineRule="exact"/>
        <w:rPr>
          <w:sz w:val="20"/>
          <w:szCs w:val="20"/>
          <w:color w:val="auto"/>
        </w:rPr>
      </w:pPr>
    </w:p>
    <w:p>
      <w:pPr>
        <w:ind w:left="3620" w:hanging="173"/>
        <w:spacing w:after="0"/>
        <w:tabs>
          <w:tab w:leader="none" w:pos="362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3620" w:hanging="173"/>
        <w:spacing w:after="0"/>
        <w:tabs>
          <w:tab w:leader="none" w:pos="362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3620" w:hanging="173"/>
        <w:spacing w:after="0"/>
        <w:tabs>
          <w:tab w:leader="none" w:pos="3620"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19"/>
          </w:cols>
          <w:pgMar w:left="240" w:top="468" w:right="1440" w:bottom="1440" w:gutter="0" w:footer="0" w:header="0"/>
        </w:sectPr>
      </w:pPr>
    </w:p>
    <w:bookmarkStart w:id="286" w:name="page287"/>
    <w:bookmarkEnd w:id="286"/>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447" w:right="2959" w:hanging="447"/>
        <w:spacing w:after="0" w:line="247" w:lineRule="auto"/>
        <w:tabs>
          <w:tab w:leader="none" w:pos="447"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87" w:name="page288"/>
    <w:bookmarkEnd w:id="287"/>
    <w:p>
      <w:pPr>
        <w:jc w:val="center"/>
        <w:ind w:right="2879"/>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(A-5)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DOCUMENTATION</w:t>
      </w:r>
    </w:p>
    <w:p>
      <w:pPr>
        <w:spacing w:after="0" w:line="180" w:lineRule="exact"/>
        <w:rPr>
          <w:sz w:val="20"/>
          <w:szCs w:val="20"/>
          <w:color w:val="auto"/>
        </w:rPr>
      </w:pPr>
    </w:p>
    <w:p>
      <w:pPr>
        <w:ind w:left="3620" w:hanging="173"/>
        <w:spacing w:after="0"/>
        <w:tabs>
          <w:tab w:leader="none" w:pos="3620"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2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October 8,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 CHANGES</w:t>
      </w:r>
    </w:p>
    <w:p>
      <w:pPr>
        <w:spacing w:after="0" w:line="180" w:lineRule="exact"/>
        <w:rPr>
          <w:sz w:val="20"/>
          <w:szCs w:val="20"/>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STYLE AND FORMAT</w:t>
      </w:r>
    </w:p>
    <w:p>
      <w:pPr>
        <w:spacing w:after="0" w:line="180" w:lineRule="exact"/>
        <w:rPr>
          <w:sz w:val="20"/>
          <w:szCs w:val="20"/>
          <w:color w:val="auto"/>
        </w:rPr>
      </w:pPr>
    </w:p>
    <w:p>
      <w:pPr>
        <w:ind w:left="620" w:hanging="172"/>
        <w:spacing w:after="0"/>
        <w:tabs>
          <w:tab w:leader="none" w:pos="620"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PROCESS</w:t>
      </w:r>
    </w:p>
    <w:p>
      <w:pPr>
        <w:spacing w:after="0" w:line="180" w:lineRule="exact"/>
        <w:rPr>
          <w:sz w:val="20"/>
          <w:szCs w:val="20"/>
          <w:color w:val="auto"/>
        </w:rPr>
      </w:pPr>
    </w:p>
    <w:p>
      <w:pPr>
        <w:ind w:left="620" w:hanging="172"/>
        <w:spacing w:after="0"/>
        <w:tabs>
          <w:tab w:leader="none" w:pos="620"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DELIVERY</w:t>
      </w:r>
    </w:p>
    <w:p>
      <w:pPr>
        <w:spacing w:after="0" w:line="180" w:lineRule="exact"/>
        <w:rPr>
          <w:sz w:val="20"/>
          <w:szCs w:val="20"/>
          <w:color w:val="auto"/>
        </w:rPr>
      </w:pPr>
    </w:p>
    <w:p>
      <w:pPr>
        <w:ind w:left="620" w:hanging="172"/>
        <w:spacing w:after="0"/>
        <w:tabs>
          <w:tab w:leader="none" w:pos="620" w:val="left"/>
        </w:tabs>
        <w:numPr>
          <w:ilvl w:val="1"/>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1"/>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0" w:hanging="172"/>
        <w:spacing w:after="0"/>
        <w:tabs>
          <w:tab w:leader="none" w:pos="620" w:val="left"/>
        </w:tabs>
        <w:numPr>
          <w:ilvl w:val="1"/>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0"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19"/>
          </w:cols>
          <w:pgMar w:left="240" w:top="468" w:right="1440" w:bottom="1440" w:gutter="0" w:footer="0" w:header="0"/>
        </w:sectPr>
      </w:pPr>
    </w:p>
    <w:bookmarkStart w:id="288" w:name="page289"/>
    <w:bookmarkEnd w:id="288"/>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EXHIBIT (A-6) (ADDITION)</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OEM PRODUCT INTEROPERABILITY REQUIREMENTS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This is an ADDITION to Exhibit (A-6) of the Agreement.</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Based on the interoperability specifications and FC standards compliance outlined in EXHIBIT -- A6, the Supplier will make [ * ] the following heterogeneous switch configurations involving Brocade-3800 and fc-64 products</w:t>
      </w:r>
    </w:p>
    <w:p>
      <w:pPr>
        <w:spacing w:after="0" w:line="2" w:lineRule="exact"/>
        <w:rPr>
          <w:sz w:val="20"/>
          <w:szCs w:val="20"/>
          <w:color w:val="auto"/>
        </w:rPr>
      </w:pPr>
    </w:p>
    <w:p>
      <w:pPr>
        <w:ind w:left="7" w:right="2959" w:hanging="7"/>
        <w:spacing w:after="0" w:line="247" w:lineRule="auto"/>
        <w:tabs>
          <w:tab w:leader="none" w:pos="189"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The configurations below assume same host and target connectivity and port topologies as defined in the test plan referenced in step 1) below. Supported features are outlined below.</w:t>
      </w:r>
    </w:p>
    <w:p>
      <w:pPr>
        <w:spacing w:after="0" w:line="174"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As a correction to the version of EXHIBIT (A-6) appended to the Agreement as of the Agreement's Effective Date, if the mutually agreed upon configurations include a switch not manufactured by Supplier, then HP shall supply such switch.</w:t>
      </w:r>
    </w:p>
    <w:p>
      <w:pPr>
        <w:spacing w:after="0" w:line="17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As an update to the version of EXHIBIT (A-6) appended to the Agreement as of the Agreement's Effective Date, Supplier and HP acknowledge that the 1 Gbit IOP testing process specified in Exhibit (A-6) was not completed. Supplier and HP agree that the configurations specified in this Exhibit (A-6) (Addition), for which configurations the 5 step process below is successfully completed, will be supported by Supplier. The combination 1Gbit and 2Gbit configurations in this exhibit will supersede and replace the 1 Gbit configurations specified in EXHIBIT (A-6).</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Below is the agreed upon process required for Supplier to support configurations containing fabrics with switches not manufactured by Supplier.</w:t>
      </w:r>
    </w:p>
    <w:p>
      <w:pPr>
        <w:spacing w:after="0" w:line="175" w:lineRule="exact"/>
        <w:rPr>
          <w:sz w:val="20"/>
          <w:szCs w:val="20"/>
          <w:color w:val="auto"/>
        </w:rPr>
      </w:pPr>
    </w:p>
    <w:p>
      <w:pPr>
        <w:ind w:left="267" w:right="3599" w:hanging="267"/>
        <w:spacing w:after="0" w:line="247" w:lineRule="auto"/>
        <w:tabs>
          <w:tab w:leader="none" w:pos="267"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and Supplier define the mutually agreed upon configuration and test plan.</w:t>
      </w:r>
    </w:p>
    <w:p>
      <w:pPr>
        <w:spacing w:after="0" w:line="174" w:lineRule="exact"/>
        <w:rPr>
          <w:rFonts w:ascii="Courier New" w:cs="Courier New" w:eastAsia="Courier New" w:hAnsi="Courier New"/>
          <w:sz w:val="15"/>
          <w:szCs w:val="15"/>
          <w:color w:val="auto"/>
        </w:rPr>
      </w:pPr>
    </w:p>
    <w:p>
      <w:pPr>
        <w:ind w:left="267" w:right="3779" w:hanging="267"/>
        <w:spacing w:after="0" w:line="247" w:lineRule="auto"/>
        <w:tabs>
          <w:tab w:leader="none" w:pos="267"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will supply to Brocade detailed test results they have completed. Detailed results will include but are not limited to:</w:t>
      </w:r>
    </w:p>
    <w:p>
      <w:pPr>
        <w:spacing w:after="0" w:line="17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1187" w:hanging="278"/>
        <w:spacing w:after="0"/>
        <w:tabs>
          <w:tab w:leader="none" w:pos="1187"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9" w:lineRule="exact"/>
        <w:rPr>
          <w:rFonts w:ascii="Courier New" w:cs="Courier New" w:eastAsia="Courier New" w:hAnsi="Courier New"/>
          <w:sz w:val="15"/>
          <w:szCs w:val="15"/>
          <w:color w:val="auto"/>
        </w:rPr>
      </w:pPr>
    </w:p>
    <w:p>
      <w:pPr>
        <w:ind w:left="7" w:right="3679" w:hanging="7"/>
        <w:spacing w:after="0" w:line="247" w:lineRule="auto"/>
        <w:tabs>
          <w:tab w:leader="none" w:pos="279"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detailed HP test results, Supplier will then define what additional testing is required to satisfy support requirements.</w:t>
      </w:r>
    </w:p>
    <w:p>
      <w:pPr>
        <w:spacing w:after="0" w:line="174" w:lineRule="exact"/>
        <w:rPr>
          <w:rFonts w:ascii="Courier New" w:cs="Courier New" w:eastAsia="Courier New" w:hAnsi="Courier New"/>
          <w:sz w:val="15"/>
          <w:szCs w:val="15"/>
          <w:color w:val="auto"/>
        </w:rPr>
      </w:pPr>
    </w:p>
    <w:p>
      <w:pPr>
        <w:jc w:val="both"/>
        <w:ind w:left="7" w:right="3039" w:hanging="7"/>
        <w:spacing w:after="0" w:line="246" w:lineRule="auto"/>
        <w:tabs>
          <w:tab w:leader="none" w:pos="279"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agrees to supply the non-Supplier manufactured switch equipment contained in the mutually agreed upon configurations for testing and bug replication. The non-Supplier manufactured switches will be loaned for the period that Supplier support is required by HP.</w:t>
      </w:r>
    </w:p>
    <w:p>
      <w:pPr>
        <w:spacing w:after="0" w:line="177" w:lineRule="exact"/>
        <w:rPr>
          <w:rFonts w:ascii="Courier New" w:cs="Courier New" w:eastAsia="Courier New" w:hAnsi="Courier New"/>
          <w:sz w:val="15"/>
          <w:szCs w:val="15"/>
          <w:color w:val="auto"/>
        </w:rPr>
      </w:pPr>
    </w:p>
    <w:p>
      <w:pPr>
        <w:ind w:left="7" w:right="3039" w:hanging="7"/>
        <w:spacing w:after="0" w:line="246" w:lineRule="auto"/>
        <w:tabs>
          <w:tab w:leader="none" w:pos="279"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the tests are passed to HP and Supplier's satisfaction, Supplier agrees to support the configurations to the levels defined in the Agreement. If HP requests that Supplier support a configuration that includes non-Supplier manufactured switches that have not been provided to Supplier for test and bug replication purposes, then HP agrees Supplier will not be held to the Support response times defined in the Agreement. If these configurations produce mutually agreed upon test results, HP and Supplier agree to make commercially reasonable efforts to meet Support requirements in the Agreement.</w:t>
      </w:r>
    </w:p>
    <w:p>
      <w:pPr>
        <w:spacing w:after="0" w:line="354" w:lineRule="exact"/>
        <w:rPr>
          <w:sz w:val="20"/>
          <w:szCs w:val="20"/>
          <w:color w:val="auto"/>
        </w:rPr>
      </w:pPr>
    </w:p>
    <w:p>
      <w:pPr>
        <w:ind w:left="447" w:right="2959" w:hanging="447"/>
        <w:spacing w:after="0" w:line="247" w:lineRule="auto"/>
        <w:tabs>
          <w:tab w:leader="none" w:pos="447"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89" w:name="page290"/>
    <w:bookmarkEnd w:id="289"/>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354" w:lineRule="exact"/>
        <w:rPr>
          <w:sz w:val="20"/>
          <w:szCs w:val="20"/>
          <w:color w:val="auto"/>
        </w:rPr>
      </w:pPr>
    </w:p>
    <w:p>
      <w:pPr>
        <w:ind w:left="447" w:right="2959" w:hanging="447"/>
        <w:spacing w:after="0" w:line="247" w:lineRule="auto"/>
        <w:tabs>
          <w:tab w:leader="none" w:pos="447"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90" w:name="page291"/>
    <w:bookmarkEnd w:id="290"/>
    <w:tbl>
      <w:tblPr>
        <w:tblLayout w:type="fixed"/>
        <w:tblInd w:w="7"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BROCADE / HP CONFIDENTIAL</w:t>
            </w:r>
          </w:p>
        </w:tc>
      </w:tr>
      <w:tr>
        <w:trPr>
          <w:trHeight w:val="350"/>
        </w:trPr>
        <w:tc>
          <w:tcPr>
            <w:tcW w:w="1400" w:type="dxa"/>
            <w:vAlign w:val="bottom"/>
          </w:tcPr>
          <w:p>
            <w:pPr>
              <w:spacing w:after="0"/>
              <w:rPr>
                <w:sz w:val="24"/>
                <w:szCs w:val="24"/>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[GRAPHIC IMAGE APPEARS HERE]</w:t>
            </w:r>
          </w:p>
        </w:tc>
      </w:tr>
      <w:tr>
        <w:trPr>
          <w:trHeight w:val="350"/>
        </w:trPr>
        <w:tc>
          <w:tcPr>
            <w:tcW w:w="140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3"/>
              </w:rPr>
              <w:t>[ * ]</w:t>
            </w:r>
          </w:p>
        </w:tc>
        <w:tc>
          <w:tcPr>
            <w:tcW w:w="3500" w:type="dxa"/>
            <w:vAlign w:val="bottom"/>
          </w:tcPr>
          <w:p>
            <w:pPr>
              <w:spacing w:after="0"/>
              <w:rPr>
                <w:sz w:val="24"/>
                <w:szCs w:val="24"/>
                <w:color w:val="auto"/>
              </w:rPr>
            </w:pPr>
          </w:p>
        </w:tc>
      </w:tr>
      <w:tr>
        <w:trPr>
          <w:trHeight w:val="350"/>
        </w:trPr>
        <w:tc>
          <w:tcPr>
            <w:tcW w:w="140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3"/>
              </w:rPr>
              <w:t>[ * ]</w:t>
            </w: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3"/>
              </w:rPr>
              <w:t>[ * ]</w:t>
            </w:r>
          </w:p>
        </w:tc>
        <w:tc>
          <w:tcPr>
            <w:tcW w:w="3500" w:type="dxa"/>
            <w:vAlign w:val="bottom"/>
          </w:tcPr>
          <w:p>
            <w:pPr>
              <w:spacing w:after="0"/>
              <w:rPr>
                <w:sz w:val="15"/>
                <w:szCs w:val="15"/>
                <w:color w:val="auto"/>
              </w:rPr>
            </w:pP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40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3"/>
              </w:rPr>
              <w:t>[ * ]</w:t>
            </w: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center"/>
              <w:ind w:left="964"/>
              <w:spacing w:after="0"/>
              <w:rPr>
                <w:sz w:val="20"/>
                <w:szCs w:val="20"/>
                <w:color w:val="auto"/>
              </w:rPr>
            </w:pPr>
            <w:r>
              <w:rPr>
                <w:rFonts w:ascii="Courier New" w:cs="Courier New" w:eastAsia="Courier New" w:hAnsi="Courier New"/>
                <w:sz w:val="15"/>
                <w:szCs w:val="15"/>
                <w:color w:val="auto"/>
              </w:rPr>
              <w:t>[ * ]</w:t>
            </w:r>
          </w:p>
        </w:tc>
      </w:tr>
      <w:tr>
        <w:trPr>
          <w:trHeight w:val="175"/>
        </w:trPr>
        <w:tc>
          <w:tcPr>
            <w:tcW w:w="1400" w:type="dxa"/>
            <w:vAlign w:val="bottom"/>
          </w:tcPr>
          <w:p>
            <w:pPr>
              <w:spacing w:after="0"/>
              <w:rPr>
                <w:sz w:val="15"/>
                <w:szCs w:val="15"/>
                <w:color w:val="auto"/>
              </w:rPr>
            </w:pP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r>
    </w:tbl>
    <w:p>
      <w:pPr>
        <w:spacing w:after="0" w:line="179" w:lineRule="exact"/>
        <w:rPr>
          <w:sz w:val="20"/>
          <w:szCs w:val="20"/>
          <w:color w:val="auto"/>
        </w:rPr>
      </w:pPr>
    </w:p>
    <w:p>
      <w:pPr>
        <w:ind w:left="447" w:right="2959" w:hanging="447"/>
        <w:spacing w:after="0" w:line="247" w:lineRule="auto"/>
        <w:tabs>
          <w:tab w:leader="none" w:pos="447"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643" w:right="1440" w:bottom="1440" w:gutter="0" w:footer="0" w:header="0"/>
        </w:sectPr>
      </w:pPr>
    </w:p>
    <w:bookmarkStart w:id="291" w:name="page292"/>
    <w:bookmarkEnd w:id="291"/>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7"/>
        <w:spacing w:after="0"/>
        <w:tabs>
          <w:tab w:leader="none" w:pos="3426"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5"/>
          <w:szCs w:val="15"/>
          <w:color w:val="auto"/>
        </w:rPr>
        <w:t>[ * ]</w:t>
      </w:r>
    </w:p>
    <w:p>
      <w:pPr>
        <w:spacing w:after="0" w:line="5" w:lineRule="exact"/>
        <w:rPr>
          <w:sz w:val="20"/>
          <w:szCs w:val="20"/>
          <w:color w:val="auto"/>
        </w:rPr>
      </w:pPr>
    </w:p>
    <w:p>
      <w:pPr>
        <w:ind w:left="3627" w:hanging="173"/>
        <w:spacing w:after="0"/>
        <w:tabs>
          <w:tab w:leader="none" w:pos="362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627" w:hanging="173"/>
        <w:spacing w:after="0"/>
        <w:tabs>
          <w:tab w:leader="none" w:pos="362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627" w:hanging="173"/>
        <w:spacing w:after="0"/>
        <w:tabs>
          <w:tab w:leader="none" w:pos="362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627" w:hanging="173"/>
        <w:spacing w:after="0"/>
        <w:tabs>
          <w:tab w:leader="none" w:pos="362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627" w:hanging="173"/>
        <w:spacing w:after="0"/>
        <w:tabs>
          <w:tab w:leader="none" w:pos="362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627" w:hanging="173"/>
        <w:spacing w:after="0"/>
        <w:tabs>
          <w:tab w:leader="none" w:pos="362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627" w:hanging="173"/>
        <w:spacing w:after="0"/>
        <w:tabs>
          <w:tab w:leader="none" w:pos="362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627" w:hanging="173"/>
        <w:spacing w:after="0"/>
        <w:tabs>
          <w:tab w:leader="none" w:pos="3627"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 * ]</w:t>
      </w:r>
    </w:p>
    <w:p>
      <w:pPr>
        <w:spacing w:after="0" w:line="354" w:lineRule="exact"/>
        <w:rPr>
          <w:sz w:val="20"/>
          <w:szCs w:val="20"/>
          <w:color w:val="auto"/>
        </w:rPr>
      </w:pPr>
    </w:p>
    <w:p>
      <w:pPr>
        <w:ind w:left="447" w:right="2959" w:hanging="447"/>
        <w:spacing w:after="0" w:line="247" w:lineRule="auto"/>
        <w:tabs>
          <w:tab w:leader="none" w:pos="447"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292" w:name="page293"/>
    <w:bookmarkEnd w:id="292"/>
    <w:p>
      <w:pPr>
        <w:jc w:val="center"/>
        <w:ind w:right="2872"/>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AMENDMENT TWO - EXHIBIT (B)</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HP'S GENERAL SPECIFICATIONS FOR ENVIRONMENT, [ * ]</w:t>
      </w:r>
    </w:p>
    <w:p>
      <w:pPr>
        <w:spacing w:after="0" w:line="180" w:lineRule="exact"/>
        <w:rPr>
          <w:sz w:val="20"/>
          <w:szCs w:val="20"/>
          <w:color w:val="auto"/>
        </w:rPr>
      </w:pPr>
    </w:p>
    <w:p>
      <w:pPr>
        <w:ind w:left="447" w:right="2959" w:hanging="447"/>
        <w:spacing w:after="0" w:line="247" w:lineRule="auto"/>
        <w:tabs>
          <w:tab w:leader="none" w:pos="447"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643" w:right="1440" w:bottom="1440" w:gutter="0" w:footer="0" w:header="0"/>
        </w:sectPr>
      </w:pPr>
    </w:p>
    <w:bookmarkStart w:id="293" w:name="page294"/>
    <w:bookmarkEnd w:id="293"/>
    <w:p>
      <w:pPr>
        <w:ind w:left="2267"/>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827" w:hanging="827"/>
        <w:spacing w:after="0"/>
        <w:tabs>
          <w:tab w:leader="none" w:pos="827"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827" w:right="3039" w:hanging="817"/>
        <w:spacing w:after="0" w:line="246" w:lineRule="auto"/>
        <w:tabs>
          <w:tab w:leader="none" w:pos="806"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This specification provides Hewlett-Packard Company's (HP's) general requirements for either restricting or prohibiting certain chemical compounds as constituents of parts, components, materials and products purchased by HP worldwide, or prohibiting the use of certain compounds in the manufacture of parts, components materials and products purchased by HP worldwide.</w:t>
      </w:r>
    </w:p>
    <w:p>
      <w:pPr>
        <w:spacing w:after="0" w:line="178" w:lineRule="exact"/>
        <w:rPr>
          <w:sz w:val="20"/>
          <w:szCs w:val="20"/>
          <w:color w:val="auto"/>
        </w:rPr>
      </w:pPr>
    </w:p>
    <w:p>
      <w:pPr>
        <w:ind w:left="827" w:right="341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This specification also provides HP's general requirements for recycling and disposal-marking and labeling of HP purchased parts, components, materials and products; in particular, for batteries.</w:t>
      </w:r>
    </w:p>
    <w:p>
      <w:pPr>
        <w:spacing w:after="0" w:line="174" w:lineRule="exact"/>
        <w:rPr>
          <w:sz w:val="20"/>
          <w:szCs w:val="20"/>
          <w:color w:val="auto"/>
        </w:rPr>
      </w:pPr>
    </w:p>
    <w:p>
      <w:pPr>
        <w:ind w:left="827" w:right="2959" w:hanging="817"/>
        <w:spacing w:after="0" w:line="246" w:lineRule="auto"/>
        <w:tabs>
          <w:tab w:leader="none" w:pos="806"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This specification is not intended to be a listing of all product content limitations or restrictions that may be established as a matter of law. Seller's compliance with this specification does not relieve or diminish Seller's obligation to comply with all applicable laws.</w:t>
      </w:r>
    </w:p>
    <w:p>
      <w:pPr>
        <w:spacing w:after="0" w:line="177" w:lineRule="exact"/>
        <w:rPr>
          <w:sz w:val="20"/>
          <w:szCs w:val="20"/>
          <w:color w:val="auto"/>
        </w:rPr>
      </w:pPr>
    </w:p>
    <w:p>
      <w:pPr>
        <w:jc w:val="both"/>
        <w:ind w:left="827" w:right="303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This specification is in addition to, and does not in any way limit or supersede, any other product specifications that may be established by HP.</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This specification contains the following sections: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4"/>
          <w:szCs w:val="14"/>
          <w:color w:val="auto"/>
        </w:rPr>
        <w:t>General</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4"/>
          <w:szCs w:val="14"/>
          <w:color w:val="auto"/>
        </w:rPr>
        <w:t>Purpose</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5"/>
          <w:szCs w:val="15"/>
          <w:color w:val="auto"/>
        </w:rPr>
        <w:t>General Product Content Restrictions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1.5.4</w:t>
      </w:r>
      <w:r>
        <w:rPr>
          <w:sz w:val="20"/>
          <w:szCs w:val="20"/>
          <w:color w:val="auto"/>
        </w:rPr>
        <w:tab/>
      </w:r>
      <w:r>
        <w:rPr>
          <w:rFonts w:ascii="Courier New" w:cs="Courier New" w:eastAsia="Courier New" w:hAnsi="Courier New"/>
          <w:sz w:val="15"/>
          <w:szCs w:val="15"/>
          <w:color w:val="auto"/>
        </w:rPr>
        <w:t>Battery Content Restrictions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Packaging Materials Content Restrictions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1.5.6</w:t>
      </w:r>
      <w:r>
        <w:rPr>
          <w:sz w:val="20"/>
          <w:szCs w:val="20"/>
          <w:color w:val="auto"/>
        </w:rPr>
        <w:tab/>
      </w:r>
      <w:r>
        <w:rPr>
          <w:rFonts w:ascii="Courier New" w:cs="Courier New" w:eastAsia="Courier New" w:hAnsi="Courier New"/>
          <w:sz w:val="15"/>
          <w:szCs w:val="15"/>
          <w:color w:val="auto"/>
        </w:rPr>
        <w:t>Product Labeling and Marking Requirements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1.5.7</w:t>
      </w:r>
      <w:r>
        <w:rPr>
          <w:sz w:val="20"/>
          <w:szCs w:val="20"/>
          <w:color w:val="auto"/>
        </w:rPr>
        <w:tab/>
      </w:r>
      <w:r>
        <w:rPr>
          <w:rFonts w:ascii="Courier New" w:cs="Courier New" w:eastAsia="Courier New" w:hAnsi="Courier New"/>
          <w:sz w:val="15"/>
          <w:szCs w:val="15"/>
          <w:color w:val="auto"/>
        </w:rPr>
        <w:t>New Chemical Registration Requirements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1.5.8</w:t>
      </w:r>
      <w:r>
        <w:rPr>
          <w:sz w:val="20"/>
          <w:szCs w:val="20"/>
          <w:color w:val="auto"/>
        </w:rPr>
        <w:tab/>
      </w:r>
      <w:r>
        <w:rPr>
          <w:rFonts w:ascii="Courier New" w:cs="Courier New" w:eastAsia="Courier New" w:hAnsi="Courier New"/>
          <w:sz w:val="15"/>
          <w:szCs w:val="15"/>
          <w:color w:val="auto"/>
        </w:rPr>
        <w:t>Tables</w:t>
      </w:r>
    </w:p>
    <w:p>
      <w:pPr>
        <w:spacing w:after="0" w:line="180" w:lineRule="exact"/>
        <w:rPr>
          <w:sz w:val="20"/>
          <w:szCs w:val="20"/>
          <w:color w:val="auto"/>
        </w:rPr>
      </w:pPr>
    </w:p>
    <w:p>
      <w:pPr>
        <w:ind w:left="827" w:right="359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1.5.8.1</w:t>
        <w:tab/>
        <w:t>Ozone Depleting Substances Prohibited From Product Manufacturing Process</w:t>
      </w:r>
    </w:p>
    <w:p>
      <w:pPr>
        <w:spacing w:after="0" w:line="1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1.5.8.2</w:t>
        <w:tab/>
        <w:t>Ozone Depleting Substances Prohibited From Products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1.5.8.3</w:t>
        <w:tab/>
        <w:t>Polybrominated Biphenyl/Polybrominated Biphenyl Ether/Polybrominated</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Diphenyl Oxide (PBB/PBDE/PBDO) Flame Retardants Prohibited from</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Products</w:t>
      </w:r>
    </w:p>
    <w:p>
      <w:pPr>
        <w:spacing w:after="0" w:line="180" w:lineRule="exact"/>
        <w:rPr>
          <w:sz w:val="20"/>
          <w:szCs w:val="20"/>
          <w:color w:val="auto"/>
        </w:rPr>
      </w:pPr>
    </w:p>
    <w:p>
      <w:pPr>
        <w:ind w:left="827" w:right="367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1.5.8.4</w:t>
        <w:tab/>
        <w:t>Labeling Requirements for Batteries, and Products and Packaging Containing Batteries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Date:  09/29/99</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GENERAL</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Page 1</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of 8</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Changes since previous issue noted</w:t>
            </w:r>
          </w:p>
        </w:tc>
        <w:tc>
          <w:tcPr>
            <w:tcW w:w="256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SPECIFICATION FOR</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by approval: [ * ]</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ENVIRONMENT</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Rev. D</w:t>
            </w:r>
          </w:p>
        </w:tc>
        <w:tc>
          <w:tcPr>
            <w:tcW w:w="40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294" w:name="page295"/>
    <w:bookmarkEnd w:id="294"/>
    <w:p>
      <w:pPr>
        <w:ind w:left="2267"/>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827" w:hanging="827"/>
        <w:spacing w:after="0"/>
        <w:tabs>
          <w:tab w:leader="none" w:pos="827"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827" w:right="3039" w:firstLine="454"/>
        <w:spacing w:after="0" w:line="246" w:lineRule="auto"/>
        <w:rPr>
          <w:sz w:val="20"/>
          <w:szCs w:val="20"/>
          <w:color w:val="auto"/>
        </w:rPr>
      </w:pPr>
      <w:r>
        <w:rPr>
          <w:rFonts w:ascii="Courier New" w:cs="Courier New" w:eastAsia="Courier New" w:hAnsi="Courier New"/>
          <w:sz w:val="15"/>
          <w:szCs w:val="15"/>
          <w:color w:val="auto"/>
        </w:rPr>
        <w:t>The purpose of this specification is to present HP's general product content requirements for HP purchased parts, components, materials and products that HP sells or that are incorporated into the products HP sells.</w:t>
      </w:r>
    </w:p>
    <w:p>
      <w:pPr>
        <w:spacing w:after="0" w:line="177" w:lineRule="exact"/>
        <w:rPr>
          <w:sz w:val="20"/>
          <w:szCs w:val="20"/>
          <w:color w:val="auto"/>
        </w:rPr>
      </w:pPr>
    </w:p>
    <w:p>
      <w:pPr>
        <w:ind w:left="827" w:hanging="827"/>
        <w:spacing w:after="0"/>
        <w:tabs>
          <w:tab w:leader="none" w:pos="827"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PRODUCT CONTENT RESTRICTIONS</w:t>
      </w:r>
    </w:p>
    <w:p>
      <w:pPr>
        <w:spacing w:after="0" w:line="179" w:lineRule="exact"/>
        <w:rPr>
          <w:rFonts w:ascii="Courier New" w:cs="Courier New" w:eastAsia="Courier New" w:hAnsi="Courier New"/>
          <w:sz w:val="15"/>
          <w:szCs w:val="15"/>
          <w:color w:val="auto"/>
        </w:rPr>
      </w:pPr>
    </w:p>
    <w:p>
      <w:pPr>
        <w:ind w:left="82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content restrictions specified in this Section apply to the specified compound as a constituent of all parts, components, materials or products purchased by HP. For additional product content restrictions applicable to batteries only, see Section 4. For additional product content restrictions applicable to packaging materials only, see Section 5.</w:t>
      </w:r>
    </w:p>
    <w:p>
      <w:pPr>
        <w:spacing w:after="0" w:line="178"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Asbestos Restrictions</w:t>
      </w:r>
    </w:p>
    <w:p>
      <w:pPr>
        <w:spacing w:after="0" w:line="180" w:lineRule="exact"/>
        <w:rPr>
          <w:sz w:val="20"/>
          <w:szCs w:val="20"/>
          <w:color w:val="auto"/>
        </w:rPr>
      </w:pPr>
    </w:p>
    <w:p>
      <w:pPr>
        <w:ind w:left="827" w:right="3679"/>
        <w:spacing w:after="0" w:line="247" w:lineRule="auto"/>
        <w:rPr>
          <w:sz w:val="20"/>
          <w:szCs w:val="20"/>
          <w:color w:val="auto"/>
        </w:rPr>
      </w:pPr>
      <w:r>
        <w:rPr>
          <w:rFonts w:ascii="Courier New" w:cs="Courier New" w:eastAsia="Courier New" w:hAnsi="Courier New"/>
          <w:sz w:val="15"/>
          <w:szCs w:val="15"/>
          <w:color w:val="auto"/>
        </w:rPr>
        <w:t>Asbestos must not be present in parts, components, materials or products.</w:t>
      </w:r>
    </w:p>
    <w:p>
      <w:pPr>
        <w:spacing w:after="0" w:line="1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Cadmium Restrictions</w:t>
      </w:r>
    </w:p>
    <w:p>
      <w:pPr>
        <w:spacing w:after="0" w:line="180" w:lineRule="exact"/>
        <w:rPr>
          <w:sz w:val="20"/>
          <w:szCs w:val="20"/>
          <w:color w:val="auto"/>
        </w:rPr>
      </w:pPr>
    </w:p>
    <w:p>
      <w:pPr>
        <w:ind w:left="827" w:right="359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Cadmium must not be used as a stabilizer, coloring agent or as a surface coating treatment.</w:t>
      </w:r>
    </w:p>
    <w:p>
      <w:pPr>
        <w:spacing w:after="0" w:line="175" w:lineRule="exact"/>
        <w:rPr>
          <w:sz w:val="20"/>
          <w:szCs w:val="20"/>
          <w:color w:val="auto"/>
        </w:rPr>
      </w:pPr>
    </w:p>
    <w:p>
      <w:pPr>
        <w:jc w:val="both"/>
        <w:ind w:left="827" w:right="313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5"/>
          <w:szCs w:val="15"/>
          <w:color w:val="auto"/>
        </w:rPr>
        <w:t>The total concentration of cadmium in parts, components, materials or products must not exceed 50 parts per million (50 PPM) by weight (50 mg/kg). This cadmium restriction does not apply to batteries.</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3.2.3</w:t>
      </w:r>
      <w:r>
        <w:rPr>
          <w:sz w:val="20"/>
          <w:szCs w:val="20"/>
          <w:color w:val="auto"/>
        </w:rPr>
        <w:tab/>
      </w:r>
      <w:r>
        <w:rPr>
          <w:rFonts w:ascii="Courier New" w:cs="Courier New" w:eastAsia="Courier New" w:hAnsi="Courier New"/>
          <w:sz w:val="15"/>
          <w:szCs w:val="15"/>
          <w:color w:val="auto"/>
        </w:rPr>
        <w:t>Lead Restrictions in Paints</w:t>
      </w:r>
    </w:p>
    <w:p>
      <w:pPr>
        <w:spacing w:after="0" w:line="180" w:lineRule="exact"/>
        <w:rPr>
          <w:sz w:val="20"/>
          <w:szCs w:val="20"/>
          <w:color w:val="auto"/>
        </w:rPr>
      </w:pPr>
    </w:p>
    <w:p>
      <w:pPr>
        <w:ind w:left="827" w:right="3139"/>
        <w:spacing w:after="0" w:line="247" w:lineRule="auto"/>
        <w:rPr>
          <w:sz w:val="20"/>
          <w:szCs w:val="20"/>
          <w:color w:val="auto"/>
        </w:rPr>
      </w:pPr>
      <w:r>
        <w:rPr>
          <w:rFonts w:ascii="Courier New" w:cs="Courier New" w:eastAsia="Courier New" w:hAnsi="Courier New"/>
          <w:sz w:val="15"/>
          <w:szCs w:val="15"/>
          <w:color w:val="auto"/>
        </w:rPr>
        <w:t>Lead carbonates and sulfates must not be used in any paint applied to parts, components, or products.</w:t>
      </w:r>
    </w:p>
    <w:p>
      <w:pPr>
        <w:spacing w:after="0" w:line="1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3.2.4</w:t>
      </w:r>
      <w:r>
        <w:rPr>
          <w:sz w:val="20"/>
          <w:szCs w:val="20"/>
          <w:color w:val="auto"/>
        </w:rPr>
        <w:tab/>
      </w:r>
      <w:r>
        <w:rPr>
          <w:rFonts w:ascii="Courier New" w:cs="Courier New" w:eastAsia="Courier New" w:hAnsi="Courier New"/>
          <w:sz w:val="14"/>
          <w:szCs w:val="14"/>
          <w:color w:val="auto"/>
        </w:rPr>
        <w:t>Mercury Restrictions</w:t>
      </w:r>
    </w:p>
    <w:p>
      <w:pPr>
        <w:spacing w:after="0" w:line="180" w:lineRule="exact"/>
        <w:rPr>
          <w:sz w:val="20"/>
          <w:szCs w:val="20"/>
          <w:color w:val="auto"/>
        </w:rPr>
      </w:pPr>
    </w:p>
    <w:p>
      <w:pPr>
        <w:ind w:left="827" w:right="3219"/>
        <w:spacing w:after="0" w:line="246" w:lineRule="auto"/>
        <w:rPr>
          <w:sz w:val="20"/>
          <w:szCs w:val="20"/>
          <w:color w:val="auto"/>
        </w:rPr>
      </w:pPr>
      <w:r>
        <w:rPr>
          <w:rFonts w:ascii="Courier New" w:cs="Courier New" w:eastAsia="Courier New" w:hAnsi="Courier New"/>
          <w:sz w:val="15"/>
          <w:szCs w:val="15"/>
          <w:color w:val="auto"/>
        </w:rPr>
        <w:t>Mercury must not be contained in any part, material, component or product, including but not limited to switches, relays or electrical contacts. This mercury restriction does not apply to lamps with less than 10 mg of mercury.</w:t>
      </w:r>
    </w:p>
    <w:p>
      <w:pPr>
        <w:spacing w:after="0" w:line="17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Ozone Depleting Substances (ODS) Restrictions.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3.3.1</w:t>
      </w:r>
      <w:r>
        <w:rPr>
          <w:sz w:val="20"/>
          <w:szCs w:val="20"/>
          <w:color w:val="auto"/>
        </w:rPr>
        <w:tab/>
      </w:r>
      <w:r>
        <w:rPr>
          <w:rFonts w:ascii="Courier New" w:cs="Courier New" w:eastAsia="Courier New" w:hAnsi="Courier New"/>
          <w:sz w:val="15"/>
          <w:szCs w:val="15"/>
          <w:color w:val="auto"/>
        </w:rPr>
        <w:t>ODS Use in Product Manufacturing Process.</w:t>
      </w:r>
    </w:p>
    <w:p>
      <w:pPr>
        <w:spacing w:after="0" w:line="180" w:lineRule="exact"/>
        <w:rPr>
          <w:sz w:val="20"/>
          <w:szCs w:val="20"/>
          <w:color w:val="auto"/>
        </w:rPr>
      </w:pPr>
    </w:p>
    <w:p>
      <w:pPr>
        <w:ind w:left="827" w:right="3039"/>
        <w:spacing w:after="0" w:line="247" w:lineRule="auto"/>
        <w:rPr>
          <w:sz w:val="20"/>
          <w:szCs w:val="20"/>
          <w:color w:val="auto"/>
        </w:rPr>
      </w:pPr>
      <w:r>
        <w:rPr>
          <w:rFonts w:ascii="Courier New" w:cs="Courier New" w:eastAsia="Courier New" w:hAnsi="Courier New"/>
          <w:sz w:val="15"/>
          <w:szCs w:val="15"/>
          <w:color w:val="auto"/>
        </w:rPr>
        <w:t>The ODS substances listed in Table 8.1 must not be used in the manufacturing process of any parts, components, materials or products.</w:t>
      </w:r>
    </w:p>
    <w:p>
      <w:pPr>
        <w:spacing w:after="0" w:line="1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3.3.1</w:t>
      </w:r>
      <w:r>
        <w:rPr>
          <w:sz w:val="20"/>
          <w:szCs w:val="20"/>
          <w:color w:val="auto"/>
        </w:rPr>
        <w:tab/>
      </w:r>
      <w:r>
        <w:rPr>
          <w:rFonts w:ascii="Courier New" w:cs="Courier New" w:eastAsia="Courier New" w:hAnsi="Courier New"/>
          <w:sz w:val="15"/>
          <w:szCs w:val="15"/>
          <w:color w:val="auto"/>
        </w:rPr>
        <w:t>ODS in Products Parts, Components, Materials and Products</w:t>
      </w:r>
    </w:p>
    <w:p>
      <w:pPr>
        <w:spacing w:after="0" w:line="180" w:lineRule="exact"/>
        <w:rPr>
          <w:sz w:val="20"/>
          <w:szCs w:val="20"/>
          <w:color w:val="auto"/>
        </w:rPr>
      </w:pPr>
    </w:p>
    <w:p>
      <w:pPr>
        <w:ind w:left="827" w:right="3319"/>
        <w:spacing w:after="0" w:line="247" w:lineRule="auto"/>
        <w:rPr>
          <w:sz w:val="20"/>
          <w:szCs w:val="20"/>
          <w:color w:val="auto"/>
        </w:rPr>
      </w:pPr>
      <w:r>
        <w:rPr>
          <w:rFonts w:ascii="Courier New" w:cs="Courier New" w:eastAsia="Courier New" w:hAnsi="Courier New"/>
          <w:sz w:val="15"/>
          <w:szCs w:val="15"/>
          <w:color w:val="auto"/>
        </w:rPr>
        <w:t>The ODS substances listed in Table 8.2 must not be contained in any pans, components, materials or products.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Date:  09/29/99</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GENERAL</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Page 2</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of 8</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Changes since previous issue noted</w:t>
            </w:r>
          </w:p>
        </w:tc>
        <w:tc>
          <w:tcPr>
            <w:tcW w:w="256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SPECIFICATION FOR</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by approval: [ * ]</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ENVIRONMENT</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Rev. D</w:t>
            </w:r>
          </w:p>
        </w:tc>
        <w:tc>
          <w:tcPr>
            <w:tcW w:w="400" w:type="dxa"/>
            <w:vAlign w:val="bottom"/>
          </w:tcPr>
          <w:p>
            <w:pPr>
              <w:spacing w:after="0"/>
              <w:rPr>
                <w:sz w:val="15"/>
                <w:szCs w:val="15"/>
                <w:color w:val="auto"/>
              </w:rPr>
            </w:pP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295" w:name="page296"/>
    <w:bookmarkEnd w:id="295"/>
    <w:p>
      <w:pPr>
        <w:ind w:left="2267"/>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827" w:right="341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Polybrominated Biphenyls (PBBs) and Polybrominated Biphenyl Ethers (PBBEs)/ Polybrominated Biphenyl Oxides (PBBOs) Restrictions</w:t>
      </w:r>
    </w:p>
    <w:p>
      <w:pPr>
        <w:spacing w:after="0" w:line="175" w:lineRule="exact"/>
        <w:rPr>
          <w:sz w:val="20"/>
          <w:szCs w:val="20"/>
          <w:color w:val="auto"/>
        </w:rPr>
      </w:pPr>
    </w:p>
    <w:p>
      <w:pPr>
        <w:ind w:left="827" w:right="3039"/>
        <w:spacing w:after="0" w:line="246" w:lineRule="auto"/>
        <w:rPr>
          <w:sz w:val="20"/>
          <w:szCs w:val="20"/>
          <w:color w:val="auto"/>
        </w:rPr>
      </w:pPr>
      <w:r>
        <w:rPr>
          <w:rFonts w:ascii="Courier New" w:cs="Courier New" w:eastAsia="Courier New" w:hAnsi="Courier New"/>
          <w:sz w:val="15"/>
          <w:szCs w:val="15"/>
          <w:color w:val="auto"/>
        </w:rPr>
        <w:t>Plastic parts, components, materials and products must not contain polybrominated biphenyls or polybrominated biphenyl ethers, also known as polybrominated biphenyl oxides, flame retardants. Specific PPBs and PBBEs, include but are not limited to, those listed in Table 3.3.</w:t>
      </w:r>
    </w:p>
    <w:p>
      <w:pPr>
        <w:spacing w:after="0" w:line="17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Polychlorinated Biphenyl (PCB) and Polychlorinated Terphenyls (PCT)</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Restrictions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Polychlorinated biphenyls (PCB) and polychlorinated terphenyls (PCT)</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must not be present in parts, components, materials, or products.</w:t>
      </w:r>
    </w:p>
    <w:p>
      <w:pPr>
        <w:spacing w:after="0" w:line="180" w:lineRule="exact"/>
        <w:rPr>
          <w:sz w:val="20"/>
          <w:szCs w:val="20"/>
          <w:color w:val="auto"/>
        </w:rPr>
      </w:pPr>
    </w:p>
    <w:p>
      <w:pPr>
        <w:ind w:left="827" w:hanging="827"/>
        <w:spacing w:after="0"/>
        <w:tabs>
          <w:tab w:leader="none" w:pos="827"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BATTERY CONTENT RESTRICTIONS</w:t>
      </w:r>
    </w:p>
    <w:p>
      <w:pPr>
        <w:spacing w:after="0" w:line="180" w:lineRule="exact"/>
        <w:rPr>
          <w:sz w:val="20"/>
          <w:szCs w:val="20"/>
          <w:color w:val="auto"/>
        </w:rPr>
      </w:pPr>
    </w:p>
    <w:p>
      <w:pPr>
        <w:ind w:left="827" w:right="2959"/>
        <w:spacing w:after="0" w:line="247" w:lineRule="auto"/>
        <w:rPr>
          <w:sz w:val="20"/>
          <w:szCs w:val="20"/>
          <w:color w:val="auto"/>
        </w:rPr>
      </w:pPr>
      <w:r>
        <w:rPr>
          <w:rFonts w:ascii="Courier New" w:cs="Courier New" w:eastAsia="Courier New" w:hAnsi="Courier New"/>
          <w:sz w:val="15"/>
          <w:szCs w:val="15"/>
          <w:color w:val="auto"/>
        </w:rPr>
        <w:t>The content restrictions specified in this Section apply to all batteries purchased by HP, and to all batteries contained in any parts, components or products purchased by Hewlett-Packard.</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Mercury Restrictions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Batteries must not contain mercury exceeding 5 part per million (5 PPM)</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by weight (5 mg/kg).</w:t>
      </w:r>
    </w:p>
    <w:p>
      <w:pPr>
        <w:spacing w:after="0" w:line="180" w:lineRule="exact"/>
        <w:rPr>
          <w:sz w:val="20"/>
          <w:szCs w:val="20"/>
          <w:color w:val="auto"/>
        </w:rPr>
      </w:pPr>
    </w:p>
    <w:p>
      <w:pPr>
        <w:ind w:left="827" w:right="377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Products, parts and components must not contain mercuric oxide batteries.</w:t>
      </w:r>
    </w:p>
    <w:p>
      <w:pPr>
        <w:spacing w:after="0" w:line="1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Cadmium Restrictions</w:t>
      </w:r>
    </w:p>
    <w:p>
      <w:pPr>
        <w:spacing w:after="0" w:line="180" w:lineRule="exact"/>
        <w:rPr>
          <w:sz w:val="20"/>
          <w:szCs w:val="20"/>
          <w:color w:val="auto"/>
        </w:rPr>
      </w:pPr>
    </w:p>
    <w:p>
      <w:pPr>
        <w:ind w:left="827" w:right="3419"/>
        <w:spacing w:after="0" w:line="247" w:lineRule="auto"/>
        <w:rPr>
          <w:sz w:val="20"/>
          <w:szCs w:val="20"/>
          <w:color w:val="auto"/>
        </w:rPr>
      </w:pPr>
      <w:r>
        <w:rPr>
          <w:rFonts w:ascii="Courier New" w:cs="Courier New" w:eastAsia="Courier New" w:hAnsi="Courier New"/>
          <w:sz w:val="15"/>
          <w:szCs w:val="15"/>
          <w:color w:val="auto"/>
        </w:rPr>
        <w:t>The total cadmium content of alkaline-manganese batteries must not exceed 10 parts per million (10 PPM) by weight (10 mg/kg).</w:t>
      </w:r>
    </w:p>
    <w:p>
      <w:pPr>
        <w:spacing w:after="0" w:line="175" w:lineRule="exact"/>
        <w:rPr>
          <w:sz w:val="20"/>
          <w:szCs w:val="20"/>
          <w:color w:val="auto"/>
        </w:rPr>
      </w:pPr>
    </w:p>
    <w:p>
      <w:pPr>
        <w:ind w:left="827" w:hanging="827"/>
        <w:spacing w:after="0"/>
        <w:tabs>
          <w:tab w:leader="none" w:pos="827"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MATERIALS CONTENT RESTRICTIONS</w:t>
      </w:r>
    </w:p>
    <w:p>
      <w:pPr>
        <w:spacing w:after="0" w:line="180" w:lineRule="exact"/>
        <w:rPr>
          <w:sz w:val="20"/>
          <w:szCs w:val="20"/>
          <w:color w:val="auto"/>
        </w:rPr>
      </w:pPr>
    </w:p>
    <w:p>
      <w:pPr>
        <w:ind w:left="827" w:right="3319"/>
        <w:spacing w:after="0" w:line="247" w:lineRule="auto"/>
        <w:rPr>
          <w:sz w:val="20"/>
          <w:szCs w:val="20"/>
          <w:color w:val="auto"/>
        </w:rPr>
      </w:pPr>
      <w:r>
        <w:rPr>
          <w:rFonts w:ascii="Courier New" w:cs="Courier New" w:eastAsia="Courier New" w:hAnsi="Courier New"/>
          <w:sz w:val="15"/>
          <w:szCs w:val="15"/>
          <w:color w:val="auto"/>
        </w:rPr>
        <w:t>The content restrictions specified in this section apply to all packaging materials purchased by HP and used to package HP products that are incorporated in the products HP sells.</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ODS Restrictions in Packaging Materials</w:t>
      </w:r>
    </w:p>
    <w:p>
      <w:pPr>
        <w:spacing w:after="0" w:line="180" w:lineRule="exact"/>
        <w:rPr>
          <w:sz w:val="20"/>
          <w:szCs w:val="20"/>
          <w:color w:val="auto"/>
        </w:rPr>
      </w:pPr>
    </w:p>
    <w:p>
      <w:pPr>
        <w:ind w:left="827" w:right="2959"/>
        <w:spacing w:after="0" w:line="247" w:lineRule="auto"/>
        <w:rPr>
          <w:sz w:val="20"/>
          <w:szCs w:val="20"/>
          <w:color w:val="auto"/>
        </w:rPr>
      </w:pPr>
      <w:r>
        <w:rPr>
          <w:rFonts w:ascii="Courier New" w:cs="Courier New" w:eastAsia="Courier New" w:hAnsi="Courier New"/>
          <w:sz w:val="15"/>
          <w:szCs w:val="15"/>
          <w:color w:val="auto"/>
        </w:rPr>
        <w:t>CFCs and HCFCs listed in Tables 8.1 and 3.2 must not be used in plastic foam packaging materials, for example, as foaming agents.</w:t>
      </w:r>
    </w:p>
    <w:p>
      <w:pPr>
        <w:spacing w:after="0" w:line="1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Heavy Metals Restrictions in Packaging Materials.</w:t>
      </w:r>
    </w:p>
    <w:p>
      <w:pPr>
        <w:spacing w:after="0" w:line="180" w:lineRule="exact"/>
        <w:rPr>
          <w:sz w:val="20"/>
          <w:szCs w:val="20"/>
          <w:color w:val="auto"/>
        </w:rPr>
      </w:pPr>
    </w:p>
    <w:p>
      <w:pPr>
        <w:ind w:left="827" w:right="2959"/>
        <w:spacing w:after="0" w:line="246" w:lineRule="auto"/>
        <w:rPr>
          <w:sz w:val="20"/>
          <w:szCs w:val="20"/>
          <w:color w:val="auto"/>
        </w:rPr>
      </w:pPr>
      <w:r>
        <w:rPr>
          <w:rFonts w:ascii="Courier New" w:cs="Courier New" w:eastAsia="Courier New" w:hAnsi="Courier New"/>
          <w:sz w:val="15"/>
          <w:szCs w:val="15"/>
          <w:color w:val="auto"/>
        </w:rPr>
        <w:t>Packaging materials must not contain any amount of lead, mercury, cadmium, or hexavalent chromium as an intentionally added element. The sum concentration of incidental lead, mercury, cadmium, and hexavalent chromium must not exceed 100 parts per million, 100 PPM, by weight (100 mg/kg).</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GENERAL</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Page 3</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of 8</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Changes since</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previous issue noted</w:t>
            </w:r>
          </w:p>
        </w:tc>
        <w:tc>
          <w:tcPr>
            <w:tcW w:w="256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SPECIFICATION FOR</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by approval:</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ENVIRONMENT</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Rev. D</w:t>
            </w:r>
          </w:p>
        </w:tc>
        <w:tc>
          <w:tcPr>
            <w:tcW w:w="400" w:type="dxa"/>
            <w:vAlign w:val="bottom"/>
          </w:tcPr>
          <w:p>
            <w:pPr>
              <w:spacing w:after="0"/>
              <w:rPr>
                <w:sz w:val="15"/>
                <w:szCs w:val="15"/>
                <w:color w:val="auto"/>
              </w:rPr>
            </w:pP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296" w:name="page297"/>
    <w:bookmarkEnd w:id="296"/>
    <w:p>
      <w:pPr>
        <w:ind w:left="2267"/>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827" w:hanging="827"/>
        <w:spacing w:after="0"/>
        <w:tabs>
          <w:tab w:leader="none" w:pos="827"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LABELING AND MARKING REQUIREMENTS</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6.1Battery Labeling Requirements</w:t>
      </w:r>
    </w:p>
    <w:p>
      <w:pPr>
        <w:spacing w:after="0" w:line="180" w:lineRule="exact"/>
        <w:rPr>
          <w:sz w:val="20"/>
          <w:szCs w:val="20"/>
          <w:color w:val="auto"/>
        </w:rPr>
      </w:pPr>
    </w:p>
    <w:p>
      <w:pPr>
        <w:ind w:left="827" w:right="2959" w:firstLine="454"/>
        <w:spacing w:after="0" w:line="247" w:lineRule="auto"/>
        <w:rPr>
          <w:sz w:val="20"/>
          <w:szCs w:val="20"/>
          <w:color w:val="auto"/>
        </w:rPr>
      </w:pPr>
      <w:r>
        <w:rPr>
          <w:rFonts w:ascii="Courier New" w:cs="Courier New" w:eastAsia="Courier New" w:hAnsi="Courier New"/>
          <w:sz w:val="15"/>
          <w:szCs w:val="15"/>
          <w:color w:val="auto"/>
        </w:rPr>
        <w:t>Batteries, rechargeable consumer products with not easily removable battery, and their packaging must be labeled according to the requirements specified in Table 8.4.</w:t>
      </w:r>
    </w:p>
    <w:p>
      <w:pPr>
        <w:spacing w:after="0" w:line="174" w:lineRule="exact"/>
        <w:rPr>
          <w:sz w:val="20"/>
          <w:szCs w:val="20"/>
          <w:color w:val="auto"/>
        </w:rPr>
      </w:pPr>
    </w:p>
    <w:p>
      <w:pPr>
        <w:ind w:left="827" w:hanging="827"/>
        <w:spacing w:after="0"/>
        <w:tabs>
          <w:tab w:leader="none" w:pos="827"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CHEMICAL REGISTRATION REQUIREMENTS</w:t>
      </w:r>
    </w:p>
    <w:p>
      <w:pPr>
        <w:spacing w:after="0" w:line="179" w:lineRule="exact"/>
        <w:rPr>
          <w:rFonts w:ascii="Courier New" w:cs="Courier New" w:eastAsia="Courier New" w:hAnsi="Courier New"/>
          <w:sz w:val="15"/>
          <w:szCs w:val="15"/>
          <w:color w:val="auto"/>
        </w:rPr>
      </w:pPr>
    </w:p>
    <w:p>
      <w:pPr>
        <w:ind w:left="82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chemical substance contained in parts, components, materials and products sold to HP must comply with chemical registration and premanufacture notification requirements in those countries which have enacted such requirements (including but not limited to Australia, Canada, China, Japan, South Korea, Switzerland, the United States, and the countries of the European Union). This is in order to permit import and sale of the parts, components, materials and products sold to HP in all of these countries.</w:t>
      </w:r>
    </w:p>
    <w:p>
      <w:pPr>
        <w:spacing w:after="0" w:line="179"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TABLES</w:t>
      </w:r>
    </w:p>
    <w:p>
      <w:pPr>
        <w:spacing w:after="0" w:line="18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Table 8.1 - Ozone Depleting Substances Prohibited From Product Manufacturing Process</w:t>
      </w:r>
    </w:p>
    <w:p>
      <w:pPr>
        <w:sectPr>
          <w:pgSz w:w="11900" w:h="16838" w:orient="portrait"/>
          <w:cols w:equalWidth="0" w:num="1">
            <w:col w:w="10226"/>
          </w:cols>
          <w:pgMar w:left="233" w:top="468"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CHLOROFLUOROCARBONS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ectPr>
          <w:pgSz w:w="11900" w:h="16838" w:orient="portrait"/>
          <w:cols w:equalWidth="0" w:num="2">
            <w:col w:w="2007" w:space="720"/>
            <w:col w:w="7499"/>
          </w:cols>
          <w:pgMar w:left="233" w:top="468"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 * ]</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26"/>
          </w:cols>
          <w:pgMar w:left="233" w:top="468" w:right="1440" w:bottom="1440" w:gutter="0" w:footer="0" w:header="0"/>
          <w:type w:val="continuous"/>
        </w:sectPr>
      </w:pP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sectPr>
          <w:pgSz w:w="11900" w:h="16838" w:orient="portrait"/>
          <w:cols w:equalWidth="0" w:num="2">
            <w:col w:w="2007" w:space="720"/>
            <w:col w:w="7499"/>
          </w:cols>
          <w:pgMar w:left="233" w:top="468"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26"/>
          </w:cols>
          <w:pgMar w:left="233" w:top="468" w:right="1440" w:bottom="1440" w:gutter="0" w:footer="0" w:header="0"/>
          <w:type w:val="continuous"/>
        </w:sectPr>
      </w:pP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ectPr>
          <w:pgSz w:w="11900" w:h="16838" w:orient="portrait"/>
          <w:cols w:equalWidth="0" w:num="2">
            <w:col w:w="2007" w:space="720"/>
            <w:col w:w="7499"/>
          </w:cols>
          <w:pgMar w:left="233" w:top="468"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 * ]</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26"/>
          </w:cols>
          <w:pgMar w:left="233" w:top="46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Date:  09/29/99</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GENERAL</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Page 4</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of 8</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Changes since previous issue noted</w:t>
            </w:r>
          </w:p>
        </w:tc>
        <w:tc>
          <w:tcPr>
            <w:tcW w:w="256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SPECIFICATION FOR</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by approval: [*]</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ENVIRONMENT</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Rev. D</w:t>
            </w:r>
          </w:p>
        </w:tc>
        <w:tc>
          <w:tcPr>
            <w:tcW w:w="400" w:type="dxa"/>
            <w:vAlign w:val="bottom"/>
          </w:tcPr>
          <w:p>
            <w:pPr>
              <w:spacing w:after="0"/>
              <w:rPr>
                <w:sz w:val="15"/>
                <w:szCs w:val="15"/>
                <w:color w:val="auto"/>
              </w:rPr>
            </w:pP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type w:val="continuous"/>
        </w:sectPr>
      </w:pPr>
    </w:p>
    <w:bookmarkStart w:id="297" w:name="page298"/>
    <w:bookmarkEnd w:id="297"/>
    <w:p>
      <w:pPr>
        <w:ind w:left="2267"/>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Table 8.2 - Ozone Depleting Substances Prohibited From Products</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Group I</w:t>
      </w:r>
      <w:r>
        <w:rPr>
          <w:sz w:val="20"/>
          <w:szCs w:val="20"/>
          <w:color w:val="auto"/>
        </w:rPr>
        <w:tab/>
      </w:r>
      <w:r>
        <w:rPr>
          <w:rFonts w:ascii="Courier New" w:cs="Courier New" w:eastAsia="Courier New" w:hAnsi="Courier New"/>
          <w:sz w:val="15"/>
          <w:szCs w:val="15"/>
          <w:color w:val="auto"/>
        </w:rPr>
        <w:t>Chlorofluorocarbons, CFCs (includes isomers of listed substances)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 * ]</w:t>
            </w:r>
          </w:p>
        </w:tc>
        <w:tc>
          <w:tcPr>
            <w:tcW w:w="32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 * ]</w:t>
            </w:r>
          </w:p>
        </w:tc>
        <w:tc>
          <w:tcPr>
            <w:tcW w:w="32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 * ]</w:t>
            </w:r>
          </w:p>
        </w:tc>
        <w:tc>
          <w:tcPr>
            <w:tcW w:w="32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524"/>
        </w:trPr>
        <w:tc>
          <w:tcPr>
            <w:tcW w:w="820" w:type="dxa"/>
            <w:vAlign w:val="bottom"/>
          </w:tcPr>
          <w:p>
            <w:pPr>
              <w:spacing w:after="0"/>
              <w:rPr>
                <w:sz w:val="20"/>
                <w:szCs w:val="20"/>
                <w:color w:val="auto"/>
              </w:rPr>
            </w:pPr>
            <w:r>
              <w:rPr>
                <w:rFonts w:ascii="Courier New" w:cs="Courier New" w:eastAsia="Courier New" w:hAnsi="Courier New"/>
                <w:sz w:val="15"/>
                <w:szCs w:val="15"/>
                <w:color w:val="auto"/>
              </w:rPr>
              <w:t>Group II</w:t>
            </w:r>
          </w:p>
        </w:tc>
        <w:tc>
          <w:tcPr>
            <w:tcW w:w="64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Other Fully Halogenated CFCs (includes isomers of listed substances)</w:t>
            </w:r>
          </w:p>
        </w:tc>
        <w:tc>
          <w:tcPr>
            <w:tcW w:w="700" w:type="dxa"/>
            <w:vAlign w:val="bottom"/>
          </w:tcPr>
          <w:p>
            <w:pPr>
              <w:spacing w:after="0"/>
              <w:rPr>
                <w:sz w:val="24"/>
                <w:szCs w:val="24"/>
                <w:color w:val="auto"/>
              </w:rPr>
            </w:pPr>
          </w:p>
        </w:tc>
      </w:tr>
      <w:tr>
        <w:trPr>
          <w:trHeight w:val="699"/>
        </w:trPr>
        <w:tc>
          <w:tcPr>
            <w:tcW w:w="8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 * ]</w:t>
            </w:r>
          </w:p>
        </w:tc>
        <w:tc>
          <w:tcPr>
            <w:tcW w:w="32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 * ]</w:t>
            </w:r>
          </w:p>
        </w:tc>
        <w:tc>
          <w:tcPr>
            <w:tcW w:w="32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 * ]</w:t>
            </w:r>
          </w:p>
        </w:tc>
        <w:tc>
          <w:tcPr>
            <w:tcW w:w="32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 * ]</w:t>
            </w:r>
          </w:p>
        </w:tc>
        <w:tc>
          <w:tcPr>
            <w:tcW w:w="32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326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 * ]</w:t>
            </w:r>
          </w:p>
        </w:tc>
        <w:tc>
          <w:tcPr>
            <w:tcW w:w="32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Group III Halons (includes isomers of listed substances)</w:t>
      </w:r>
    </w:p>
    <w:p>
      <w:pPr>
        <w:sectPr>
          <w:pgSz w:w="11900" w:h="16838" w:orient="portrait"/>
          <w:cols w:equalWidth="0" w:num="1">
            <w:col w:w="10226"/>
          </w:cols>
          <w:pgMar w:left="233" w:top="468"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ectPr>
          <w:pgSz w:w="11900" w:h="16838" w:orient="portrait"/>
          <w:cols w:equalWidth="0" w:num="4">
            <w:col w:w="1187" w:space="720"/>
            <w:col w:w="3180" w:space="720"/>
            <w:col w:w="1020" w:space="720"/>
            <w:col w:w="2679"/>
          </w:cols>
          <w:pgMar w:left="233" w:top="468"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ectPr>
          <w:pgSz w:w="11900" w:h="16838" w:orient="portrait"/>
          <w:cols w:equalWidth="0" w:num="2">
            <w:col w:w="1187" w:space="720"/>
            <w:col w:w="8319"/>
          </w:cols>
          <w:pgMar w:left="233" w:top="468"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Group IV</w:t>
      </w:r>
    </w:p>
    <w:p>
      <w:pPr>
        <w:spacing w:after="0" w:line="180" w:lineRule="exact"/>
        <w:rPr>
          <w:sz w:val="20"/>
          <w:szCs w:val="20"/>
          <w:color w:val="auto"/>
        </w:rPr>
      </w:pPr>
    </w:p>
    <w:p>
      <w:pPr>
        <w:ind w:left="187" w:hanging="187"/>
        <w:spacing w:after="0"/>
        <w:tabs>
          <w:tab w:leader="none" w:pos="187"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Group V</w:t>
      </w:r>
    </w:p>
    <w:p>
      <w:pPr>
        <w:spacing w:after="0" w:line="179" w:lineRule="exact"/>
        <w:rPr>
          <w:rFonts w:ascii="Courier New" w:cs="Courier New" w:eastAsia="Courier New" w:hAnsi="Courier New"/>
          <w:sz w:val="15"/>
          <w:szCs w:val="15"/>
          <w:color w:val="auto"/>
        </w:rPr>
      </w:pPr>
    </w:p>
    <w:p>
      <w:pPr>
        <w:ind w:left="7" w:right="9499" w:hanging="7"/>
        <w:spacing w:after="0" w:line="528" w:lineRule="auto"/>
        <w:tabs>
          <w:tab w:leader="none" w:pos="189"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Group VI</w:t>
      </w:r>
    </w:p>
    <w:p>
      <w:pPr>
        <w:spacing w:after="0" w:line="1" w:lineRule="exact"/>
        <w:rPr>
          <w:rFonts w:ascii="Courier New" w:cs="Courier New" w:eastAsia="Courier New" w:hAnsi="Courier New"/>
          <w:sz w:val="14"/>
          <w:szCs w:val="14"/>
          <w:color w:val="auto"/>
        </w:rPr>
      </w:pPr>
    </w:p>
    <w:p>
      <w:pPr>
        <w:ind w:left="187" w:hanging="187"/>
        <w:spacing w:after="0"/>
        <w:tabs>
          <w:tab w:leader="none" w:pos="187"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Date:  09/29/99</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GENERAL</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Page 5</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of 8</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Changes since previous issue noted</w:t>
            </w:r>
          </w:p>
        </w:tc>
        <w:tc>
          <w:tcPr>
            <w:tcW w:w="256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SPECIFICATION FOR</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by approval: [*]</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ENVIRONMENT</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Rev. D</w:t>
            </w:r>
          </w:p>
        </w:tc>
        <w:tc>
          <w:tcPr>
            <w:tcW w:w="400" w:type="dxa"/>
            <w:vAlign w:val="bottom"/>
          </w:tcPr>
          <w:p>
            <w:pPr>
              <w:spacing w:after="0"/>
              <w:rPr>
                <w:sz w:val="15"/>
                <w:szCs w:val="15"/>
                <w:color w:val="auto"/>
              </w:rPr>
            </w:pP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type w:val="continuous"/>
        </w:sectPr>
      </w:pPr>
    </w:p>
    <w:bookmarkStart w:id="298" w:name="page299"/>
    <w:bookmarkEnd w:id="298"/>
    <w:p>
      <w:pPr>
        <w:ind w:left="4627"/>
        <w:spacing w:after="0"/>
        <w:rPr>
          <w:sz w:val="20"/>
          <w:szCs w:val="20"/>
          <w:color w:val="auto"/>
        </w:rPr>
      </w:pPr>
      <w:r>
        <w:rPr>
          <w:rFonts w:ascii="Courier New" w:cs="Courier New" w:eastAsia="Courier New" w:hAnsi="Courier New"/>
          <w:sz w:val="15"/>
          <w:szCs w:val="15"/>
          <w:color w:val="auto"/>
        </w:rPr>
        <w:t>SPECIFICATION CONTROL DRAWING</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Table 8.2 - Ozone Depleting Substances Prohibited From Products (Continued)</w:t>
      </w:r>
    </w:p>
    <w:p>
      <w:pPr>
        <w:spacing w:after="0" w:line="180" w:lineRule="exact"/>
        <w:rPr>
          <w:sz w:val="20"/>
          <w:szCs w:val="20"/>
          <w:color w:val="auto"/>
        </w:rPr>
      </w:pPr>
    </w:p>
    <w:p>
      <w:pPr>
        <w:ind w:left="1007" w:right="3859" w:hanging="999"/>
        <w:spacing w:after="0" w:line="247" w:lineRule="auto"/>
        <w:tabs>
          <w:tab w:leader="none" w:pos="986" w:val="left"/>
        </w:tabs>
        <w:rPr>
          <w:sz w:val="20"/>
          <w:szCs w:val="20"/>
          <w:color w:val="auto"/>
        </w:rPr>
      </w:pPr>
      <w:r>
        <w:rPr>
          <w:rFonts w:ascii="Courier New" w:cs="Courier New" w:eastAsia="Courier New" w:hAnsi="Courier New"/>
          <w:sz w:val="15"/>
          <w:szCs w:val="15"/>
          <w:color w:val="auto"/>
        </w:rPr>
        <w:t>Group VII</w:t>
        <w:tab/>
        <w:t>Hydrobromofluorocarbons, HBFC's (includes isomers of listed substances)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940" w:type="dxa"/>
            <w:vAlign w:val="bottom"/>
          </w:tcPr>
          <w:p>
            <w:pPr>
              <w:jc w:val="right"/>
              <w:ind w:right="1424"/>
              <w:spacing w:after="0"/>
              <w:rPr>
                <w:sz w:val="20"/>
                <w:szCs w:val="20"/>
                <w:color w:val="auto"/>
              </w:rPr>
            </w:pPr>
            <w:r>
              <w:rPr>
                <w:rFonts w:ascii="Courier New" w:cs="Courier New" w:eastAsia="Courier New" w:hAnsi="Courier New"/>
                <w:sz w:val="15"/>
                <w:szCs w:val="15"/>
                <w:color w:val="auto"/>
                <w:w w:val="93"/>
              </w:rPr>
              <w:t>[ * ]</w:t>
            </w:r>
          </w:p>
        </w:tc>
        <w:tc>
          <w:tcPr>
            <w:tcW w:w="3360" w:type="dxa"/>
            <w:vAlign w:val="bottom"/>
          </w:tcPr>
          <w:p>
            <w:pPr>
              <w:jc w:val="right"/>
              <w:ind w:right="1324"/>
              <w:spacing w:after="0"/>
              <w:rPr>
                <w:sz w:val="20"/>
                <w:szCs w:val="20"/>
                <w:color w:val="auto"/>
              </w:rPr>
            </w:pPr>
            <w:r>
              <w:rPr>
                <w:rFonts w:ascii="Courier New" w:cs="Courier New" w:eastAsia="Courier New" w:hAnsi="Courier New"/>
                <w:sz w:val="15"/>
                <w:szCs w:val="15"/>
                <w:color w:val="auto"/>
              </w:rPr>
              <w:t>[ * ]</w:t>
            </w:r>
          </w:p>
        </w:tc>
        <w:tc>
          <w:tcPr>
            <w:tcW w:w="1880" w:type="dxa"/>
            <w:vAlign w:val="bottom"/>
          </w:tcPr>
          <w:p>
            <w:pPr>
              <w:spacing w:after="0"/>
              <w:rPr>
                <w:sz w:val="15"/>
                <w:szCs w:val="15"/>
                <w:color w:val="auto"/>
              </w:rPr>
            </w:pPr>
          </w:p>
        </w:tc>
      </w:tr>
    </w:tbl>
    <w:p>
      <w:pPr>
        <w:spacing w:after="0" w:line="354" w:lineRule="exact"/>
        <w:rPr>
          <w:sz w:val="20"/>
          <w:szCs w:val="20"/>
          <w:color w:val="auto"/>
        </w:rPr>
      </w:pPr>
    </w:p>
    <w:p>
      <w:pPr>
        <w:ind w:left="1007" w:right="3779" w:hanging="999"/>
        <w:spacing w:after="0" w:line="247" w:lineRule="auto"/>
        <w:rPr>
          <w:sz w:val="20"/>
          <w:szCs w:val="20"/>
          <w:color w:val="auto"/>
        </w:rPr>
      </w:pPr>
      <w:r>
        <w:rPr>
          <w:rFonts w:ascii="Courier New" w:cs="Courier New" w:eastAsia="Courier New" w:hAnsi="Courier New"/>
          <w:sz w:val="15"/>
          <w:szCs w:val="15"/>
          <w:color w:val="auto"/>
        </w:rPr>
        <w:t>Group VIII Hydrochlorofluorocarbons, HCFC's (includes isomers of listed substances)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 ]</w:t>
            </w:r>
          </w:p>
        </w:tc>
        <w:tc>
          <w:tcPr>
            <w:tcW w:w="26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874"/>
        </w:trPr>
        <w:tc>
          <w:tcPr>
            <w:tcW w:w="5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900" w:type="dxa"/>
            <w:vAlign w:val="bottom"/>
          </w:tcPr>
          <w:p>
            <w:pPr>
              <w:jc w:val="right"/>
              <w:ind w:right="2004"/>
              <w:spacing w:after="0"/>
              <w:rPr>
                <w:sz w:val="20"/>
                <w:szCs w:val="20"/>
                <w:color w:val="auto"/>
              </w:rPr>
            </w:pPr>
            <w:r>
              <w:rPr>
                <w:rFonts w:ascii="Courier New" w:cs="Courier New" w:eastAsia="Courier New" w:hAnsi="Courier New"/>
                <w:sz w:val="15"/>
                <w:szCs w:val="15"/>
                <w:color w:val="auto"/>
              </w:rPr>
              <w:t>09/29/99</w:t>
            </w:r>
          </w:p>
        </w:tc>
        <w:tc>
          <w:tcPr>
            <w:tcW w:w="264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GENERAL</w:t>
            </w:r>
          </w:p>
        </w:tc>
        <w:tc>
          <w:tcPr>
            <w:tcW w:w="1920" w:type="dxa"/>
            <w:vAlign w:val="bottom"/>
          </w:tcPr>
          <w:p>
            <w:pPr>
              <w:ind w:left="540"/>
              <w:spacing w:after="0"/>
              <w:rPr>
                <w:sz w:val="20"/>
                <w:szCs w:val="20"/>
                <w:color w:val="auto"/>
              </w:rPr>
            </w:pPr>
            <w:r>
              <w:rPr>
                <w:rFonts w:ascii="Courier New" w:cs="Courier New" w:eastAsia="Courier New" w:hAnsi="Courier New"/>
                <w:sz w:val="15"/>
                <w:szCs w:val="15"/>
                <w:color w:val="auto"/>
              </w:rPr>
              <w:t>Page 6 of 8</w:t>
            </w: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Changes since previous issue noted</w:t>
            </w:r>
          </w:p>
        </w:tc>
        <w:tc>
          <w:tcPr>
            <w:tcW w:w="26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SPECIFICATION FOR</w:t>
            </w:r>
          </w:p>
        </w:tc>
        <w:tc>
          <w:tcPr>
            <w:tcW w:w="1920" w:type="dxa"/>
            <w:vAlign w:val="bottom"/>
          </w:tcPr>
          <w:p>
            <w:pPr>
              <w:ind w:left="540"/>
              <w:spacing w:after="0"/>
              <w:rPr>
                <w:sz w:val="20"/>
                <w:szCs w:val="20"/>
                <w:color w:val="auto"/>
              </w:rPr>
            </w:pPr>
            <w:r>
              <w:rPr>
                <w:rFonts w:ascii="Courier New" w:cs="Courier New" w:eastAsia="Courier New" w:hAnsi="Courier New"/>
                <w:sz w:val="15"/>
                <w:szCs w:val="15"/>
                <w:color w:val="auto"/>
              </w:rPr>
              <w:t>[ * ]</w:t>
            </w: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by approval: [*]</w:t>
            </w:r>
          </w:p>
        </w:tc>
        <w:tc>
          <w:tcPr>
            <w:tcW w:w="264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ENVIRONMENT</w:t>
            </w:r>
          </w:p>
        </w:tc>
        <w:tc>
          <w:tcPr>
            <w:tcW w:w="1920" w:type="dxa"/>
            <w:vAlign w:val="bottom"/>
          </w:tcPr>
          <w:p>
            <w:pPr>
              <w:ind w:left="540"/>
              <w:spacing w:after="0"/>
              <w:rPr>
                <w:sz w:val="20"/>
                <w:szCs w:val="20"/>
                <w:color w:val="auto"/>
              </w:rPr>
            </w:pPr>
            <w:r>
              <w:rPr>
                <w:rFonts w:ascii="Courier New" w:cs="Courier New" w:eastAsia="Courier New" w:hAnsi="Courier New"/>
                <w:sz w:val="15"/>
                <w:szCs w:val="15"/>
                <w:color w:val="auto"/>
              </w:rPr>
              <w:t>Rev. D</w:t>
            </w: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299" w:name="page300"/>
    <w:bookmarkEnd w:id="299"/>
    <w:p>
      <w:pPr>
        <w:ind w:left="2267"/>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1087" w:right="3779" w:hanging="1090"/>
        <w:spacing w:after="0" w:line="247" w:lineRule="auto"/>
        <w:rPr>
          <w:sz w:val="20"/>
          <w:szCs w:val="20"/>
          <w:color w:val="auto"/>
        </w:rPr>
      </w:pPr>
      <w:r>
        <w:rPr>
          <w:rFonts w:ascii="Courier New" w:cs="Courier New" w:eastAsia="Courier New" w:hAnsi="Courier New"/>
          <w:sz w:val="15"/>
          <w:szCs w:val="15"/>
          <w:color w:val="auto"/>
        </w:rPr>
        <w:t>Table 8.3 - Polybrominated Biphenyl and Biphenyl Ether Flame Retardants Prohibited From Products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CAS</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NUMBER</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20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219" w:hanging="7"/>
        <w:spacing w:after="0" w:line="493" w:lineRule="auto"/>
        <w:tabs>
          <w:tab w:leader="none" w:pos="461"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Polybrominated Biphenyl(s) = Polybromobiphenyl(s) = Polybromodiphenyl(s) ** Polybrominated Biphenyl Ether(s) = Polybrominated Biphenyl Oxide(s)</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 = Chemical Abstract Service</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Date:  09/29/99</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GENERAL</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Page 7</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of 8</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Changes since previous issue noted</w:t>
            </w:r>
          </w:p>
        </w:tc>
        <w:tc>
          <w:tcPr>
            <w:tcW w:w="256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SPECIFICATION FOR</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by approval: [*]</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ENVIRONMENT</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Rev. D</w:t>
            </w:r>
          </w:p>
        </w:tc>
        <w:tc>
          <w:tcPr>
            <w:tcW w:w="400" w:type="dxa"/>
            <w:vAlign w:val="bottom"/>
          </w:tcPr>
          <w:p>
            <w:pPr>
              <w:spacing w:after="0"/>
              <w:rPr>
                <w:sz w:val="15"/>
                <w:szCs w:val="15"/>
                <w:color w:val="auto"/>
              </w:rPr>
            </w:pP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300" w:name="page301"/>
    <w:bookmarkEnd w:id="300"/>
    <w:p>
      <w:pPr>
        <w:jc w:val="center"/>
        <w:ind w:right="3032"/>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Table 8.4 - Labeling Requirements for Batteries, Consumer Products Containing</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Batteries, and their Packaging</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PRODUCT TYPE</w:t>
            </w:r>
          </w:p>
        </w:tc>
        <w:tc>
          <w:tcPr>
            <w:tcW w:w="3100" w:type="dxa"/>
            <w:vAlign w:val="bottom"/>
          </w:tcPr>
          <w:p>
            <w:pPr>
              <w:ind w:left="1460"/>
              <w:spacing w:after="0"/>
              <w:rPr>
                <w:sz w:val="20"/>
                <w:szCs w:val="20"/>
                <w:color w:val="auto"/>
              </w:rPr>
            </w:pPr>
            <w:r>
              <w:rPr>
                <w:rFonts w:ascii="Courier New" w:cs="Courier New" w:eastAsia="Courier New" w:hAnsi="Courier New"/>
                <w:sz w:val="15"/>
                <w:szCs w:val="15"/>
                <w:color w:val="auto"/>
              </w:rPr>
              <w:t>SYMBOL</w:t>
            </w: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WORDING ON LABEL</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tcPr>
          <w:p>
            <w:pPr>
              <w:ind w:left="16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Alkaline batteries</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See Note 1 below</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Manufacturer's name and</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address</w:t>
            </w:r>
          </w:p>
        </w:tc>
        <w:tc>
          <w:tcPr>
            <w:tcW w:w="1900" w:type="dxa"/>
            <w:vAlign w:val="bottom"/>
          </w:tcPr>
          <w:p>
            <w:pPr>
              <w:spacing w:after="0"/>
              <w:rPr>
                <w:sz w:val="15"/>
                <w:szCs w:val="15"/>
                <w:color w:val="auto"/>
              </w:rPr>
            </w:pP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lead-acid (sealed) batteries and</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[GRAPHIC IMAGE APPEARS HERE]</w:t>
            </w: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   Manufacturer's name and address</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their packaging</w:t>
            </w:r>
          </w:p>
        </w:tc>
        <w:tc>
          <w:tcPr>
            <w:tcW w:w="310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Pb</w:t>
            </w:r>
          </w:p>
        </w:tc>
        <w:tc>
          <w:tcPr>
            <w:tcW w:w="190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   "BATTERY MUST BE RECYCLED."</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Lithium and Lithium ion batteries</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See Note 1 below</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Manufacturer's name and</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address</w:t>
            </w:r>
          </w:p>
        </w:tc>
        <w:tc>
          <w:tcPr>
            <w:tcW w:w="190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   lithium or lithium ion</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Nickel-Cadmium batteries and their</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[GRAPHIC IMAGE APPEARS HERE]</w:t>
            </w: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   Manufacturer's name and address</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packaging</w:t>
            </w:r>
          </w:p>
        </w:tc>
        <w:tc>
          <w:tcPr>
            <w:tcW w:w="310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Ni-Cd</w:t>
            </w:r>
          </w:p>
        </w:tc>
        <w:tc>
          <w:tcPr>
            <w:tcW w:w="190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   "BATTERY MUST BE RECYCLED OR</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DISPOSED OF PROPERLY."</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Nickel metal hydride batteries</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See Note 1 below</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Manufacturer's name and</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address</w:t>
            </w:r>
          </w:p>
        </w:tc>
        <w:tc>
          <w:tcPr>
            <w:tcW w:w="190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"CONTAINS NICKEL METAL</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HYDRIDE (NIMH) BATTERY."</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Rechargeable consumer products</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[GRAPHIC IMAGE APPEARS HERE]</w:t>
            </w: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   Manufacturer's name and address</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containing not easily removable</w:t>
            </w:r>
          </w:p>
        </w:tc>
        <w:tc>
          <w:tcPr>
            <w:tcW w:w="310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"CONTAINS SEALED LEAD</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sealed lead acid batteries</w:t>
            </w: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BATTERY. BATTERY MUST BE</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RECYCLED."</w:t>
            </w:r>
          </w:p>
        </w:tc>
        <w:tc>
          <w:tcPr>
            <w:tcW w:w="1900" w:type="dxa"/>
            <w:vAlign w:val="bottom"/>
          </w:tcPr>
          <w:p>
            <w:pPr>
              <w:spacing w:after="0"/>
              <w:rPr>
                <w:sz w:val="15"/>
                <w:szCs w:val="15"/>
                <w:color w:val="auto"/>
              </w:rPr>
            </w:pPr>
          </w:p>
        </w:tc>
      </w:tr>
      <w:tr>
        <w:trPr>
          <w:trHeight w:val="524"/>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Rechargeable consumer products</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[GRAPHIC IMAGE APPEARS HERE]</w:t>
            </w:r>
          </w:p>
        </w:tc>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   Manufacturer's name and address</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containing not easily removable</w:t>
            </w:r>
          </w:p>
        </w:tc>
        <w:tc>
          <w:tcPr>
            <w:tcW w:w="310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"CONTAINS NICKEL-CADMIUM</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Nickel-Cadmium batteries</w:t>
            </w: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BATTERY. BATTERY MUST BE</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RECYCLED OR DISPOSED OF</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PROPERLY."</w:t>
            </w:r>
          </w:p>
        </w:tc>
        <w:tc>
          <w:tcPr>
            <w:tcW w:w="1900" w:type="dxa"/>
            <w:vAlign w:val="bottom"/>
          </w:tcPr>
          <w:p>
            <w:pPr>
              <w:spacing w:after="0"/>
              <w:rPr>
                <w:sz w:val="15"/>
                <w:szCs w:val="15"/>
                <w:color w:val="auto"/>
              </w:rPr>
            </w:pP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Packaging of rechargeable consumer</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[GRAPHIC IMAGE APPEARS HERE]</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Manufacturer's name and</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product containing sealed lead</w:t>
            </w: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address</w:t>
            </w:r>
          </w:p>
        </w:tc>
        <w:tc>
          <w:tcPr>
            <w:tcW w:w="190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battery</w:t>
            </w:r>
          </w:p>
        </w:tc>
        <w:tc>
          <w:tcPr>
            <w:tcW w:w="310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"CONTAINS SEALED LEAD</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BATTERY.</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BATTERY MUST BE</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RECYCLED."</w:t>
            </w:r>
          </w:p>
        </w:tc>
        <w:tc>
          <w:tcPr>
            <w:tcW w:w="1900" w:type="dxa"/>
            <w:vAlign w:val="bottom"/>
          </w:tcPr>
          <w:p>
            <w:pPr>
              <w:spacing w:after="0"/>
              <w:rPr>
                <w:sz w:val="15"/>
                <w:szCs w:val="15"/>
                <w:color w:val="auto"/>
              </w:rPr>
            </w:pP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Packaging of rechargeable consumer</w:t>
            </w:r>
          </w:p>
        </w:tc>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[GRAPHIC IMAGE APPEARS HERE]</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Manufacturer's name and</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product containing nickel-cadmium</w:t>
            </w: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address</w:t>
            </w:r>
          </w:p>
        </w:tc>
        <w:tc>
          <w:tcPr>
            <w:tcW w:w="190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battery</w:t>
            </w:r>
          </w:p>
        </w:tc>
        <w:tc>
          <w:tcPr>
            <w:tcW w:w="310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"CONTAINS NICKEL-CADMIUM</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BATTERY.</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BATTERY MUST BE</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RECYCLED OR DISPOSED OF</w:t>
            </w:r>
          </w:p>
        </w:tc>
      </w:tr>
      <w:tr>
        <w:trPr>
          <w:trHeight w:val="175"/>
        </w:trPr>
        <w:tc>
          <w:tcPr>
            <w:tcW w:w="32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PROPERLY."</w:t>
            </w:r>
          </w:p>
        </w:tc>
        <w:tc>
          <w:tcPr>
            <w:tcW w:w="1900" w:type="dxa"/>
            <w:vAlign w:val="bottom"/>
          </w:tcPr>
          <w:p>
            <w:pPr>
              <w:spacing w:after="0"/>
              <w:rPr>
                <w:sz w:val="15"/>
                <w:szCs w:val="15"/>
                <w:color w:val="auto"/>
              </w:rPr>
            </w:pP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 LABELING REQUIREMENT FOR THE NETHERLANDS</w:t>
      </w:r>
    </w:p>
    <w:p>
      <w:pPr>
        <w:spacing w:after="0" w:line="180" w:lineRule="exact"/>
        <w:rPr>
          <w:sz w:val="20"/>
          <w:szCs w:val="20"/>
          <w:color w:val="auto"/>
        </w:rPr>
      </w:pPr>
    </w:p>
    <w:p>
      <w:pPr>
        <w:ind w:left="827" w:right="3219"/>
        <w:spacing w:after="0" w:line="247" w:lineRule="auto"/>
        <w:rPr>
          <w:sz w:val="20"/>
          <w:szCs w:val="20"/>
          <w:color w:val="auto"/>
        </w:rPr>
      </w:pPr>
      <w:r>
        <w:rPr>
          <w:rFonts w:ascii="Courier New" w:cs="Courier New" w:eastAsia="Courier New" w:hAnsi="Courier New"/>
          <w:sz w:val="15"/>
          <w:szCs w:val="15"/>
          <w:color w:val="auto"/>
        </w:rPr>
        <w:t>This label must be on the packaging of the battery (if sold separate from the product) or in the manual of the product containing the battery with statements about removal of the battery.</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GENERAL</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Page 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of 8</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Changes since</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previous issue noted</w:t>
            </w:r>
          </w:p>
        </w:tc>
        <w:tc>
          <w:tcPr>
            <w:tcW w:w="256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SPECIFICATION FOR</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 * ]</w:t>
            </w:r>
          </w:p>
        </w:tc>
        <w:tc>
          <w:tcPr>
            <w:tcW w:w="40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by approval:</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ENVIRONMENT</w:t>
            </w:r>
          </w:p>
        </w:tc>
        <w:tc>
          <w:tcPr>
            <w:tcW w:w="1220" w:type="dxa"/>
            <w:vAlign w:val="bottom"/>
          </w:tcPr>
          <w:p>
            <w:pPr>
              <w:ind w:left="620"/>
              <w:spacing w:after="0"/>
              <w:rPr>
                <w:sz w:val="20"/>
                <w:szCs w:val="20"/>
                <w:color w:val="auto"/>
              </w:rPr>
            </w:pPr>
            <w:r>
              <w:rPr>
                <w:rFonts w:ascii="Courier New" w:cs="Courier New" w:eastAsia="Courier New" w:hAnsi="Courier New"/>
                <w:sz w:val="15"/>
                <w:szCs w:val="15"/>
                <w:color w:val="auto"/>
              </w:rPr>
              <w:t>Rev. D</w:t>
            </w:r>
          </w:p>
        </w:tc>
        <w:tc>
          <w:tcPr>
            <w:tcW w:w="400" w:type="dxa"/>
            <w:vAlign w:val="bottom"/>
          </w:tcPr>
          <w:p>
            <w:pPr>
              <w:spacing w:after="0"/>
              <w:rPr>
                <w:sz w:val="15"/>
                <w:szCs w:val="15"/>
                <w:color w:val="auto"/>
              </w:rPr>
            </w:pP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301" w:name="page302"/>
    <w:bookmarkEnd w:id="301"/>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FABRIC SOFTWARE OEM PRODUCT PER-COPY FEES.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PART DESCRIPTION: [HP private-label name pending]</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SUPPLIER MODEL</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NO. /</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per-license fee:</w:t>
            </w:r>
          </w:p>
        </w:tc>
        <w:tc>
          <w:tcPr>
            <w:tcW w:w="16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PART DESCRIPTION:</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[HP private-label name pending]</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SUPPLIER MODEL NO. /</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per-license fee:</w:t>
            </w:r>
          </w:p>
        </w:tc>
        <w:tc>
          <w:tcPr>
            <w:tcW w:w="16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524"/>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PART DESCRIPTION:</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[HP private-label name pending]</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SUPPLIER MODEL NO. /</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per-license fee:</w:t>
            </w:r>
          </w:p>
        </w:tc>
        <w:tc>
          <w:tcPr>
            <w:tcW w:w="16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PART DESCRIPTION:</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[HP private-label name pending]</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SUPPLIER MODEL NO. /</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per-license fee:</w:t>
            </w:r>
          </w:p>
        </w:tc>
        <w:tc>
          <w:tcPr>
            <w:tcW w:w="16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PART DESCRIPTION:</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[HP private-label name pending]</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SUPPLIER MODEL NO. /</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r>
        <w:trPr>
          <w:trHeight w:val="350"/>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HP per-license fee:</w:t>
            </w:r>
          </w:p>
        </w:tc>
        <w:tc>
          <w:tcPr>
            <w:tcW w:w="16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 ]</w:t>
            </w:r>
          </w:p>
        </w:tc>
      </w:tr>
    </w:tbl>
    <w:p>
      <w:pPr>
        <w:spacing w:after="0" w:line="179" w:lineRule="exact"/>
        <w:rPr>
          <w:sz w:val="20"/>
          <w:szCs w:val="20"/>
          <w:color w:val="auto"/>
        </w:rPr>
      </w:pPr>
    </w:p>
    <w:p>
      <w:pPr>
        <w:ind w:left="447" w:right="2959" w:hanging="447"/>
        <w:spacing w:after="0" w:line="247" w:lineRule="auto"/>
        <w:tabs>
          <w:tab w:leader="none" w:pos="447"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AMENDMENT NO. 2 -- Rev 8.0 dated 11/07/2001- Tippens</w:t>
      </w:r>
    </w:p>
    <w:p>
      <w:pPr>
        <w:sectPr>
          <w:pgSz w:w="11900" w:h="16838" w:orient="portrait"/>
          <w:cols w:equalWidth="0" w:num="1">
            <w:col w:w="10226"/>
          </w:cols>
          <w:pgMar w:left="233" w:top="468" w:right="1440" w:bottom="1440" w:gutter="0" w:footer="0" w:header="0"/>
        </w:sectPr>
      </w:pPr>
    </w:p>
    <w:bookmarkStart w:id="302" w:name="page303"/>
    <w:bookmarkEnd w:id="302"/>
    <w:p>
      <w:pPr>
        <w:ind w:left="6007"/>
        <w:spacing w:after="0"/>
        <w:rPr>
          <w:sz w:val="20"/>
          <w:szCs w:val="20"/>
          <w:color w:val="auto"/>
        </w:rPr>
      </w:pPr>
      <w:r>
        <w:rPr>
          <w:rFonts w:ascii="Courier New" w:cs="Courier New" w:eastAsia="Courier New" w:hAnsi="Courier New"/>
          <w:sz w:val="15"/>
          <w:szCs w:val="15"/>
          <w:color w:val="auto"/>
        </w:rPr>
        <w:t>Exhibit 10.44</w:t>
      </w:r>
    </w:p>
    <w:p>
      <w:pPr>
        <w:spacing w:after="0" w:line="354"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AMENDMENT NO. 3 TO</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OEM PURCHASE AGREEMENT</w:t>
      </w:r>
    </w:p>
    <w:p>
      <w:pPr>
        <w:spacing w:after="0" w:line="35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This Amendment No. 3 (the "Amendment") to the OEM Purchase Agreement (the "Agreement") dated April 20, 2001 by and between HEWLETT-PACKARD COMPANY, a Delaware corporation having its principal place of business at 3000 Hanover Street, Palo Alto, California 94304 ("HP") and BROCADE COMMUNICATIONS SYSTEMS, INC., a Delaware corporation, having its principal place of business at 1745 Technology Drive, San Jose, California 95110, and Brocade Communications Systems Switzerland SarL, a corporation organized under the laws of Geneva, and having its principal place of business at 29-31 Route de I'Aeroport, CH-1205 Geneva, Switzerland (collectively "Supplier") is entered into by HP and Supplier effective as of February 1, 2002 (the "Effective Date"). This Amendment is a Product Addendum as described in Section 2.18 of the Agreement. The parties hereby agree as follows.</w:t>
      </w:r>
    </w:p>
    <w:p>
      <w:pPr>
        <w:spacing w:after="0" w:line="182"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Except as expressly amended herein all unmodified and remaining terms and conditions of the Agreement shall remain in full force and effect. All capitalized terms not defined in this Amendment shall have the meaning set forth in the Agreement. In the event a conflict between the Agreement and this Amendment, the terms of this Amendment shall govern.</w:t>
      </w:r>
    </w:p>
    <w:p>
      <w:pPr>
        <w:spacing w:after="0" w:line="178"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WHEREAS, HP and Supplier wish to add additional OEM Products, and terms specific to those additional products.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80" w:lineRule="exact"/>
        <w:rPr>
          <w:sz w:val="20"/>
          <w:szCs w:val="20"/>
          <w:color w:val="auto"/>
        </w:rPr>
      </w:pPr>
    </w:p>
    <w:p>
      <w:pPr>
        <w:ind w:left="727" w:hanging="727"/>
        <w:spacing w:after="0"/>
        <w:tabs>
          <w:tab w:leader="none" w:pos="727"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TRAINING</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1.1Technical &amp; Presales Training. Supplier shall provide to HP, [ * ] in Supplier's technical training course on installation and configuration of the SilkWorm 3200 (which is the same course as that for the SilkWorm 3800). Such training shall take place at Supplier's San Jose location and within [ * ] prior to, and [ * ] after HP's product launch. In addition, Supplier shall provide to HP, at [ * ] per HP's [ * ] for the term of this Agreement, in Supplier's technical training course on installation and configuration of the SilkWorm 3200.</w:t>
      </w:r>
    </w:p>
    <w:p>
      <w:pPr>
        <w:spacing w:after="0" w:line="180" w:lineRule="exact"/>
        <w:rPr>
          <w:sz w:val="20"/>
          <w:szCs w:val="20"/>
          <w:color w:val="auto"/>
        </w:rPr>
      </w:pPr>
    </w:p>
    <w:p>
      <w:pPr>
        <w:ind w:left="1447" w:right="2959"/>
        <w:spacing w:after="0" w:line="246" w:lineRule="auto"/>
        <w:rPr>
          <w:sz w:val="20"/>
          <w:szCs w:val="20"/>
          <w:color w:val="auto"/>
        </w:rPr>
      </w:pPr>
      <w:r>
        <w:rPr>
          <w:rFonts w:ascii="Courier New" w:cs="Courier New" w:eastAsia="Courier New" w:hAnsi="Courier New"/>
          <w:sz w:val="15"/>
          <w:szCs w:val="15"/>
          <w:color w:val="auto"/>
        </w:rPr>
        <w:t>All such training provided by Supplier will be [ * ] by Supplier to HP. Supplier will maintain a designated training contact for HP University personnel, and will provide technical support for, and a qualified Supplier training resource to participate in, the first [ * ] taught by HP utilizing the training provided hereunder by Supplier. Such classes will be up to[ * ]in length. HP will be responsible for reasonable travel and expenses incurred by the Supplier training resource. Other training (including without limitation [ * ] technical training) will be provided upon mutually agreed terms and conditions.</w:t>
      </w:r>
    </w:p>
    <w:p>
      <w:pPr>
        <w:spacing w:after="0" w:line="181"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HP Training Requirement. HP shall use its reasonable best efforts to conduct, no later than May 30, 2002, internal training courses on the SilkWorm 3200 sufficient to cover no less than[ * ]HP personnel in order to allow HP to become fully familiar with the SilkWorm 3200 and its market. The HP resources may include but will not be</w:t>
      </w:r>
    </w:p>
    <w:p>
      <w:pPr>
        <w:spacing w:after="0" w:line="353" w:lineRule="exact"/>
        <w:rPr>
          <w:sz w:val="20"/>
          <w:szCs w:val="20"/>
          <w:color w:val="auto"/>
        </w:rPr>
      </w:pPr>
    </w:p>
    <w:p>
      <w:pPr>
        <w:ind w:left="447" w:right="2959" w:hanging="447"/>
        <w:spacing w:after="0" w:line="247" w:lineRule="auto"/>
        <w:tabs>
          <w:tab w:leader="none" w:pos="447"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1 of 15</w:t>
      </w:r>
    </w:p>
    <w:p>
      <w:pPr>
        <w:sectPr>
          <w:pgSz w:w="11900" w:h="16838" w:orient="portrait"/>
          <w:cols w:equalWidth="0" w:num="1">
            <w:col w:w="10226"/>
          </w:cols>
          <w:pgMar w:left="233" w:top="316" w:right="1440" w:bottom="1440" w:gutter="0" w:footer="0" w:header="0"/>
        </w:sectPr>
      </w:pPr>
    </w:p>
    <w:bookmarkStart w:id="303" w:name="page304"/>
    <w:bookmarkEnd w:id="303"/>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1447" w:right="2959"/>
        <w:spacing w:after="0" w:line="247" w:lineRule="auto"/>
        <w:rPr>
          <w:sz w:val="20"/>
          <w:szCs w:val="20"/>
          <w:color w:val="auto"/>
        </w:rPr>
      </w:pPr>
      <w:r>
        <w:rPr>
          <w:rFonts w:ascii="Courier New" w:cs="Courier New" w:eastAsia="Courier New" w:hAnsi="Courier New"/>
          <w:sz w:val="15"/>
          <w:szCs w:val="15"/>
          <w:color w:val="auto"/>
        </w:rPr>
        <w:t>limited to field and inside sales personnel, customer engineers, technical consultants, and HP University Trainers.</w:t>
      </w:r>
    </w:p>
    <w:p>
      <w:pPr>
        <w:spacing w:after="0" w:line="175" w:lineRule="exact"/>
        <w:rPr>
          <w:sz w:val="20"/>
          <w:szCs w:val="20"/>
          <w:color w:val="auto"/>
        </w:rPr>
      </w:pPr>
    </w:p>
    <w:p>
      <w:pPr>
        <w:ind w:left="1447" w:right="2959" w:hanging="726"/>
        <w:spacing w:after="0" w:line="246" w:lineRule="auto"/>
        <w:tabs>
          <w:tab w:leader="none" w:pos="1426"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HP Training Demonstration Hardware. HP's Scalable Network Solutions division ("SNS") will make its reasonable best efforts to provide Supplier with [ * ] of HP Demonstration Equipment to be hosted in Supplier's training facilities. For the purpose of this Agreement. HP Demonstration Equipment shall refer to HP [*] Hardware, of the current or recent generation of the applicable HP product. Each piece of HP Demonstration equipment will be provided under the terms of a separately executed HP Equipment Loan Agreement, the term of which shall be no less than [ * ]</w:t>
      </w:r>
    </w:p>
    <w:p>
      <w:pPr>
        <w:spacing w:after="0" w:line="180" w:lineRule="exact"/>
        <w:rPr>
          <w:sz w:val="20"/>
          <w:szCs w:val="20"/>
          <w:color w:val="auto"/>
        </w:rPr>
      </w:pPr>
    </w:p>
    <w:p>
      <w:pPr>
        <w:ind w:left="727" w:hanging="727"/>
        <w:spacing w:after="0"/>
        <w:tabs>
          <w:tab w:leader="none" w:pos="727"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w:t>
      </w:r>
    </w:p>
    <w:p>
      <w:pPr>
        <w:spacing w:after="0" w:line="179" w:lineRule="exact"/>
        <w:rPr>
          <w:rFonts w:ascii="Courier New" w:cs="Courier New" w:eastAsia="Courier New" w:hAnsi="Courier New"/>
          <w:sz w:val="15"/>
          <w:szCs w:val="15"/>
          <w:color w:val="auto"/>
        </w:rPr>
      </w:pPr>
    </w:p>
    <w:p>
      <w:pPr>
        <w:ind w:left="1447" w:right="295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2.1Preparation of Documentation. Supplier shall [ * ] of Supplier's standard documentation for the SilkWorm 3200 ("Documentation") [ * ] and in accordance with the provisions of Exhibit (A-5). Such Documentation will include [ * ], as enumerated in Exhibit (A-5). Supplier shall retain ownership of such Documentation.</w:t>
      </w:r>
    </w:p>
    <w:p>
      <w:pPr>
        <w:spacing w:after="0" w:line="177" w:lineRule="exact"/>
        <w:rPr>
          <w:rFonts w:ascii="Courier New" w:cs="Courier New" w:eastAsia="Courier New" w:hAnsi="Courier New"/>
          <w:sz w:val="15"/>
          <w:szCs w:val="15"/>
          <w:color w:val="auto"/>
        </w:rPr>
      </w:pPr>
    </w:p>
    <w:p>
      <w:pPr>
        <w:ind w:left="1447" w:right="303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2.2License to Documentation. Supplier shall provide HP with [ * ] in [ * ]form. Except as otherwise provided and subject to the retention of all copyright notices and/or confidentiality legends, HP shall have the right to [ * ] for [ * ]. HP shall have the right to [ * ] from the [ * ] to it by Supplier for [ * ] to purchasers of the HP version of the SilkWorm 3200. HP shall not have the right to [ * ] except to [ * ]. HP shall provide Supplier with a copy of such [ * ]Product documentation for verification, and Supplier agrees to perform [ * ] on the [ * ] of any release within [ * ] of receipt of such [ * ] Supplier's [ * ] of the [ * ] is for Supplier's internal purposes only, and HP will not rely on [ * ] for any purposes. Further, HP shall have the right to [ * ] its Resellers and End User Customers. The Licenses granted in this Article 2.2 shall continue during the Term of this Agreement and for [ * ] after the date of last shipment by HP of the Products purchased under this Amendment.</w:t>
      </w:r>
    </w:p>
    <w:p>
      <w:pPr>
        <w:spacing w:after="0" w:line="185"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Notwithstanding the provisions of Article 16 of the Agreement Supplier shall use its reasonable best efforts to ensure that the SilkWorm 3200 and its packaging will comply with HP's General Specifications for Environment, [ * ] attached hereto as Exhibit (B) and incorporated herein by reference, provided however that those provision(s) of HP's General Specifications for Environment relating to batteries shall not apply.</w:t>
      </w:r>
    </w:p>
    <w:p>
      <w:pPr>
        <w:spacing w:after="0" w:line="200" w:lineRule="exact"/>
        <w:rPr>
          <w:sz w:val="20"/>
          <w:szCs w:val="20"/>
          <w:color w:val="auto"/>
        </w:rPr>
      </w:pPr>
    </w:p>
    <w:p>
      <w:pPr>
        <w:spacing w:after="0" w:line="328" w:lineRule="exact"/>
        <w:rPr>
          <w:sz w:val="20"/>
          <w:szCs w:val="20"/>
          <w:color w:val="auto"/>
        </w:rPr>
      </w:pPr>
    </w:p>
    <w:p>
      <w:pPr>
        <w:ind w:left="447" w:right="2959" w:hanging="447"/>
        <w:spacing w:after="0" w:line="247" w:lineRule="auto"/>
        <w:tabs>
          <w:tab w:leader="none" w:pos="447"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2 of 15</w:t>
      </w:r>
    </w:p>
    <w:p>
      <w:pPr>
        <w:sectPr>
          <w:pgSz w:w="11900" w:h="16838" w:orient="portrait"/>
          <w:cols w:equalWidth="0" w:num="1">
            <w:col w:w="10226"/>
          </w:cols>
          <w:pgMar w:left="233" w:top="643" w:right="1440" w:bottom="1440" w:gutter="0" w:footer="0" w:header="0"/>
        </w:sectPr>
      </w:pPr>
    </w:p>
    <w:bookmarkStart w:id="304" w:name="page305"/>
    <w:bookmarkEnd w:id="304"/>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ind w:left="727" w:hanging="727"/>
        <w:spacing w:after="0"/>
        <w:tabs>
          <w:tab w:leader="none" w:pos="727"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 ]. If HP meets all the following conditions by the specified</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due dates, then the [ * ] in this Section 4 shall apply:</w:t>
      </w:r>
    </w:p>
    <w:p>
      <w:pPr>
        <w:spacing w:after="0" w:line="180" w:lineRule="exact"/>
        <w:rPr>
          <w:sz w:val="20"/>
          <w:szCs w:val="20"/>
          <w:color w:val="auto"/>
        </w:rPr>
      </w:pPr>
    </w:p>
    <w:p>
      <w:pPr>
        <w:ind w:left="2187" w:right="3499" w:hanging="726"/>
        <w:spacing w:after="0" w:line="247" w:lineRule="auto"/>
        <w:tabs>
          <w:tab w:leader="none" w:pos="2166"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Launch. HP must formally launch and make generally available for sale [ * ].</w:t>
      </w:r>
    </w:p>
    <w:p>
      <w:pPr>
        <w:spacing w:after="0" w:line="175" w:lineRule="exact"/>
        <w:rPr>
          <w:sz w:val="20"/>
          <w:szCs w:val="20"/>
          <w:color w:val="auto"/>
        </w:rPr>
      </w:pPr>
    </w:p>
    <w:p>
      <w:pPr>
        <w:ind w:left="2187" w:right="3139" w:hanging="726"/>
        <w:spacing w:after="0" w:line="246" w:lineRule="auto"/>
        <w:tabs>
          <w:tab w:leader="none" w:pos="2166"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Certification. HP must provide to Brocade by April 1, 2002, subject to the provisions of Article (19) of the Agreement, a copy of the [ * ]. For [ * ] and high availability [ * ] must generate a [ * ] including the [ * ] configuration of the SilkWorm 3200.</w:t>
      </w:r>
    </w:p>
    <w:p>
      <w:pPr>
        <w:spacing w:after="0" w:line="178" w:lineRule="exact"/>
        <w:rPr>
          <w:sz w:val="20"/>
          <w:szCs w:val="20"/>
          <w:color w:val="auto"/>
        </w:rPr>
      </w:pPr>
    </w:p>
    <w:p>
      <w:pPr>
        <w:ind w:left="727" w:right="3419"/>
        <w:spacing w:after="0" w:line="247" w:lineRule="auto"/>
        <w:rPr>
          <w:sz w:val="20"/>
          <w:szCs w:val="20"/>
          <w:color w:val="auto"/>
        </w:rPr>
      </w:pPr>
      <w:r>
        <w:rPr>
          <w:rFonts w:ascii="Courier New" w:cs="Courier New" w:eastAsia="Courier New" w:hAnsi="Courier New"/>
          <w:sz w:val="15"/>
          <w:szCs w:val="15"/>
          <w:color w:val="auto"/>
        </w:rPr>
        <w:t>Sections 4.2 and 4.3 shall not apply if HP does not meet all of the conditions in this Section 4.1 by the specified due dates.</w:t>
      </w:r>
    </w:p>
    <w:p>
      <w:pPr>
        <w:spacing w:after="0" w:line="17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 ] The unit prices listed in Exhibit C for the Base configuration of</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the SilkWorm 3200 (not the Entry configuration) shall be [ * ].</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 * ]HP will [ * ] for the completed purchase of [ * ] of the</w:t>
      </w:r>
    </w:p>
    <w:p>
      <w:pPr>
        <w:spacing w:after="0" w:line="5" w:lineRule="exact"/>
        <w:rPr>
          <w:sz w:val="20"/>
          <w:szCs w:val="20"/>
          <w:color w:val="auto"/>
        </w:rPr>
      </w:pPr>
    </w:p>
    <w:p>
      <w:pPr>
        <w:ind w:left="727" w:right="2959"/>
        <w:spacing w:after="0" w:line="246" w:lineRule="auto"/>
        <w:rPr>
          <w:sz w:val="20"/>
          <w:szCs w:val="20"/>
          <w:color w:val="auto"/>
        </w:rPr>
      </w:pPr>
      <w:r>
        <w:rPr>
          <w:rFonts w:ascii="Courier New" w:cs="Courier New" w:eastAsia="Courier New" w:hAnsi="Courier New"/>
          <w:sz w:val="15"/>
          <w:szCs w:val="15"/>
          <w:color w:val="auto"/>
        </w:rPr>
        <w:t>[ * ]configuration of the SilkWorm 3200 (not the [ * ] configuration), up to [ * ] in each Supplier [ * ] for use in promoting [ * ] products as more specifically described in the Supplier[ * ]the current revision of which is attached hereto as Exhibit D-1, and subject to the terms and conditions of the [ * ] as they may be provided and amended [ * ] from time to time. HP and Supplier agree that the [ * ] shall be [ * ] to allow for a [ * ] of [ * ] as described in Exhibit D-2.</w:t>
      </w:r>
    </w:p>
    <w:p>
      <w:pPr>
        <w:spacing w:after="0" w:line="179" w:lineRule="exact"/>
        <w:rPr>
          <w:sz w:val="20"/>
          <w:szCs w:val="20"/>
          <w:color w:val="auto"/>
        </w:rPr>
      </w:pPr>
    </w:p>
    <w:p>
      <w:pPr>
        <w:ind w:left="727" w:hanging="727"/>
        <w:spacing w:after="0"/>
        <w:tabs>
          <w:tab w:leader="none" w:pos="727"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addition to the provisions in Article 22 of the Agreement, HP agrees that if this Amendment or the Agreement is terminated due to HP's breach, then HP will reimburse Supplier for its [ * ] to rework HP-customized SilkWorm 3200 units back to Supplier's standard product, as described in exhibit (A-2) hereto. HP's duty to reimburse shall extend only to units within the [ * ] and to units for which HP-requested customization has begun or is completed, up to the number of units in the HP Forecasts as of the termination date.</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3 of 15</w:t>
      </w:r>
    </w:p>
    <w:p>
      <w:pPr>
        <w:sectPr>
          <w:pgSz w:w="11900" w:h="16838" w:orient="portrait"/>
          <w:cols w:equalWidth="0" w:num="1">
            <w:col w:w="10226"/>
          </w:cols>
          <w:pgMar w:left="233" w:top="642" w:right="1440" w:bottom="1440" w:gutter="0" w:footer="0" w:header="0"/>
        </w:sectPr>
      </w:pPr>
    </w:p>
    <w:bookmarkStart w:id="305" w:name="page306"/>
    <w:bookmarkEnd w:id="305"/>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727" w:hanging="727"/>
        <w:spacing w:after="0"/>
        <w:tabs>
          <w:tab w:leader="none" w:pos="727"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MARKETING [ * ]</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In [ * ] of Supplier's marketing activities related to Supplier's 2Gb fibre channel switching technology, HP shall provide [ * ] in the form of (1) an HP</w:t>
      </w:r>
    </w:p>
    <w:p>
      <w:pPr>
        <w:spacing w:after="0" w:line="1" w:lineRule="exact"/>
        <w:rPr>
          <w:sz w:val="20"/>
          <w:szCs w:val="20"/>
          <w:color w:val="auto"/>
        </w:rPr>
      </w:pPr>
    </w:p>
    <w:p>
      <w:pPr>
        <w:ind w:left="7" w:right="3039" w:hanging="7"/>
        <w:spacing w:after="0" w:line="246" w:lineRule="auto"/>
        <w:tabs>
          <w:tab w:leader="none" w:pos="189"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 * ] of Supplier's 2Gb technology specifically as it relates to the 2 SilkWorm 3200 models HP is [ * ], which [ * ] shall be delivered in accordance with HP's standard [ * ] policy and no later than 3/1/02 and (2) an HP [ * ], delivered to Supplier no later than 3/1/02 in support of Supplier's SilkWorm 3200 2Gb technology, which [ * ] may be referenced by Supplier in Supplier's</w:t>
      </w:r>
    </w:p>
    <w:p>
      <w:pPr>
        <w:spacing w:after="0" w:line="3"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27" w:hanging="727"/>
        <w:spacing w:after="0"/>
        <w:tabs>
          <w:tab w:leader="none" w:pos="727"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DATA</w:t>
      </w:r>
    </w:p>
    <w:p>
      <w:pPr>
        <w:spacing w:after="0" w:line="18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As a clarification, Section 6 of Amendment No. 2 to the Agreement ("HP [ * ] DATA") shall apply to all OEM Products, including the SilkWorm 3200.</w:t>
      </w:r>
    </w:p>
    <w:p>
      <w:pPr>
        <w:spacing w:after="0" w:line="175" w:lineRule="exact"/>
        <w:rPr>
          <w:sz w:val="20"/>
          <w:szCs w:val="20"/>
          <w:color w:val="auto"/>
        </w:rPr>
      </w:pPr>
    </w:p>
    <w:p>
      <w:pPr>
        <w:ind w:left="727" w:hanging="727"/>
        <w:spacing w:after="0"/>
        <w:tabs>
          <w:tab w:leader="none" w:pos="727"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Each of the following Exhibits referred to in this Amendment is incorporated in full in this Amendment wherever reference to it is made: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AMENDMENT 3 - EXHIBIT (A) - OEM PRODUCTS AND SPECIFICATIONS</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(A-1) Supplier Product Specifications</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(A-2) HP Configuration Specification Documents</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(A-3) HP Supplier Quality System Requirements</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(A-4) Packaging</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(A-5) Documentation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AMENDMENT 3 - EXHIBIT (B) HP's General Specifications for Environment, [ *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AMENDMENT 3 - EXHIBIT (C) - PRICING AND FEES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AMENDMENT 3 - EXHIBIT (D) -[ * ]</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(D-1) Brocade [ * ] - January 2002</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(D-2) Changes to [ * ]</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4 of 15</w:t>
      </w:r>
    </w:p>
    <w:p>
      <w:pPr>
        <w:sectPr>
          <w:pgSz w:w="11900" w:h="16838" w:orient="portrait"/>
          <w:cols w:equalWidth="0" w:num="1">
            <w:col w:w="10226"/>
          </w:cols>
          <w:pgMar w:left="233" w:top="643" w:right="1440" w:bottom="1440" w:gutter="0" w:footer="0" w:header="0"/>
        </w:sectPr>
      </w:pPr>
    </w:p>
    <w:bookmarkStart w:id="306" w:name="page307"/>
    <w:bookmarkEnd w:id="306"/>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This Amendment may be executed in counterparts each of which will be deemed an original, but both of which together will constitute one and the same instrument. The parties agree that facsimile signatures of the parties will be binding.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374" w:lineRule="exact"/>
        <w:rPr>
          <w:sz w:val="20"/>
          <w:szCs w:val="20"/>
          <w:color w:val="auto"/>
        </w:rPr>
      </w:pPr>
    </w:p>
    <w:p>
      <w:pPr>
        <w:sectPr>
          <w:pgSz w:w="11900" w:h="16838" w:orient="portrait"/>
          <w:cols w:equalWidth="0" w:num="2">
            <w:col w:w="3540" w:space="720"/>
            <w:col w:w="5959"/>
          </w:cols>
          <w:pgMar w:left="240" w:top="642"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Mark E. Favreau</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ectPr>
          <w:pgSz w:w="11900" w:h="16838" w:orient="portrait"/>
          <w:cols w:equalWidth="0" w:num="2">
            <w:col w:w="3540" w:space="720"/>
            <w:col w:w="5959"/>
          </w:cols>
          <w:pgMar w:left="240" w:top="642" w:right="1440" w:bottom="1440" w:gutter="0" w:footer="0" w:header="0"/>
          <w:type w:val="continuous"/>
        </w:sectPr>
      </w:pPr>
    </w:p>
    <w:p>
      <w:pPr>
        <w:ind w:left="4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2"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Mark E. Favreau</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ectPr>
          <w:pgSz w:w="11900" w:h="16838" w:orient="portrait"/>
          <w:cols w:equalWidth="0" w:num="2">
            <w:col w:w="3540" w:space="720"/>
            <w:col w:w="5959"/>
          </w:cols>
          <w:pgMar w:left="240" w:top="642" w:right="1440" w:bottom="1440" w:gutter="0" w:footer="0" w:header="0"/>
          <w:type w:val="continuous"/>
        </w:sectPr>
      </w:pPr>
    </w:p>
    <w:p>
      <w:pPr>
        <w:ind w:left="48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2"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V.P. Global OEM Sales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3540" w:space="720"/>
            <w:col w:w="5959"/>
          </w:cols>
          <w:pgMar w:left="240" w:top="642" w:right="1440" w:bottom="1440" w:gutter="0" w:footer="0" w:header="0"/>
          <w:type w:val="continuous"/>
        </w:sect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SWITZERLAND, SARL.</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5 of 15</w:t>
      </w:r>
    </w:p>
    <w:p>
      <w:pPr>
        <w:sectPr>
          <w:pgSz w:w="11900" w:h="16838" w:orient="portrait"/>
          <w:cols w:equalWidth="0" w:num="1">
            <w:col w:w="10219"/>
          </w:cols>
          <w:pgMar w:left="240" w:top="642" w:right="1440" w:bottom="1440" w:gutter="0" w:footer="0" w:header="0"/>
          <w:type w:val="continuous"/>
        </w:sectPr>
      </w:pPr>
    </w:p>
    <w:bookmarkStart w:id="307" w:name="page308"/>
    <w:bookmarkEnd w:id="307"/>
    <w:p>
      <w:pPr>
        <w:ind w:left="1420"/>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EXHIBIT (A-1)</w:t>
      </w:r>
    </w:p>
    <w:p>
      <w:pPr>
        <w:spacing w:after="0" w:line="5"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Supplier Product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Page 6 of 15</w:t>
      </w:r>
    </w:p>
    <w:p>
      <w:pPr>
        <w:sectPr>
          <w:pgSz w:w="11900" w:h="16838" w:orient="portrait"/>
          <w:cols w:equalWidth="0" w:num="1">
            <w:col w:w="9019"/>
          </w:cols>
          <w:pgMar w:left="1440" w:top="643" w:right="1440" w:bottom="1440" w:gutter="0" w:footer="0" w:header="0"/>
        </w:sectPr>
      </w:pPr>
    </w:p>
    <w:bookmarkStart w:id="308" w:name="page309"/>
    <w:bookmarkEnd w:id="308"/>
    <w:p>
      <w:pPr>
        <w:ind w:left="1340"/>
        <w:spacing w:after="0"/>
        <w:rPr>
          <w:sz w:val="20"/>
          <w:szCs w:val="20"/>
          <w:color w:val="auto"/>
        </w:rPr>
      </w:pPr>
      <w:r>
        <w:rPr>
          <w:rFonts w:ascii="Courier New" w:cs="Courier New" w:eastAsia="Courier New" w:hAnsi="Courier New"/>
          <w:sz w:val="15"/>
          <w:szCs w:val="15"/>
          <w:color w:val="auto"/>
        </w:rPr>
        <w:t>BROCADE / HP CONFIDENTIAL</w:t>
      </w:r>
    </w:p>
    <w:p>
      <w:pPr>
        <w:spacing w:after="0" w:line="200" w:lineRule="exact"/>
        <w:rPr>
          <w:sz w:val="20"/>
          <w:szCs w:val="20"/>
          <w:color w:val="auto"/>
        </w:rPr>
      </w:pPr>
    </w:p>
    <w:p>
      <w:pPr>
        <w:spacing w:after="0" w:line="329"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5"/>
          <w:szCs w:val="15"/>
          <w:color w:val="auto"/>
        </w:rPr>
        <w:t>EXHIBIT (A-2)</w:t>
      </w:r>
    </w:p>
    <w:p>
      <w:pPr>
        <w:spacing w:after="0" w:line="5" w:lineRule="exact"/>
        <w:rPr>
          <w:sz w:val="20"/>
          <w:szCs w:val="20"/>
          <w:color w:val="auto"/>
        </w:rPr>
      </w:pPr>
    </w:p>
    <w:p>
      <w:pPr>
        <w:jc w:val="center"/>
        <w:ind w:right="4159"/>
        <w:spacing w:after="0"/>
        <w:rPr>
          <w:sz w:val="20"/>
          <w:szCs w:val="20"/>
          <w:color w:val="auto"/>
        </w:rPr>
      </w:pPr>
      <w:r>
        <w:rPr>
          <w:rFonts w:ascii="Courier New" w:cs="Courier New" w:eastAsia="Courier New" w:hAnsi="Courier New"/>
          <w:sz w:val="15"/>
          <w:szCs w:val="15"/>
          <w:color w:val="auto"/>
        </w:rPr>
        <w:t>HP Configuration Specification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Page 7 of 15</w:t>
      </w:r>
    </w:p>
    <w:p>
      <w:pPr>
        <w:sectPr>
          <w:pgSz w:w="11900" w:h="16838" w:orient="portrait"/>
          <w:cols w:equalWidth="0" w:num="1">
            <w:col w:w="9019"/>
          </w:cols>
          <w:pgMar w:left="1440" w:top="643" w:right="1440" w:bottom="1440" w:gutter="0" w:footer="0" w:header="0"/>
        </w:sectPr>
      </w:pPr>
    </w:p>
    <w:bookmarkStart w:id="309" w:name="page310"/>
    <w:bookmarkEnd w:id="309"/>
    <w:p>
      <w:pPr>
        <w:ind w:left="1360"/>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EXHIBIT (A-3)</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HP Supplier Quality System Requirements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ADDED SUBJECT TO BROCADE / HP REVIEW AND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Page 8 of 15</w:t>
      </w:r>
    </w:p>
    <w:p>
      <w:pPr>
        <w:sectPr>
          <w:pgSz w:w="11900" w:h="16838" w:orient="portrait"/>
          <w:cols w:equalWidth="0" w:num="1">
            <w:col w:w="9039"/>
          </w:cols>
          <w:pgMar w:left="1420" w:top="642" w:right="1440" w:bottom="1440" w:gutter="0" w:footer="0" w:header="0"/>
        </w:sectPr>
      </w:pPr>
    </w:p>
    <w:bookmarkStart w:id="310" w:name="page311"/>
    <w:bookmarkEnd w:id="310"/>
    <w:p>
      <w:pPr>
        <w:ind w:left="1340"/>
        <w:spacing w:after="0"/>
        <w:rPr>
          <w:sz w:val="20"/>
          <w:szCs w:val="20"/>
          <w:color w:val="auto"/>
        </w:rPr>
      </w:pPr>
      <w:r>
        <w:rPr>
          <w:rFonts w:ascii="Courier New" w:cs="Courier New" w:eastAsia="Courier New" w:hAnsi="Courier New"/>
          <w:sz w:val="15"/>
          <w:szCs w:val="15"/>
          <w:color w:val="auto"/>
        </w:rPr>
        <w:t>BROCADE / HP CONFIDENTIAL</w:t>
      </w:r>
    </w:p>
    <w:p>
      <w:pPr>
        <w:sectPr>
          <w:pgSz w:w="11900" w:h="16838" w:orient="portrait"/>
          <w:cols w:equalWidth="0" w:num="1">
            <w:col w:w="9019"/>
          </w:cols>
          <w:pgMar w:left="1440" w:top="64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EXHIBIT (A-4)</w:t>
      </w:r>
    </w:p>
    <w:p>
      <w:pPr>
        <w:spacing w:after="0" w:line="5"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Page 9 of 15</w:t>
      </w:r>
    </w:p>
    <w:p>
      <w:pPr>
        <w:sectPr>
          <w:pgSz w:w="11900" w:h="16838" w:orient="portrait"/>
          <w:cols w:equalWidth="0" w:num="1">
            <w:col w:w="9019"/>
          </w:cols>
          <w:pgMar w:left="1440" w:top="642" w:right="1440" w:bottom="1440" w:gutter="0" w:footer="0" w:header="0"/>
          <w:type w:val="continuous"/>
        </w:sectPr>
      </w:pPr>
    </w:p>
    <w:bookmarkStart w:id="311" w:name="page312"/>
    <w:bookmarkEnd w:id="311"/>
    <w:p>
      <w:pPr>
        <w:ind w:left="2620"/>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EXHIBIT (A-5)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DOCUMENTATION</w:t>
      </w:r>
    </w:p>
    <w:p>
      <w:pPr>
        <w:spacing w:after="0" w:line="200" w:lineRule="exact"/>
        <w:rPr>
          <w:sz w:val="20"/>
          <w:szCs w:val="20"/>
          <w:color w:val="auto"/>
        </w:rPr>
      </w:pPr>
    </w:p>
    <w:p>
      <w:pPr>
        <w:spacing w:after="0" w:line="329" w:lineRule="exact"/>
        <w:rPr>
          <w:sz w:val="20"/>
          <w:szCs w:val="20"/>
          <w:color w:val="auto"/>
        </w:rPr>
      </w:pPr>
    </w:p>
    <w:p>
      <w:pPr>
        <w:ind w:left="3620" w:hanging="173"/>
        <w:spacing w:after="0"/>
        <w:tabs>
          <w:tab w:leader="none" w:pos="3620"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October 8,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 CHANGES</w:t>
      </w:r>
    </w:p>
    <w:p>
      <w:pPr>
        <w:spacing w:after="0" w:line="180" w:lineRule="exact"/>
        <w:rPr>
          <w:sz w:val="20"/>
          <w:szCs w:val="20"/>
          <w:color w:val="auto"/>
        </w:rPr>
      </w:pPr>
    </w:p>
    <w:p>
      <w:pPr>
        <w:jc w:val="both"/>
        <w:ind w:left="1000" w:right="8779" w:hanging="280"/>
        <w:spacing w:after="0" w:line="266" w:lineRule="auto"/>
        <w:tabs>
          <w:tab w:leader="none" w:pos="1000"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 [ * ] [ * ] [ * ] [ * ] [ * ] [ * ] [ * ] [ * ] [ * ]</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STYLE AND FORMAT</w:t>
      </w:r>
    </w:p>
    <w:p>
      <w:pPr>
        <w:spacing w:after="0" w:line="180" w:lineRule="exact"/>
        <w:rPr>
          <w:sz w:val="20"/>
          <w:szCs w:val="20"/>
          <w:color w:val="auto"/>
        </w:rPr>
      </w:pPr>
    </w:p>
    <w:p>
      <w:pPr>
        <w:jc w:val="both"/>
        <w:ind w:left="1000" w:right="8779" w:hanging="280"/>
        <w:spacing w:after="0" w:line="268" w:lineRule="auto"/>
        <w:tabs>
          <w:tab w:leader="none" w:pos="100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 [ * ] [ * ]</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PROCESS</w:t>
      </w:r>
    </w:p>
    <w:p>
      <w:pPr>
        <w:spacing w:after="0" w:line="180" w:lineRule="exact"/>
        <w:rPr>
          <w:sz w:val="20"/>
          <w:szCs w:val="20"/>
          <w:color w:val="auto"/>
        </w:rPr>
      </w:pPr>
    </w:p>
    <w:p>
      <w:pPr>
        <w:jc w:val="both"/>
        <w:ind w:left="1000" w:right="8779" w:hanging="280"/>
        <w:spacing w:after="0" w:line="270" w:lineRule="auto"/>
        <w:tabs>
          <w:tab w:leader="none" w:pos="100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 [ *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DELIVERY</w:t>
      </w:r>
    </w:p>
    <w:p>
      <w:pPr>
        <w:spacing w:after="0" w:line="180" w:lineRule="exact"/>
        <w:rPr>
          <w:sz w:val="20"/>
          <w:szCs w:val="20"/>
          <w:color w:val="auto"/>
        </w:rPr>
      </w:pPr>
    </w:p>
    <w:p>
      <w:pPr>
        <w:jc w:val="both"/>
        <w:ind w:left="1000" w:right="8779" w:hanging="280"/>
        <w:spacing w:after="0" w:line="273" w:lineRule="auto"/>
        <w:tabs>
          <w:tab w:leader="none" w:pos="1000" w:val="left"/>
        </w:tabs>
        <w:numPr>
          <w:ilvl w:val="1"/>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4"/>
          <w:szCs w:val="14"/>
          <w:color w:val="auto"/>
        </w:rPr>
      </w:pPr>
    </w:p>
    <w:p>
      <w:pPr>
        <w:ind w:left="440" w:right="3419"/>
        <w:spacing w:after="0" w:line="24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Page 10 of 15</w:t>
      </w:r>
    </w:p>
    <w:p>
      <w:pPr>
        <w:sectPr>
          <w:pgSz w:w="11900" w:h="16838" w:orient="portrait"/>
          <w:cols w:equalWidth="0" w:num="1">
            <w:col w:w="10219"/>
          </w:cols>
          <w:pgMar w:left="240" w:top="642" w:right="1440" w:bottom="1440" w:gutter="0" w:footer="0" w:header="0"/>
        </w:sectPr>
      </w:pPr>
    </w:p>
    <w:bookmarkStart w:id="312" w:name="page313"/>
    <w:bookmarkEnd w:id="312"/>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HP's General Specifications for Environment,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7" w:right="2959" w:hanging="447"/>
        <w:spacing w:after="0" w:line="247" w:lineRule="auto"/>
        <w:tabs>
          <w:tab w:leader="none" w:pos="447"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11 of 15</w:t>
      </w:r>
    </w:p>
    <w:p>
      <w:pPr>
        <w:sectPr>
          <w:pgSz w:w="11900" w:h="16838" w:orient="portrait"/>
          <w:cols w:equalWidth="0" w:num="1">
            <w:col w:w="10226"/>
          </w:cols>
          <w:pgMar w:left="233" w:top="642" w:right="1440" w:bottom="1440" w:gutter="0" w:footer="0" w:header="0"/>
        </w:sectPr>
      </w:pPr>
    </w:p>
    <w:bookmarkStart w:id="313" w:name="page314"/>
    <w:bookmarkEnd w:id="313"/>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PRICING</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ENTERPRISE - SILKWORM 3200 SWITCH OEM PRODUCT PRICING.</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HP PART DESCRIPTION: [HP private-label</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name pending] (8-Port Fibre Channel</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Fabric Switch)</w:t>
            </w:r>
          </w:p>
        </w:tc>
        <w:tc>
          <w:tcPr>
            <w:tcW w:w="2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SUPPLIER MODEL NO./DESCRIPTION: [*]</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699"/>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4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HP PURCHASE PRICE</w:t>
            </w:r>
          </w:p>
        </w:tc>
      </w:tr>
      <w:tr>
        <w:trPr>
          <w:trHeight w:val="350"/>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524"/>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ENTRY SILKWORM 3200 SWITCH OEM PRODUCT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PRICING.</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HP PART DESCRIPTION: [HP private-label</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name pending] (8-Port Fibre Channel</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Fabric Switch)</w:t>
            </w:r>
          </w:p>
        </w:tc>
        <w:tc>
          <w:tcPr>
            <w:tcW w:w="2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SUPPLIER MODEL NO./DESCRIPTION: [*]</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699"/>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4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HP PURCHASE PRICE</w:t>
            </w:r>
          </w:p>
        </w:tc>
      </w:tr>
      <w:tr>
        <w:trPr>
          <w:trHeight w:val="350"/>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524"/>
        </w:trPr>
        <w:tc>
          <w:tcPr>
            <w:tcW w:w="3260" w:type="dxa"/>
            <w:vAlign w:val="bottom"/>
          </w:tcPr>
          <w:p>
            <w:pPr>
              <w:spacing w:after="0"/>
              <w:rPr>
                <w:sz w:val="20"/>
                <w:szCs w:val="20"/>
                <w:color w:val="auto"/>
              </w:rPr>
            </w:pPr>
            <w:r>
              <w:rPr>
                <w:rFonts w:ascii="Courier New" w:cs="Courier New" w:eastAsia="Courier New" w:hAnsi="Courier New"/>
                <w:sz w:val="15"/>
                <w:szCs w:val="15"/>
                <w:color w:val="auto"/>
              </w:rPr>
              <w:t>BROCADE SILKWORM SWITCH UPGRADE</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HP PART DESCRIPTION: [HP private-label</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name pending]</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SUPPLIER MODEL NO./DESCRIPTION: [*]</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699"/>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HP Upgrade Purchase Price</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FABRIC SOFTWARE OEM PRODUCT PER-COPY FEES.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HP PART DESCRIPTION: [HP private-label</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name pending]</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SUPPLIER MODEL NO./DESCRIPTION:</w:t>
            </w:r>
          </w:p>
        </w:tc>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524"/>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HP per-license fee: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447" w:right="2959" w:hanging="447"/>
        <w:spacing w:after="0" w:line="247" w:lineRule="auto"/>
        <w:tabs>
          <w:tab w:leader="none" w:pos="44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Page 12 of 15</w:t>
      </w:r>
    </w:p>
    <w:p>
      <w:pPr>
        <w:sectPr>
          <w:pgSz w:w="11900" w:h="16838" w:orient="portrait"/>
          <w:cols w:equalWidth="0" w:num="1">
            <w:col w:w="10226"/>
          </w:cols>
          <w:pgMar w:left="233" w:top="468" w:right="1440" w:bottom="1440" w:gutter="0" w:footer="0" w:header="0"/>
        </w:sectPr>
      </w:pPr>
    </w:p>
    <w:bookmarkStart w:id="314" w:name="page315"/>
    <w:bookmarkEnd w:id="314"/>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200" w:lineRule="exact"/>
        <w:rPr>
          <w:sz w:val="20"/>
          <w:szCs w:val="20"/>
          <w:color w:val="auto"/>
        </w:rPr>
      </w:pPr>
    </w:p>
    <w:p>
      <w:pPr>
        <w:spacing w:after="0" w:line="32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(D-1)</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BROCADE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7" w:right="2959" w:hanging="447"/>
        <w:spacing w:after="0" w:line="247" w:lineRule="auto"/>
        <w:tabs>
          <w:tab w:leader="none" w:pos="447"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13 of 15</w:t>
      </w:r>
    </w:p>
    <w:p>
      <w:pPr>
        <w:sectPr>
          <w:pgSz w:w="11900" w:h="16838" w:orient="portrait"/>
          <w:cols w:equalWidth="0" w:num="1">
            <w:col w:w="10226"/>
          </w:cols>
          <w:pgMar w:left="233" w:top="817" w:right="1440" w:bottom="1440" w:gutter="0" w:footer="0" w:header="0"/>
        </w:sectPr>
      </w:pPr>
    </w:p>
    <w:bookmarkStart w:id="315" w:name="page316"/>
    <w:bookmarkEnd w:id="315"/>
    <w:p>
      <w:pPr>
        <w:jc w:val="center"/>
        <w:ind w:right="2872"/>
        <w:spacing w:after="0"/>
        <w:rPr>
          <w:sz w:val="20"/>
          <w:szCs w:val="20"/>
          <w:color w:val="auto"/>
        </w:rPr>
      </w:pPr>
      <w:r>
        <w:rPr>
          <w:rFonts w:ascii="Courier New" w:cs="Courier New" w:eastAsia="Courier New" w:hAnsi="Courier New"/>
          <w:sz w:val="15"/>
          <w:szCs w:val="15"/>
          <w:color w:val="auto"/>
        </w:rPr>
        <w:t>BROCADE/HP CONFIDENTIAL</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(D-2)</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CHANGES TO [ *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BACKGROUND: HP and Supplier would like to amend the [ * ] to allow HP to use its</w:t>
      </w:r>
    </w:p>
    <w:p>
      <w:pPr>
        <w:spacing w:after="0" w:line="5" w:lineRule="exact"/>
        <w:rPr>
          <w:sz w:val="20"/>
          <w:szCs w:val="20"/>
          <w:color w:val="auto"/>
        </w:rPr>
      </w:pPr>
    </w:p>
    <w:p>
      <w:pPr>
        <w:ind w:left="7" w:right="3139" w:hanging="7"/>
        <w:spacing w:after="0" w:line="246" w:lineRule="auto"/>
        <w:tabs>
          <w:tab w:leader="none" w:pos="189"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for a [ * ] until Brocade issues the end of life notice for the SilkWorm 3200 ("3200 EOL"). Thereafter, HP and Brocade intend for HP to use its [ * ] only as described in the unmodified [ * ]. Except as modified by the Amended Terms below, the [ * ] remain unchanged.</w:t>
      </w:r>
    </w:p>
    <w:p>
      <w:pPr>
        <w:spacing w:after="0" w:line="3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AMENDED TERMS: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3599"/>
        <w:spacing w:after="0" w:line="247" w:lineRule="auto"/>
        <w:rPr>
          <w:sz w:val="20"/>
          <w:szCs w:val="20"/>
          <w:color w:val="auto"/>
        </w:rPr>
      </w:pPr>
      <w:r>
        <w:rPr>
          <w:rFonts w:ascii="Courier New" w:cs="Courier New" w:eastAsia="Courier New" w:hAnsi="Courier New"/>
          <w:sz w:val="15"/>
          <w:szCs w:val="15"/>
          <w:color w:val="auto"/>
        </w:rPr>
        <w:t>The provisions of this Amendment governing [ * ] DATA shall supercede the section of the Guideline titled [ * ] Reports.</w:t>
      </w:r>
    </w:p>
    <w:p>
      <w:pPr>
        <w:spacing w:after="0" w:line="175"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During the pre-approval process for each [ * ] Activity, HP and Brocade will mutually agree upon whether a [ * ] or [ * ] will be used to [ * ] the initiative.</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From the Effective Date of this Amendment until 3200 EOL, the section of the</w:t>
      </w:r>
    </w:p>
    <w:p>
      <w:pPr>
        <w:spacing w:after="0" w:line="5" w:lineRule="exact"/>
        <w:rPr>
          <w:sz w:val="20"/>
          <w:szCs w:val="20"/>
          <w:color w:val="auto"/>
        </w:rPr>
      </w:pPr>
    </w:p>
    <w:p>
      <w:pPr>
        <w:ind w:left="7" w:right="3779" w:hanging="7"/>
        <w:spacing w:after="0" w:line="247" w:lineRule="auto"/>
        <w:tabs>
          <w:tab w:leader="none" w:pos="189"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entitled [ * ] is replaced with the following. After 3200 EOL the original, unmodified section shall apply:</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To qualify for Brocade [ * ] the marketing activity must be directed at promoting and supporting Brocade products. To the extent that an activity promotes a SAN solution and involves other vendor offerings, Brocade must be shown as the [ * ].</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Brocade [ * ] is available to [ * ] general types of marketing activities with HP worldwide. These are [ * ] known as [ * ] marketing and [ * ] known as [ * ] marketing. Up to [ * ] of the prior [ * ] with a maximum of [ * ] per [ * ] can be used for pre-approved [ * ] marketing activities.</w:t>
      </w:r>
    </w:p>
    <w:p>
      <w:pPr>
        <w:spacing w:after="0" w:line="17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All activities must be mutually agreed upon in writing by Brocade and the OEM prior to moving forward on them in order for Brocade [ * ] to be used for [ * ]. The following [ * ] activities qualify under the Brocade [ * ] when pre-approved in writing by Brocade:</w:t>
      </w:r>
    </w:p>
    <w:p>
      <w:pPr>
        <w:spacing w:after="0" w:line="177" w:lineRule="exact"/>
        <w:rPr>
          <w:sz w:val="20"/>
          <w:szCs w:val="20"/>
          <w:color w:val="auto"/>
        </w:rPr>
      </w:pPr>
    </w:p>
    <w:p>
      <w:pPr>
        <w:ind w:left="907" w:hanging="180"/>
        <w:spacing w:after="0"/>
        <w:tabs>
          <w:tab w:leader="none" w:pos="907" w:val="left"/>
        </w:tabs>
        <w:numPr>
          <w:ilvl w:val="1"/>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qualifying marketing activities:</w:t>
      </w:r>
    </w:p>
    <w:p>
      <w:pPr>
        <w:spacing w:after="0" w:line="4"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jc w:val="both"/>
        <w:ind w:left="1907" w:right="7859" w:hanging="544"/>
        <w:spacing w:after="0" w:line="246" w:lineRule="auto"/>
        <w:tabs>
          <w:tab w:leader="none" w:pos="1907" w:val="left"/>
        </w:tabs>
        <w:numPr>
          <w:ilvl w:val="2"/>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 [ * ] [ * ] [ * ] [ * ]</w:t>
      </w:r>
    </w:p>
    <w:p>
      <w:pPr>
        <w:spacing w:after="0" w:line="35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 CONFIDENTIAL TREATMENT HAS BEEN REQUESTED WITH RESPECT TO THE OMITTED PORTIONS.</w:t>
      </w:r>
    </w:p>
    <w:p>
      <w:pPr>
        <w:spacing w:after="0" w:line="34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14 of 15</w:t>
      </w:r>
    </w:p>
    <w:p>
      <w:pPr>
        <w:sectPr>
          <w:pgSz w:w="11900" w:h="16838" w:orient="portrait"/>
          <w:cols w:equalWidth="0" w:num="1">
            <w:col w:w="10226"/>
          </w:cols>
          <w:pgMar w:left="233" w:top="643" w:right="1440" w:bottom="1440" w:gutter="0" w:footer="0" w:header="0"/>
        </w:sectPr>
      </w:pPr>
    </w:p>
    <w:bookmarkStart w:id="316" w:name="page317"/>
    <w:bookmarkEnd w:id="316"/>
    <w:p>
      <w:pPr>
        <w:ind w:left="2627"/>
        <w:spacing w:after="0"/>
        <w:rPr>
          <w:sz w:val="20"/>
          <w:szCs w:val="20"/>
          <w:color w:val="auto"/>
        </w:rPr>
      </w:pPr>
      <w:r>
        <w:rPr>
          <w:rFonts w:ascii="Courier New" w:cs="Courier New" w:eastAsia="Courier New" w:hAnsi="Courier New"/>
          <w:sz w:val="15"/>
          <w:szCs w:val="15"/>
          <w:color w:val="auto"/>
        </w:rPr>
        <w:t>BROCADE/HP CONFIDENTIAL</w:t>
      </w:r>
    </w:p>
    <w:p>
      <w:pPr>
        <w:spacing w:after="0" w:line="200" w:lineRule="exact"/>
        <w:rPr>
          <w:sz w:val="20"/>
          <w:szCs w:val="20"/>
          <w:color w:val="auto"/>
        </w:rPr>
      </w:pPr>
    </w:p>
    <w:p>
      <w:pPr>
        <w:spacing w:after="0" w:line="329" w:lineRule="exact"/>
        <w:rPr>
          <w:sz w:val="20"/>
          <w:szCs w:val="20"/>
          <w:color w:val="auto"/>
        </w:rPr>
      </w:pPr>
    </w:p>
    <w:p>
      <w:pPr>
        <w:ind w:left="1907" w:hanging="544"/>
        <w:spacing w:after="0"/>
        <w:tabs>
          <w:tab w:leader="none" w:pos="1907"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907" w:hanging="180"/>
        <w:spacing w:after="0"/>
        <w:tabs>
          <w:tab w:leader="none" w:pos="907"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qualifying marketing activities:</w:t>
      </w:r>
    </w:p>
    <w:p>
      <w:pPr>
        <w:spacing w:after="0" w:line="4"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left="1907" w:right="7859" w:hanging="544"/>
        <w:spacing w:after="0" w:line="247" w:lineRule="auto"/>
        <w:tabs>
          <w:tab w:leader="none" w:pos="1907"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 * ]</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Any activity that does not fall within these [ * ], yet which the OEM views as</w:t>
      </w:r>
    </w:p>
    <w:p>
      <w:pPr>
        <w:spacing w:after="0" w:line="5" w:lineRule="exact"/>
        <w:rPr>
          <w:sz w:val="20"/>
          <w:szCs w:val="20"/>
          <w:color w:val="auto"/>
        </w:rPr>
      </w:pPr>
    </w:p>
    <w:p>
      <w:pPr>
        <w:ind w:left="7" w:right="3139" w:hanging="7"/>
        <w:spacing w:after="0" w:line="246" w:lineRule="auto"/>
        <w:tabs>
          <w:tab w:leader="none" w:pos="189"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Brocade solutions, should be discussed with the Brocade OEM account team to determine if that activity could be designated as a qualifying activity. Brocade may determine if such proposed activities are qualifying activities at its sole discretion on a case-by-case basis.</w:t>
      </w:r>
    </w:p>
    <w:p>
      <w:pPr>
        <w:spacing w:after="0" w:line="177"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Detailed information regarding eligible reimbursable activities can be found on PAGES 4-9 of the [ * ]</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7" w:right="2959" w:hanging="447"/>
        <w:spacing w:after="0" w:line="247" w:lineRule="auto"/>
        <w:tabs>
          <w:tab w:leader="none" w:pos="447"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AMENDMENT NO. 3</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Page 15 of 15</w:t>
      </w:r>
    </w:p>
    <w:p>
      <w:pPr>
        <w:sectPr>
          <w:pgSz w:w="11900" w:h="16838" w:orient="portrait"/>
          <w:cols w:equalWidth="0" w:num="1">
            <w:col w:w="10226"/>
          </w:cols>
          <w:pgMar w:left="233" w:top="642" w:right="1440" w:bottom="1440" w:gutter="0" w:footer="0" w:header="0"/>
        </w:sectPr>
      </w:pPr>
    </w:p>
    <w:bookmarkStart w:id="317" w:name="page318"/>
    <w:bookmarkEnd w:id="317"/>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10.45</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AMENDMENT NO. 4</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OEM PURCHASE AGREEMENT</w:t>
      </w:r>
    </w:p>
    <w:p>
      <w:pPr>
        <w:spacing w:after="0" w:line="35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This Amendment No. 4 (the "Amendment") to the OEM Purchase Agreement (the "Agreement") dated April 20, 2001, by and between HEWLETT-PACKARD COMPANY, a Delaware corporation having its principal place of business at 3000 Hanover Street, Palo Alto, California 94304 ("HP") and BROCADE COMMUNICATIONS SYSTEMS, INC., a Delaware corporation, having its principal place of business at 1745 Technology Drive, San Jose, California 95110, and Brocade Communications Systems Switzerland SarL, a corporation organized under the laws of Geneva, and having its principal place of business at 29-31 Route de l'Aeroport, CH-1205 Geneva, Switzerland (collectively "Supplier") is entered into by HP and Supplier effective as of June 5, 2002 (the "Effective Date"). This Amendment is a Product Addendum as described in Section 2.18 of the Agreement. The parties hereby agree as follows:</w:t>
      </w:r>
    </w:p>
    <w:p>
      <w:pPr>
        <w:spacing w:after="0" w:line="182"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Except as expressly amended herein all unmodified and remaining terms and conditions of the Agreement shall remain in full force and effect. All capitalized terms not defined in this Amendment shall have the meaning set forth in the Agreement. In the event a conflict between the Agreement and this Amendment, the terms of this Amendment shall govern.</w:t>
      </w:r>
    </w:p>
    <w:p>
      <w:pPr>
        <w:spacing w:after="0" w:line="178"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WHEREAS, HP and Supplier wish to include the SilkWorm 12000 and related products as additional OEM Products, and terms specific to those additional products;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TRAINING</w:t>
      </w:r>
    </w:p>
    <w:p>
      <w:pPr>
        <w:spacing w:after="0" w:line="180" w:lineRule="exact"/>
        <w:rPr>
          <w:sz w:val="20"/>
          <w:szCs w:val="20"/>
          <w:color w:val="auto"/>
        </w:rPr>
      </w:pPr>
    </w:p>
    <w:p>
      <w:pPr>
        <w:ind w:left="827" w:right="2959" w:hanging="453"/>
        <w:spacing w:after="0" w:line="246" w:lineRule="auto"/>
        <w:tabs>
          <w:tab w:leader="none" w:pos="806" w:val="left"/>
        </w:tabs>
        <w:rPr>
          <w:sz w:val="20"/>
          <w:szCs w:val="20"/>
          <w:color w:val="auto"/>
        </w:rPr>
      </w:pPr>
      <w:r>
        <w:rPr>
          <w:rFonts w:ascii="Courier New" w:cs="Courier New" w:eastAsia="Courier New" w:hAnsi="Courier New"/>
          <w:sz w:val="15"/>
          <w:szCs w:val="15"/>
          <w:color w:val="auto"/>
        </w:rPr>
        <w:t>1.1</w:t>
        <w:tab/>
        <w:t>Technical &amp; Presales Training. Supplier shall provide to HP, [*] in Supplier's technical training course, AFS 212, on installation and configuration of the Silkworm 12000 during the Term of this Agreement. Such training shall take place at Supplier's San Jose location and in accordance with the published schedule for the AFS 212 training class on the Supplier web site at Brocade.com. In addition, Supplier shall provide [*] licenses for the AFS 212 class course material in exchange for the equipment as described below in Section 1.4. Supplier shall also make available to HP the FRP 212 course for break/fix training for [*].</w:t>
      </w:r>
    </w:p>
    <w:p>
      <w:pPr>
        <w:spacing w:after="0" w:line="181" w:lineRule="exact"/>
        <w:rPr>
          <w:sz w:val="20"/>
          <w:szCs w:val="20"/>
          <w:color w:val="auto"/>
        </w:rPr>
      </w:pPr>
    </w:p>
    <w:p>
      <w:pPr>
        <w:ind w:left="827" w:right="3039"/>
        <w:spacing w:after="0" w:line="246" w:lineRule="auto"/>
        <w:rPr>
          <w:sz w:val="20"/>
          <w:szCs w:val="20"/>
          <w:color w:val="auto"/>
        </w:rPr>
      </w:pPr>
      <w:r>
        <w:rPr>
          <w:rFonts w:ascii="Courier New" w:cs="Courier New" w:eastAsia="Courier New" w:hAnsi="Courier New"/>
          <w:sz w:val="15"/>
          <w:szCs w:val="15"/>
          <w:color w:val="auto"/>
        </w:rPr>
        <w:t>Supplier will maintain a designated training contact for HP SAN University personnel, and will provide technical support for, and a qualified Supplier training resource (including but not limited to a system engineer) to participate in, the [*] taught by HP utilizing the training provided hereunder by</w:t>
      </w:r>
    </w:p>
    <w:p>
      <w:pPr>
        <w:spacing w:after="0" w:line="353" w:lineRule="exact"/>
        <w:rPr>
          <w:sz w:val="20"/>
          <w:szCs w:val="20"/>
          <w:color w:val="auto"/>
        </w:rPr>
      </w:pPr>
    </w:p>
    <w:p>
      <w:pPr>
        <w:ind w:left="187" w:right="3219" w:hanging="187"/>
        <w:spacing w:after="0" w:line="247" w:lineRule="auto"/>
        <w:tabs>
          <w:tab w:leader="none" w:pos="18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AMENDMENT NO. 4</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Page 1 of 4</w:t>
      </w:r>
    </w:p>
    <w:p>
      <w:pPr>
        <w:sectPr>
          <w:pgSz w:w="11900" w:h="16838" w:orient="portrait"/>
          <w:cols w:equalWidth="0" w:num="1">
            <w:col w:w="10226"/>
          </w:cols>
          <w:pgMar w:left="233" w:top="316" w:right="1440" w:bottom="1440" w:gutter="0" w:footer="0" w:header="0"/>
        </w:sectPr>
      </w:pPr>
    </w:p>
    <w:bookmarkStart w:id="318" w:name="page319"/>
    <w:bookmarkEnd w:id="318"/>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200" w:lineRule="exact"/>
        <w:rPr>
          <w:sz w:val="20"/>
          <w:szCs w:val="20"/>
          <w:color w:val="auto"/>
        </w:rPr>
      </w:pPr>
    </w:p>
    <w:p>
      <w:pPr>
        <w:spacing w:after="0" w:line="329" w:lineRule="exact"/>
        <w:rPr>
          <w:sz w:val="20"/>
          <w:szCs w:val="20"/>
          <w:color w:val="auto"/>
        </w:rPr>
      </w:pPr>
    </w:p>
    <w:p>
      <w:pPr>
        <w:ind w:left="827" w:right="3139"/>
        <w:spacing w:after="0" w:line="246" w:lineRule="auto"/>
        <w:rPr>
          <w:sz w:val="20"/>
          <w:szCs w:val="20"/>
          <w:color w:val="auto"/>
        </w:rPr>
      </w:pPr>
      <w:r>
        <w:rPr>
          <w:rFonts w:ascii="Courier New" w:cs="Courier New" w:eastAsia="Courier New" w:hAnsi="Courier New"/>
          <w:sz w:val="15"/>
          <w:szCs w:val="15"/>
          <w:color w:val="auto"/>
        </w:rPr>
        <w:t>Supplier. Such classes will be up to [*] days in length. HP will be responsible for reasonable travel and expenses incurred by Supplier's training resource. Other training (including without limitation Supplier's Educational Services technical training) may be provided upon mutually agreed terms and conditions.</w:t>
      </w:r>
    </w:p>
    <w:p>
      <w:pPr>
        <w:spacing w:after="0" w:line="178" w:lineRule="exact"/>
        <w:rPr>
          <w:sz w:val="20"/>
          <w:szCs w:val="20"/>
          <w:color w:val="auto"/>
        </w:rPr>
      </w:pPr>
    </w:p>
    <w:p>
      <w:pPr>
        <w:ind w:left="827" w:right="3039" w:hanging="453"/>
        <w:spacing w:after="0" w:line="246" w:lineRule="auto"/>
        <w:tabs>
          <w:tab w:leader="none" w:pos="806" w:val="left"/>
        </w:tabs>
        <w:rPr>
          <w:sz w:val="20"/>
          <w:szCs w:val="20"/>
          <w:color w:val="auto"/>
        </w:rPr>
      </w:pPr>
      <w:r>
        <w:rPr>
          <w:rFonts w:ascii="Courier New" w:cs="Courier New" w:eastAsia="Courier New" w:hAnsi="Courier New"/>
          <w:sz w:val="15"/>
          <w:szCs w:val="15"/>
          <w:color w:val="auto"/>
        </w:rPr>
        <w:t>1.2</w:t>
        <w:tab/>
        <w:t>HP Training Requirement. HP shall use its commercially reasonable efforts to conduct, no later than [*] after the Effective Date of this Amendment, internal training courses on the Silkworm 12000 sufficient to cover no less than [*] HP personnel in order to allow HP to become fully familiar with the Silkworm 12000 and its market.</w:t>
      </w:r>
    </w:p>
    <w:p>
      <w:pPr>
        <w:spacing w:after="0" w:line="178" w:lineRule="exact"/>
        <w:rPr>
          <w:sz w:val="20"/>
          <w:szCs w:val="20"/>
          <w:color w:val="auto"/>
        </w:rPr>
      </w:pPr>
    </w:p>
    <w:p>
      <w:pPr>
        <w:jc w:val="both"/>
        <w:ind w:left="827" w:right="3139" w:hanging="453"/>
        <w:spacing w:after="0" w:line="246" w:lineRule="auto"/>
        <w:tabs>
          <w:tab w:leader="none" w:pos="806" w:val="left"/>
        </w:tabs>
        <w:rPr>
          <w:sz w:val="20"/>
          <w:szCs w:val="20"/>
          <w:color w:val="auto"/>
        </w:rPr>
      </w:pPr>
      <w:r>
        <w:rPr>
          <w:rFonts w:ascii="Courier New" w:cs="Courier New" w:eastAsia="Courier New" w:hAnsi="Courier New"/>
          <w:sz w:val="15"/>
          <w:szCs w:val="15"/>
          <w:color w:val="auto"/>
        </w:rPr>
        <w:t>1.3</w:t>
        <w:tab/>
        <w:t>It is understood between HP and Supplier that the following equipment has been provided to Supplier by HP as consideration for the AFS 212 course training materials provided by Supplier to HP as identified in Section 1.1 above: [*].</w:t>
      </w:r>
    </w:p>
    <w:p>
      <w:pPr>
        <w:spacing w:after="0" w:line="177" w:lineRule="exact"/>
        <w:rPr>
          <w:sz w:val="20"/>
          <w:szCs w:val="20"/>
          <w:color w:val="auto"/>
        </w:rPr>
      </w:pPr>
    </w:p>
    <w:p>
      <w:pPr>
        <w:ind w:left="827" w:hanging="463"/>
        <w:spacing w:after="0"/>
        <w:tabs>
          <w:tab w:leader="none" w:pos="827"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DOCUMENTATION</w:t>
      </w:r>
    </w:p>
    <w:p>
      <w:pPr>
        <w:spacing w:after="0" w:line="180" w:lineRule="exact"/>
        <w:rPr>
          <w:sz w:val="20"/>
          <w:szCs w:val="20"/>
          <w:color w:val="auto"/>
        </w:rPr>
      </w:pPr>
    </w:p>
    <w:p>
      <w:pPr>
        <w:ind w:left="827" w:right="3139" w:hanging="453"/>
        <w:spacing w:after="0" w:line="246" w:lineRule="auto"/>
        <w:tabs>
          <w:tab w:leader="none" w:pos="806" w:val="left"/>
        </w:tabs>
        <w:rPr>
          <w:sz w:val="20"/>
          <w:szCs w:val="20"/>
          <w:color w:val="auto"/>
        </w:rPr>
      </w:pPr>
      <w:r>
        <w:rPr>
          <w:rFonts w:ascii="Courier New" w:cs="Courier New" w:eastAsia="Courier New" w:hAnsi="Courier New"/>
          <w:sz w:val="15"/>
          <w:szCs w:val="15"/>
          <w:color w:val="auto"/>
        </w:rPr>
        <w:t>2.1</w:t>
        <w:tab/>
        <w:t>Preparation of Documentation. Supplier shall provide HP Supplier's standard documentation for the SilkWorm 12000 ("Documentation") [*]. Such Documentation will include planning, installation and operation, and service and user guides. Supplier shall retain ownership of such Documentation.</w:t>
      </w:r>
    </w:p>
    <w:p>
      <w:pPr>
        <w:spacing w:after="0" w:line="178" w:lineRule="exact"/>
        <w:rPr>
          <w:sz w:val="20"/>
          <w:szCs w:val="20"/>
          <w:color w:val="auto"/>
        </w:rPr>
      </w:pPr>
    </w:p>
    <w:p>
      <w:pPr>
        <w:ind w:left="827" w:right="2959" w:hanging="453"/>
        <w:spacing w:after="0" w:line="246" w:lineRule="auto"/>
        <w:tabs>
          <w:tab w:leader="none" w:pos="806" w:val="left"/>
        </w:tabs>
        <w:rPr>
          <w:sz w:val="20"/>
          <w:szCs w:val="20"/>
          <w:color w:val="auto"/>
        </w:rPr>
      </w:pPr>
      <w:r>
        <w:rPr>
          <w:rFonts w:ascii="Courier New" w:cs="Courier New" w:eastAsia="Courier New" w:hAnsi="Courier New"/>
          <w:sz w:val="15"/>
          <w:szCs w:val="15"/>
          <w:color w:val="auto"/>
        </w:rPr>
        <w:t>2.2</w:t>
        <w:tab/>
        <w:t>License to Documentation. Supplier shall provide HP with master copies of the Documentation in both hard copy and electronic form. Except as otherwise provided and subject to the retention of all copyright notices and/or confidentiality legends, HP shall have the right to [*] for use internally by its employees, contract employees, and resellers. HP shall also have the right to [*] from the masters supplied to it by Supplier for distribution to purchasers of the HP version of the SilkWorm 12000. HP shall not have the right to [*] except to [*] HP part numbers and/or product names. HP shall provide Supplier with a copy of such [*] Product documentation for [*], and Supplier agrees to perform such [*] on the [*] of any release within [*] of receipt of such [*] If verification is not received by HP within [*] of Supplier's receipt of such [*] Product documentation, said [*] Product documentation will be deemed to have been verified and consented to by Supplier. Supplier's verification of the [*] Documentation is for Supplier's internal purposes only, and HP will not rely on such verification for any purposes. Further, HP shall have the right to distribute such Product documentation and software media to its resellers and end user customers. The Licenses granted in this Article 2.2 shall continue during the term of this Amendment and for [*] after the date of last shipment by HP of the Products purchased under this Amendment.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7" w:right="3039" w:hanging="367"/>
        <w:spacing w:after="0" w:line="247" w:lineRule="auto"/>
        <w:tabs>
          <w:tab w:leader="none" w:pos="367"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AMENDMENT NO. 4</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Page 2 of 4</w:t>
      </w:r>
    </w:p>
    <w:p>
      <w:pPr>
        <w:sectPr>
          <w:pgSz w:w="11900" w:h="16838" w:orient="portrait"/>
          <w:cols w:equalWidth="0" w:num="1">
            <w:col w:w="10226"/>
          </w:cols>
          <w:pgMar w:left="233" w:top="642" w:right="1440" w:bottom="1440" w:gutter="0" w:footer="0" w:header="0"/>
        </w:sectPr>
      </w:pPr>
    </w:p>
    <w:bookmarkStart w:id="319" w:name="page320"/>
    <w:bookmarkEnd w:id="319"/>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200" w:lineRule="exact"/>
        <w:rPr>
          <w:sz w:val="20"/>
          <w:szCs w:val="20"/>
          <w:color w:val="auto"/>
        </w:rPr>
      </w:pPr>
    </w:p>
    <w:p>
      <w:pPr>
        <w:spacing w:after="0" w:line="329" w:lineRule="exact"/>
        <w:rPr>
          <w:sz w:val="20"/>
          <w:szCs w:val="20"/>
          <w:color w:val="auto"/>
        </w:rPr>
      </w:pPr>
    </w:p>
    <w:p>
      <w:pPr>
        <w:ind w:left="827" w:hanging="463"/>
        <w:spacing w:after="0"/>
        <w:tabs>
          <w:tab w:leader="none" w:pos="827"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DATA</w:t>
      </w:r>
    </w:p>
    <w:p>
      <w:pPr>
        <w:spacing w:after="0" w:line="179" w:lineRule="exact"/>
        <w:rPr>
          <w:rFonts w:ascii="Courier New" w:cs="Courier New" w:eastAsia="Courier New" w:hAnsi="Courier New"/>
          <w:sz w:val="15"/>
          <w:szCs w:val="15"/>
          <w:color w:val="auto"/>
        </w:rPr>
      </w:pPr>
    </w:p>
    <w:p>
      <w:pPr>
        <w:ind w:left="82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clarification, Section 6 of Amendment 2 to the Agreement ("HP [*] DATA") shall apply to all OEM Products, including the SilkWorm 12000.</w:t>
      </w:r>
    </w:p>
    <w:p>
      <w:pPr>
        <w:spacing w:after="0" w:line="174" w:lineRule="exact"/>
        <w:rPr>
          <w:rFonts w:ascii="Courier New" w:cs="Courier New" w:eastAsia="Courier New" w:hAnsi="Courier New"/>
          <w:sz w:val="15"/>
          <w:szCs w:val="15"/>
          <w:color w:val="auto"/>
        </w:rPr>
      </w:pPr>
    </w:p>
    <w:p>
      <w:pPr>
        <w:ind w:left="827" w:hanging="463"/>
        <w:spacing w:after="0"/>
        <w:tabs>
          <w:tab w:leader="none" w:pos="827"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w:t>
      </w:r>
    </w:p>
    <w:p>
      <w:pPr>
        <w:spacing w:after="0" w:line="179" w:lineRule="exact"/>
        <w:rPr>
          <w:rFonts w:ascii="Courier New" w:cs="Courier New" w:eastAsia="Courier New" w:hAnsi="Courier New"/>
          <w:sz w:val="15"/>
          <w:szCs w:val="15"/>
          <w:color w:val="auto"/>
        </w:rPr>
      </w:pPr>
    </w:p>
    <w:p>
      <w:pPr>
        <w:ind w:left="82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Article 16 of the Agreement, Supplier shall use its commercially reasonable efforts to ensure that the SilkWorm 12000 and its packaging will comply with HP's General Specifications for Environment, [*], attached hereto as Exhibit (B) and incorporated herein by reference, provided however that those provision(s) of HP's General Specifications for Environment relating to batteries shall not apply.</w:t>
      </w:r>
    </w:p>
    <w:p>
      <w:pPr>
        <w:spacing w:after="0" w:line="179" w:lineRule="exact"/>
        <w:rPr>
          <w:sz w:val="20"/>
          <w:szCs w:val="20"/>
          <w:color w:val="auto"/>
        </w:rPr>
      </w:pPr>
    </w:p>
    <w:p>
      <w:pPr>
        <w:ind w:left="827" w:hanging="463"/>
        <w:spacing w:after="0"/>
        <w:tabs>
          <w:tab w:leader="none" w:pos="827"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INVENTORY</w:t>
      </w:r>
    </w:p>
    <w:p>
      <w:pPr>
        <w:spacing w:after="0" w:line="180" w:lineRule="exact"/>
        <w:rPr>
          <w:sz w:val="20"/>
          <w:szCs w:val="20"/>
          <w:color w:val="auto"/>
        </w:rPr>
      </w:pPr>
    </w:p>
    <w:p>
      <w:pPr>
        <w:jc w:val="both"/>
        <w:ind w:left="827" w:right="3139" w:hanging="9"/>
        <w:spacing w:after="0" w:line="247" w:lineRule="auto"/>
        <w:tabs>
          <w:tab w:leader="none" w:pos="1190"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and supply model) shall not apply to any Orders for the SilkWorm 12000 Product pursuant to this Amendment 4 to the Agreement.</w:t>
      </w:r>
    </w:p>
    <w:p>
      <w:pPr>
        <w:spacing w:after="0" w:line="175" w:lineRule="exact"/>
        <w:rPr>
          <w:sz w:val="20"/>
          <w:szCs w:val="20"/>
          <w:color w:val="auto"/>
        </w:rPr>
      </w:pPr>
    </w:p>
    <w:p>
      <w:pPr>
        <w:ind w:left="827" w:hanging="463"/>
        <w:spacing w:after="0"/>
        <w:tabs>
          <w:tab w:leader="none" w:pos="827" w:val="left"/>
        </w:tabs>
        <w:numPr>
          <w:ilvl w:val="0"/>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9" w:lineRule="exact"/>
        <w:rPr>
          <w:rFonts w:ascii="Courier New" w:cs="Courier New" w:eastAsia="Courier New" w:hAnsi="Courier New"/>
          <w:sz w:val="15"/>
          <w:szCs w:val="15"/>
          <w:color w:val="auto"/>
        </w:rPr>
      </w:pPr>
    </w:p>
    <w:p>
      <w:pPr>
        <w:ind w:left="82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following Exhibits referred to in this Amendment is incorporated in full in this Amendment wherever reference to it is made:</w:t>
      </w:r>
    </w:p>
    <w:p>
      <w:pPr>
        <w:spacing w:after="0" w:line="174" w:lineRule="exact"/>
        <w:rPr>
          <w:sz w:val="20"/>
          <w:szCs w:val="20"/>
          <w:color w:val="auto"/>
        </w:rPr>
      </w:pPr>
    </w:p>
    <w:p>
      <w:pPr>
        <w:ind w:left="2087" w:right="4039" w:hanging="1271"/>
        <w:spacing w:after="0" w:line="246" w:lineRule="auto"/>
        <w:rPr>
          <w:sz w:val="20"/>
          <w:szCs w:val="20"/>
          <w:color w:val="auto"/>
        </w:rPr>
      </w:pPr>
      <w:r>
        <w:rPr>
          <w:rFonts w:ascii="Courier New" w:cs="Courier New" w:eastAsia="Courier New" w:hAnsi="Courier New"/>
          <w:sz w:val="15"/>
          <w:szCs w:val="15"/>
          <w:color w:val="auto"/>
        </w:rPr>
        <w:t>AMENDMENT 4 - EXHIBIT (A) - OEM PRODUCTS AND SPECIFICATIONS (A-1) Supplier Product Specifications</w:t>
      </w:r>
    </w:p>
    <w:p>
      <w:pPr>
        <w:spacing w:after="0" w:line="1"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(A-2) HP Configuration Specification Documents</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(A-3) HP Supplier Quality System Requirements</w:t>
      </w:r>
    </w:p>
    <w:p>
      <w:pPr>
        <w:spacing w:after="0" w:line="180" w:lineRule="exact"/>
        <w:rPr>
          <w:sz w:val="20"/>
          <w:szCs w:val="20"/>
          <w:color w:val="auto"/>
        </w:rPr>
      </w:pPr>
    </w:p>
    <w:p>
      <w:pPr>
        <w:ind w:left="2087" w:right="3039" w:hanging="1271"/>
        <w:spacing w:after="0" w:line="247" w:lineRule="auto"/>
        <w:rPr>
          <w:sz w:val="20"/>
          <w:szCs w:val="20"/>
          <w:color w:val="auto"/>
        </w:rPr>
      </w:pPr>
      <w:r>
        <w:rPr>
          <w:rFonts w:ascii="Courier New" w:cs="Courier New" w:eastAsia="Courier New" w:hAnsi="Courier New"/>
          <w:sz w:val="15"/>
          <w:szCs w:val="15"/>
          <w:color w:val="auto"/>
        </w:rPr>
        <w:t>AMENDMENT 4 - EXHIBIT (B) HP's General Specifications for Environment, [*]</w:t>
      </w:r>
    </w:p>
    <w:p>
      <w:pPr>
        <w:spacing w:after="0" w:line="17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AMENDMENT 4 - EXHIBIT (C) - PRICING AND FEES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7" w:right="3039" w:hanging="367"/>
        <w:spacing w:after="0" w:line="247" w:lineRule="auto"/>
        <w:tabs>
          <w:tab w:leader="none" w:pos="367"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200" w:lineRule="exact"/>
        <w:rPr>
          <w:sz w:val="20"/>
          <w:szCs w:val="20"/>
          <w:color w:val="auto"/>
        </w:rPr>
      </w:pPr>
    </w:p>
    <w:p>
      <w:pPr>
        <w:spacing w:after="0" w:line="324"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AMENDMENT NO. 4</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Page 3 of 4</w:t>
      </w:r>
    </w:p>
    <w:p>
      <w:pPr>
        <w:sectPr>
          <w:pgSz w:w="11900" w:h="16838" w:orient="portrait"/>
          <w:cols w:equalWidth="0" w:num="1">
            <w:col w:w="10226"/>
          </w:cols>
          <w:pgMar w:left="233" w:top="642" w:right="1440" w:bottom="1440" w:gutter="0" w:footer="0" w:header="0"/>
        </w:sectPr>
      </w:pPr>
    </w:p>
    <w:bookmarkStart w:id="320" w:name="page321"/>
    <w:bookmarkEnd w:id="320"/>
    <w:p>
      <w:pPr>
        <w:ind w:left="2540"/>
        <w:spacing w:after="0"/>
        <w:rPr>
          <w:sz w:val="20"/>
          <w:szCs w:val="20"/>
          <w:color w:val="auto"/>
        </w:rPr>
      </w:pPr>
      <w:r>
        <w:rPr>
          <w:rFonts w:ascii="Courier New" w:cs="Courier New" w:eastAsia="Courier New" w:hAnsi="Courier New"/>
          <w:sz w:val="15"/>
          <w:szCs w:val="15"/>
          <w:color w:val="auto"/>
        </w:rPr>
        <w:t>BROCADE / HP CONFIDENTIAL</w:t>
      </w:r>
    </w:p>
    <w:p>
      <w:pPr>
        <w:spacing w:after="0" w:line="200" w:lineRule="exact"/>
        <w:rPr>
          <w:sz w:val="20"/>
          <w:szCs w:val="20"/>
          <w:color w:val="auto"/>
        </w:rPr>
      </w:pPr>
    </w:p>
    <w:p>
      <w:pPr>
        <w:spacing w:after="0" w:line="32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Amendment may be executed in counterparts, each of which will be deemed an original, but both of which together will constitute one and the same instrument. The parties agree that facsimile signatures of the parties will be binding.</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w:t>
      </w:r>
    </w:p>
    <w:p>
      <w:pPr>
        <w:sectPr>
          <w:pgSz w:w="11900" w:h="16838" w:orient="portrait"/>
          <w:cols w:equalWidth="0" w:num="1">
            <w:col w:w="10219"/>
          </w:cols>
          <w:pgMar w:left="240" w:top="642" w:right="1440" w:bottom="1440" w:gutter="0" w:footer="0" w:header="0"/>
        </w:sectPr>
      </w:pPr>
    </w:p>
    <w:p>
      <w:pPr>
        <w:spacing w:after="0" w:line="354" w:lineRule="exact"/>
        <w:rPr>
          <w:sz w:val="20"/>
          <w:szCs w:val="20"/>
          <w:color w:val="auto"/>
        </w:rPr>
      </w:pPr>
    </w:p>
    <w:p>
      <w:pPr>
        <w:ind w:right="1100"/>
        <w:spacing w:after="0" w:line="247" w:lineRule="auto"/>
        <w:rPr>
          <w:sz w:val="20"/>
          <w:szCs w:val="20"/>
          <w:color w:val="auto"/>
        </w:rPr>
      </w:pPr>
      <w:r>
        <w:rPr>
          <w:rFonts w:ascii="Courier New" w:cs="Courier New" w:eastAsia="Courier New" w:hAnsi="Courier New"/>
          <w:sz w:val="15"/>
          <w:szCs w:val="15"/>
          <w:color w:val="auto"/>
        </w:rPr>
        <w:t>BROCADE COMMUNICATIONS SYSTEMS, INC.</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HEWLETT-PACKARD COMPANY</w:t>
      </w:r>
    </w:p>
    <w:p>
      <w:pPr>
        <w:spacing w:after="0" w:line="379" w:lineRule="exact"/>
        <w:rPr>
          <w:sz w:val="20"/>
          <w:szCs w:val="20"/>
          <w:color w:val="auto"/>
        </w:rPr>
      </w:pPr>
    </w:p>
    <w:p>
      <w:pPr>
        <w:sectPr>
          <w:pgSz w:w="11900" w:h="16838" w:orient="portrait"/>
          <w:cols w:equalWidth="0" w:num="2">
            <w:col w:w="3100" w:space="720"/>
            <w:col w:w="6399"/>
          </w:cols>
          <w:pgMar w:left="240" w:top="642" w:right="1440"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6" w:lineRule="exact"/>
        <w:rPr>
          <w:sz w:val="20"/>
          <w:szCs w:val="20"/>
          <w:color w:val="auto"/>
        </w:rPr>
      </w:pPr>
    </w:p>
    <w:p>
      <w:pPr>
        <w:sectPr>
          <w:pgSz w:w="11900" w:h="16838" w:orient="portrait"/>
          <w:cols w:equalWidth="0" w:num="2">
            <w:col w:w="3100" w:space="720"/>
            <w:col w:w="6399"/>
          </w:cols>
          <w:pgMar w:left="240" w:top="64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460" w:space="720"/>
            <w:col w:w="603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16" w:lineRule="exact"/>
        <w:rPr>
          <w:sz w:val="20"/>
          <w:szCs w:val="20"/>
          <w:color w:val="auto"/>
        </w:rPr>
      </w:pPr>
    </w:p>
    <w:p>
      <w:pPr>
        <w:sectPr>
          <w:pgSz w:w="11900" w:h="16838" w:orient="portrait"/>
          <w:cols w:equalWidth="0" w:num="2">
            <w:col w:w="3100" w:space="720"/>
            <w:col w:w="6399"/>
          </w:cols>
          <w:pgMar w:left="240" w:top="64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3540" w:space="720"/>
            <w:col w:w="595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3100" w:space="720"/>
            <w:col w:w="6399"/>
          </w:cols>
          <w:pgMar w:left="240" w:top="642" w:right="1440" w:bottom="1440"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640" w:space="720"/>
            <w:col w:w="5859"/>
          </w:cols>
          <w:pgMar w:left="240" w:top="642"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COMMUNICATIONS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 SARL.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2"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AMENDMENT NO. 4</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Page 4 of 4</w:t>
      </w:r>
    </w:p>
    <w:p>
      <w:pPr>
        <w:sectPr>
          <w:pgSz w:w="11900" w:h="16838" w:orient="portrait"/>
          <w:cols w:equalWidth="0" w:num="1">
            <w:col w:w="10219"/>
          </w:cols>
          <w:pgMar w:left="240" w:top="642" w:right="1440" w:bottom="1440" w:gutter="0" w:footer="0" w:header="0"/>
          <w:type w:val="continuous"/>
        </w:sectPr>
      </w:pPr>
    </w:p>
    <w:bookmarkStart w:id="321" w:name="page322"/>
    <w:bookmarkEnd w:id="321"/>
    <w:p>
      <w:pPr>
        <w:jc w:val="right"/>
        <w:ind w:right="2959"/>
        <w:spacing w:after="0"/>
        <w:rPr>
          <w:sz w:val="20"/>
          <w:szCs w:val="20"/>
          <w:color w:val="auto"/>
        </w:rPr>
      </w:pPr>
      <w:r>
        <w:rPr>
          <w:rFonts w:ascii="Courier New" w:cs="Courier New" w:eastAsia="Courier New" w:hAnsi="Courier New"/>
          <w:sz w:val="15"/>
          <w:szCs w:val="15"/>
          <w:color w:val="auto"/>
        </w:rPr>
        <w:t>EXHIBIT A-1</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The Brocade SilkWorm 12000 Core Fabric</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Switch provides a highly reliable solution</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for deploying enterprise-class Storage Area</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Networks (SANs).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SILKWORM SWITCH FAMILY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SILKWORM 12000</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Highlights</w:t>
      </w:r>
    </w:p>
    <w:p>
      <w:pPr>
        <w:spacing w:after="0" w:line="180" w:lineRule="exact"/>
        <w:rPr>
          <w:sz w:val="20"/>
          <w:szCs w:val="20"/>
          <w:color w:val="auto"/>
        </w:rPr>
      </w:pPr>
    </w:p>
    <w:p>
      <w:pPr>
        <w:ind w:left="620" w:right="3039" w:hanging="263"/>
        <w:spacing w:after="0" w:line="247" w:lineRule="auto"/>
        <w:tabs>
          <w:tab w:leader="none" w:pos="62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Simplifies enterprise SAN deployment by combining high port density with exceptional scalability, performance, reliability, and availability</w:t>
      </w:r>
    </w:p>
    <w:p>
      <w:pPr>
        <w:spacing w:after="0" w:line="174" w:lineRule="exact"/>
        <w:rPr>
          <w:rFonts w:ascii="Courier New" w:cs="Courier New" w:eastAsia="Courier New" w:hAnsi="Courier New"/>
          <w:sz w:val="15"/>
          <w:szCs w:val="15"/>
          <w:color w:val="auto"/>
        </w:rPr>
      </w:pPr>
    </w:p>
    <w:p>
      <w:pPr>
        <w:ind w:left="620" w:right="3139" w:hanging="263"/>
        <w:spacing w:after="0" w:line="247" w:lineRule="auto"/>
        <w:tabs>
          <w:tab w:leader="none" w:pos="62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Delivers industry-leading port density with up to 128 ports in a single 14U enclosure and up to 384 ports in a single rack, facilitating manageable SAN fabrics composed of thousands of ports</w:t>
      </w:r>
    </w:p>
    <w:p>
      <w:pPr>
        <w:spacing w:after="0" w:line="174" w:lineRule="exact"/>
        <w:rPr>
          <w:rFonts w:ascii="Courier New" w:cs="Courier New" w:eastAsia="Courier New" w:hAnsi="Courier New"/>
          <w:sz w:val="15"/>
          <w:szCs w:val="15"/>
          <w:color w:val="auto"/>
        </w:rPr>
      </w:pPr>
    </w:p>
    <w:p>
      <w:pPr>
        <w:ind w:left="620" w:right="3039" w:hanging="263"/>
        <w:spacing w:after="0" w:line="247" w:lineRule="auto"/>
        <w:tabs>
          <w:tab w:leader="none" w:pos="62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Meets enterprise-level availability requirements with redundant, hot-pluggable components, no single points of failure within the switch, and non-disruptive software upgrades</w:t>
      </w:r>
    </w:p>
    <w:p>
      <w:pPr>
        <w:spacing w:after="0" w:line="174" w:lineRule="exact"/>
        <w:rPr>
          <w:rFonts w:ascii="Courier New" w:cs="Courier New" w:eastAsia="Courier New" w:hAnsi="Courier New"/>
          <w:sz w:val="15"/>
          <w:szCs w:val="15"/>
          <w:color w:val="auto"/>
        </w:rPr>
      </w:pPr>
    </w:p>
    <w:p>
      <w:pPr>
        <w:ind w:left="620" w:right="3859" w:hanging="263"/>
        <w:spacing w:after="0" w:line="247" w:lineRule="auto"/>
        <w:tabs>
          <w:tab w:leader="none" w:pos="62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Supports emerging storage networking technologies with a unique multiprotocol architecture</w:t>
      </w:r>
    </w:p>
    <w:p>
      <w:pPr>
        <w:spacing w:after="0" w:line="174" w:lineRule="exact"/>
        <w:rPr>
          <w:rFonts w:ascii="Courier New" w:cs="Courier New" w:eastAsia="Courier New" w:hAnsi="Courier New"/>
          <w:sz w:val="15"/>
          <w:szCs w:val="15"/>
          <w:color w:val="auto"/>
        </w:rPr>
      </w:pPr>
    </w:p>
    <w:p>
      <w:pPr>
        <w:ind w:left="620" w:right="3779" w:hanging="263"/>
        <w:spacing w:after="0" w:line="247" w:lineRule="auto"/>
        <w:tabs>
          <w:tab w:leader="none" w:pos="62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1 Gbit/sec and 2 Gbit/sec operation today with seamless extension to 10 Gbit/sec in the future</w:t>
      </w:r>
    </w:p>
    <w:p>
      <w:pPr>
        <w:spacing w:after="0" w:line="174" w:lineRule="exact"/>
        <w:rPr>
          <w:rFonts w:ascii="Courier New" w:cs="Courier New" w:eastAsia="Courier New" w:hAnsi="Courier New"/>
          <w:sz w:val="15"/>
          <w:szCs w:val="15"/>
          <w:color w:val="auto"/>
        </w:rPr>
      </w:pPr>
    </w:p>
    <w:p>
      <w:pPr>
        <w:ind w:left="620" w:right="3039" w:hanging="263"/>
        <w:spacing w:after="0" w:line="247" w:lineRule="auto"/>
        <w:tabs>
          <w:tab w:leader="none" w:pos="62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Employs Brocade Inter-Switch Link (ISL) Trunking to provide a high-speed data path between switches</w:t>
      </w:r>
    </w:p>
    <w:p>
      <w:pPr>
        <w:spacing w:after="0" w:line="174" w:lineRule="exact"/>
        <w:rPr>
          <w:rFonts w:ascii="Courier New" w:cs="Courier New" w:eastAsia="Courier New" w:hAnsi="Courier New"/>
          <w:sz w:val="15"/>
          <w:szCs w:val="15"/>
          <w:color w:val="auto"/>
        </w:rPr>
      </w:pPr>
    </w:p>
    <w:p>
      <w:pPr>
        <w:ind w:left="620" w:right="3679" w:hanging="263"/>
        <w:spacing w:after="0" w:line="247" w:lineRule="auto"/>
        <w:tabs>
          <w:tab w:leader="none" w:pos="620"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Leverages Brocade Secure Fabric OS to help ensure a comprehensive security platform for the entire SAN fabric</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HIGH-PORT-DENSITY, MULTIPROTOCOL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CORE FABRIC SWITCH</w:t>
      </w:r>
    </w:p>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the industry's first 2 Gbit/sec enterprise-level switch, the Brocade(R) SilkWorm(R) 12000 Core Fabric Switch provides unprecedented levels of availability, scalability, manageability, and security for open enterprise storage applications. Possible configurations range from a 32-port switch to a dual 64-port switch in a single enclosure that provides "pay-as-you-grow" scalability.</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Based on the Brocade Intelligent Fabric Services Architecture, the SilkWorm 12000 provides a reliable foundation for high-performance core-to-edge SANs that leverage proven core backbone networking methodology. In addition, multiple SilkWorm 12000 switches can be interconnected at the core to form enterprise SAN fabrics capable of supporting thousands of hosts and storage devices (see Figure 1).</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SilkWorm 12000 provides higher levels of performance and availability than director-class switches while supporting a more intelligent and scalable networked storage model. Moreover, the SilkWorm 12000 is designed to integrate with heterogeneous environments that include multiple operating systems such</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 Windows NT, UNIX, Linux, Solaris, AIX, and others. As a result, organizations have the flexibility to build cost-effective and easy-to-manage enterprise SAN fabrics. These capabilities make the SilkWorm 12000 ideal for mission-critical business continuance applications such as LAN-free backup, remote mirroring, data replication, and high-availability clustering.</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19"/>
          </w:cols>
          <w:pgMar w:left="240" w:top="468" w:right="1440" w:bottom="1440" w:gutter="0" w:footer="0" w:header="0"/>
        </w:sectPr>
      </w:pPr>
    </w:p>
    <w:bookmarkStart w:id="322" w:name="page323"/>
    <w:bookmarkEnd w:id="322"/>
    <w:p>
      <w:pPr>
        <w:ind w:left="7"/>
        <w:spacing w:after="0"/>
        <w:rPr>
          <w:sz w:val="20"/>
          <w:szCs w:val="20"/>
          <w:color w:val="auto"/>
        </w:rPr>
      </w:pPr>
      <w:r>
        <w:rPr>
          <w:rFonts w:ascii="Courier New" w:cs="Courier New" w:eastAsia="Courier New" w:hAnsi="Courier New"/>
          <w:sz w:val="15"/>
          <w:szCs w:val="15"/>
          <w:color w:val="auto"/>
        </w:rPr>
        <w:t>SILKWORM 12000</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FIGURE 1. A SilkWorm 12000 core fabric surrounded by SilkWorm edge switches enables cost-effective, highly scalable enterprise SANs.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HIGH AVAILABILITY THROUGHOUT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FABRIC</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core-to-edge SAN model features redundancy within the core fabric switch as well as a high-availability network approach for the entire fabric. Combining the proven reliability of the SilkWorm family with enterprise-level availability features, the SilkWorm 12000 provides a SAN fabric with built-in redundancy and no single point of failure. This infrastructure is capable of delivering overall system availability greater than 99.999 percent--the "five nines" of availability. Other key availability features include:</w:t>
      </w:r>
    </w:p>
    <w:p>
      <w:pPr>
        <w:spacing w:after="0" w:line="179" w:lineRule="exact"/>
        <w:rPr>
          <w:sz w:val="20"/>
          <w:szCs w:val="20"/>
          <w:color w:val="auto"/>
        </w:rPr>
      </w:pPr>
    </w:p>
    <w:p>
      <w:pPr>
        <w:ind w:left="187" w:hanging="187"/>
        <w:spacing w:after="0"/>
        <w:tabs>
          <w:tab w:leader="none" w:pos="187"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Fabric Shortest Path First (FSPF) traffic rerouting</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Dual-redundant control processors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Redundant, hot-swappable components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Redundant power and cooling subsystems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Non-disruptive software upgrades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INDUSTRY-LEADING PERFORMANCE</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SilkWorm 12000 is designed to provide high-performance switching at the core of large SANs. All external Fibre Channel ports can operate at 1 and 2 Gbit/sec per port (inbound and outbound) at distances up to 10 km. In addition, auto-sensing and speed matching of data traffic ensures interoperability between 1 and 2 Gbit/sec devices. With Brocade Extended Fabrics software and Dense Wave Division Multiplexing (DWDM) technology, ISLs can span up to 100 km over Metropolitan Area Networks (MANs)--extending SAN connectivity without significantly inhibiting performance.</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To provide even higher performance in the core, Brocade ISL Trunking technology combines up to four ISLs between a pair of switches into a single, logical high-speed trunk running at up to 8 Gbit/sec (see Figure 2).</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INTELLIGENCE WITHIN THE SWITCH</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To improve security and manageability, Brocade Frame Filtering intelligence is built directly into the SilkWorm 12000 ASIC technology. This design will enable new capabilities such as hardware-enforced zoning based on World Wide Name (WWN), Logical Unit Number (LUN), or protocol. Organizations can also use Brocade Advanced Performance Monitoring to improve end-to-end performance analysis on a fabric-wide basis. This optional feature helps reduce storage costs by enabling improved SAN performance tuning, resource optimization, and administrator productivity.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OPEN SAN MANAGEMENT</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SilkWorm 12000 simplifies management by networking both core and edge switches under Brocade Fabric OS, the embedded real-time operating system. In addition to centralizing management, this design enables heterogeneous device connectivity, automatic data routing and rerouting, self-healing capabilities, and scalable connectivity. Moreover, the Brocade Fabric Access API enables software vendors to develop feature-rich management applications that leverage the distributed intelligence of Brocade SANs.</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SEAMLESS UPGRADES, COST-EFFECTIVE MIGRATION, AND INVESTMENT PROTECTION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 help protect existing technology investments, the SilkWorm 12000 provides a seamless upgrade path and backward and forward compatibility with SilkWorm entry, midrange, and port aggregation offerings. As SAN technologies evolve, the SilkWorm 12000 architecture is designed to integrate with emerging storage networking protocols such as FICON, iSCSI, FC-IP, and InfiniBand. The current design is extendable to future 10 Gbit/sec technologies with a switch module upgrade rather than a forklift upgrade of the chassis.</w:t>
      </w:r>
    </w:p>
    <w:p>
      <w:pPr>
        <w:sectPr>
          <w:pgSz w:w="11900" w:h="16838" w:orient="portrait"/>
          <w:cols w:equalWidth="0" w:num="1">
            <w:col w:w="10226"/>
          </w:cols>
          <w:pgMar w:left="233" w:top="467" w:right="1440" w:bottom="1440" w:gutter="0" w:footer="0" w:header="0"/>
        </w:sectPr>
      </w:pPr>
    </w:p>
    <w:bookmarkStart w:id="323" w:name="page324"/>
    <w:bookmarkEnd w:id="323"/>
    <w:p>
      <w:pPr>
        <w:ind w:left="7"/>
        <w:spacing w:after="0"/>
        <w:rPr>
          <w:sz w:val="20"/>
          <w:szCs w:val="20"/>
          <w:color w:val="auto"/>
        </w:rPr>
      </w:pPr>
      <w:r>
        <w:rPr>
          <w:rFonts w:ascii="Courier New" w:cs="Courier New" w:eastAsia="Courier New" w:hAnsi="Courier New"/>
          <w:sz w:val="15"/>
          <w:szCs w:val="15"/>
          <w:color w:val="auto"/>
        </w:rPr>
        <w:t>A NEW LEVEL OF SAN SECURITY</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SilkWorm 12000 supports Brocade Secure Fabric OS, the most comprehensive SAN security architecture available. Based on state-of-the-art networking security technology, this architecture addresses a wide variety of vulnerabilities within the SAN fabric. Advanced security features provide powerful tools for securing SAN access and supporting mission-critical applications. In addition, software- and hardware-enforced Brocade Zoning helps secure data by preventing unauthorized access.</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SUPERIOR RELIABILITY, AVAILABILITY, AND SERVICEABILITY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Enterprise-level SilkWorm 12000 reliability features include the following:</w:t>
      </w:r>
    </w:p>
    <w:p>
      <w:pPr>
        <w:spacing w:after="0" w:line="180" w:lineRule="exact"/>
        <w:rPr>
          <w:sz w:val="20"/>
          <w:szCs w:val="20"/>
          <w:color w:val="auto"/>
        </w:rPr>
      </w:pPr>
    </w:p>
    <w:p>
      <w:pPr>
        <w:ind w:left="187" w:right="2959" w:hanging="187"/>
        <w:spacing w:after="0" w:line="247" w:lineRule="auto"/>
        <w:tabs>
          <w:tab w:leader="none" w:pos="187"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Redundant control processors provide continuous performance during failovers and enable non-disruptive firmware upgrades.</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Continuous monitoring of environmental components helps reduce service costs.</w:t>
      </w:r>
    </w:p>
    <w:p>
      <w:pPr>
        <w:spacing w:after="0" w:line="179" w:lineRule="exact"/>
        <w:rPr>
          <w:rFonts w:ascii="Courier New" w:cs="Courier New" w:eastAsia="Courier New" w:hAnsi="Courier New"/>
          <w:sz w:val="15"/>
          <w:szCs w:val="15"/>
          <w:color w:val="auto"/>
        </w:rPr>
      </w:pPr>
    </w:p>
    <w:p>
      <w:pPr>
        <w:ind w:left="187" w:right="2859" w:hanging="187"/>
        <w:spacing w:after="0" w:line="247" w:lineRule="auto"/>
        <w:tabs>
          <w:tab w:leader="none" w:pos="187"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Power-On Self-Test (POST), online/offline diagnostics,and per-port statistics enable administrators to monitor ports and diagnose problems without disrupting switch operations.</w:t>
      </w:r>
    </w:p>
    <w:p>
      <w:pPr>
        <w:spacing w:after="0" w:line="174" w:lineRule="exact"/>
        <w:rPr>
          <w:rFonts w:ascii="Courier New" w:cs="Courier New" w:eastAsia="Courier New" w:hAnsi="Courier New"/>
          <w:sz w:val="15"/>
          <w:szCs w:val="15"/>
          <w:color w:val="auto"/>
        </w:rPr>
      </w:pPr>
    </w:p>
    <w:p>
      <w:pPr>
        <w:ind w:left="187" w:right="2959" w:hanging="187"/>
        <w:spacing w:after="0" w:line="247" w:lineRule="auto"/>
        <w:tabs>
          <w:tab w:leader="none" w:pos="187"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Error detection and fault isolation facilities automatically disable failing ports and restart them when the problem has been resolved.</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INTELLIGENT SAN MONITORING</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To simplify SAN monitoring and maintenance, the SilkWorm 12000 provides the following functions:</w:t>
      </w:r>
    </w:p>
    <w:p>
      <w:pPr>
        <w:spacing w:after="0" w:line="175" w:lineRule="exact"/>
        <w:rPr>
          <w:sz w:val="20"/>
          <w:szCs w:val="20"/>
          <w:color w:val="auto"/>
        </w:rPr>
      </w:pPr>
    </w:p>
    <w:p>
      <w:pPr>
        <w:ind w:left="187" w:right="3139" w:hanging="187"/>
        <w:spacing w:after="0" w:line="247" w:lineRule="auto"/>
        <w:tabs>
          <w:tab w:leader="none" w:pos="187"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Fabric OS enables value-added Brocade SAN fabric monitoring and management applications.</w:t>
      </w:r>
    </w:p>
    <w:p>
      <w:pPr>
        <w:spacing w:after="0" w:line="174" w:lineRule="exact"/>
        <w:rPr>
          <w:rFonts w:ascii="Courier New" w:cs="Courier New" w:eastAsia="Courier New" w:hAnsi="Courier New"/>
          <w:sz w:val="15"/>
          <w:szCs w:val="15"/>
          <w:color w:val="auto"/>
        </w:rPr>
      </w:pPr>
    </w:p>
    <w:p>
      <w:pPr>
        <w:ind w:left="187" w:right="2779" w:hanging="187"/>
        <w:spacing w:after="0" w:line="247" w:lineRule="auto"/>
        <w:tabs>
          <w:tab w:leader="none" w:pos="187"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Industry-standard Management Information Base (MIB) support enables SNMP-based interfaces to access switch information.</w:t>
      </w:r>
    </w:p>
    <w:p>
      <w:pPr>
        <w:spacing w:after="0" w:line="174" w:lineRule="exact"/>
        <w:rPr>
          <w:rFonts w:ascii="Courier New" w:cs="Courier New" w:eastAsia="Courier New" w:hAnsi="Courier New"/>
          <w:sz w:val="15"/>
          <w:szCs w:val="15"/>
          <w:color w:val="auto"/>
        </w:rPr>
      </w:pPr>
    </w:p>
    <w:p>
      <w:pPr>
        <w:ind w:left="187" w:right="2779" w:hanging="187"/>
        <w:spacing w:after="0" w:line="247" w:lineRule="auto"/>
        <w:tabs>
          <w:tab w:leader="none" w:pos="187"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Network administrators can manage switch configurations through a command line interface or Brocade WEB TOOLS.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MAXIMIZING SAN INVESTMENTS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Brocade and its partners offer complete SAN solutions to meet a wide range of technology and business requirements. These solutions include education and training, support, service, and professional services to help optimize SAN investments. For more information, contact an authorized Brocade sales partner or visit WWW.BROCADE.COM.</w:t>
      </w:r>
    </w:p>
    <w:p>
      <w:pPr>
        <w:spacing w:after="0" w:line="35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FIGURE 2. Trunking groups multiple ISLs to enable high-speed data traffic.</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SILKWORM 12000 CORE FABRIC SWITCH SPECIFICATIONS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SYSTEMS ARCHITECTURE</w:t>
      </w:r>
    </w:p>
    <w:p>
      <w:pPr>
        <w:sectPr>
          <w:pgSz w:w="11900" w:h="16838" w:orient="portrait"/>
          <w:cols w:equalWidth="0" w:num="1">
            <w:col w:w="10226"/>
          </w:cols>
          <w:pgMar w:left="233" w:top="642" w:right="1440" w:bottom="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FIBRE CHANNEL PORTS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128 ports, universal (E, F, and FL);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 to eight 16-port Fibre Channel modules</w:t>
      </w:r>
    </w:p>
    <w:p>
      <w:pPr>
        <w:spacing w:after="0" w:line="180" w:lineRule="exact"/>
        <w:rPr>
          <w:sz w:val="20"/>
          <w:szCs w:val="20"/>
          <w:color w:val="auto"/>
        </w:rPr>
      </w:pPr>
    </w:p>
    <w:p>
      <w:pPr>
        <w:sectPr>
          <w:pgSz w:w="11900" w:h="16838" w:orient="portrait"/>
          <w:cols w:equalWidth="0" w:num="2">
            <w:col w:w="1727" w:space="720"/>
            <w:col w:w="777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CONTROL PROCESSOR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Redundant (active/standby) control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processor modules</w:t>
      </w:r>
    </w:p>
    <w:p>
      <w:pPr>
        <w:spacing w:after="0" w:line="180" w:lineRule="exact"/>
        <w:rPr>
          <w:sz w:val="20"/>
          <w:szCs w:val="20"/>
          <w:color w:val="auto"/>
        </w:rPr>
      </w:pPr>
    </w:p>
    <w:p>
      <w:pPr>
        <w:sectPr>
          <w:pgSz w:w="11900" w:h="16838" w:orient="portrait"/>
          <w:cols w:equalWidth="0" w:num="2">
            <w:col w:w="1727" w:space="720"/>
            <w:col w:w="777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SCALABILITY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Full fabric architecture: 239 switches maximum</w:t>
      </w:r>
    </w:p>
    <w:p>
      <w:pPr>
        <w:spacing w:after="0" w:line="180" w:lineRule="exact"/>
        <w:rPr>
          <w:sz w:val="20"/>
          <w:szCs w:val="20"/>
          <w:color w:val="auto"/>
        </w:rPr>
      </w:pPr>
    </w:p>
    <w:p>
      <w:pPr>
        <w:sectPr>
          <w:pgSz w:w="11900" w:h="16838" w:orient="portrait"/>
          <w:cols w:equalWidth="0" w:num="2">
            <w:col w:w="1727" w:space="720"/>
            <w:col w:w="777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PERFORMANCE</w:t>
      </w:r>
    </w:p>
    <w:p>
      <w:pPr>
        <w:spacing w:after="0" w:line="20" w:lineRule="exact"/>
        <w:rPr>
          <w:sz w:val="20"/>
          <w:szCs w:val="20"/>
          <w:color w:val="auto"/>
        </w:rPr>
      </w:pPr>
      <w:r>
        <w:rPr>
          <w:sz w:val="20"/>
          <w:szCs w:val="20"/>
          <w:color w:val="auto"/>
        </w:rPr>
        <w:br w:type="column"/>
      </w:r>
    </w:p>
    <w:p>
      <w:pPr>
        <w:ind w:right="3139"/>
        <w:spacing w:after="0" w:line="246" w:lineRule="auto"/>
        <w:rPr>
          <w:sz w:val="20"/>
          <w:szCs w:val="20"/>
          <w:color w:val="auto"/>
        </w:rPr>
      </w:pPr>
      <w:r>
        <w:rPr>
          <w:rFonts w:ascii="Courier New" w:cs="Courier New" w:eastAsia="Courier New" w:hAnsi="Courier New"/>
          <w:sz w:val="15"/>
          <w:szCs w:val="15"/>
          <w:color w:val="auto"/>
        </w:rPr>
        <w:t>1.063 Gbit/sec line speed, full duplex; 2.125 Gbit/sec line speed, full duplex; auto-sensing of 1 Gbit/sec and 2 Gbit/sec port speeds; optionally programmable to fixed port speed; speed matching between 1 Gbit/sec and 2 Gbit/sec ports</w:t>
      </w:r>
    </w:p>
    <w:p>
      <w:pPr>
        <w:spacing w:after="0" w:line="178" w:lineRule="exact"/>
        <w:rPr>
          <w:sz w:val="20"/>
          <w:szCs w:val="20"/>
          <w:color w:val="auto"/>
        </w:rPr>
      </w:pPr>
    </w:p>
    <w:p>
      <w:pPr>
        <w:sectPr>
          <w:pgSz w:w="11900" w:h="16838" w:orient="portrait"/>
          <w:cols w:equalWidth="0" w:num="2">
            <w:col w:w="1727" w:space="720"/>
            <w:col w:w="777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ISL TRUNKING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Up to four 2.125 Gbit/sec ports per ISL trunk; 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8.5 Gbit/sec per ISL trunk</w:t>
      </w:r>
    </w:p>
    <w:p>
      <w:pPr>
        <w:spacing w:after="0" w:line="180" w:lineRule="exact"/>
        <w:rPr>
          <w:sz w:val="20"/>
          <w:szCs w:val="20"/>
          <w:color w:val="auto"/>
        </w:rPr>
      </w:pPr>
    </w:p>
    <w:p>
      <w:pPr>
        <w:sectPr>
          <w:pgSz w:w="11900" w:h="16838" w:orient="portrait"/>
          <w:cols w:equalWidth="0" w:num="2">
            <w:col w:w="1727" w:space="720"/>
            <w:col w:w="777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AGGREGATE BANDWIDTH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512 Gbit/sec end-to-end</w:t>
      </w:r>
    </w:p>
    <w:p>
      <w:pPr>
        <w:spacing w:after="0" w:line="180" w:lineRule="exact"/>
        <w:rPr>
          <w:sz w:val="20"/>
          <w:szCs w:val="20"/>
          <w:color w:val="auto"/>
        </w:rPr>
      </w:pPr>
    </w:p>
    <w:p>
      <w:pPr>
        <w:sectPr>
          <w:pgSz w:w="11900" w:h="16838" w:orient="portrait"/>
          <w:cols w:equalWidth="0" w:num="2">
            <w:col w:w="1727" w:space="720"/>
            <w:col w:w="777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SWITCH LATENCY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&lt;2.1 (mu)sec any port to any port at 2 Gbit/sec,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cut-through routing</w:t>
      </w:r>
    </w:p>
    <w:p>
      <w:pPr>
        <w:spacing w:after="0" w:line="180" w:lineRule="exact"/>
        <w:rPr>
          <w:sz w:val="20"/>
          <w:szCs w:val="20"/>
          <w:color w:val="auto"/>
        </w:rPr>
      </w:pPr>
    </w:p>
    <w:p>
      <w:pPr>
        <w:sectPr>
          <w:pgSz w:w="11900" w:h="16838" w:orient="portrait"/>
          <w:cols w:equalWidth="0" w:num="2">
            <w:col w:w="1727" w:space="720"/>
            <w:col w:w="777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MAXIMUM FRAME 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2112-byte payload</w:t>
      </w:r>
    </w:p>
    <w:p>
      <w:pPr>
        <w:spacing w:after="0" w:line="180" w:lineRule="exact"/>
        <w:rPr>
          <w:sz w:val="20"/>
          <w:szCs w:val="20"/>
          <w:color w:val="auto"/>
        </w:rPr>
      </w:pPr>
    </w:p>
    <w:p>
      <w:pPr>
        <w:sectPr>
          <w:pgSz w:w="11900" w:h="16838" w:orient="portrait"/>
          <w:cols w:equalWidth="0" w:num="2">
            <w:col w:w="1727" w:space="720"/>
            <w:col w:w="777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FRAME BUFFERS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108 per 4-port group, dynamically allocated</w:t>
      </w:r>
    </w:p>
    <w:p>
      <w:pPr>
        <w:spacing w:after="0" w:line="180" w:lineRule="exact"/>
        <w:rPr>
          <w:sz w:val="20"/>
          <w:szCs w:val="20"/>
          <w:color w:val="auto"/>
        </w:rPr>
      </w:pPr>
    </w:p>
    <w:p>
      <w:pPr>
        <w:sectPr>
          <w:pgSz w:w="11900" w:h="16838" w:orient="portrait"/>
          <w:cols w:equalWidth="0" w:num="2">
            <w:col w:w="1647" w:space="720"/>
            <w:col w:w="785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CLASSES OF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Class 2, Class 3, Class F (inter-switch frames)</w:t>
      </w:r>
    </w:p>
    <w:p>
      <w:pPr>
        <w:spacing w:after="0" w:line="180" w:lineRule="exact"/>
        <w:rPr>
          <w:sz w:val="20"/>
          <w:szCs w:val="20"/>
          <w:color w:val="auto"/>
        </w:rPr>
      </w:pPr>
    </w:p>
    <w:p>
      <w:pPr>
        <w:sectPr>
          <w:pgSz w:w="11900" w:h="16838" w:orient="portrait"/>
          <w:cols w:equalWidth="0" w:num="2">
            <w:col w:w="1647" w:space="720"/>
            <w:col w:w="785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PORT TYPES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FL_Port, F_Port, and E_Port; self-discovery based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switch type (U_Port); optional port type control</w:t>
      </w:r>
    </w:p>
    <w:p>
      <w:pPr>
        <w:spacing w:after="0" w:line="180" w:lineRule="exact"/>
        <w:rPr>
          <w:sz w:val="20"/>
          <w:szCs w:val="20"/>
          <w:color w:val="auto"/>
        </w:rPr>
      </w:pPr>
    </w:p>
    <w:p>
      <w:pPr>
        <w:sectPr>
          <w:pgSz w:w="11900" w:h="16838" w:orient="portrait"/>
          <w:cols w:equalWidth="0" w:num="2">
            <w:col w:w="1647" w:space="720"/>
            <w:col w:w="7859"/>
          </w:cols>
          <w:pgMar w:left="233" w:top="642" w:right="1440" w:bottom="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DATA TRAFFIC TYPES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Fabric switches supporting unicast, multicast</w:t>
      </w:r>
    </w:p>
    <w:p>
      <w:pPr>
        <w:sectPr>
          <w:pgSz w:w="11900" w:h="16838" w:orient="portrait"/>
          <w:cols w:equalWidth="0" w:num="2">
            <w:col w:w="1647" w:space="720"/>
            <w:col w:w="7859"/>
          </w:cols>
          <w:pgMar w:left="233" w:top="642" w:right="1440" w:bottom="0" w:gutter="0" w:footer="0" w:header="0"/>
          <w:type w:val="continuous"/>
        </w:sectPr>
      </w:pPr>
    </w:p>
    <w:bookmarkStart w:id="324" w:name="page325"/>
    <w:bookmarkEnd w:id="324"/>
    <w:p>
      <w:pPr>
        <w:ind w:left="2360"/>
        <w:spacing w:after="0"/>
        <w:rPr>
          <w:sz w:val="20"/>
          <w:szCs w:val="20"/>
          <w:color w:val="auto"/>
        </w:rPr>
      </w:pPr>
      <w:r>
        <w:rPr>
          <w:rFonts w:ascii="Courier New" w:cs="Courier New" w:eastAsia="Courier New" w:hAnsi="Courier New"/>
          <w:sz w:val="15"/>
          <w:szCs w:val="15"/>
          <w:color w:val="auto"/>
        </w:rPr>
        <w:t>(255 groups), and broadcast</w:t>
      </w:r>
    </w:p>
    <w:p>
      <w:pPr>
        <w:sectPr>
          <w:pgSz w:w="11900" w:h="16838" w:orient="portrait"/>
          <w:cols w:equalWidth="0" w:num="1">
            <w:col w:w="10219"/>
          </w:cols>
          <w:pgMar w:left="240" w:top="14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 TYPES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Hot-pluggable, industry-standard Small Form-Factor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Pluggable (SFP), LC connector; Short-Wavelength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Laser (SWL), up to 500 m (1,640 ft); Long-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Wavelength Laser (LWL), up to 10 km (6.2 mi);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distance depends on fiber optic cable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 speed</w:t>
      </w:r>
    </w:p>
    <w:p>
      <w:pPr>
        <w:spacing w:after="0" w:line="180" w:lineRule="exact"/>
        <w:rPr>
          <w:sz w:val="20"/>
          <w:szCs w:val="20"/>
          <w:color w:val="auto"/>
        </w:rPr>
      </w:pPr>
    </w:p>
    <w:p>
      <w:pPr>
        <w:sectPr>
          <w:pgSz w:w="11900" w:h="16838" w:orient="portrait"/>
          <w:cols w:equalWidth="0" w:num="2">
            <w:col w:w="1640" w:space="720"/>
            <w:col w:w="785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FABRIC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Simple Name Server; Registered State 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Notification (RSCN); Alias Server (multicast);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Advanced Zoning; WEB TOOLS;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Fabric Watch; Extended Fabrics; Remote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ISL Trunking; Advanced Performance Monitoring</w:t>
      </w:r>
    </w:p>
    <w:p>
      <w:pPr>
        <w:sectPr>
          <w:pgSz w:w="11900" w:h="16838" w:orient="portrait"/>
          <w:cols w:equalWidth="0" w:num="2">
            <w:col w:w="1640" w:space="720"/>
            <w:col w:w="7859"/>
          </w:cols>
          <w:pgMar w:left="240" w:top="141" w:right="1440" w:bottom="1440" w:gutter="0" w:footer="0" w:header="0"/>
          <w:type w:val="continuous"/>
        </w:sectPr>
      </w:pPr>
    </w:p>
    <w:bookmarkStart w:id="325" w:name="page326"/>
    <w:bookmarkEnd w:id="325"/>
    <w:p>
      <w:pPr>
        <w:spacing w:after="0"/>
        <w:rPr>
          <w:sz w:val="20"/>
          <w:szCs w:val="20"/>
          <w:color w:val="auto"/>
        </w:rPr>
      </w:pPr>
      <w:r>
        <w:rPr>
          <w:rFonts w:ascii="Courier New" w:cs="Courier New" w:eastAsia="Courier New" w:hAnsi="Courier New"/>
          <w:sz w:val="15"/>
          <w:szCs w:val="15"/>
          <w:color w:val="auto"/>
        </w:rPr>
        <w:t>SILKWORM 12000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AVAILABILITY</w:t>
      </w:r>
    </w:p>
    <w:p>
      <w:pPr>
        <w:sectPr>
          <w:pgSz w:w="11900" w:h="16838" w:orient="portrait"/>
          <w:cols w:equalWidth="0" w:num="1">
            <w:col w:w="10219"/>
          </w:cols>
          <w:pgMar w:left="240" w:top="468" w:right="1440" w:bottom="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PROCESSOR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Redundant (active/standby) control processor modules; automatic failover; non-disruptive software upgrades; dual-flash memory on each control processor to store two software images</w:t>
      </w:r>
    </w:p>
    <w:p>
      <w:pPr>
        <w:spacing w:after="0" w:line="177" w:lineRule="exact"/>
        <w:rPr>
          <w:sz w:val="20"/>
          <w:szCs w:val="20"/>
          <w:color w:val="auto"/>
        </w:rPr>
      </w:pPr>
    </w:p>
    <w:p>
      <w:pPr>
        <w:sectPr>
          <w:pgSz w:w="11900" w:h="16838" w:orient="portrait"/>
          <w:cols w:equalWidth="0" w:num="2">
            <w:col w:w="1540" w:space="64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MODULES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Hot-swappable</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BACKPLANE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Fully passive</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INPUT POWER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Dual AC inputs</w:t>
      </w:r>
    </w:p>
    <w:p>
      <w:pPr>
        <w:spacing w:after="0" w:line="191"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CHASSIS POWER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Four AC-DC power supply modules, 2N redundant</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COOLING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Three blower assembly modules (two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required)</w:t>
      </w:r>
    </w:p>
    <w:p>
      <w:pPr>
        <w:spacing w:after="0" w:line="20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ectPr>
          <w:pgSz w:w="11900" w:h="16838" w:orient="portrait"/>
          <w:cols w:equalWidth="0" w:num="1">
            <w:col w:w="10219"/>
          </w:cols>
          <w:pgMar w:left="240" w:top="468" w:right="1440" w:bottom="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Telnet; SNMP (FE MIB, FC Management MIB); WEB TOOLS; Fabric Watch; Fabric Access layer</w:t>
      </w:r>
    </w:p>
    <w:p>
      <w:pPr>
        <w:spacing w:after="0" w:line="175"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MANAGEMENT ACCESS</w:t>
      </w:r>
    </w:p>
    <w:p>
      <w:pPr>
        <w:spacing w:after="0" w:line="20" w:lineRule="exact"/>
        <w:rPr>
          <w:sz w:val="20"/>
          <w:szCs w:val="20"/>
          <w:color w:val="auto"/>
        </w:rPr>
      </w:pPr>
      <w:r>
        <w:rPr>
          <w:sz w:val="20"/>
          <w:szCs w:val="20"/>
          <w:color w:val="auto"/>
        </w:rPr>
        <w:br w:type="column"/>
      </w:r>
    </w:p>
    <w:p>
      <w:pPr>
        <w:ind w:right="3139"/>
        <w:spacing w:after="0" w:line="247" w:lineRule="auto"/>
        <w:rPr>
          <w:sz w:val="20"/>
          <w:szCs w:val="20"/>
          <w:color w:val="auto"/>
        </w:rPr>
      </w:pPr>
      <w:r>
        <w:rPr>
          <w:rFonts w:ascii="Courier New" w:cs="Courier New" w:eastAsia="Courier New" w:hAnsi="Courier New"/>
          <w:sz w:val="15"/>
          <w:szCs w:val="15"/>
          <w:color w:val="auto"/>
        </w:rPr>
        <w:t>10/100 Ethernet (RJ-45), in-band over Fibre Channel (requires fabric); two serial ports (DB-9) per control processor module</w:t>
      </w:r>
    </w:p>
    <w:p>
      <w:pPr>
        <w:spacing w:after="0" w:line="174" w:lineRule="exact"/>
        <w:rPr>
          <w:sz w:val="20"/>
          <w:szCs w:val="20"/>
          <w:color w:val="auto"/>
        </w:rPr>
      </w:pPr>
    </w:p>
    <w:p>
      <w:pPr>
        <w:sectPr>
          <w:pgSz w:w="11900" w:h="16838" w:orient="portrait"/>
          <w:cols w:equalWidth="0" w:num="2">
            <w:col w:w="1540" w:space="64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DIAGNOSTICS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POST and embedded online/offline diagnostics</w:t>
      </w:r>
    </w:p>
    <w:p>
      <w:pPr>
        <w:spacing w:after="0" w:line="20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MECHANICAL SPECIFICATIONS</w:t>
      </w:r>
    </w:p>
    <w:p>
      <w:pPr>
        <w:sectPr>
          <w:pgSz w:w="11900" w:h="16838" w:orient="portrait"/>
          <w:cols w:equalWidth="0" w:num="1">
            <w:col w:w="10219"/>
          </w:cols>
          <w:pgMar w:left="240" w:top="468" w:right="1440" w:bottom="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Rack mountable in a standard 19 in. EIA rack;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Telco-style mid-mounting available</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PORTS PER RACK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Up to 384 ports per 42U rack</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ENCLOSURE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Rear panel-to-door airflow</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43.74 cm (17.22 in.) width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61.24 cm (24.11 in., 14U) height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70.90 cm (27.90 in.) depth without door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74.20 cm (29.20 in.) depth with door</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WEIGHT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98 to 113 kg (215 to 250 lb)</w:t>
      </w:r>
    </w:p>
    <w:p>
      <w:pPr>
        <w:spacing w:after="0" w:line="20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ectPr>
          <w:pgSz w:w="11900" w:h="16838" w:orient="portrait"/>
          <w:cols w:equalWidth="0" w:num="1">
            <w:col w:w="10219"/>
          </w:cols>
          <w:pgMar w:left="240" w:top="468" w:right="1440" w:bottom="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TEMPERATURE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0(degree)C to 40(degree)C</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HUMIDITY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Operating: 20% to 85% non-condensing at 40(degree)C</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ALTITUDE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 to 3 km</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 g, 6 ms, half sine</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VIBRATION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Operating: 0.5 g p-p, 5 to 500 Hz;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Non-operating: 2.0 g, 5 to 500 Hz</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HEAT DISSIPATION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1960 Watts (6700 BTU/hour) fully loaded</w:t>
      </w:r>
    </w:p>
    <w:p>
      <w:pPr>
        <w:spacing w:after="0" w:line="20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w:t>
      </w:r>
    </w:p>
    <w:p>
      <w:pPr>
        <w:sectPr>
          <w:pgSz w:w="11900" w:h="16838" w:orient="portrait"/>
          <w:cols w:equalWidth="0" w:num="1">
            <w:col w:w="10219"/>
          </w:cols>
          <w:pgMar w:left="240" w:top="468" w:right="1440" w:bottom="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SUPPORTED POWER RANGE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Nominal: 200 to 240 VAC, single phase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180 to 264 VAC auto-sensing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2300 Volt-Amps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12 Amps</w:t>
      </w:r>
    </w:p>
    <w:p>
      <w:pPr>
        <w:spacing w:after="0" w:line="180" w:lineRule="exact"/>
        <w:rPr>
          <w:sz w:val="20"/>
          <w:szCs w:val="20"/>
          <w:color w:val="auto"/>
        </w:rPr>
      </w:pPr>
    </w:p>
    <w:p>
      <w:pPr>
        <w:sectPr>
          <w:pgSz w:w="11900" w:h="16838" w:orient="portrait"/>
          <w:cols w:equalWidth="0" w:num="2">
            <w:col w:w="1900" w:space="28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IN-RUSH CURRENT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40A maximum, &lt; 1/4 AC cycle, per AC input</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FREQUENCY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 to 63 Hz</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FIBRE CHANNEL STANDARDS</w:t>
      </w:r>
    </w:p>
    <w:p>
      <w:pPr>
        <w:sectPr>
          <w:pgSz w:w="11900" w:h="16838" w:orient="portrait"/>
          <w:cols w:equalWidth="0" w:num="1">
            <w:col w:w="10219"/>
          </w:cols>
          <w:pgMar w:left="240" w:top="468" w:right="1440" w:bottom="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STANDARD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REVISION</w:t>
      </w:r>
    </w:p>
    <w:p>
      <w:pPr>
        <w:spacing w:after="0" w:line="180" w:lineRule="exact"/>
        <w:rPr>
          <w:sz w:val="20"/>
          <w:szCs w:val="20"/>
          <w:color w:val="auto"/>
        </w:rPr>
      </w:pPr>
    </w:p>
    <w:p>
      <w:pPr>
        <w:sectPr>
          <w:pgSz w:w="11900" w:h="16838" w:orient="portrait"/>
          <w:cols w:equalWidth="0" w:num="2">
            <w:col w:w="1460" w:space="720"/>
            <w:col w:w="8039"/>
          </w:cols>
          <w:pgMar w:left="240" w:top="468"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FC-AL-2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FC-FLA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FC-GS-3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FC-FG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FC-PH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FC-PH-2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FC-PH-3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FC-PLDA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FC-SW-2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FC-VI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ANSI X3.272: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NCITS 332: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NCITS TR-20: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NCITS 348: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ANSI X3.289: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ANSI X3.230: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ANSI X3.297: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ANSI X3.303: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NCITS TR-19: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1.61</w:t>
      </w:r>
    </w:p>
    <w:p>
      <w:pPr>
        <w:sectPr>
          <w:pgSz w:w="11900" w:h="16838" w:orient="portrait"/>
          <w:cols w:equalWidth="0" w:num="2">
            <w:col w:w="1460" w:space="720"/>
            <w:col w:w="8039"/>
          </w:cols>
          <w:pgMar w:left="240" w:top="468" w:right="1440" w:bottom="0" w:gutter="0" w:footer="0" w:header="0"/>
          <w:type w:val="continuous"/>
        </w:sectPr>
      </w:pPr>
    </w:p>
    <w:bookmarkStart w:id="326" w:name="page327"/>
    <w:bookmarkEnd w:id="326"/>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IPFC</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RFC 2625</w:t>
            </w:r>
          </w:p>
        </w:tc>
        <w:tc>
          <w:tcPr>
            <w:tcW w:w="1720" w:type="dxa"/>
            <w:vAlign w:val="bottom"/>
          </w:tcPr>
          <w:p>
            <w:pPr>
              <w:spacing w:after="0"/>
              <w:rPr>
                <w:sz w:val="14"/>
                <w:szCs w:val="14"/>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FCP</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w w:val="99"/>
              </w:rPr>
              <w:t>ANSI X3.269: 1996</w:t>
            </w:r>
          </w:p>
        </w:tc>
        <w:tc>
          <w:tcPr>
            <w:tcW w:w="1720" w:type="dxa"/>
            <w:vAlign w:val="bottom"/>
          </w:tcPr>
          <w:p>
            <w:pPr>
              <w:spacing w:after="0"/>
              <w:rPr>
                <w:sz w:val="15"/>
                <w:szCs w:val="15"/>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FCP-2</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Rev 7</w:t>
            </w:r>
          </w:p>
        </w:tc>
        <w:tc>
          <w:tcPr>
            <w:tcW w:w="1720" w:type="dxa"/>
            <w:vAlign w:val="bottom"/>
          </w:tcPr>
          <w:p>
            <w:pPr>
              <w:spacing w:after="0"/>
              <w:rPr>
                <w:sz w:val="15"/>
                <w:szCs w:val="15"/>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SCSI Enclosure Services</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Rev 8b</w:t>
            </w:r>
          </w:p>
        </w:tc>
        <w:tc>
          <w:tcPr>
            <w:tcW w:w="1720" w:type="dxa"/>
            <w:vAlign w:val="bottom"/>
          </w:tcPr>
          <w:p>
            <w:pPr>
              <w:spacing w:after="0"/>
              <w:rPr>
                <w:sz w:val="15"/>
                <w:szCs w:val="15"/>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FC-SB-2</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Rev 2.1</w:t>
            </w:r>
          </w:p>
        </w:tc>
        <w:tc>
          <w:tcPr>
            <w:tcW w:w="1720" w:type="dxa"/>
            <w:vAlign w:val="bottom"/>
          </w:tcPr>
          <w:p>
            <w:pPr>
              <w:spacing w:after="0"/>
              <w:rPr>
                <w:sz w:val="15"/>
                <w:szCs w:val="15"/>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FC-BB</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Rev 4.7</w:t>
            </w:r>
          </w:p>
        </w:tc>
        <w:tc>
          <w:tcPr>
            <w:tcW w:w="1720" w:type="dxa"/>
            <w:vAlign w:val="bottom"/>
          </w:tcPr>
          <w:p>
            <w:pPr>
              <w:spacing w:after="0"/>
              <w:rPr>
                <w:sz w:val="15"/>
                <w:szCs w:val="15"/>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FC-FS</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Rev 1.7</w:t>
            </w:r>
          </w:p>
        </w:tc>
        <w:tc>
          <w:tcPr>
            <w:tcW w:w="1720" w:type="dxa"/>
            <w:vAlign w:val="bottom"/>
          </w:tcPr>
          <w:p>
            <w:pPr>
              <w:spacing w:after="0"/>
              <w:rPr>
                <w:sz w:val="15"/>
                <w:szCs w:val="15"/>
                <w:color w:val="auto"/>
              </w:rPr>
            </w:pPr>
          </w:p>
        </w:tc>
      </w:tr>
      <w:tr>
        <w:trPr>
          <w:trHeight w:val="524"/>
        </w:trPr>
        <w:tc>
          <w:tcPr>
            <w:tcW w:w="2120" w:type="dxa"/>
            <w:vAlign w:val="bottom"/>
          </w:tcPr>
          <w:p>
            <w:pPr>
              <w:spacing w:after="0"/>
              <w:rPr>
                <w:sz w:val="20"/>
                <w:szCs w:val="20"/>
                <w:color w:val="auto"/>
              </w:rPr>
            </w:pPr>
            <w:r>
              <w:rPr>
                <w:rFonts w:ascii="Courier New" w:cs="Courier New" w:eastAsia="Courier New" w:hAnsi="Courier New"/>
                <w:sz w:val="15"/>
                <w:szCs w:val="15"/>
                <w:color w:val="auto"/>
              </w:rPr>
              <w:t>REGULATORY COMPLIANCE</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0"/>
        </w:trPr>
        <w:tc>
          <w:tcPr>
            <w:tcW w:w="2120" w:type="dxa"/>
            <w:vAlign w:val="bottom"/>
          </w:tcPr>
          <w:p>
            <w:pPr>
              <w:spacing w:after="0"/>
              <w:rPr>
                <w:sz w:val="24"/>
                <w:szCs w:val="24"/>
                <w:color w:val="auto"/>
              </w:rPr>
            </w:pPr>
          </w:p>
        </w:tc>
        <w:tc>
          <w:tcPr>
            <w:tcW w:w="1600" w:type="dxa"/>
            <w:vAlign w:val="bottom"/>
          </w:tcPr>
          <w:p>
            <w:pPr>
              <w:ind w:left="140"/>
              <w:spacing w:after="0"/>
              <w:rPr>
                <w:sz w:val="20"/>
                <w:szCs w:val="20"/>
                <w:color w:val="auto"/>
              </w:rPr>
            </w:pPr>
            <w:r>
              <w:rPr>
                <w:rFonts w:ascii="Courier New" w:cs="Courier New" w:eastAsia="Courier New" w:hAnsi="Courier New"/>
                <w:sz w:val="15"/>
                <w:szCs w:val="15"/>
                <w:color w:val="auto"/>
              </w:rPr>
              <w:t>SAFETY</w:t>
            </w:r>
          </w:p>
        </w:tc>
        <w:tc>
          <w:tcPr>
            <w:tcW w:w="1720" w:type="dxa"/>
            <w:vAlign w:val="bottom"/>
          </w:tcPr>
          <w:p>
            <w:pPr>
              <w:ind w:left="460"/>
              <w:spacing w:after="0"/>
              <w:rPr>
                <w:sz w:val="20"/>
                <w:szCs w:val="20"/>
                <w:color w:val="auto"/>
              </w:rPr>
            </w:pPr>
            <w:r>
              <w:rPr>
                <w:rFonts w:ascii="Courier New" w:cs="Courier New" w:eastAsia="Courier New" w:hAnsi="Courier New"/>
                <w:sz w:val="15"/>
                <w:szCs w:val="15"/>
                <w:color w:val="auto"/>
              </w:rPr>
              <w:t>EMC</w:t>
            </w:r>
          </w:p>
        </w:tc>
      </w:tr>
      <w:tr>
        <w:trPr>
          <w:trHeight w:val="350"/>
        </w:trPr>
        <w:tc>
          <w:tcPr>
            <w:tcW w:w="212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CSA 60950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ICES-003 Class A</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UL 60950</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FCC Part 15 Class A</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IEC60950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VCCI Class A</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European Community</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EN60950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EN55022 Level A</w:t>
            </w:r>
          </w:p>
        </w:tc>
      </w:tr>
      <w:tr>
        <w:trPr>
          <w:trHeight w:val="175"/>
        </w:trPr>
        <w:tc>
          <w:tcPr>
            <w:tcW w:w="212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TUV, NEMKO</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EN55024</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Australia/New Zealand</w:t>
            </w:r>
          </w:p>
        </w:tc>
        <w:tc>
          <w:tcPr>
            <w:tcW w:w="160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AS/NZS 3548</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IEC 60950</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CISPR 22</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1745 Technology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 95110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T:(408) 487-8000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F:(408) 487-8101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info@brocade.com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HEADQUARTERS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route de l'Aeroport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Postale 105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Geneva 15, Switzerland 1215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T:+41 22 799 56 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F:+41 22 799 56 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europe-info@brocade.com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 PACIFIC HEADQUARTERS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Communications Systems,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Imperial Tower 15th Fl.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Uchisaiwaicho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Chiyoda-ku, Tokyo 100-0011, Japan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T:+81 33507 5802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F:+81 33507 5900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apac-info@brocade.com</w:t>
      </w:r>
    </w:p>
    <w:p>
      <w:pPr>
        <w:spacing w:after="0" w:line="354"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(C)2002 Brocade Communications Systems, Inc. All Rights Reserved.03/02 GA-DS-103-03</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Brocade, the Brocade B weave logo, and SilkWorm are registered trademarks of Brocade Communications Systems, Inc., in the United States and/or in other countries. All other brands, products, or service names are or may be trademarks or service marks of, and are used to identify, products or services of their respective owners.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Notice: This document is for informational purposes only and does not set forth any warranty, expressed or implied, concerning any equipment, equipment feature, or service offered or to be offered by Brocade. Brocade reserves the right to make changes to this document at any time, without notice, and assumes no responsibility for its use. This informational document describes features that may not be currently available. Contact a Brocade sales office for information on feature and product availability. Export of technical data contained in this document may require an export license from the United States government.</w:t>
      </w:r>
    </w:p>
    <w:p>
      <w:pPr>
        <w:sectPr>
          <w:pgSz w:w="11900" w:h="16838" w:orient="portrait"/>
          <w:cols w:equalWidth="0" w:num="1">
            <w:col w:w="10219"/>
          </w:cols>
          <w:pgMar w:left="240" w:top="141" w:right="1440" w:bottom="1440" w:gutter="0" w:footer="0" w:header="0"/>
        </w:sectPr>
      </w:pPr>
    </w:p>
    <w:bookmarkStart w:id="327" w:name="page328"/>
    <w:bookmarkEnd w:id="327"/>
    <w:p>
      <w:pPr>
        <w:jc w:val="right"/>
        <w:ind w:right="2959"/>
        <w:spacing w:after="0"/>
        <w:rPr>
          <w:sz w:val="20"/>
          <w:szCs w:val="20"/>
          <w:color w:val="auto"/>
        </w:rPr>
      </w:pPr>
      <w:r>
        <w:rPr>
          <w:rFonts w:ascii="Courier New" w:cs="Courier New" w:eastAsia="Courier New" w:hAnsi="Courier New"/>
          <w:sz w:val="15"/>
          <w:szCs w:val="15"/>
          <w:color w:val="auto"/>
        </w:rPr>
        <w:t>EXHIBIT A-2</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329"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CONFIGURATION SPECIFICATION</w:t>
      </w:r>
    </w:p>
    <w:p>
      <w:pPr>
        <w:spacing w:after="0" w:line="354"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HP STORAGEWORKS CORE SWITCH</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2/64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26"/>
          </w:cols>
          <w:pgMar w:left="233" w:top="4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7" w:hanging="363"/>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Page 1 of 1</w:t>
      </w:r>
    </w:p>
    <w:p>
      <w:pPr>
        <w:spacing w:after="0" w:line="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468"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187" w:right="3219" w:hanging="187"/>
        <w:spacing w:after="0" w:line="247" w:lineRule="auto"/>
        <w:tabs>
          <w:tab w:leader="none" w:pos="187"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type w:val="continuous"/>
        </w:sectPr>
      </w:pPr>
    </w:p>
    <w:bookmarkStart w:id="328" w:name="page329"/>
    <w:bookmarkEnd w:id="328"/>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12000 INFORMATION</w:t>
      </w:r>
    </w:p>
    <w:p>
      <w:pPr>
        <w:spacing w:after="0" w:line="180" w:lineRule="exact"/>
        <w:rPr>
          <w:sz w:val="20"/>
          <w:szCs w:val="20"/>
          <w:color w:val="auto"/>
        </w:rPr>
      </w:pPr>
    </w:p>
    <w:p>
      <w:pPr>
        <w:ind w:left="7"/>
        <w:spacing w:after="0"/>
        <w:tabs>
          <w:tab w:leader="none" w:pos="1706" w:val="left"/>
        </w:tabs>
        <w:rPr>
          <w:sz w:val="20"/>
          <w:szCs w:val="20"/>
          <w:color w:val="auto"/>
        </w:rPr>
      </w:pPr>
      <w:r>
        <w:rPr>
          <w:rFonts w:ascii="Courier New" w:cs="Courier New" w:eastAsia="Courier New" w:hAnsi="Courier New"/>
          <w:sz w:val="15"/>
          <w:szCs w:val="15"/>
          <w:color w:val="auto"/>
        </w:rPr>
        <w:t>PRODUCT :</w:t>
      </w:r>
      <w:r>
        <w:rPr>
          <w:sz w:val="20"/>
          <w:szCs w:val="20"/>
          <w:color w:val="auto"/>
        </w:rPr>
        <w:tab/>
      </w:r>
      <w:r>
        <w:rPr>
          <w:rFonts w:ascii="Courier New" w:cs="Courier New" w:eastAsia="Courier New" w:hAnsi="Courier New"/>
          <w:sz w:val="15"/>
          <w:szCs w:val="15"/>
          <w:color w:val="auto"/>
        </w:rPr>
        <w:t>hp StorageWorks Core Switch 2/64</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MODEL NUMBERS:</w:t>
      </w:r>
    </w:p>
    <w:p>
      <w:pPr>
        <w:spacing w:after="0" w:line="5" w:lineRule="exact"/>
        <w:rPr>
          <w:sz w:val="20"/>
          <w:szCs w:val="20"/>
          <w:color w:val="auto"/>
        </w:rPr>
      </w:pPr>
    </w:p>
    <w:p>
      <w:pPr>
        <w:ind w:left="1727" w:hanging="1727"/>
        <w:spacing w:after="0"/>
        <w:tabs>
          <w:tab w:leader="none" w:pos="1727"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StorageWorks Core Switch 2/64</w:t>
      </w:r>
    </w:p>
    <w:p>
      <w:pPr>
        <w:spacing w:after="0" w:line="4" w:lineRule="exact"/>
        <w:rPr>
          <w:rFonts w:ascii="Courier New" w:cs="Courier New" w:eastAsia="Courier New" w:hAnsi="Courier New"/>
          <w:sz w:val="15"/>
          <w:szCs w:val="15"/>
          <w:color w:val="auto"/>
        </w:rPr>
      </w:pPr>
    </w:p>
    <w:p>
      <w:pPr>
        <w:ind w:left="1727" w:hanging="1727"/>
        <w:spacing w:after="0"/>
        <w:tabs>
          <w:tab w:leader="none" w:pos="1727"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Blade</w:t>
      </w:r>
    </w:p>
    <w:p>
      <w:pPr>
        <w:spacing w:after="0" w:line="179" w:lineRule="exact"/>
        <w:rPr>
          <w:rFonts w:ascii="Courier New" w:cs="Courier New" w:eastAsia="Courier New" w:hAnsi="Courier New"/>
          <w:sz w:val="15"/>
          <w:szCs w:val="15"/>
          <w:color w:val="auto"/>
        </w:rPr>
      </w:pPr>
    </w:p>
    <w:p>
      <w:pPr>
        <w:ind w:left="1727" w:right="4959" w:hanging="1727"/>
        <w:spacing w:after="0" w:line="246" w:lineRule="auto"/>
        <w:tabs>
          <w:tab w:leader="none" w:pos="1727"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StorageWorks Core Switch 2/64 (w/ 32 ports)</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727" w:right="5139" w:hanging="1727"/>
        <w:spacing w:after="0" w:line="246" w:lineRule="auto"/>
        <w:tabs>
          <w:tab w:leader="none" w:pos="1727"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 StorageWorks Core Switch Blade (16 port)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tabs>
          <w:tab w:leader="none" w:pos="1706" w:val="left"/>
        </w:tabs>
        <w:rPr>
          <w:sz w:val="20"/>
          <w:szCs w:val="20"/>
          <w:color w:val="auto"/>
        </w:rPr>
      </w:pPr>
      <w:r>
        <w:rPr>
          <w:rFonts w:ascii="Courier New" w:cs="Courier New" w:eastAsia="Courier New" w:hAnsi="Courier New"/>
          <w:sz w:val="15"/>
          <w:szCs w:val="15"/>
          <w:color w:val="auto"/>
        </w:rPr>
        <w:t>SUPPLIER:</w:t>
      </w:r>
      <w:r>
        <w:rPr>
          <w:sz w:val="20"/>
          <w:szCs w:val="20"/>
          <w:color w:val="auto"/>
        </w:rPr>
        <w:tab/>
      </w:r>
      <w:r>
        <w:rPr>
          <w:rFonts w:ascii="Courier New" w:cs="Courier New" w:eastAsia="Courier New" w:hAnsi="Courier New"/>
          <w:sz w:val="15"/>
          <w:szCs w:val="15"/>
          <w:color w:val="auto"/>
        </w:rPr>
        <w:t>Brocade</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of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2"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187" w:right="3679" w:hanging="187"/>
        <w:spacing w:after="0" w:line="247" w:lineRule="auto"/>
        <w:tabs>
          <w:tab w:leader="none" w:pos="187"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29" w:name="page330"/>
    <w:bookmarkEnd w:id="329"/>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DOCUMENT REVISION HISTORY</w:t>
            </w:r>
          </w:p>
        </w:tc>
      </w:tr>
      <w:tr>
        <w:trPr>
          <w:trHeight w:val="874"/>
        </w:trPr>
        <w:tc>
          <w:tcPr>
            <w:tcW w:w="1180" w:type="dxa"/>
            <w:vAlign w:val="bottom"/>
          </w:tcPr>
          <w:p>
            <w:pPr>
              <w:spacing w:after="0"/>
              <w:rPr>
                <w:sz w:val="20"/>
                <w:szCs w:val="20"/>
                <w:color w:val="auto"/>
              </w:rPr>
            </w:pPr>
            <w:r>
              <w:rPr>
                <w:rFonts w:ascii="Courier New" w:cs="Courier New" w:eastAsia="Courier New" w:hAnsi="Courier New"/>
                <w:sz w:val="15"/>
                <w:szCs w:val="15"/>
                <w:color w:val="auto"/>
              </w:rPr>
              <w:t>REVISION #</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DATE</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1180" w:type="dxa"/>
            <w:vAlign w:val="bottom"/>
          </w:tcPr>
          <w:p>
            <w:pPr>
              <w:spacing w:after="0"/>
              <w:rPr>
                <w:sz w:val="20"/>
                <w:szCs w:val="20"/>
                <w:color w:val="auto"/>
              </w:rPr>
            </w:pPr>
            <w:r>
              <w:rPr>
                <w:rFonts w:ascii="Courier New" w:cs="Courier New" w:eastAsia="Courier New" w:hAnsi="Courier New"/>
                <w:sz w:val="15"/>
                <w:szCs w:val="15"/>
                <w:color w:val="auto"/>
              </w:rPr>
              <w:t>00</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1/24/02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Preliminary</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01</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2/26/02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Added p/n's, agency label and button drawings</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02</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2/28/2002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Changed bar coding of FRU spec. Page 8</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03</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3/14/2002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product name change, brocade badges</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04</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3/19/02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Added FRU information &amp; license information</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05</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3/20/02</w:t>
            </w:r>
          </w:p>
        </w:tc>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Dropped AZ.</w:t>
            </w:r>
          </w:p>
        </w:tc>
      </w:tr>
      <w:tr>
        <w:trPr>
          <w:trHeight w:val="175"/>
        </w:trPr>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Removed reference to quickloop</w:t>
            </w:r>
          </w:p>
        </w:tc>
      </w:tr>
      <w:tr>
        <w:trPr>
          <w:trHeight w:val="175"/>
        </w:trPr>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Added 5.X Port card requirements</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06</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3/25/02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Corrected rail kit pn in 4.0 to -87903 not -87902</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E7</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3/29/02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Added contents of rack mount hw kit (BOB)</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E8</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4/9/02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CD-Rom artwork</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E9</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4/23/02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Corrected formatting issues, added pn to assy &amp; rail</w:t>
            </w:r>
          </w:p>
        </w:tc>
      </w:tr>
      <w:tr>
        <w:trPr>
          <w:trHeight w:val="175"/>
        </w:trPr>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kit subcomponents.</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E10</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4/23/02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Add route.delayReroute:1</w:t>
            </w:r>
          </w:p>
        </w:tc>
      </w:tr>
      <w:tr>
        <w:trPr>
          <w:trHeight w:val="175"/>
        </w:trPr>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All material to be included from Brocade (Polish Doc,</w:t>
            </w:r>
          </w:p>
        </w:tc>
      </w:tr>
      <w:tr>
        <w:trPr>
          <w:trHeight w:val="175"/>
        </w:trPr>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Power Cord, Getting Started Guide,  BOB)</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E11</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5/24/02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Included changes to make similar to pre merger Compaq</w:t>
            </w:r>
          </w:p>
        </w:tc>
      </w:tr>
      <w:tr>
        <w:trPr>
          <w:trHeight w:val="175"/>
        </w:trPr>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model.</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E12</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5/29/02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Pre Merger Compaq team added their content</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E13</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5/30/02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Added shipping labels, Compaq part # labels,  and</w:t>
            </w:r>
          </w:p>
        </w:tc>
      </w:tr>
      <w:tr>
        <w:trPr>
          <w:trHeight w:val="175"/>
        </w:trPr>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locations</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E14</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6/6/2002</w:t>
            </w:r>
          </w:p>
        </w:tc>
        <w:tc>
          <w:tcPr>
            <w:tcW w:w="5080" w:type="dxa"/>
            <w:vAlign w:val="bottom"/>
          </w:tcPr>
          <w:p>
            <w:pPr>
              <w:spacing w:after="0"/>
              <w:rPr>
                <w:sz w:val="20"/>
                <w:szCs w:val="20"/>
                <w:color w:val="auto"/>
              </w:rPr>
            </w:pPr>
            <w:r>
              <w:rPr>
                <w:rFonts w:ascii="Courier New" w:cs="Courier New" w:eastAsia="Courier New" w:hAnsi="Courier New"/>
                <w:sz w:val="15"/>
                <w:szCs w:val="15"/>
                <w:color w:val="auto"/>
              </w:rPr>
              <w:t>Samples only added on page 11 and 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Date: 6/6/2002</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Configuration Specification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3 of 3</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1000"/>
              <w:spacing w:after="0"/>
              <w:rPr>
                <w:sz w:val="20"/>
                <w:szCs w:val="20"/>
                <w:color w:val="auto"/>
              </w:rPr>
            </w:pPr>
            <w:r>
              <w:rPr>
                <w:rFonts w:ascii="Courier New" w:cs="Courier New" w:eastAsia="Courier New" w:hAnsi="Courier New"/>
                <w:sz w:val="15"/>
                <w:szCs w:val="15"/>
                <w:color w:val="auto"/>
              </w:rPr>
              <w:t>Revision E14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7" w:right="3679" w:hanging="187"/>
        <w:spacing w:after="0" w:line="247" w:lineRule="auto"/>
        <w:tabs>
          <w:tab w:leader="none" w:pos="187"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330" w:name="page331"/>
    <w:bookmarkEnd w:id="330"/>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50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TABLE OF CONTENTS</w:t>
            </w:r>
          </w:p>
        </w:tc>
        <w:tc>
          <w:tcPr>
            <w:tcW w:w="720" w:type="dxa"/>
            <w:vAlign w:val="bottom"/>
          </w:tcPr>
          <w:p>
            <w:pPr>
              <w:spacing w:after="0"/>
              <w:rPr>
                <w:sz w:val="14"/>
                <w:szCs w:val="14"/>
                <w:color w:val="auto"/>
              </w:rPr>
            </w:pPr>
          </w:p>
        </w:tc>
      </w:tr>
      <w:tr>
        <w:trPr>
          <w:trHeight w:val="874"/>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DOCUMENT REVISION HISTORY</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SCOPE OF DOCUMENT</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HP'S GENERAL REQUIREMENTS</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2.1</w:t>
            </w: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Bar Code Requirements</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2.2</w:t>
            </w:r>
          </w:p>
        </w:tc>
        <w:tc>
          <w:tcPr>
            <w:tcW w:w="1960" w:type="dxa"/>
            <w:vAlign w:val="bottom"/>
          </w:tcPr>
          <w:p>
            <w:pPr>
              <w:ind w:left="380"/>
              <w:spacing w:after="0"/>
              <w:rPr>
                <w:sz w:val="20"/>
                <w:szCs w:val="20"/>
                <w:color w:val="auto"/>
              </w:rPr>
            </w:pPr>
            <w:r>
              <w:rPr>
                <w:rFonts w:ascii="Courier New" w:cs="Courier New" w:eastAsia="Courier New" w:hAnsi="Courier New"/>
                <w:sz w:val="15"/>
                <w:szCs w:val="15"/>
                <w:color w:val="auto"/>
              </w:rPr>
              <w:t>Power Cords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PURCHASED PARTS</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SWITCH</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4.1</w:t>
            </w: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Switch Configuration</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4.2</w:t>
            </w:r>
          </w:p>
        </w:tc>
        <w:tc>
          <w:tcPr>
            <w:tcW w:w="364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Switch: Configuration Parameters</w:t>
            </w: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4.3</w:t>
            </w:r>
          </w:p>
        </w:tc>
        <w:tc>
          <w:tcPr>
            <w:tcW w:w="1960" w:type="dxa"/>
            <w:vAlign w:val="bottom"/>
          </w:tcPr>
          <w:p>
            <w:pPr>
              <w:ind w:left="380"/>
              <w:spacing w:after="0"/>
              <w:rPr>
                <w:sz w:val="20"/>
                <w:szCs w:val="20"/>
                <w:color w:val="auto"/>
              </w:rPr>
            </w:pPr>
            <w:r>
              <w:rPr>
                <w:rFonts w:ascii="Courier New" w:cs="Courier New" w:eastAsia="Courier New" w:hAnsi="Courier New"/>
                <w:sz w:val="15"/>
                <w:szCs w:val="15"/>
                <w:color w:val="auto"/>
              </w:rPr>
              <w:t>Switch: Licenses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4.4</w:t>
            </w: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Switch: Accessory Kit</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4.5</w:t>
            </w: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Switch: Rack Mount Kit</w:t>
            </w: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4.6</w:t>
            </w:r>
          </w:p>
        </w:tc>
        <w:tc>
          <w:tcPr>
            <w:tcW w:w="1960" w:type="dxa"/>
            <w:vAlign w:val="bottom"/>
          </w:tcPr>
          <w:p>
            <w:pPr>
              <w:ind w:left="380"/>
              <w:spacing w:after="0"/>
              <w:rPr>
                <w:sz w:val="20"/>
                <w:szCs w:val="20"/>
                <w:color w:val="auto"/>
              </w:rPr>
            </w:pPr>
            <w:r>
              <w:rPr>
                <w:rFonts w:ascii="Courier New" w:cs="Courier New" w:eastAsia="Courier New" w:hAnsi="Courier New"/>
                <w:sz w:val="15"/>
                <w:szCs w:val="15"/>
                <w:color w:val="auto"/>
              </w:rPr>
              <w:t>Switch: Labels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4.7</w:t>
            </w:r>
          </w:p>
        </w:tc>
        <w:tc>
          <w:tcPr>
            <w:tcW w:w="1960" w:type="dxa"/>
            <w:vAlign w:val="bottom"/>
          </w:tcPr>
          <w:p>
            <w:pPr>
              <w:ind w:left="380"/>
              <w:spacing w:after="0"/>
              <w:rPr>
                <w:sz w:val="20"/>
                <w:szCs w:val="20"/>
                <w:color w:val="auto"/>
              </w:rPr>
            </w:pPr>
            <w:r>
              <w:rPr>
                <w:rFonts w:ascii="Courier New" w:cs="Courier New" w:eastAsia="Courier New" w:hAnsi="Courier New"/>
                <w:sz w:val="15"/>
                <w:szCs w:val="15"/>
                <w:color w:val="auto"/>
              </w:rPr>
              <w:t>Label Locations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4.8</w:t>
            </w: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Label:  Accessory Kit</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4.9</w:t>
            </w: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Label: Rack Mount Kit</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4.10</w:t>
            </w:r>
          </w:p>
        </w:tc>
        <w:tc>
          <w:tcPr>
            <w:tcW w:w="1960" w:type="dxa"/>
            <w:vAlign w:val="bottom"/>
          </w:tcPr>
          <w:p>
            <w:pPr>
              <w:ind w:left="380"/>
              <w:spacing w:after="0"/>
              <w:rPr>
                <w:sz w:val="20"/>
                <w:szCs w:val="20"/>
                <w:color w:val="auto"/>
              </w:rPr>
            </w:pPr>
            <w:r>
              <w:rPr>
                <w:rFonts w:ascii="Courier New" w:cs="Courier New" w:eastAsia="Courier New" w:hAnsi="Courier New"/>
                <w:sz w:val="15"/>
                <w:szCs w:val="15"/>
                <w:color w:val="auto"/>
              </w:rPr>
              <w:t>Label: Agency</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4.11</w:t>
            </w:r>
          </w:p>
        </w:tc>
        <w:tc>
          <w:tcPr>
            <w:tcW w:w="1960" w:type="dxa"/>
            <w:vAlign w:val="bottom"/>
          </w:tcPr>
          <w:p>
            <w:pPr>
              <w:ind w:left="380"/>
              <w:spacing w:after="0"/>
              <w:rPr>
                <w:sz w:val="20"/>
                <w:szCs w:val="20"/>
                <w:color w:val="auto"/>
              </w:rPr>
            </w:pPr>
            <w:r>
              <w:rPr>
                <w:rFonts w:ascii="Courier New" w:cs="Courier New" w:eastAsia="Courier New" w:hAnsi="Courier New"/>
                <w:sz w:val="15"/>
                <w:szCs w:val="15"/>
                <w:color w:val="auto"/>
              </w:rPr>
              <w:t>Switch: FRUs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4.12</w:t>
            </w:r>
          </w:p>
        </w:tc>
        <w:tc>
          <w:tcPr>
            <w:tcW w:w="1960" w:type="dxa"/>
            <w:vAlign w:val="bottom"/>
          </w:tcPr>
          <w:p>
            <w:pPr>
              <w:ind w:left="380"/>
              <w:spacing w:after="0"/>
              <w:rPr>
                <w:sz w:val="20"/>
                <w:szCs w:val="20"/>
                <w:color w:val="auto"/>
              </w:rPr>
            </w:pPr>
            <w:r>
              <w:rPr>
                <w:rFonts w:ascii="Courier New" w:cs="Courier New" w:eastAsia="Courier New" w:hAnsi="Courier New"/>
                <w:sz w:val="15"/>
                <w:szCs w:val="15"/>
                <w:color w:val="auto"/>
              </w:rPr>
              <w:t>Switch: Packaging</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4.13</w:t>
            </w:r>
          </w:p>
        </w:tc>
        <w:tc>
          <w:tcPr>
            <w:tcW w:w="364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99"/>
              </w:rPr>
              <w:t>Switch: Documentation CD-ROM Artwork</w:t>
            </w: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0"/>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5.0   PORT CARD</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5.1</w:t>
            </w: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Port Card: Serial Label</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5.2</w:t>
            </w:r>
          </w:p>
        </w:tc>
        <w:tc>
          <w:tcPr>
            <w:tcW w:w="26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Port Card Packaging:</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5.3</w:t>
            </w:r>
          </w:p>
        </w:tc>
        <w:tc>
          <w:tcPr>
            <w:tcW w:w="364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Port Card Shipping Labeling:</w:t>
            </w:r>
          </w:p>
        </w:tc>
        <w:tc>
          <w:tcPr>
            <w:tcW w:w="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36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POLISH ENTERPRISE SAFETY &amp; REG INFO</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50"/>
        </w:trPr>
        <w:tc>
          <w:tcPr>
            <w:tcW w:w="620" w:type="dxa"/>
            <w:vAlign w:val="bottom"/>
          </w:tcPr>
          <w:p>
            <w:pPr>
              <w:spacing w:after="0"/>
              <w:rPr>
                <w:sz w:val="20"/>
                <w:szCs w:val="20"/>
                <w:color w:val="auto"/>
              </w:rPr>
            </w:pPr>
            <w:r>
              <w:rPr>
                <w:rFonts w:ascii="Courier New" w:cs="Courier New" w:eastAsia="Courier New" w:hAnsi="Courier New"/>
                <w:sz w:val="15"/>
                <w:szCs w:val="15"/>
                <w:color w:val="auto"/>
              </w:rPr>
              <w:t>7.0</w:t>
            </w:r>
          </w:p>
        </w:tc>
        <w:tc>
          <w:tcPr>
            <w:tcW w:w="196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CLAMP</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bl>
    <w:p>
      <w:pPr>
        <w:spacing w:after="0" w:line="200" w:lineRule="exact"/>
        <w:rPr>
          <w:sz w:val="20"/>
          <w:szCs w:val="20"/>
          <w:color w:val="auto"/>
        </w:rPr>
      </w:pP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7" w:hanging="453"/>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3959"/>
        <w:spacing w:after="0"/>
        <w:rPr>
          <w:sz w:val="20"/>
          <w:szCs w:val="20"/>
          <w:color w:val="auto"/>
        </w:rPr>
      </w:pPr>
      <w:r>
        <w:rPr>
          <w:rFonts w:ascii="Courier New" w:cs="Courier New" w:eastAsia="Courier New" w:hAnsi="Courier New"/>
          <w:sz w:val="15"/>
          <w:szCs w:val="15"/>
          <w:color w:val="auto"/>
        </w:rPr>
        <w:t>Page 4 of 4</w:t>
      </w:r>
    </w:p>
    <w:p>
      <w:pPr>
        <w:spacing w:after="0" w:line="5" w:lineRule="exact"/>
        <w:rPr>
          <w:sz w:val="20"/>
          <w:szCs w:val="20"/>
          <w:color w:val="auto"/>
        </w:rPr>
      </w:pPr>
    </w:p>
    <w:p>
      <w:pPr>
        <w:jc w:val="right"/>
        <w:ind w:right="3959"/>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3" w:right="1440" w:bottom="1440" w:gutter="0" w:footer="0" w:header="0"/>
          <w:type w:val="continuous"/>
        </w:sectPr>
      </w:pPr>
    </w:p>
    <w:p>
      <w:pPr>
        <w:spacing w:after="0" w:line="149" w:lineRule="exact"/>
        <w:rPr>
          <w:sz w:val="20"/>
          <w:szCs w:val="20"/>
          <w:color w:val="auto"/>
        </w:rPr>
      </w:pPr>
    </w:p>
    <w:p>
      <w:pPr>
        <w:ind w:left="187" w:right="3219" w:hanging="187"/>
        <w:spacing w:after="0" w:line="247" w:lineRule="auto"/>
        <w:tabs>
          <w:tab w:leader="none" w:pos="187"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31" w:name="page332"/>
    <w:bookmarkEnd w:id="331"/>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447" w:hanging="447"/>
        <w:spacing w:after="0"/>
        <w:tabs>
          <w:tab w:leader="none" w:pos="447"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DOCUMENT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This document describes the expectations of how HP expects to receive the 2Gb</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Network Switch and all parts, devices and components associated with the switch.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Typical expectations described in this document are:</w:t>
      </w:r>
    </w:p>
    <w:p>
      <w:pPr>
        <w:spacing w:after="0" w:line="5" w:lineRule="exact"/>
        <w:rPr>
          <w:sz w:val="20"/>
          <w:szCs w:val="20"/>
          <w:color w:val="auto"/>
        </w:rPr>
      </w:pPr>
    </w:p>
    <w:p>
      <w:pPr>
        <w:ind w:left="447" w:hanging="265"/>
        <w:spacing w:after="0"/>
        <w:tabs>
          <w:tab w:leader="none" w:pos="447"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Numbering and Cross Referencing</w:t>
      </w:r>
    </w:p>
    <w:p>
      <w:pPr>
        <w:spacing w:after="0" w:line="4" w:lineRule="exact"/>
        <w:rPr>
          <w:rFonts w:ascii="Courier New" w:cs="Courier New" w:eastAsia="Courier New" w:hAnsi="Courier New"/>
          <w:sz w:val="15"/>
          <w:szCs w:val="15"/>
          <w:color w:val="auto"/>
        </w:rPr>
      </w:pPr>
    </w:p>
    <w:p>
      <w:pPr>
        <w:ind w:left="447" w:hanging="265"/>
        <w:spacing w:after="0"/>
        <w:tabs>
          <w:tab w:leader="none" w:pos="447"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Configuration and revision</w:t>
      </w:r>
    </w:p>
    <w:p>
      <w:pPr>
        <w:spacing w:after="0" w:line="4" w:lineRule="exact"/>
        <w:rPr>
          <w:rFonts w:ascii="Courier New" w:cs="Courier New" w:eastAsia="Courier New" w:hAnsi="Courier New"/>
          <w:sz w:val="15"/>
          <w:szCs w:val="15"/>
          <w:color w:val="auto"/>
        </w:rPr>
      </w:pPr>
    </w:p>
    <w:p>
      <w:pPr>
        <w:ind w:left="447" w:hanging="265"/>
        <w:spacing w:after="0"/>
        <w:tabs>
          <w:tab w:leader="none" w:pos="447"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Labeling</w:t>
      </w:r>
    </w:p>
    <w:p>
      <w:pPr>
        <w:spacing w:after="0" w:line="4" w:lineRule="exact"/>
        <w:rPr>
          <w:rFonts w:ascii="Courier New" w:cs="Courier New" w:eastAsia="Courier New" w:hAnsi="Courier New"/>
          <w:sz w:val="15"/>
          <w:szCs w:val="15"/>
          <w:color w:val="auto"/>
        </w:rPr>
      </w:pPr>
    </w:p>
    <w:p>
      <w:pPr>
        <w:ind w:left="447" w:hanging="265"/>
        <w:spacing w:after="0"/>
        <w:tabs>
          <w:tab w:leader="none" w:pos="447" w:val="left"/>
        </w:tabs>
        <w:numPr>
          <w:ilvl w:val="0"/>
          <w:numId w:val="5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This document supercedes any specification described in the Supplier's Product Specification Documentation.</w:t>
      </w:r>
    </w:p>
    <w:p>
      <w:pPr>
        <w:spacing w:after="0" w:line="349" w:lineRule="exact"/>
        <w:rPr>
          <w:sz w:val="20"/>
          <w:szCs w:val="20"/>
          <w:color w:val="auto"/>
        </w:rPr>
      </w:pPr>
    </w:p>
    <w:p>
      <w:pPr>
        <w:ind w:left="447" w:hanging="447"/>
        <w:spacing w:after="0"/>
        <w:tabs>
          <w:tab w:leader="none" w:pos="447" w:val="left"/>
        </w:tabs>
        <w:numPr>
          <w:ilvl w:val="0"/>
          <w:numId w:val="5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HP'S GENERAL REQUIREMENTS</w:t>
      </w:r>
    </w:p>
    <w:p>
      <w:pPr>
        <w:spacing w:after="0" w:line="180"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2.1</w:t>
        <w:tab/>
        <w:t>BAR CODE REQUIREMENTS</w:t>
      </w:r>
    </w:p>
    <w:p>
      <w:pPr>
        <w:spacing w:after="0" w:line="5" w:lineRule="exact"/>
        <w:rPr>
          <w:sz w:val="20"/>
          <w:szCs w:val="20"/>
          <w:color w:val="auto"/>
        </w:rPr>
      </w:pPr>
    </w:p>
    <w:p>
      <w:pPr>
        <w:ind w:left="827" w:right="3039" w:hanging="372"/>
        <w:spacing w:after="0" w:line="246" w:lineRule="auto"/>
        <w:tabs>
          <w:tab w:leader="none" w:pos="827" w:val="left"/>
        </w:tabs>
        <w:numPr>
          <w:ilvl w:val="0"/>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bar code symbol bar shall be Code 39 (also known as "Code 3 of 9") as specified by the AIM Uniform Symbology Specification Code 39.</w:t>
      </w:r>
    </w:p>
    <w:p>
      <w:pPr>
        <w:spacing w:after="0" w:line="1" w:lineRule="exact"/>
        <w:rPr>
          <w:rFonts w:ascii="Courier New" w:cs="Courier New" w:eastAsia="Courier New" w:hAnsi="Courier New"/>
          <w:sz w:val="15"/>
          <w:szCs w:val="15"/>
          <w:color w:val="auto"/>
        </w:rPr>
      </w:pPr>
    </w:p>
    <w:p>
      <w:pPr>
        <w:ind w:left="827" w:right="3219" w:hanging="372"/>
        <w:spacing w:after="0" w:line="246" w:lineRule="auto"/>
        <w:tabs>
          <w:tab w:leader="none" w:pos="827" w:val="left"/>
        </w:tabs>
        <w:numPr>
          <w:ilvl w:val="0"/>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symbol bar shall start with a minimum "Quiet Zone" of [*] inches and an asterisk "Start" character ( (*) in Code 39) where applicable (no adjacent labels). The symbol shall end in the asterisk followed again by a minimum [*] inches of "Quiet Zone".</w:t>
      </w:r>
    </w:p>
    <w:p>
      <w:pPr>
        <w:spacing w:after="0" w:line="2" w:lineRule="exact"/>
        <w:rPr>
          <w:rFonts w:ascii="Courier New" w:cs="Courier New" w:eastAsia="Courier New" w:hAnsi="Courier New"/>
          <w:sz w:val="15"/>
          <w:szCs w:val="15"/>
          <w:color w:val="auto"/>
        </w:rPr>
      </w:pPr>
    </w:p>
    <w:p>
      <w:pPr>
        <w:ind w:left="827" w:hanging="372"/>
        <w:spacing w:after="0"/>
        <w:tabs>
          <w:tab w:leader="none" w:pos="827" w:val="left"/>
        </w:tabs>
        <w:numPr>
          <w:ilvl w:val="0"/>
          <w:numId w:val="5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bar code height shall be [*]  inches (minimum).</w:t>
      </w:r>
    </w:p>
    <w:p>
      <w:pPr>
        <w:spacing w:after="0" w:line="354" w:lineRule="exact"/>
        <w:rPr>
          <w:sz w:val="20"/>
          <w:szCs w:val="20"/>
          <w:color w:val="auto"/>
        </w:rPr>
      </w:pPr>
    </w:p>
    <w:p>
      <w:pPr>
        <w:ind w:left="7"/>
        <w:spacing w:after="0"/>
        <w:tabs>
          <w:tab w:leader="none" w:pos="526"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POWER CORDS</w:t>
      </w:r>
    </w:p>
    <w:p>
      <w:pPr>
        <w:sectPr>
          <w:pgSz w:w="11900" w:h="16838" w:orient="portrait"/>
          <w:cols w:equalWidth="0" w:num="1">
            <w:col w:w="10226"/>
          </w:cols>
          <w:pgMar w:left="233" w:top="642" w:right="1440" w:bottom="1440" w:gutter="0" w:footer="0" w:header="0"/>
        </w:sectPr>
      </w:pPr>
    </w:p>
    <w:p>
      <w:pPr>
        <w:spacing w:after="0" w:line="5" w:lineRule="exact"/>
        <w:rPr>
          <w:sz w:val="20"/>
          <w:szCs w:val="20"/>
          <w:color w:val="auto"/>
        </w:rPr>
      </w:pPr>
    </w:p>
    <w:p>
      <w:pPr>
        <w:ind w:left="7"/>
        <w:spacing w:after="0"/>
        <w:tabs>
          <w:tab w:leader="none" w:pos="3526" w:val="left"/>
        </w:tabs>
        <w:rPr>
          <w:sz w:val="20"/>
          <w:szCs w:val="20"/>
          <w:color w:val="auto"/>
        </w:rPr>
      </w:pPr>
      <w:r>
        <w:rPr>
          <w:rFonts w:ascii="Courier New" w:cs="Courier New" w:eastAsia="Courier New" w:hAnsi="Courier New"/>
          <w:sz w:val="15"/>
          <w:szCs w:val="15"/>
          <w:color w:val="auto"/>
        </w:rPr>
        <w:t>Accessory kit includes a total of [*]</w:t>
        <w:tab/>
        <w:t>power cords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5087" w:space="180"/>
            <w:col w:w="280" w:space="540"/>
            <w:col w:w="4139"/>
          </w:cols>
          <w:pgMar w:left="233" w:top="642" w:right="1440" w:bottom="1440" w:gutter="0" w:footer="0" w:header="0"/>
          <w:type w:val="continuous"/>
        </w:sectPr>
      </w:pPr>
    </w:p>
    <w:p>
      <w:pPr>
        <w:ind w:left="827"/>
        <w:spacing w:after="0"/>
        <w:rPr>
          <w:sz w:val="20"/>
          <w:szCs w:val="20"/>
          <w:color w:val="auto"/>
        </w:rPr>
      </w:pPr>
      <w:r>
        <w:rPr>
          <w:rFonts w:ascii="Courier New" w:cs="Courier New" w:eastAsia="Courier New" w:hAnsi="Courier New"/>
          <w:sz w:val="15"/>
          <w:szCs w:val="15"/>
          <w:color w:val="auto"/>
        </w:rPr>
        <w:t>power, see CSD for part numbers).</w:t>
      </w:r>
    </w:p>
    <w:p>
      <w:pPr>
        <w:sectPr>
          <w:pgSz w:w="11900" w:h="16838" w:orient="portrait"/>
          <w:cols w:equalWidth="0" w:num="1">
            <w:col w:w="10226"/>
          </w:cols>
          <w:pgMar w:left="233" w:top="642" w:right="1440" w:bottom="1440" w:gutter="0" w:footer="0" w:header="0"/>
          <w:type w:val="continuous"/>
        </w:sectPr>
      </w:pP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Power cords have strict sourcing requirements. Power cords may only be sourced from HP specified vendors and only under the HP part number. No other power cord shall be considered. The power cords to be included with the 12000 switch are</w:t>
      </w:r>
    </w:p>
    <w:p>
      <w:pPr>
        <w:spacing w:after="0" w:line="2" w:lineRule="exact"/>
        <w:rPr>
          <w:sz w:val="20"/>
          <w:szCs w:val="20"/>
          <w:color w:val="auto"/>
        </w:rPr>
      </w:pPr>
    </w:p>
    <w:p>
      <w:pPr>
        <w:ind w:left="7"/>
        <w:spacing w:after="0"/>
        <w:tabs>
          <w:tab w:leader="none" w:pos="1886" w:val="left"/>
          <w:tab w:leader="none" w:pos="2806" w:val="left"/>
          <w:tab w:leader="none" w:pos="4246" w:val="left"/>
        </w:tabs>
        <w:rPr>
          <w:sz w:val="20"/>
          <w:szCs w:val="20"/>
          <w:color w:val="auto"/>
        </w:rPr>
      </w:pPr>
      <w:r>
        <w:rPr>
          <w:rFonts w:ascii="Courier New" w:cs="Courier New" w:eastAsia="Courier New" w:hAnsi="Courier New"/>
          <w:sz w:val="15"/>
          <w:szCs w:val="15"/>
          <w:color w:val="auto"/>
        </w:rPr>
        <w:t>manufactured by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part number</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Date: 6/6/2002</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Configuration Specification</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Page 5 of</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1000"/>
              <w:spacing w:after="0"/>
              <w:rPr>
                <w:sz w:val="20"/>
                <w:szCs w:val="20"/>
                <w:color w:val="auto"/>
              </w:rPr>
            </w:pPr>
            <w:r>
              <w:rPr>
                <w:rFonts w:ascii="Courier New" w:cs="Courier New" w:eastAsia="Courier New" w:hAnsi="Courier New"/>
                <w:sz w:val="15"/>
                <w:szCs w:val="15"/>
                <w:color w:val="auto"/>
              </w:rPr>
              <w:t>Revision E14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r>
    </w:tbl>
    <w:p>
      <w:pPr>
        <w:spacing w:after="0" w:line="179" w:lineRule="exact"/>
        <w:rPr>
          <w:sz w:val="20"/>
          <w:szCs w:val="20"/>
          <w:color w:val="auto"/>
        </w:rPr>
      </w:pPr>
    </w:p>
    <w:p>
      <w:pPr>
        <w:ind w:left="187" w:right="3219" w:hanging="187"/>
        <w:spacing w:after="0" w:line="247" w:lineRule="auto"/>
        <w:tabs>
          <w:tab w:leader="none" w:pos="187" w:val="left"/>
        </w:tabs>
        <w:numPr>
          <w:ilvl w:val="0"/>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32" w:name="page333"/>
    <w:bookmarkEnd w:id="332"/>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267"/>
        <w:spacing w:after="0"/>
        <w:tabs>
          <w:tab w:leader="none" w:pos="806" w:val="left"/>
        </w:tabs>
        <w:rPr>
          <w:sz w:val="20"/>
          <w:szCs w:val="20"/>
          <w:color w:val="auto"/>
        </w:rPr>
      </w:pP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5"/>
          <w:szCs w:val="15"/>
          <w:color w:val="auto"/>
        </w:rPr>
        <w:t>PURCHASED PARTS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HP PART</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NUMBER /</w:t>
            </w:r>
          </w:p>
        </w:tc>
        <w:tc>
          <w:tcPr>
            <w:tcW w:w="1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COMPAQ PART</w:t>
            </w: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BROCADE PART</w:t>
            </w:r>
          </w:p>
        </w:tc>
        <w:tc>
          <w:tcPr>
            <w:tcW w:w="16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DESCRIPTION</w:t>
            </w:r>
          </w:p>
        </w:tc>
        <w:tc>
          <w:tcPr>
            <w:tcW w:w="5140" w:type="dxa"/>
            <w:vAlign w:val="bottom"/>
          </w:tcPr>
          <w:p>
            <w:pPr>
              <w:ind w:left="280"/>
              <w:spacing w:after="0"/>
              <w:rPr>
                <w:sz w:val="20"/>
                <w:szCs w:val="20"/>
                <w:color w:val="auto"/>
              </w:rPr>
            </w:pPr>
            <w:r>
              <w:rPr>
                <w:rFonts w:ascii="Courier New" w:cs="Courier New" w:eastAsia="Courier New" w:hAnsi="Courier New"/>
                <w:sz w:val="15"/>
                <w:szCs w:val="15"/>
                <w:color w:val="auto"/>
              </w:rPr>
              <w:t>CONTENTS</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rPr>
              <w:t>CONTENT</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1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27"/>
          </w:cols>
          <w:pgMar w:left="233" w:top="642"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7" w:hanging="272"/>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 of 6</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6260"/>
          </w:cols>
          <w:pgMar w:left="233" w:top="642" w:right="139" w:bottom="1440" w:gutter="0" w:footer="0" w:header="0"/>
          <w:type w:val="continuous"/>
        </w:sectPr>
      </w:pPr>
    </w:p>
    <w:p>
      <w:pPr>
        <w:spacing w:after="0" w:line="324" w:lineRule="exact"/>
        <w:rPr>
          <w:sz w:val="20"/>
          <w:szCs w:val="20"/>
          <w:color w:val="auto"/>
        </w:rPr>
      </w:pPr>
    </w:p>
    <w:p>
      <w:pPr>
        <w:ind w:left="187" w:right="4520" w:hanging="187"/>
        <w:spacing w:after="0" w:line="247" w:lineRule="auto"/>
        <w:tabs>
          <w:tab w:leader="none" w:pos="187"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1527"/>
          </w:cols>
          <w:pgMar w:left="233" w:top="642" w:right="139" w:bottom="1440" w:gutter="0" w:footer="0" w:header="0"/>
          <w:type w:val="continuous"/>
        </w:sectPr>
      </w:pPr>
    </w:p>
    <w:bookmarkStart w:id="333" w:name="page334"/>
    <w:bookmarkEnd w:id="333"/>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5"/>
          <w:szCs w:val="15"/>
          <w:color w:val="auto"/>
        </w:rPr>
        <w:t>SWITCH</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MODEL NUMBER: [*]</w:t>
      </w:r>
    </w:p>
    <w:p>
      <w:pPr>
        <w:spacing w:after="0" w:line="180" w:lineRule="exact"/>
        <w:rPr>
          <w:sz w:val="20"/>
          <w:szCs w:val="20"/>
          <w:color w:val="auto"/>
        </w:rPr>
      </w:pPr>
    </w:p>
    <w:p>
      <w:pPr>
        <w:ind w:left="87"/>
        <w:spacing w:after="0"/>
        <w:tabs>
          <w:tab w:leader="none" w:pos="606" w:val="left"/>
        </w:tabs>
        <w:rPr>
          <w:sz w:val="20"/>
          <w:szCs w:val="20"/>
          <w:color w:val="auto"/>
        </w:rPr>
      </w:pPr>
      <w:r>
        <w:rPr>
          <w:rFonts w:ascii="Courier New" w:cs="Courier New" w:eastAsia="Courier New" w:hAnsi="Courier New"/>
          <w:sz w:val="15"/>
          <w:szCs w:val="15"/>
          <w:color w:val="auto"/>
        </w:rPr>
        <w:t>PART</w:t>
        <w:tab/>
        <w:t>NUMBER: [*]</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tabs>
          <w:tab w:leader="none" w:pos="1346" w:val="left"/>
        </w:tabs>
        <w:rPr>
          <w:sz w:val="20"/>
          <w:szCs w:val="20"/>
          <w:color w:val="auto"/>
        </w:rPr>
      </w:pPr>
      <w:r>
        <w:rPr>
          <w:rFonts w:ascii="Courier New" w:cs="Courier New" w:eastAsia="Courier New" w:hAnsi="Courier New"/>
          <w:sz w:val="15"/>
          <w:szCs w:val="15"/>
          <w:color w:val="auto"/>
        </w:rPr>
        <w:t>DESCRIPTION:</w:t>
        <w:tab/>
        <w:t>HP STORAGEWORKS CORE SWITCH 2/64</w:t>
      </w:r>
    </w:p>
    <w:p>
      <w:pPr>
        <w:spacing w:after="0" w:line="180"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SWITCH CONFIGURATION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DESCRIPTION (6/1)</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7/26</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Chassis Color</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4"/>
                <w:szCs w:val="24"/>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Chassis Door (metal)</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Chassis Door (plastic)</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Chassis Door 2" Badge</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WWN bezel (plastic)</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WWN Mylar label</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WWN 1" Badge</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Cable Management Tray</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Agency Certification</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Cable Pillars</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Firmware</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IP Address default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Subnetmask</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Power Supplies</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Blowers</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SWITCH: CONFIGURATION PARAMETERS</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line="247" w:lineRule="auto"/>
        <w:rPr>
          <w:sz w:val="20"/>
          <w:szCs w:val="20"/>
          <w:color w:val="auto"/>
        </w:rPr>
      </w:pPr>
      <w:r>
        <w:rPr>
          <w:rFonts w:ascii="Courier New" w:cs="Courier New" w:eastAsia="Courier New" w:hAnsi="Courier New"/>
          <w:sz w:val="15"/>
          <w:szCs w:val="15"/>
          <w:color w:val="auto"/>
        </w:rPr>
        <w:t>CLI Timeout [Configuration]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6" w:lineRule="exact"/>
        <w:rPr>
          <w:sz w:val="20"/>
          <w:szCs w:val="20"/>
          <w:color w:val="auto"/>
        </w:rPr>
      </w:pPr>
    </w:p>
    <w:p>
      <w:pPr>
        <w:sectPr>
          <w:pgSz w:w="11900" w:h="16838" w:orient="portrait"/>
          <w:cols w:equalWidth="0" w:num="2">
            <w:col w:w="1367" w:space="640"/>
            <w:col w:w="8219"/>
          </w:cols>
          <w:pgMar w:left="233" w:top="642"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547" w:hanging="453"/>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7 of 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2" w:right="1440" w:bottom="1440" w:gutter="0" w:footer="0" w:header="0"/>
          <w:type w:val="continuous"/>
        </w:sectPr>
      </w:pPr>
    </w:p>
    <w:p>
      <w:pPr>
        <w:spacing w:after="0" w:line="149" w:lineRule="exact"/>
        <w:rPr>
          <w:sz w:val="20"/>
          <w:szCs w:val="20"/>
          <w:color w:val="auto"/>
        </w:rPr>
      </w:pPr>
    </w:p>
    <w:p>
      <w:pPr>
        <w:ind w:left="267" w:right="3139" w:hanging="267"/>
        <w:spacing w:after="0" w:line="247" w:lineRule="auto"/>
        <w:tabs>
          <w:tab w:leader="none" w:pos="267" w:val="left"/>
        </w:tabs>
        <w:numPr>
          <w:ilvl w:val="0"/>
          <w:numId w:val="5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34" w:name="page335"/>
    <w:bookmarkEnd w:id="334"/>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SWITCH: LICENSES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LICENSES</w:t>
            </w:r>
          </w:p>
        </w:tc>
        <w:tc>
          <w:tcPr>
            <w:tcW w:w="2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SHIPPING STATUS</w:t>
            </w:r>
          </w:p>
        </w:tc>
        <w:tc>
          <w:tcPr>
            <w:tcW w:w="15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HP PN</w:t>
            </w:r>
          </w:p>
        </w:tc>
        <w:tc>
          <w:tcPr>
            <w:tcW w:w="2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CPQ PN (SS, SN *)</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BROCADE PN</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FabricOS</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4.0</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Adv.</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Webtools</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Adv.</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Zoning</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Fabric</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Watch</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Adv. Perf.</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Monitoring</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LUN</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24"/>
                <w:szCs w:val="24"/>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Zoning (**)</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Qkloop</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24"/>
                <w:szCs w:val="24"/>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Fabric</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Assist</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Secure</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24"/>
                <w:szCs w:val="24"/>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Fabric O/S</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ISL</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Trunking</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24"/>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Extended</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Fabrics</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24"/>
        </w:trPr>
        <w:tc>
          <w:tcPr>
            <w:tcW w:w="1220" w:type="dxa"/>
            <w:vAlign w:val="bottom"/>
          </w:tcPr>
          <w:p>
            <w:pPr>
              <w:spacing w:after="0"/>
              <w:rPr>
                <w:sz w:val="20"/>
                <w:szCs w:val="20"/>
                <w:color w:val="auto"/>
              </w:rPr>
            </w:pPr>
            <w:r>
              <w:rPr>
                <w:rFonts w:ascii="Courier New" w:cs="Courier New" w:eastAsia="Courier New" w:hAnsi="Courier New"/>
                <w:sz w:val="15"/>
                <w:szCs w:val="15"/>
                <w:color w:val="auto"/>
              </w:rPr>
              <w:t>Remote</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Switch</w:t>
            </w: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24"/>
        </w:trPr>
        <w:tc>
          <w:tcPr>
            <w:tcW w:w="1220" w:type="dxa"/>
            <w:vAlign w:val="bottom"/>
          </w:tcPr>
          <w:p>
            <w:pPr>
              <w:spacing w:after="0"/>
              <w:rPr>
                <w:sz w:val="20"/>
                <w:szCs w:val="20"/>
                <w:color w:val="auto"/>
              </w:rPr>
            </w:pPr>
            <w:r>
              <w:rPr>
                <w:rFonts w:ascii="Courier New" w:cs="Courier New" w:eastAsia="Courier New" w:hAnsi="Courier New"/>
                <w:sz w:val="15"/>
                <w:szCs w:val="15"/>
                <w:color w:val="auto"/>
              </w:rPr>
              <w:t>Repair keys</w:t>
            </w:r>
          </w:p>
        </w:tc>
        <w:tc>
          <w:tcPr>
            <w:tcW w:w="2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27" w:hanging="454"/>
        <w:spacing w:after="0"/>
        <w:tabs>
          <w:tab w:leader="none" w:pos="727" w:val="left"/>
        </w:tabs>
        <w:numPr>
          <w:ilvl w:val="0"/>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 [*] POST FRS</w:t>
      </w:r>
    </w:p>
    <w:p>
      <w:pPr>
        <w:sectPr>
          <w:pgSz w:w="11900" w:h="16838" w:orient="portrait"/>
          <w:cols w:equalWidth="0" w:num="1">
            <w:col w:w="10226"/>
          </w:cols>
          <w:pgMar w:left="233" w:top="642" w:right="1440" w:bottom="1440" w:gutter="0" w:footer="0" w:header="0"/>
        </w:sectPr>
      </w:pPr>
    </w:p>
    <w:p>
      <w:pPr>
        <w:spacing w:after="0" w:line="354" w:lineRule="exact"/>
        <w:rPr>
          <w:sz w:val="20"/>
          <w:szCs w:val="20"/>
          <w:color w:val="auto"/>
        </w:rPr>
      </w:pPr>
    </w:p>
    <w:p>
      <w:pPr>
        <w:ind w:left="627" w:hanging="539"/>
        <w:spacing w:after="0" w:line="247" w:lineRule="auto"/>
        <w:tabs>
          <w:tab w:leader="none" w:pos="606" w:val="left"/>
        </w:tabs>
        <w:rPr>
          <w:sz w:val="20"/>
          <w:szCs w:val="20"/>
          <w:color w:val="auto"/>
        </w:rPr>
      </w:pPr>
      <w:r>
        <w:rPr>
          <w:rFonts w:ascii="Courier New" w:cs="Courier New" w:eastAsia="Courier New" w:hAnsi="Courier New"/>
          <w:sz w:val="15"/>
          <w:szCs w:val="15"/>
          <w:color w:val="auto"/>
        </w:rPr>
        <w:t>Date:</w:t>
        <w:tab/>
        <w:t>6/6/2002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 of 8</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2"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187" w:right="3219" w:hanging="187"/>
        <w:spacing w:after="0" w:line="247" w:lineRule="auto"/>
        <w:tabs>
          <w:tab w:leader="none" w:pos="187"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35" w:name="page336"/>
    <w:bookmarkEnd w:id="335"/>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SWITCH: ACCESSORY KIT</w:t>
      </w:r>
    </w:p>
    <w:p>
      <w:pPr>
        <w:sectPr>
          <w:pgSz w:w="11900" w:h="16838" w:orient="portrait"/>
          <w:cols w:equalWidth="0" w:num="1">
            <w:col w:w="10226"/>
          </w:cols>
          <w:pgMar w:left="233" w:top="642" w:right="1440" w:bottom="1440" w:gutter="0" w:footer="0" w:header="0"/>
        </w:sectPr>
      </w:pP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4"/>
          <w:szCs w:val="14"/>
          <w:color w:val="auto"/>
        </w:rPr>
        <w:t>HPPN: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BROCADE PN: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TBD</w:t>
      </w:r>
    </w:p>
    <w:p>
      <w:pPr>
        <w:spacing w:after="0" w:line="200" w:lineRule="exact"/>
        <w:rPr>
          <w:sz w:val="20"/>
          <w:szCs w:val="20"/>
          <w:color w:val="auto"/>
        </w:rPr>
      </w:pPr>
    </w:p>
    <w:p>
      <w:pPr>
        <w:sectPr>
          <w:pgSz w:w="11900" w:h="16838" w:orient="portrait"/>
          <w:cols w:equalWidth="0" w:num="3">
            <w:col w:w="2907" w:space="720"/>
            <w:col w:w="1000" w:space="180"/>
            <w:col w:w="5419"/>
          </w:cols>
          <w:pgMar w:left="233" w:top="642" w:right="1440" w:bottom="1440" w:gutter="0" w:footer="0" w:header="0"/>
          <w:type w:val="continuous"/>
        </w:sectPr>
      </w:pPr>
    </w:p>
    <w:p>
      <w:pPr>
        <w:spacing w:after="0" w:line="329"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HP PART</w:t>
      </w:r>
    </w:p>
    <w:p>
      <w:pPr>
        <w:sectPr>
          <w:pgSz w:w="11900" w:h="16838" w:orient="portrait"/>
          <w:cols w:equalWidth="0" w:num="1">
            <w:col w:w="10226"/>
          </w:cols>
          <w:pgMar w:left="233" w:top="642" w:right="1440" w:bottom="1440" w:gutter="0" w:footer="0" w:header="0"/>
          <w:type w:val="continuous"/>
        </w:sectPr>
      </w:pP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hanging="181"/>
        <w:spacing w:after="0" w:line="247" w:lineRule="auto"/>
        <w:rPr>
          <w:sz w:val="20"/>
          <w:szCs w:val="20"/>
          <w:color w:val="auto"/>
        </w:rPr>
      </w:pPr>
      <w:r>
        <w:rPr>
          <w:rFonts w:ascii="Courier New" w:cs="Courier New" w:eastAsia="Courier New" w:hAnsi="Courier New"/>
          <w:sz w:val="15"/>
          <w:szCs w:val="15"/>
          <w:color w:val="auto"/>
        </w:rPr>
        <w:t>CPQ PN ------</w:t>
      </w:r>
    </w:p>
    <w:p>
      <w:pPr>
        <w:spacing w:after="0" w:line="20" w:lineRule="exact"/>
        <w:rPr>
          <w:sz w:val="20"/>
          <w:szCs w:val="20"/>
          <w:color w:val="auto"/>
        </w:rPr>
      </w:pPr>
      <w:r>
        <w:rPr>
          <w:sz w:val="20"/>
          <w:szCs w:val="20"/>
          <w:color w:val="auto"/>
        </w:rPr>
        <w:br w:type="column"/>
      </w:r>
    </w:p>
    <w:p>
      <w:pPr>
        <w:ind w:hanging="181"/>
        <w:spacing w:after="0" w:line="247" w:lineRule="auto"/>
        <w:rPr>
          <w:sz w:val="20"/>
          <w:szCs w:val="20"/>
          <w:color w:val="auto"/>
        </w:rPr>
      </w:pPr>
      <w:r>
        <w:rPr>
          <w:rFonts w:ascii="Courier New" w:cs="Courier New" w:eastAsia="Courier New" w:hAnsi="Courier New"/>
          <w:sz w:val="15"/>
          <w:szCs w:val="15"/>
          <w:color w:val="auto"/>
        </w:rPr>
        <w:t>BROCADE PN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 (HPPN)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QTY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16" w:lineRule="exact"/>
        <w:rPr>
          <w:sz w:val="20"/>
          <w:szCs w:val="20"/>
          <w:color w:val="auto"/>
        </w:rPr>
      </w:pPr>
    </w:p>
    <w:p>
      <w:pPr>
        <w:sectPr>
          <w:pgSz w:w="11900" w:h="16838" w:orient="portrait"/>
          <w:cols w:equalWidth="0" w:num="5">
            <w:col w:w="1187" w:space="440"/>
            <w:col w:w="560" w:space="440"/>
            <w:col w:w="920" w:space="540"/>
            <w:col w:w="4380" w:space="720"/>
            <w:col w:w="1039"/>
          </w:cols>
          <w:pgMar w:left="233" w:top="642" w:right="1440" w:bottom="1440" w:gutter="0" w:footer="0" w:header="0"/>
          <w:type w:val="continuous"/>
        </w:sectPr>
      </w:pPr>
    </w:p>
    <w:p>
      <w:pPr>
        <w:spacing w:after="0" w:line="149"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4">
            <w:col w:w="1727" w:space="720"/>
            <w:col w:w="920" w:space="720"/>
            <w:col w:w="4380" w:space="720"/>
            <w:col w:w="1039"/>
          </w:cols>
          <w:pgMar w:left="233" w:top="6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 w:right="20"/>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of 9</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1287" w:space="720"/>
            <w:col w:w="2460" w:space="720"/>
            <w:col w:w="5039"/>
          </w:cols>
          <w:pgMar w:left="233" w:top="642" w:right="1440" w:bottom="1440" w:gutter="0" w:footer="0" w:header="0"/>
          <w:type w:val="continuous"/>
        </w:sectPr>
      </w:pPr>
    </w:p>
    <w:p>
      <w:pPr>
        <w:ind w:left="187" w:right="2959" w:hanging="187"/>
        <w:spacing w:after="0" w:line="247" w:lineRule="auto"/>
        <w:tabs>
          <w:tab w:leader="none" w:pos="187"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36" w:name="page337"/>
    <w:bookmarkEnd w:id="336"/>
    <w:p>
      <w:pPr>
        <w:ind w:left="7"/>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26"/>
          </w:cols>
          <w:pgMar w:left="233" w:top="642" w:right="1440" w:bottom="1440" w:gutter="0" w:footer="0" w:header="0"/>
        </w:sectPr>
      </w:pPr>
    </w:p>
    <w:p>
      <w:pPr>
        <w:spacing w:after="0" w:line="354"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SWITCH: RACK MOUNT KIT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907" w:space="720"/>
            <w:col w:w="6599"/>
          </w:cols>
          <w:pgMar w:left="233" w:top="642" w:right="1440" w:bottom="1440" w:gutter="0" w:footer="0" w:header="0"/>
          <w:type w:val="continuous"/>
        </w:sect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QTY</w:t>
      </w:r>
    </w:p>
    <w:p>
      <w:pPr>
        <w:spacing w:after="0" w:line="200" w:lineRule="exact"/>
        <w:rPr>
          <w:sz w:val="20"/>
          <w:szCs w:val="20"/>
          <w:color w:val="auto"/>
        </w:rPr>
      </w:pPr>
    </w:p>
    <w:p>
      <w:pPr>
        <w:sectPr>
          <w:pgSz w:w="11900" w:h="16838" w:orient="portrait"/>
          <w:cols w:equalWidth="0" w:num="2">
            <w:col w:w="5007" w:space="720"/>
            <w:col w:w="4499"/>
          </w:cols>
          <w:pgMar w:left="233" w:top="642" w:right="1440" w:bottom="1440" w:gutter="0" w:footer="0" w:header="0"/>
          <w:type w:val="continuous"/>
        </w:sect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6"/>
          </w:cols>
          <w:pgMar w:left="233" w:top="6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 of 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1367" w:space="720"/>
            <w:col w:w="2460" w:space="720"/>
            <w:col w:w="4959"/>
          </w:cols>
          <w:pgMar w:left="233" w:top="642" w:right="1440" w:bottom="1440" w:gutter="0" w:footer="0" w:header="0"/>
          <w:type w:val="continuous"/>
        </w:sectPr>
      </w:pPr>
    </w:p>
    <w:p>
      <w:pPr>
        <w:ind w:left="187" w:right="2959" w:hanging="187"/>
        <w:spacing w:after="0" w:line="247" w:lineRule="auto"/>
        <w:tabs>
          <w:tab w:leader="none" w:pos="187"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37" w:name="page338"/>
    <w:bookmarkEnd w:id="337"/>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87"/>
        <w:spacing w:after="0"/>
        <w:tabs>
          <w:tab w:leader="none" w:pos="606" w:val="left"/>
        </w:tabs>
        <w:rPr>
          <w:sz w:val="20"/>
          <w:szCs w:val="20"/>
          <w:color w:val="auto"/>
        </w:rPr>
      </w:pPr>
      <w:r>
        <w:rPr>
          <w:rFonts w:ascii="Courier New" w:cs="Courier New" w:eastAsia="Courier New" w:hAnsi="Courier New"/>
          <w:sz w:val="15"/>
          <w:szCs w:val="15"/>
          <w:color w:val="auto"/>
        </w:rPr>
        <w:t>4.6</w:t>
        <w:tab/>
        <w:t>SWITCH: LABELS</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LABELS</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Brocade Std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Product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(Placement: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Front Inside Left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SFP side)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79" w:lineRule="exact"/>
        <w:rPr>
          <w:sz w:val="20"/>
          <w:szCs w:val="20"/>
          <w:color w:val="auto"/>
        </w:rPr>
      </w:pPr>
    </w:p>
    <w:p>
      <w:pPr>
        <w:sectPr>
          <w:pgSz w:w="11900" w:h="16838" w:orient="portrait"/>
          <w:cols w:equalWidth="0" w:num="2">
            <w:col w:w="1907" w:space="720"/>
            <w:col w:w="7599"/>
          </w:cols>
          <w:pgMar w:left="233" w:top="643" w:right="1440" w:bottom="1440" w:gutter="0" w:footer="0" w:header="0"/>
          <w:type w:val="continuous"/>
        </w:sectPr>
      </w:pPr>
    </w:p>
    <w:p>
      <w:pPr>
        <w:ind w:left="367"/>
        <w:spacing w:after="0"/>
        <w:rPr>
          <w:sz w:val="20"/>
          <w:szCs w:val="20"/>
          <w:color w:val="auto"/>
        </w:rPr>
      </w:pPr>
      <w:r>
        <w:rPr>
          <w:rFonts w:ascii="Courier New" w:cs="Courier New" w:eastAsia="Courier New" w:hAnsi="Courier New"/>
          <w:sz w:val="15"/>
          <w:szCs w:val="15"/>
          <w:color w:val="auto"/>
        </w:rPr>
        <w:t>Brocade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Serial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(Placement: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Front Inside Left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SFP side)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79" w:lineRule="exact"/>
        <w:rPr>
          <w:sz w:val="20"/>
          <w:szCs w:val="20"/>
          <w:color w:val="auto"/>
        </w:rPr>
      </w:pPr>
    </w:p>
    <w:p>
      <w:pPr>
        <w:sectPr>
          <w:pgSz w:w="11900" w:h="16838" w:orient="portrait"/>
          <w:cols w:equalWidth="0" w:num="2">
            <w:col w:w="1907" w:space="720"/>
            <w:col w:w="75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Compaq</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product label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(includes 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5-2 p/n, 6-3</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p/n, s/n)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(Placement: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Front Inside Left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SFP side)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403" w:lineRule="exact"/>
        <w:rPr>
          <w:sz w:val="20"/>
          <w:szCs w:val="20"/>
          <w:color w:val="auto"/>
        </w:rPr>
      </w:pPr>
    </w:p>
    <w:p>
      <w:pPr>
        <w:sectPr>
          <w:pgSz w:w="11900" w:h="16838" w:orient="portrait"/>
          <w:cols w:equalWidth="0" w:num="2">
            <w:col w:w="1907" w:space="720"/>
            <w:col w:w="7599"/>
          </w:cols>
          <w:pgMar w:left="233" w:top="643" w:right="1440" w:bottom="1440" w:gutter="0" w:footer="0" w:header="0"/>
          <w:type w:val="continuous"/>
        </w:sectPr>
      </w:pPr>
    </w:p>
    <w:p>
      <w:pPr>
        <w:jc w:val="center"/>
        <w:ind w:right="353"/>
        <w:spacing w:after="0"/>
        <w:rPr>
          <w:sz w:val="20"/>
          <w:szCs w:val="20"/>
          <w:color w:val="auto"/>
        </w:rPr>
      </w:pPr>
      <w:r>
        <w:rPr>
          <w:rFonts w:ascii="Courier New" w:cs="Courier New" w:eastAsia="Courier New" w:hAnsi="Courier New"/>
          <w:sz w:val="15"/>
          <w:szCs w:val="15"/>
          <w:color w:val="auto"/>
        </w:rPr>
        <w:t>Switch HP</w:t>
      </w:r>
    </w:p>
    <w:p>
      <w:pPr>
        <w:spacing w:after="0" w:line="5" w:lineRule="exact"/>
        <w:rPr>
          <w:sz w:val="20"/>
          <w:szCs w:val="20"/>
          <w:color w:val="auto"/>
        </w:rPr>
      </w:pPr>
    </w:p>
    <w:p>
      <w:pPr>
        <w:jc w:val="center"/>
        <w:ind w:right="353"/>
        <w:spacing w:after="0"/>
        <w:rPr>
          <w:sz w:val="20"/>
          <w:szCs w:val="20"/>
          <w:color w:val="auto"/>
        </w:rPr>
      </w:pPr>
      <w:r>
        <w:rPr>
          <w:rFonts w:ascii="Courier New" w:cs="Courier New" w:eastAsia="Courier New" w:hAnsi="Courier New"/>
          <w:sz w:val="15"/>
          <w:szCs w:val="15"/>
          <w:color w:val="auto"/>
        </w:rPr>
        <w:t>Serial Number</w:t>
      </w:r>
    </w:p>
    <w:p>
      <w:pPr>
        <w:spacing w:after="0" w:line="5" w:lineRule="exact"/>
        <w:rPr>
          <w:sz w:val="20"/>
          <w:szCs w:val="20"/>
          <w:color w:val="auto"/>
        </w:rPr>
      </w:pPr>
    </w:p>
    <w:p>
      <w:pPr>
        <w:jc w:val="center"/>
        <w:ind w:right="353"/>
        <w:spacing w:after="0"/>
        <w:rPr>
          <w:sz w:val="20"/>
          <w:szCs w:val="20"/>
          <w:color w:val="auto"/>
        </w:rPr>
      </w:pPr>
      <w:r>
        <w:rPr>
          <w:rFonts w:ascii="Courier New" w:cs="Courier New" w:eastAsia="Courier New" w:hAnsi="Courier New"/>
          <w:sz w:val="15"/>
          <w:szCs w:val="15"/>
          <w:color w:val="auto"/>
        </w:rPr>
        <w:t>(Placement: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Serial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1907" w:space="720"/>
            <w:col w:w="7599"/>
          </w:cols>
          <w:pgMar w:left="233" w:top="643" w:right="1440" w:bottom="1440" w:gutter="0" w:footer="0" w:header="0"/>
          <w:type w:val="continuous"/>
        </w:sectPr>
      </w:pPr>
    </w:p>
    <w:p>
      <w:pPr>
        <w:ind w:left="187"/>
        <w:spacing w:after="0"/>
        <w:tabs>
          <w:tab w:leader="none" w:pos="986" w:val="left"/>
        </w:tabs>
        <w:rPr>
          <w:sz w:val="20"/>
          <w:szCs w:val="20"/>
          <w:color w:val="auto"/>
        </w:rPr>
      </w:pPr>
      <w:r>
        <w:rPr>
          <w:rFonts w:ascii="Courier New" w:cs="Courier New" w:eastAsia="Courier New" w:hAnsi="Courier New"/>
          <w:sz w:val="15"/>
          <w:szCs w:val="15"/>
          <w:color w:val="auto"/>
        </w:rPr>
        <w:t>Back of</w:t>
      </w:r>
      <w:r>
        <w:rPr>
          <w:sz w:val="20"/>
          <w:szCs w:val="20"/>
          <w:color w:val="auto"/>
        </w:rPr>
        <w:tab/>
      </w:r>
      <w:r>
        <w:rPr>
          <w:rFonts w:ascii="Courier New" w:cs="Courier New" w:eastAsia="Courier New" w:hAnsi="Courier New"/>
          <w:sz w:val="14"/>
          <w:szCs w:val="14"/>
          <w:color w:val="auto"/>
        </w:rPr>
        <w:t>unit)</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 Serial Number Format:</w:t>
      </w:r>
    </w:p>
    <w:p>
      <w:pPr>
        <w:spacing w:after="0" w:line="5" w:lineRule="exact"/>
        <w:rPr>
          <w:sz w:val="20"/>
          <w:szCs w:val="20"/>
          <w:color w:val="auto"/>
        </w:rPr>
      </w:pPr>
    </w:p>
    <w:p>
      <w:pPr>
        <w:ind w:left="2727"/>
        <w:spacing w:after="0"/>
        <w:tabs>
          <w:tab w:leader="none" w:pos="3246" w:val="left"/>
        </w:tabs>
        <w:rPr>
          <w:sz w:val="20"/>
          <w:szCs w:val="20"/>
          <w:color w:val="auto"/>
        </w:rPr>
      </w:pPr>
      <w:r>
        <w:rPr>
          <w:rFonts w:ascii="Courier New" w:cs="Courier New" w:eastAsia="Courier New" w:hAnsi="Courier New"/>
          <w:sz w:val="15"/>
          <w:szCs w:val="15"/>
          <w:color w:val="auto"/>
        </w:rPr>
        <w:t>US</w:t>
      </w:r>
      <w:r>
        <w:rPr>
          <w:sz w:val="20"/>
          <w:szCs w:val="20"/>
          <w:color w:val="auto"/>
        </w:rPr>
        <w:tab/>
      </w:r>
      <w:r>
        <w:rPr>
          <w:rFonts w:ascii="Courier New" w:cs="Courier New" w:eastAsia="Courier New" w:hAnsi="Courier New"/>
          <w:sz w:val="15"/>
          <w:szCs w:val="15"/>
          <w:color w:val="auto"/>
        </w:rPr>
        <w:t>= Country of Manufacture</w:t>
      </w:r>
    </w:p>
    <w:p>
      <w:pPr>
        <w:spacing w:after="0" w:line="5" w:lineRule="exact"/>
        <w:rPr>
          <w:sz w:val="20"/>
          <w:szCs w:val="20"/>
          <w:color w:val="auto"/>
        </w:rPr>
      </w:pPr>
    </w:p>
    <w:p>
      <w:pPr>
        <w:ind w:left="2727"/>
        <w:spacing w:after="0"/>
        <w:tabs>
          <w:tab w:leader="none" w:pos="3246"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 Supplier ID, Brocade</w:t>
      </w:r>
    </w:p>
    <w:p>
      <w:pPr>
        <w:spacing w:after="0" w:line="5" w:lineRule="exact"/>
        <w:rPr>
          <w:sz w:val="20"/>
          <w:szCs w:val="20"/>
          <w:color w:val="auto"/>
        </w:rPr>
      </w:pPr>
    </w:p>
    <w:p>
      <w:pPr>
        <w:ind w:left="3267" w:hanging="540"/>
        <w:spacing w:after="0"/>
        <w:tabs>
          <w:tab w:leader="none" w:pos="3267"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Revision 0. To be updated per applicable PCNs</w:t>
      </w:r>
    </w:p>
    <w:p>
      <w:pPr>
        <w:spacing w:after="0" w:line="4" w:lineRule="exact"/>
        <w:rPr>
          <w:rFonts w:ascii="Courier New" w:cs="Courier New" w:eastAsia="Courier New" w:hAnsi="Courier New"/>
          <w:sz w:val="15"/>
          <w:szCs w:val="15"/>
          <w:color w:val="auto"/>
        </w:rPr>
      </w:pPr>
    </w:p>
    <w:p>
      <w:pPr>
        <w:ind w:left="2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 Project Identifier</w:t>
      </w:r>
    </w:p>
    <w:p>
      <w:pPr>
        <w:spacing w:after="0" w:line="4" w:lineRule="exact"/>
        <w:rPr>
          <w:rFonts w:ascii="Courier New" w:cs="Courier New" w:eastAsia="Courier New" w:hAnsi="Courier New"/>
          <w:sz w:val="15"/>
          <w:szCs w:val="15"/>
          <w:color w:val="auto"/>
        </w:rPr>
      </w:pPr>
    </w:p>
    <w:p>
      <w:pPr>
        <w:ind w:left="3447" w:right="2219" w:hanging="727"/>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xxxxx = sequential numeric counter starting with 00001 and not reset when revision level is changed.</w:t>
      </w:r>
    </w:p>
    <w:p>
      <w:pPr>
        <w:spacing w:after="0" w:line="1" w:lineRule="exact"/>
        <w:rPr>
          <w:rFonts w:ascii="Courier New" w:cs="Courier New" w:eastAsia="Courier New" w:hAnsi="Courier New"/>
          <w:sz w:val="15"/>
          <w:szCs w:val="15"/>
          <w:color w:val="auto"/>
        </w:rPr>
      </w:pPr>
    </w:p>
    <w:p>
      <w:pPr>
        <w:ind w:left="2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For June 3, 02 launch use serial [*])</w:t>
      </w:r>
    </w:p>
    <w:p>
      <w:pPr>
        <w:sectPr>
          <w:pgSz w:w="11900" w:h="16838" w:orient="portrait"/>
          <w:cols w:equalWidth="0" w:num="1">
            <w:col w:w="10226"/>
          </w:cols>
          <w:pgMar w:left="233" w:top="643" w:right="1440" w:bottom="144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HP Part Number</w:t>
      </w:r>
    </w:p>
    <w:p>
      <w:pPr>
        <w:spacing w:after="0" w:line="16"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Label</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Part Number: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1907" w:space="720"/>
            <w:col w:w="759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(Placement:</w:t>
      </w:r>
    </w:p>
    <w:p>
      <w:pPr>
        <w:spacing w:after="0" w:line="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Back of</w:t>
      </w:r>
      <w:r>
        <w:rPr>
          <w:sz w:val="20"/>
          <w:szCs w:val="20"/>
          <w:color w:val="auto"/>
        </w:rPr>
        <w:tab/>
      </w:r>
      <w:r>
        <w:rPr>
          <w:rFonts w:ascii="Courier New" w:cs="Courier New" w:eastAsia="Courier New" w:hAnsi="Courier New"/>
          <w:sz w:val="14"/>
          <w:szCs w:val="14"/>
          <w:color w:val="auto"/>
        </w:rPr>
        <w:t>unit)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1907" w:space="720"/>
            <w:col w:w="7599"/>
          </w:cols>
          <w:pgMar w:left="233" w:top="643" w:right="1440" w:bottom="1440" w:gutter="0" w:footer="0" w:header="0"/>
          <w:type w:val="continuous"/>
        </w:sectPr>
      </w:pPr>
    </w:p>
    <w:p>
      <w:pPr>
        <w:ind w:left="2627"/>
        <w:spacing w:after="0"/>
        <w:rPr>
          <w:sz w:val="20"/>
          <w:szCs w:val="20"/>
          <w:color w:val="auto"/>
        </w:rPr>
      </w:pPr>
      <w:r>
        <w:rPr>
          <w:rFonts w:ascii="Courier New" w:cs="Courier New" w:eastAsia="Courier New" w:hAnsi="Courier New"/>
          <w:sz w:val="15"/>
          <w:szCs w:val="15"/>
          <w:color w:val="auto"/>
        </w:rPr>
        <w:t>5x5 part number in human readable and 3x9 bar code.</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11 of 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1367" w:space="720"/>
            <w:col w:w="2460" w:space="720"/>
            <w:col w:w="4959"/>
          </w:cols>
          <w:pgMar w:left="233" w:top="643" w:right="1440" w:bottom="1440" w:gutter="0" w:footer="0" w:header="0"/>
          <w:type w:val="continuous"/>
        </w:sectPr>
      </w:pPr>
    </w:p>
    <w:p>
      <w:pPr>
        <w:ind w:left="267" w:right="3139" w:hanging="267"/>
        <w:spacing w:after="0" w:line="247" w:lineRule="auto"/>
        <w:tabs>
          <w:tab w:leader="none" w:pos="267"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38" w:name="page339"/>
    <w:bookmarkEnd w:id="338"/>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LABEL LOCATIONS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606" w:val="left"/>
          <w:tab w:leader="none" w:pos="1986"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LABEL:</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Description: [*]</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HP Part Number: [*]</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tabs>
          <w:tab w:leader="none" w:pos="606" w:val="left"/>
          <w:tab w:leader="none" w:pos="1986"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LABEL:</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2007"/>
        <w:spacing w:after="0"/>
        <w:tabs>
          <w:tab w:leader="none" w:pos="3426"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HP Part Number: [*]</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12 of 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1367" w:space="720"/>
            <w:col w:w="2460" w:space="720"/>
            <w:col w:w="4959"/>
          </w:cols>
          <w:pgMar w:left="233" w:top="642" w:right="1440" w:bottom="1440" w:gutter="0" w:footer="0" w:header="0"/>
          <w:type w:val="continuous"/>
        </w:sectPr>
      </w:pPr>
    </w:p>
    <w:p>
      <w:pPr>
        <w:ind w:left="187" w:right="3219" w:hanging="187"/>
        <w:spacing w:after="0" w:line="247" w:lineRule="auto"/>
        <w:tabs>
          <w:tab w:leader="none" w:pos="187"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39" w:name="page340"/>
    <w:bookmarkEnd w:id="339"/>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tabs>
          <w:tab w:leader="none" w:pos="606" w:val="left"/>
          <w:tab w:leader="none" w:pos="1886" w:val="left"/>
        </w:tabs>
        <w:rPr>
          <w:sz w:val="20"/>
          <w:szCs w:val="20"/>
          <w:color w:val="auto"/>
        </w:rPr>
      </w:pPr>
      <w:r>
        <w:rPr>
          <w:rFonts w:ascii="Courier New" w:cs="Courier New" w:eastAsia="Courier New" w:hAnsi="Courier New"/>
          <w:sz w:val="15"/>
          <w:szCs w:val="15"/>
          <w:color w:val="auto"/>
        </w:rPr>
        <w:t>4.10</w:t>
        <w:tab/>
        <w:t>LABEL:</w:t>
      </w:r>
      <w:r>
        <w:rPr>
          <w:sz w:val="20"/>
          <w:szCs w:val="20"/>
          <w:color w:val="auto"/>
        </w:rPr>
        <w:tab/>
      </w:r>
      <w:r>
        <w:rPr>
          <w:rFonts w:ascii="Courier New" w:cs="Courier New" w:eastAsia="Courier New" w:hAnsi="Courier New"/>
          <w:sz w:val="15"/>
          <w:szCs w:val="15"/>
          <w:color w:val="auto"/>
        </w:rPr>
        <w:t>AGENCY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tabs>
          <w:tab w:leader="none" w:pos="606" w:val="left"/>
          <w:tab w:leader="none" w:pos="1886" w:val="left"/>
        </w:tabs>
        <w:rPr>
          <w:sz w:val="20"/>
          <w:szCs w:val="20"/>
          <w:color w:val="auto"/>
        </w:rPr>
      </w:pPr>
      <w:r>
        <w:rPr>
          <w:rFonts w:ascii="Courier New" w:cs="Courier New" w:eastAsia="Courier New" w:hAnsi="Courier New"/>
          <w:sz w:val="15"/>
          <w:szCs w:val="15"/>
          <w:color w:val="auto"/>
        </w:rPr>
        <w:t>4.11</w:t>
        <w:tab/>
        <w:t>SWITCH:</w:t>
      </w:r>
      <w:r>
        <w:rPr>
          <w:sz w:val="20"/>
          <w:szCs w:val="20"/>
          <w:color w:val="auto"/>
        </w:rPr>
        <w:tab/>
      </w:r>
      <w:r>
        <w:rPr>
          <w:rFonts w:ascii="Courier New" w:cs="Courier New" w:eastAsia="Courier New" w:hAnsi="Courier New"/>
          <w:sz w:val="15"/>
          <w:szCs w:val="15"/>
          <w:color w:val="auto"/>
        </w:rPr>
        <w:t>FRUS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HP DESCRIPTION</w:t>
            </w:r>
          </w:p>
        </w:tc>
        <w:tc>
          <w:tcPr>
            <w:tcW w:w="2180" w:type="dxa"/>
            <w:vAlign w:val="bottom"/>
          </w:tcPr>
          <w:p>
            <w:pPr>
              <w:ind w:left="500"/>
              <w:spacing w:after="0"/>
              <w:rPr>
                <w:sz w:val="20"/>
                <w:szCs w:val="20"/>
                <w:color w:val="auto"/>
              </w:rPr>
            </w:pPr>
            <w:r>
              <w:rPr>
                <w:rFonts w:ascii="Courier New" w:cs="Courier New" w:eastAsia="Courier New" w:hAnsi="Courier New"/>
                <w:sz w:val="15"/>
                <w:szCs w:val="15"/>
                <w:color w:val="auto"/>
              </w:rPr>
              <w:t>BROCADE PART</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HP REPLACEMENT</w:t>
            </w:r>
          </w:p>
        </w:tc>
        <w:tc>
          <w:tcPr>
            <w:tcW w:w="1860" w:type="dxa"/>
            <w:vAlign w:val="bottom"/>
          </w:tcPr>
          <w:p>
            <w:pPr>
              <w:ind w:left="320"/>
              <w:spacing w:after="0"/>
              <w:rPr>
                <w:sz w:val="20"/>
                <w:szCs w:val="20"/>
                <w:color w:val="auto"/>
              </w:rPr>
            </w:pPr>
            <w:r>
              <w:rPr>
                <w:rFonts w:ascii="Courier New" w:cs="Courier New" w:eastAsia="Courier New" w:hAnsi="Courier New"/>
                <w:sz w:val="15"/>
                <w:szCs w:val="15"/>
                <w:color w:val="auto"/>
              </w:rPr>
              <w:t>HP EXCHANGE</w:t>
            </w:r>
          </w:p>
        </w:tc>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COMPAQ DESCRIPTION</w:t>
            </w:r>
          </w:p>
        </w:tc>
      </w:tr>
      <w:tr>
        <w:trPr>
          <w:trHeight w:val="175"/>
        </w:trPr>
        <w:tc>
          <w:tcPr>
            <w:tcW w:w="1760" w:type="dxa"/>
            <w:vAlign w:val="bottom"/>
          </w:tcPr>
          <w:p>
            <w:pPr>
              <w:spacing w:after="0"/>
              <w:rPr>
                <w:sz w:val="15"/>
                <w:szCs w:val="15"/>
                <w:color w:val="auto"/>
              </w:rPr>
            </w:pPr>
          </w:p>
        </w:tc>
        <w:tc>
          <w:tcPr>
            <w:tcW w:w="21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NUMBERS</w:t>
            </w:r>
          </w:p>
        </w:tc>
        <w:tc>
          <w:tcPr>
            <w:tcW w:w="2100" w:type="dxa"/>
            <w:vAlign w:val="bottom"/>
          </w:tcPr>
          <w:p>
            <w:pPr>
              <w:ind w:left="500"/>
              <w:spacing w:after="0"/>
              <w:rPr>
                <w:sz w:val="20"/>
                <w:szCs w:val="20"/>
                <w:color w:val="auto"/>
              </w:rPr>
            </w:pPr>
            <w:r>
              <w:rPr>
                <w:rFonts w:ascii="Courier New" w:cs="Courier New" w:eastAsia="Courier New" w:hAnsi="Courier New"/>
                <w:sz w:val="15"/>
                <w:szCs w:val="15"/>
                <w:color w:val="auto"/>
              </w:rPr>
              <w:t>PART NUMBER</w:t>
            </w:r>
          </w:p>
        </w:tc>
        <w:tc>
          <w:tcPr>
            <w:tcW w:w="1860" w:type="dxa"/>
            <w:vAlign w:val="bottom"/>
          </w:tcPr>
          <w:p>
            <w:pPr>
              <w:ind w:left="320"/>
              <w:spacing w:after="0"/>
              <w:rPr>
                <w:sz w:val="20"/>
                <w:szCs w:val="20"/>
                <w:color w:val="auto"/>
              </w:rPr>
            </w:pPr>
            <w:r>
              <w:rPr>
                <w:rFonts w:ascii="Courier New" w:cs="Courier New" w:eastAsia="Courier New" w:hAnsi="Courier New"/>
                <w:sz w:val="15"/>
                <w:szCs w:val="15"/>
                <w:color w:val="auto"/>
              </w:rPr>
              <w:t>PART NUMBER</w:t>
            </w:r>
          </w:p>
        </w:tc>
        <w:tc>
          <w:tcPr>
            <w:tcW w:w="2280" w:type="dxa"/>
            <w:vAlign w:val="bottom"/>
          </w:tcPr>
          <w:p>
            <w:pPr>
              <w:spacing w:after="0"/>
              <w:rPr>
                <w:sz w:val="15"/>
                <w:szCs w:val="15"/>
                <w:color w:val="auto"/>
              </w:rPr>
            </w:pP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350"/>
        </w:trPr>
        <w:tc>
          <w:tcPr>
            <w:tcW w:w="1760" w:type="dxa"/>
            <w:vAlign w:val="bottom"/>
          </w:tcPr>
          <w:p>
            <w:pPr>
              <w:spacing w:after="0"/>
              <w:rPr>
                <w:sz w:val="20"/>
                <w:szCs w:val="20"/>
                <w:color w:val="auto"/>
              </w:rPr>
            </w:pPr>
            <w:r>
              <w:rPr>
                <w:rFonts w:ascii="Courier New" w:cs="Courier New" w:eastAsia="Courier New" w:hAnsi="Courier New"/>
                <w:sz w:val="15"/>
                <w:szCs w:val="15"/>
                <w:color w:val="auto"/>
              </w:rPr>
              <w:t>Port Card</w:t>
            </w:r>
          </w:p>
        </w:tc>
        <w:tc>
          <w:tcPr>
            <w:tcW w:w="218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spacing w:after="0"/>
              <w:rPr>
                <w:sz w:val="24"/>
                <w:szCs w:val="24"/>
                <w:color w:val="auto"/>
              </w:rPr>
            </w:pPr>
          </w:p>
        </w:tc>
        <w:tc>
          <w:tcPr>
            <w:tcW w:w="18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Power Supply</w:t>
            </w:r>
          </w:p>
        </w:tc>
        <w:tc>
          <w:tcPr>
            <w:tcW w:w="218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spacing w:after="0"/>
              <w:rPr>
                <w:sz w:val="15"/>
                <w:szCs w:val="15"/>
                <w:color w:val="auto"/>
              </w:rPr>
            </w:pPr>
          </w:p>
        </w:tc>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Blower</w:t>
            </w:r>
          </w:p>
        </w:tc>
        <w:tc>
          <w:tcPr>
            <w:tcW w:w="218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spacing w:after="0"/>
              <w:rPr>
                <w:sz w:val="15"/>
                <w:szCs w:val="15"/>
                <w:color w:val="auto"/>
              </w:rPr>
            </w:pPr>
          </w:p>
        </w:tc>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Assembly</w:t>
            </w:r>
          </w:p>
        </w:tc>
        <w:tc>
          <w:tcPr>
            <w:tcW w:w="2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Rear WWN</w:t>
            </w:r>
          </w:p>
        </w:tc>
        <w:tc>
          <w:tcPr>
            <w:tcW w:w="218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Assembly</w:t>
            </w:r>
          </w:p>
        </w:tc>
        <w:tc>
          <w:tcPr>
            <w:tcW w:w="2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CP Card</w:t>
            </w:r>
          </w:p>
        </w:tc>
        <w:tc>
          <w:tcPr>
            <w:tcW w:w="218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spacing w:after="0"/>
              <w:rPr>
                <w:sz w:val="15"/>
                <w:szCs w:val="15"/>
                <w:color w:val="auto"/>
              </w:rPr>
            </w:pPr>
          </w:p>
        </w:tc>
        <w:tc>
          <w:tcPr>
            <w:tcW w:w="18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spacing w:after="0"/>
        <w:tabs>
          <w:tab w:leader="none" w:pos="526" w:val="left"/>
          <w:tab w:leader="none" w:pos="1886" w:val="left"/>
        </w:tabs>
        <w:rPr>
          <w:sz w:val="20"/>
          <w:szCs w:val="20"/>
          <w:color w:val="auto"/>
        </w:rPr>
      </w:pPr>
      <w:r>
        <w:rPr>
          <w:rFonts w:ascii="Courier New" w:cs="Courier New" w:eastAsia="Courier New" w:hAnsi="Courier New"/>
          <w:sz w:val="15"/>
          <w:szCs w:val="15"/>
          <w:color w:val="auto"/>
        </w:rPr>
        <w:t>4.12</w:t>
        <w:tab/>
        <w:t>SWITCH:</w:t>
      </w:r>
      <w:r>
        <w:rPr>
          <w:sz w:val="20"/>
          <w:szCs w:val="20"/>
          <w:color w:val="auto"/>
        </w:rPr>
        <w:tab/>
      </w:r>
      <w:r>
        <w:rPr>
          <w:rFonts w:ascii="Courier New" w:cs="Courier New" w:eastAsia="Courier New" w:hAnsi="Courier New"/>
          <w:sz w:val="15"/>
          <w:szCs w:val="15"/>
          <w:color w:val="auto"/>
        </w:rPr>
        <w:t>PACKAGING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Brocade Standard Packaging for the switch</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SHIPPING LABEL</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13 of 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1367" w:space="720"/>
            <w:col w:w="2460" w:space="720"/>
            <w:col w:w="4959"/>
          </w:cols>
          <w:pgMar w:left="233" w:top="643" w:right="1440" w:bottom="1440" w:gutter="0" w:footer="0" w:header="0"/>
          <w:type w:val="continuous"/>
        </w:sectPr>
      </w:pPr>
    </w:p>
    <w:p>
      <w:pPr>
        <w:ind w:left="187" w:right="2959" w:hanging="187"/>
        <w:spacing w:after="0" w:line="247" w:lineRule="auto"/>
        <w:tabs>
          <w:tab w:leader="none" w:pos="187"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40" w:name="page341"/>
    <w:bookmarkEnd w:id="340"/>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21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5212"/>
        <w:spacing w:after="0"/>
        <w:rPr>
          <w:sz w:val="20"/>
          <w:szCs w:val="20"/>
          <w:color w:val="auto"/>
        </w:rPr>
      </w:pPr>
      <w:r>
        <w:rPr>
          <w:rFonts w:ascii="Courier New" w:cs="Courier New" w:eastAsia="Courier New" w:hAnsi="Courier New"/>
          <w:sz w:val="15"/>
          <w:szCs w:val="15"/>
          <w:color w:val="auto"/>
        </w:rPr>
        <w:t>Sample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COMPAQ SHIPPING LABEL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21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5212"/>
        <w:spacing w:after="0"/>
        <w:rPr>
          <w:sz w:val="20"/>
          <w:szCs w:val="20"/>
          <w:color w:val="auto"/>
        </w:rPr>
      </w:pPr>
      <w:r>
        <w:rPr>
          <w:rFonts w:ascii="Courier New" w:cs="Courier New" w:eastAsia="Courier New" w:hAnsi="Courier New"/>
          <w:sz w:val="15"/>
          <w:szCs w:val="15"/>
          <w:color w:val="auto"/>
        </w:rPr>
        <w:t>Sample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LABEL PLACEMENT: Add the Compaq shipping label on the same side of the shipping crate as the HP shipping label but separated from each other (i.e. opposite corners of the box)</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14 of 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1367" w:space="720"/>
            <w:col w:w="2460" w:space="720"/>
            <w:col w:w="4959"/>
          </w:cols>
          <w:pgMar w:left="233" w:top="643" w:right="1440" w:bottom="1440" w:gutter="0" w:footer="0" w:header="0"/>
          <w:type w:val="continuous"/>
        </w:sectPr>
      </w:pPr>
    </w:p>
    <w:p>
      <w:pPr>
        <w:ind w:left="187" w:right="3219" w:hanging="187"/>
        <w:spacing w:after="0" w:line="247" w:lineRule="auto"/>
        <w:tabs>
          <w:tab w:leader="none" w:pos="187"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41" w:name="page342"/>
    <w:bookmarkEnd w:id="341"/>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tabs>
          <w:tab w:leader="none" w:pos="526" w:val="left"/>
          <w:tab w:leader="none" w:pos="1606" w:val="left"/>
        </w:tabs>
        <w:rPr>
          <w:sz w:val="20"/>
          <w:szCs w:val="20"/>
          <w:color w:val="auto"/>
        </w:rPr>
      </w:pPr>
      <w:r>
        <w:rPr>
          <w:rFonts w:ascii="Courier New" w:cs="Courier New" w:eastAsia="Courier New" w:hAnsi="Courier New"/>
          <w:sz w:val="15"/>
          <w:szCs w:val="15"/>
          <w:color w:val="auto"/>
        </w:rPr>
        <w:t>4.13</w:t>
        <w:tab/>
        <w:t>SWITCH:</w:t>
      </w:r>
      <w:r>
        <w:rPr>
          <w:sz w:val="20"/>
          <w:szCs w:val="20"/>
          <w:color w:val="auto"/>
        </w:rPr>
        <w:tab/>
      </w:r>
      <w:r>
        <w:rPr>
          <w:rFonts w:ascii="Courier New" w:cs="Courier New" w:eastAsia="Courier New" w:hAnsi="Courier New"/>
          <w:sz w:val="15"/>
          <w:szCs w:val="15"/>
          <w:color w:val="auto"/>
        </w:rPr>
        <w:t>DOCUMENTATION CD-ROM ARTWORK</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CD-ROM is included in the accessory kit.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15 of 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2" w:right="1440" w:bottom="1440" w:gutter="0" w:footer="0" w:header="0"/>
          <w:type w:val="continuous"/>
        </w:sectPr>
      </w:pPr>
    </w:p>
    <w:p>
      <w:pPr>
        <w:spacing w:after="0" w:line="149" w:lineRule="exact"/>
        <w:rPr>
          <w:sz w:val="20"/>
          <w:szCs w:val="20"/>
          <w:color w:val="auto"/>
        </w:rPr>
      </w:pPr>
    </w:p>
    <w:p>
      <w:pPr>
        <w:ind w:left="267" w:right="3139" w:hanging="267"/>
        <w:spacing w:after="0" w:line="247" w:lineRule="auto"/>
        <w:tabs>
          <w:tab w:leader="none" w:pos="267"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42" w:name="page343"/>
    <w:bookmarkEnd w:id="342"/>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PORT CARD</w:t>
            </w:r>
          </w:p>
        </w:tc>
        <w:tc>
          <w:tcPr>
            <w:tcW w:w="3280" w:type="dxa"/>
            <w:vAlign w:val="bottom"/>
          </w:tcPr>
          <w:p>
            <w:pPr>
              <w:spacing w:after="0"/>
              <w:rPr>
                <w:sz w:val="14"/>
                <w:szCs w:val="14"/>
                <w:color w:val="auto"/>
              </w:rPr>
            </w:pPr>
          </w:p>
        </w:tc>
      </w:tr>
      <w:tr>
        <w:trPr>
          <w:trHeight w:val="524"/>
        </w:trPr>
        <w:tc>
          <w:tcPr>
            <w:tcW w:w="5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PORT CARD:</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SERIAL LABEL</w:t>
            </w:r>
          </w:p>
        </w:tc>
      </w:tr>
      <w:tr>
        <w:trPr>
          <w:trHeight w:val="350"/>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Port Card HP Serial</w:t>
            </w:r>
          </w:p>
        </w:tc>
        <w:tc>
          <w:tcPr>
            <w:tcW w:w="3280" w:type="dxa"/>
            <w:vAlign w:val="bottom"/>
          </w:tcPr>
          <w:p>
            <w:pPr>
              <w:spacing w:after="0"/>
              <w:rPr>
                <w:sz w:val="24"/>
                <w:szCs w:val="24"/>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spacing w:after="0"/>
              <w:rPr>
                <w:sz w:val="15"/>
                <w:szCs w:val="15"/>
                <w:color w:val="auto"/>
              </w:rPr>
            </w:pPr>
          </w:p>
        </w:tc>
        <w:tc>
          <w:tcPr>
            <w:tcW w:w="3280" w:type="dxa"/>
            <w:vAlign w:val="bottom"/>
          </w:tcPr>
          <w:p>
            <w:pPr>
              <w:ind w:left="720"/>
              <w:spacing w:after="0"/>
              <w:rPr>
                <w:sz w:val="20"/>
                <w:szCs w:val="20"/>
                <w:color w:val="auto"/>
              </w:rPr>
            </w:pPr>
            <w:r>
              <w:rPr>
                <w:rFonts w:ascii="Courier New" w:cs="Courier New" w:eastAsia="Courier New" w:hAnsi="Courier New"/>
                <w:sz w:val="15"/>
                <w:szCs w:val="15"/>
                <w:color w:val="auto"/>
              </w:rPr>
              <w:t>HP Serial Number:[*]</w:t>
            </w:r>
          </w:p>
        </w:tc>
      </w:tr>
      <w:tr>
        <w:trPr>
          <w:trHeight w:val="175"/>
        </w:trPr>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80" w:type="dxa"/>
            <w:vAlign w:val="bottom"/>
          </w:tcPr>
          <w:p>
            <w:pPr>
              <w:ind w:left="720"/>
              <w:spacing w:after="0"/>
              <w:rPr>
                <w:sz w:val="20"/>
                <w:szCs w:val="20"/>
                <w:color w:val="auto"/>
              </w:rPr>
            </w:pPr>
            <w:r>
              <w:rPr>
                <w:rFonts w:ascii="Courier New" w:cs="Courier New" w:eastAsia="Courier New" w:hAnsi="Courier New"/>
                <w:sz w:val="15"/>
                <w:szCs w:val="15"/>
                <w:color w:val="auto"/>
              </w:rPr>
              <w:t>[GRAPHIC IMAGE APPEARS HERE]</w:t>
            </w:r>
          </w:p>
        </w:tc>
      </w:tr>
      <w:tr>
        <w:trPr>
          <w:trHeight w:val="699"/>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524"/>
        </w:trPr>
        <w:tc>
          <w:tcPr>
            <w:tcW w:w="5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PORT CARD:</w:t>
            </w:r>
          </w:p>
        </w:tc>
        <w:tc>
          <w:tcPr>
            <w:tcW w:w="3280" w:type="dxa"/>
            <w:vAlign w:val="bottom"/>
          </w:tcPr>
          <w:p>
            <w:pPr>
              <w:spacing w:after="0"/>
              <w:rPr>
                <w:sz w:val="20"/>
                <w:szCs w:val="20"/>
                <w:color w:val="auto"/>
              </w:rPr>
            </w:pPr>
            <w:r>
              <w:rPr>
                <w:rFonts w:ascii="Courier New" w:cs="Courier New" w:eastAsia="Courier New" w:hAnsi="Courier New"/>
                <w:sz w:val="15"/>
                <w:szCs w:val="15"/>
                <w:color w:val="auto"/>
              </w:rPr>
              <w:t>PART NUMBER LABEL (IMAGE NOT SHOWN)</w:t>
            </w:r>
          </w:p>
        </w:tc>
      </w:tr>
    </w:tbl>
    <w:p>
      <w:pPr>
        <w:spacing w:after="0" w:line="354"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PORT CARD PACKAGING: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packaging.</w:t>
      </w:r>
    </w:p>
    <w:p>
      <w:pPr>
        <w:spacing w:after="0" w:line="354" w:lineRule="exact"/>
        <w:rPr>
          <w:sz w:val="20"/>
          <w:szCs w:val="20"/>
          <w:color w:val="auto"/>
        </w:rPr>
      </w:pPr>
    </w:p>
    <w:p>
      <w:pPr>
        <w:ind w:left="7"/>
        <w:spacing w:after="0"/>
        <w:tabs>
          <w:tab w:leader="none" w:pos="526"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PORT CARD SHIPPING LABELING: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Label must contain: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SHIP TO ADDRESS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SERIAL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COUNTRY OF ORIGIN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PURCHASE ORDER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CE MARK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GOST MARK</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16 of 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3" w:right="1440" w:bottom="1440" w:gutter="0" w:footer="0" w:header="0"/>
          <w:type w:val="continuous"/>
        </w:sectPr>
      </w:pPr>
    </w:p>
    <w:p>
      <w:pPr>
        <w:spacing w:after="0" w:line="149" w:lineRule="exact"/>
        <w:rPr>
          <w:sz w:val="20"/>
          <w:szCs w:val="20"/>
          <w:color w:val="auto"/>
        </w:rPr>
      </w:pPr>
    </w:p>
    <w:p>
      <w:pPr>
        <w:ind w:left="267" w:right="3139" w:hanging="267"/>
        <w:spacing w:after="0" w:line="247" w:lineRule="auto"/>
        <w:tabs>
          <w:tab w:leader="none" w:pos="267"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43" w:name="page344"/>
    <w:bookmarkEnd w:id="343"/>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6.0</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Date: 6/6/2002</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Configuration Specification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Page 17</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of 17</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900"/>
              <w:spacing w:after="0"/>
              <w:rPr>
                <w:sz w:val="20"/>
                <w:szCs w:val="20"/>
                <w:color w:val="auto"/>
              </w:rPr>
            </w:pPr>
            <w:r>
              <w:rPr>
                <w:rFonts w:ascii="Courier New" w:cs="Courier New" w:eastAsia="Courier New" w:hAnsi="Courier New"/>
                <w:sz w:val="15"/>
                <w:szCs w:val="15"/>
                <w:color w:val="auto"/>
              </w:rPr>
              <w:t>Revision E14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7" w:right="3219" w:hanging="187"/>
        <w:spacing w:after="0" w:line="247" w:lineRule="auto"/>
        <w:tabs>
          <w:tab w:leader="none" w:pos="187" w:val="left"/>
        </w:tabs>
        <w:numPr>
          <w:ilvl w:val="0"/>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344" w:name="page345"/>
    <w:bookmarkEnd w:id="344"/>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Date: 6/6/2002</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Configuration Specification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18 of 18</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1000"/>
              <w:spacing w:after="0"/>
              <w:rPr>
                <w:sz w:val="20"/>
                <w:szCs w:val="20"/>
                <w:color w:val="auto"/>
              </w:rPr>
            </w:pPr>
            <w:r>
              <w:rPr>
                <w:rFonts w:ascii="Courier New" w:cs="Courier New" w:eastAsia="Courier New" w:hAnsi="Courier New"/>
                <w:sz w:val="15"/>
                <w:szCs w:val="15"/>
                <w:color w:val="auto"/>
              </w:rPr>
              <w:t>Revision E14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7" w:right="3679" w:hanging="187"/>
        <w:spacing w:after="0" w:line="247" w:lineRule="auto"/>
        <w:tabs>
          <w:tab w:leader="none" w:pos="187"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345" w:name="page346"/>
    <w:bookmarkEnd w:id="345"/>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19 of 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7" w:right="3679" w:hanging="187"/>
        <w:spacing w:after="0" w:line="247" w:lineRule="auto"/>
        <w:tabs>
          <w:tab w:leader="none" w:pos="187"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type w:val="continuous"/>
        </w:sectPr>
      </w:pPr>
    </w:p>
    <w:bookmarkStart w:id="346" w:name="page347"/>
    <w:bookmarkEnd w:id="346"/>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7" w:hanging="453"/>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20 of 20</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1367" w:space="720"/>
            <w:col w:w="2460" w:space="720"/>
            <w:col w:w="4959"/>
          </w:cols>
          <w:pgMar w:left="233" w:top="643" w:right="1440" w:bottom="1440" w:gutter="0" w:footer="0" w:header="0"/>
          <w:type w:val="continuous"/>
        </w:sectPr>
      </w:pPr>
    </w:p>
    <w:p>
      <w:pPr>
        <w:ind w:left="187" w:right="3219" w:hanging="187"/>
        <w:spacing w:after="0" w:line="247" w:lineRule="auto"/>
        <w:tabs>
          <w:tab w:leader="none" w:pos="187"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47" w:name="page348"/>
    <w:bookmarkEnd w:id="347"/>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354" w:lineRule="exact"/>
        <w:rPr>
          <w:sz w:val="20"/>
          <w:szCs w:val="20"/>
          <w:color w:val="auto"/>
        </w:rPr>
      </w:pPr>
    </w:p>
    <w:p>
      <w:pPr>
        <w:ind w:left="7"/>
        <w:spacing w:after="0"/>
        <w:tabs>
          <w:tab w:leader="none" w:pos="1346" w:val="left"/>
          <w:tab w:leader="none" w:pos="2526" w:val="left"/>
        </w:tabs>
        <w:rPr>
          <w:sz w:val="20"/>
          <w:szCs w:val="20"/>
          <w:color w:val="auto"/>
        </w:rPr>
      </w:pPr>
      <w:r>
        <w:rPr>
          <w:rFonts w:ascii="Courier New" w:cs="Courier New" w:eastAsia="Courier New" w:hAnsi="Courier New"/>
          <w:sz w:val="15"/>
          <w:szCs w:val="15"/>
          <w:color w:val="auto"/>
        </w:rPr>
        <w:t>7.0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CLAMP</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Date: 6/6/2002</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Configuration Specification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Page 21</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of 21</w:t>
            </w:r>
          </w:p>
        </w:tc>
      </w:tr>
      <w:tr>
        <w:trPr>
          <w:trHeight w:val="175"/>
        </w:trPr>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1000"/>
              <w:spacing w:after="0"/>
              <w:rPr>
                <w:sz w:val="20"/>
                <w:szCs w:val="20"/>
                <w:color w:val="auto"/>
              </w:rPr>
            </w:pPr>
            <w:r>
              <w:rPr>
                <w:rFonts w:ascii="Courier New" w:cs="Courier New" w:eastAsia="Courier New" w:hAnsi="Courier New"/>
                <w:sz w:val="15"/>
                <w:szCs w:val="15"/>
                <w:color w:val="auto"/>
              </w:rPr>
              <w:t>Revision E14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bl>
    <w:p>
      <w:pPr>
        <w:spacing w:after="0" w:line="179" w:lineRule="exact"/>
        <w:rPr>
          <w:sz w:val="20"/>
          <w:szCs w:val="20"/>
          <w:color w:val="auto"/>
        </w:rPr>
      </w:pPr>
    </w:p>
    <w:p>
      <w:pPr>
        <w:ind w:left="187" w:right="3219" w:hanging="187"/>
        <w:spacing w:after="0" w:line="247" w:lineRule="auto"/>
        <w:tabs>
          <w:tab w:leader="none" w:pos="187"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348" w:name="page349"/>
    <w:bookmarkEnd w:id="348"/>
    <w:p>
      <w:pPr>
        <w:ind w:left="108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5"/>
          <w:szCs w:val="15"/>
          <w:color w:val="auto"/>
        </w:rPr>
        <w:t>INSTALLATION SHEET SHIPPED WITH PORT CARD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Date: 6/6/2002</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Configuration Specification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Page 22</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of 22</w:t>
            </w:r>
          </w:p>
        </w:tc>
      </w:tr>
      <w:tr>
        <w:trPr>
          <w:trHeight w:val="175"/>
        </w:trPr>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1000"/>
              <w:spacing w:after="0"/>
              <w:rPr>
                <w:sz w:val="20"/>
                <w:szCs w:val="20"/>
                <w:color w:val="auto"/>
              </w:rPr>
            </w:pPr>
            <w:r>
              <w:rPr>
                <w:rFonts w:ascii="Courier New" w:cs="Courier New" w:eastAsia="Courier New" w:hAnsi="Courier New"/>
                <w:sz w:val="15"/>
                <w:szCs w:val="15"/>
                <w:color w:val="auto"/>
              </w:rPr>
              <w:t>Revision E14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bl>
    <w:p>
      <w:pPr>
        <w:spacing w:after="0" w:line="179" w:lineRule="exact"/>
        <w:rPr>
          <w:sz w:val="20"/>
          <w:szCs w:val="20"/>
          <w:color w:val="auto"/>
        </w:rPr>
      </w:pPr>
    </w:p>
    <w:p>
      <w:pPr>
        <w:ind w:left="187" w:right="3219" w:hanging="187"/>
        <w:spacing w:after="0" w:line="247" w:lineRule="auto"/>
        <w:tabs>
          <w:tab w:leader="none" w:pos="187" w:val="left"/>
        </w:tabs>
        <w:numPr>
          <w:ilvl w:val="0"/>
          <w:numId w:val="5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349" w:name="page350"/>
    <w:bookmarkEnd w:id="349"/>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6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Date: 6/6/2002</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Configuration Specification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Page 23</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of 23</w:t>
            </w:r>
          </w:p>
        </w:tc>
      </w:tr>
      <w:tr>
        <w:trPr>
          <w:trHeight w:val="175"/>
        </w:trPr>
        <w:tc>
          <w:tcPr>
            <w:tcW w:w="16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1000"/>
              <w:spacing w:after="0"/>
              <w:rPr>
                <w:sz w:val="20"/>
                <w:szCs w:val="20"/>
                <w:color w:val="auto"/>
              </w:rPr>
            </w:pPr>
            <w:r>
              <w:rPr>
                <w:rFonts w:ascii="Courier New" w:cs="Courier New" w:eastAsia="Courier New" w:hAnsi="Courier New"/>
                <w:sz w:val="15"/>
                <w:szCs w:val="15"/>
                <w:color w:val="auto"/>
              </w:rPr>
              <w:t>Revision E14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bl>
    <w:p>
      <w:pPr>
        <w:spacing w:after="0" w:line="354" w:lineRule="exact"/>
        <w:rPr>
          <w:sz w:val="20"/>
          <w:szCs w:val="20"/>
          <w:color w:val="auto"/>
        </w:rPr>
      </w:pPr>
    </w:p>
    <w:p>
      <w:pPr>
        <w:ind w:left="187" w:right="3219" w:hanging="187"/>
        <w:spacing w:after="0" w:line="247" w:lineRule="auto"/>
        <w:tabs>
          <w:tab w:leader="none" w:pos="187" w:val="left"/>
        </w:tabs>
        <w:numPr>
          <w:ilvl w:val="0"/>
          <w:numId w:val="5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350" w:name="page351"/>
    <w:bookmarkEnd w:id="350"/>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24 of 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7" w:right="2959" w:hanging="187"/>
        <w:spacing w:after="0" w:line="247" w:lineRule="auto"/>
        <w:tabs>
          <w:tab w:leader="none" w:pos="187"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51" w:name="page352"/>
    <w:bookmarkEnd w:id="351"/>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25 of 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7" w:space="720"/>
            <w:col w:w="2460" w:space="720"/>
            <w:col w:w="4959"/>
          </w:cols>
          <w:pgMar w:left="233" w:top="643" w:right="1440" w:bottom="1440" w:gutter="0" w:footer="0" w:header="0"/>
          <w:type w:val="continuous"/>
        </w:sectPr>
      </w:pPr>
    </w:p>
    <w:p>
      <w:pPr>
        <w:spacing w:after="0" w:line="324" w:lineRule="exact"/>
        <w:rPr>
          <w:sz w:val="20"/>
          <w:szCs w:val="20"/>
          <w:color w:val="auto"/>
        </w:rPr>
      </w:pPr>
    </w:p>
    <w:p>
      <w:pPr>
        <w:ind w:left="187" w:right="2959" w:hanging="187"/>
        <w:spacing w:after="0" w:line="247" w:lineRule="auto"/>
        <w:tabs>
          <w:tab w:leader="none" w:pos="187"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52" w:name="page353"/>
    <w:bookmarkEnd w:id="352"/>
    <w:p>
      <w:pPr>
        <w:spacing w:after="0"/>
        <w:rPr>
          <w:sz w:val="20"/>
          <w:szCs w:val="20"/>
          <w:color w:val="auto"/>
        </w:rPr>
      </w:pPr>
      <w:r>
        <w:rPr>
          <w:rFonts w:ascii="Courier New" w:cs="Courier New" w:eastAsia="Courier New" w:hAnsi="Courier New"/>
          <w:sz w:val="15"/>
          <w:szCs w:val="15"/>
          <w:color w:val="auto"/>
        </w:rPr>
        <w:t>[GRAPHIC IMAGE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[GRAPHIC IMAGE APPEARS HERE]</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
        <w:spacing w:after="0" w:line="247" w:lineRule="auto"/>
        <w:rPr>
          <w:sz w:val="20"/>
          <w:szCs w:val="20"/>
          <w:color w:val="auto"/>
        </w:rPr>
      </w:pPr>
      <w:r>
        <w:rPr>
          <w:rFonts w:ascii="Courier New" w:cs="Courier New" w:eastAsia="Courier New" w:hAnsi="Courier New"/>
          <w:sz w:val="15"/>
          <w:szCs w:val="15"/>
          <w:color w:val="auto"/>
        </w:rPr>
        <w:t>Date: 6/6/2002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Configuration Specification</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Revision E14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26 of 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3">
            <w:col w:w="1360" w:space="720"/>
            <w:col w:w="2460" w:space="720"/>
            <w:col w:w="4959"/>
          </w:cols>
          <w:pgMar w:left="240" w:top="6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 w:right="3499" w:hanging="276"/>
        <w:spacing w:after="0" w:line="247" w:lineRule="auto"/>
        <w:tabs>
          <w:tab w:leader="none" w:pos="360" w:val="left"/>
        </w:tabs>
        <w:numPr>
          <w:ilvl w:val="0"/>
          <w:numId w:val="5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19"/>
          </w:cols>
          <w:pgMar w:left="240" w:top="642" w:right="1440" w:bottom="1440" w:gutter="0" w:footer="0" w:header="0"/>
          <w:type w:val="continuous"/>
        </w:sectPr>
      </w:pPr>
    </w:p>
    <w:bookmarkStart w:id="353" w:name="page354"/>
    <w:bookmarkEnd w:id="353"/>
    <w:p>
      <w:pPr>
        <w:jc w:val="center"/>
        <w:ind w:right="2852"/>
        <w:spacing w:after="0"/>
        <w:rPr>
          <w:sz w:val="20"/>
          <w:szCs w:val="20"/>
          <w:color w:val="auto"/>
        </w:rPr>
      </w:pPr>
      <w:r>
        <w:rPr>
          <w:rFonts w:ascii="Courier New" w:cs="Courier New" w:eastAsia="Courier New" w:hAnsi="Courier New"/>
          <w:sz w:val="15"/>
          <w:szCs w:val="15"/>
          <w:color w:val="auto"/>
        </w:rPr>
        <w:t>EXHIBIT (A-3)</w:t>
      </w:r>
    </w:p>
    <w:p>
      <w:pPr>
        <w:spacing w:after="0" w:line="180"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HP SUPPLIER QUALITY SYSTEM REQUIREMENTS</w:t>
      </w:r>
    </w:p>
    <w:p>
      <w:pPr>
        <w:spacing w:after="0" w:line="354" w:lineRule="exact"/>
        <w:rPr>
          <w:sz w:val="20"/>
          <w:szCs w:val="20"/>
          <w:color w:val="auto"/>
        </w:rPr>
      </w:pPr>
    </w:p>
    <w:p>
      <w:pPr>
        <w:ind w:left="267" w:right="3319"/>
        <w:spacing w:after="0" w:line="247" w:lineRule="auto"/>
        <w:rPr>
          <w:sz w:val="20"/>
          <w:szCs w:val="20"/>
          <w:color w:val="auto"/>
        </w:rPr>
      </w:pPr>
      <w:r>
        <w:rPr>
          <w:rFonts w:ascii="Courier New" w:cs="Courier New" w:eastAsia="Courier New" w:hAnsi="Courier New"/>
          <w:sz w:val="15"/>
          <w:szCs w:val="15"/>
          <w:color w:val="auto"/>
        </w:rPr>
        <w:t>Note: The parties intend to amend this Exhibit (A-3) to include the applicable HP Supplier Quality System Requirements for the 12000 Silkworm switch OEM product as soon as such information is made available.</w:t>
      </w:r>
    </w:p>
    <w:p>
      <w:pPr>
        <w:spacing w:after="0" w:line="174"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 HEWLETT-PACKARD CO. ------</w:t>
      </w:r>
    </w:p>
    <w:p>
      <w:pPr>
        <w:spacing w:after="0" w:line="180" w:lineRule="exact"/>
        <w:rPr>
          <w:sz w:val="20"/>
          <w:szCs w:val="20"/>
          <w:color w:val="auto"/>
        </w:rPr>
      </w:pPr>
    </w:p>
    <w:p>
      <w:pPr>
        <w:ind w:left="367" w:right="3319"/>
        <w:spacing w:after="0" w:line="246" w:lineRule="auto"/>
        <w:rPr>
          <w:sz w:val="20"/>
          <w:szCs w:val="20"/>
          <w:color w:val="auto"/>
        </w:rPr>
      </w:pPr>
      <w:r>
        <w:rPr>
          <w:rFonts w:ascii="Courier New" w:cs="Courier New" w:eastAsia="Courier New" w:hAnsi="Courier New"/>
          <w:sz w:val="15"/>
          <w:szCs w:val="15"/>
          <w:color w:val="auto"/>
        </w:rPr>
        <w:t>This page provides a running history of changes for a multi-page drawing. List all changes below, referencing page number and section number, if applicable. Be concise when describing changes. If extensive revisions have been made, a general statement that the document has been "revised and redrawn" is permissible.</w:t>
      </w:r>
    </w:p>
    <w:p>
      <w:pPr>
        <w:spacing w:after="0" w:line="178" w:lineRule="exact"/>
        <w:rPr>
          <w:sz w:val="20"/>
          <w:szCs w:val="20"/>
          <w:color w:val="auto"/>
        </w:rPr>
      </w:pPr>
    </w:p>
    <w:p>
      <w:pPr>
        <w:ind w:left="187" w:hanging="187"/>
        <w:spacing w:after="0"/>
        <w:tabs>
          <w:tab w:leader="none" w:pos="187"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87"/>
        <w:spacing w:after="0"/>
        <w:tabs>
          <w:tab w:leader="none" w:pos="1886" w:val="left"/>
          <w:tab w:leader="none" w:pos="3886" w:val="left"/>
          <w:tab w:leader="none" w:pos="5786" w:val="left"/>
        </w:tabs>
        <w:rPr>
          <w:sz w:val="20"/>
          <w:szCs w:val="20"/>
          <w:color w:val="auto"/>
        </w:rPr>
      </w:pPr>
      <w:r>
        <w:rPr>
          <w:rFonts w:ascii="Courier New" w:cs="Courier New" w:eastAsia="Courier New" w:hAnsi="Courier New"/>
          <w:sz w:val="15"/>
          <w:szCs w:val="15"/>
          <w:color w:val="auto"/>
        </w:rPr>
        <w:t>LTR.</w:t>
      </w:r>
      <w:r>
        <w:rPr>
          <w:sz w:val="20"/>
          <w:szCs w:val="20"/>
          <w:color w:val="auto"/>
        </w:rPr>
        <w:tab/>
      </w:r>
      <w:r>
        <w:rPr>
          <w:rFonts w:ascii="Courier New" w:cs="Courier New" w:eastAsia="Courier New" w:hAnsi="Courier New"/>
          <w:sz w:val="15"/>
          <w:szCs w:val="15"/>
          <w:color w:val="auto"/>
        </w:rPr>
        <w:t>REVISIONS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OEM ENGINEER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7"/>
        <w:spacing w:after="0"/>
        <w:tabs>
          <w:tab w:leader="none" w:pos="706" w:val="left"/>
          <w:tab w:leader="none" w:pos="3806" w:val="left"/>
          <w:tab w:leader="none" w:pos="6166"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Initial Release</w:t>
      </w:r>
      <w:r>
        <w:rPr>
          <w:sz w:val="20"/>
          <w:szCs w:val="20"/>
          <w:color w:val="auto"/>
        </w:rPr>
        <w:tab/>
      </w:r>
      <w:r>
        <w:rPr>
          <w:rFonts w:ascii="Courier New" w:cs="Courier New" w:eastAsia="Courier New" w:hAnsi="Courier New"/>
          <w:sz w:val="15"/>
          <w:szCs w:val="15"/>
          <w:color w:val="auto"/>
        </w:rPr>
        <w:t>6/05/02</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[GRAPHIC IMAGE APPEARS HERE]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HP PROPRIETARY</w:t>
      </w:r>
    </w:p>
    <w:p>
      <w:pPr>
        <w:spacing w:after="0" w:line="180" w:lineRule="exact"/>
        <w:rPr>
          <w:sz w:val="20"/>
          <w:szCs w:val="20"/>
          <w:color w:val="auto"/>
        </w:rPr>
      </w:pPr>
    </w:p>
    <w:p>
      <w:pPr>
        <w:ind w:left="367" w:right="3319"/>
        <w:spacing w:after="0" w:line="246" w:lineRule="auto"/>
        <w:rPr>
          <w:sz w:val="20"/>
          <w:szCs w:val="20"/>
          <w:color w:val="auto"/>
        </w:rPr>
      </w:pPr>
      <w:r>
        <w:rPr>
          <w:rFonts w:ascii="Courier New" w:cs="Courier New" w:eastAsia="Courier New" w:hAnsi="Courier New"/>
          <w:sz w:val="15"/>
          <w:szCs w:val="15"/>
          <w:color w:val="auto"/>
        </w:rPr>
        <w:t>This document is the property of Hewlett-Packard Company (HP) and contains confidential and proprietary information of HP. Neither it, nor the information contained herein shall be disclosed to others, or duplicated, or used by other except as authorized by HP writing.</w:t>
      </w:r>
    </w:p>
    <w:p>
      <w:pPr>
        <w:spacing w:after="0" w:line="200" w:lineRule="exact"/>
        <w:rPr>
          <w:sz w:val="20"/>
          <w:szCs w:val="20"/>
          <w:color w:val="auto"/>
        </w:rPr>
      </w:pPr>
    </w:p>
    <w:p>
      <w:pPr>
        <w:spacing w:after="0" w:line="327" w:lineRule="exact"/>
        <w:rPr>
          <w:sz w:val="20"/>
          <w:szCs w:val="20"/>
          <w:color w:val="auto"/>
        </w:rPr>
      </w:pPr>
    </w:p>
    <w:p>
      <w:pPr>
        <w:ind w:left="367" w:right="3039" w:hanging="367"/>
        <w:spacing w:after="0" w:line="247" w:lineRule="auto"/>
        <w:tabs>
          <w:tab w:leader="none" w:pos="367"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7" w:right="1440" w:bottom="1440" w:gutter="0" w:footer="0" w:header="0"/>
        </w:sectPr>
      </w:pPr>
    </w:p>
    <w:bookmarkStart w:id="354" w:name="page355"/>
    <w:bookmarkEnd w:id="354"/>
    <w:p>
      <w:pPr>
        <w:jc w:val="center"/>
        <w:ind w:right="2852"/>
        <w:spacing w:after="0"/>
        <w:rPr>
          <w:sz w:val="20"/>
          <w:szCs w:val="20"/>
          <w:color w:val="auto"/>
        </w:rPr>
      </w:pPr>
      <w:r>
        <w:rPr>
          <w:rFonts w:ascii="Courier New" w:cs="Courier New" w:eastAsia="Courier New" w:hAnsi="Courier New"/>
          <w:sz w:val="15"/>
          <w:szCs w:val="15"/>
          <w:color w:val="auto"/>
        </w:rPr>
        <w:t>** HP Confidential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426" w:val="left"/>
          <w:tab w:leader="none" w:pos="4246" w:val="left"/>
        </w:tabs>
        <w:rPr>
          <w:sz w:val="20"/>
          <w:szCs w:val="20"/>
          <w:color w:val="auto"/>
        </w:rPr>
      </w:pPr>
      <w:r>
        <w:rPr>
          <w:rFonts w:ascii="Courier New" w:cs="Courier New" w:eastAsia="Courier New" w:hAnsi="Courier New"/>
          <w:sz w:val="15"/>
          <w:szCs w:val="15"/>
          <w:color w:val="auto"/>
        </w:rPr>
        <w:t>ASSEMBLY #: N/A</w:t>
      </w:r>
      <w:r>
        <w:rPr>
          <w:sz w:val="20"/>
          <w:szCs w:val="20"/>
          <w:color w:val="auto"/>
        </w:rPr>
        <w:tab/>
      </w:r>
      <w:r>
        <w:rPr>
          <w:rFonts w:ascii="Courier New" w:cs="Courier New" w:eastAsia="Courier New" w:hAnsi="Courier New"/>
          <w:sz w:val="15"/>
          <w:szCs w:val="15"/>
          <w:color w:val="auto"/>
        </w:rPr>
        <w:t>HP P/N:</w:t>
        <w:tab/>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426" w:val="left"/>
        </w:tabs>
        <w:rPr>
          <w:sz w:val="20"/>
          <w:szCs w:val="20"/>
          <w:color w:val="auto"/>
        </w:rPr>
      </w:pPr>
      <w:r>
        <w:rPr>
          <w:rFonts w:ascii="Courier New" w:cs="Courier New" w:eastAsia="Courier New" w:hAnsi="Courier New"/>
          <w:sz w:val="15"/>
          <w:szCs w:val="15"/>
          <w:color w:val="auto"/>
        </w:rPr>
        <w:t>DATE: JUNE 5, 2002</w:t>
      </w:r>
      <w:r>
        <w:rPr>
          <w:sz w:val="20"/>
          <w:szCs w:val="20"/>
          <w:color w:val="auto"/>
        </w:rPr>
        <w:tab/>
      </w: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12000 SILKWORM SWITCH</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DOCUMENT: QUALITY PLAN</w:t>
      </w:r>
    </w:p>
    <w:p>
      <w:pPr>
        <w:spacing w:after="0" w:line="5" w:lineRule="exact"/>
        <w:rPr>
          <w:sz w:val="20"/>
          <w:szCs w:val="20"/>
          <w:color w:val="auto"/>
        </w:rPr>
      </w:pPr>
    </w:p>
    <w:p>
      <w:pPr>
        <w:ind w:left="187" w:hanging="187"/>
        <w:spacing w:after="0"/>
        <w:tabs>
          <w:tab w:leader="none" w:pos="187"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BROCADE 12000 SWITCH</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SUPPLIER QUALITY/RELIABILITY</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REQUIREMENTS DOCUMENT</w:t>
      </w:r>
    </w:p>
    <w:p>
      <w:pPr>
        <w:spacing w:after="0" w:line="200" w:lineRule="exact"/>
        <w:rPr>
          <w:sz w:val="20"/>
          <w:szCs w:val="20"/>
          <w:color w:val="auto"/>
        </w:rPr>
      </w:pPr>
    </w:p>
    <w:p>
      <w:pPr>
        <w:spacing w:after="0" w:line="329"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Model Numbers:</w:t>
      </w:r>
    </w:p>
    <w:p>
      <w:pPr>
        <w:spacing w:after="0" w:line="5" w:lineRule="exact"/>
        <w:rPr>
          <w:sz w:val="20"/>
          <w:szCs w:val="20"/>
          <w:color w:val="auto"/>
        </w:rPr>
      </w:pPr>
    </w:p>
    <w:p>
      <w:pPr>
        <w:ind w:left="547"/>
        <w:spacing w:after="0"/>
        <w:tabs>
          <w:tab w:leader="none" w:pos="1426" w:val="left"/>
        </w:tabs>
        <w:rPr>
          <w:sz w:val="20"/>
          <w:szCs w:val="20"/>
          <w:color w:val="auto"/>
        </w:rPr>
      </w:pPr>
      <w:r>
        <w:rPr>
          <w:rFonts w:ascii="Courier New" w:cs="Courier New" w:eastAsia="Courier New" w:hAnsi="Courier New"/>
          <w:sz w:val="15"/>
          <w:szCs w:val="15"/>
          <w:color w:val="auto"/>
        </w:rPr>
        <w:t>A6509A -</w:t>
        <w:tab/>
        <w:t>128 Port Switch</w:t>
      </w:r>
    </w:p>
    <w:p>
      <w:pPr>
        <w:spacing w:after="0" w:line="180" w:lineRule="exact"/>
        <w:rPr>
          <w:sz w:val="20"/>
          <w:szCs w:val="20"/>
          <w:color w:val="auto"/>
        </w:rPr>
      </w:pPr>
    </w:p>
    <w:p>
      <w:pPr>
        <w:ind w:left="547"/>
        <w:spacing w:after="0"/>
        <w:tabs>
          <w:tab w:leader="none" w:pos="1526" w:val="left"/>
        </w:tabs>
        <w:rPr>
          <w:sz w:val="20"/>
          <w:szCs w:val="20"/>
          <w:color w:val="auto"/>
        </w:rPr>
      </w:pPr>
      <w:r>
        <w:rPr>
          <w:rFonts w:ascii="Courier New" w:cs="Courier New" w:eastAsia="Courier New" w:hAnsi="Courier New"/>
          <w:sz w:val="15"/>
          <w:szCs w:val="15"/>
          <w:color w:val="auto"/>
        </w:rPr>
        <w:t>Supplier:</w:t>
        <w:tab/>
        <w:t>Brocade</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20" w:type="dxa"/>
            <w:vAlign w:val="bottom"/>
          </w:tcPr>
          <w:p>
            <w:pPr>
              <w:ind w:left="600"/>
              <w:spacing w:after="0"/>
              <w:rPr>
                <w:sz w:val="20"/>
                <w:szCs w:val="20"/>
                <w:color w:val="auto"/>
              </w:rPr>
            </w:pPr>
            <w:r>
              <w:rPr>
                <w:rFonts w:ascii="Courier New" w:cs="Courier New" w:eastAsia="Courier New" w:hAnsi="Courier New"/>
                <w:sz w:val="15"/>
                <w:szCs w:val="15"/>
                <w:color w:val="auto"/>
              </w:rPr>
              <w:t>DOCUMENT REVISION HISTORY</w:t>
            </w:r>
          </w:p>
        </w:tc>
      </w:tr>
      <w:tr>
        <w:trPr>
          <w:trHeight w:val="175"/>
        </w:trPr>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REVISION #</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c>
          <w:tcPr>
            <w:tcW w:w="4420" w:type="dxa"/>
            <w:vAlign w:val="bottom"/>
          </w:tcPr>
          <w:p>
            <w:pPr>
              <w:ind w:left="168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00</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5/05/02</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 Initial Release</w:t>
            </w:r>
          </w:p>
        </w:tc>
      </w:tr>
      <w:tr>
        <w:trPr>
          <w:trHeight w:val="175"/>
        </w:trPr>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Printed: 03/26/02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TBD.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12000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tabs>
          <w:tab w:leader="none" w:pos="620" w:val="left"/>
          <w:tab w:leader="none" w:pos="880" w:val="left"/>
          <w:tab w:leader="none" w:pos="1260" w:val="left"/>
        </w:tabs>
        <w:rPr>
          <w:sz w:val="20"/>
          <w:szCs w:val="20"/>
          <w:color w:val="auto"/>
        </w:rPr>
      </w:pPr>
      <w:r>
        <w:rPr>
          <w:rFonts w:ascii="Courier New" w:cs="Courier New" w:eastAsia="Courier New" w:hAnsi="Courier New"/>
          <w:sz w:val="15"/>
          <w:szCs w:val="15"/>
          <w:color w:val="auto"/>
        </w:rPr>
        <w:t>Page:</w:t>
        <w:tab/>
        <w:t>2</w:t>
        <w:tab/>
        <w:t>of</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Rubiconqp.doc</w:t>
      </w:r>
    </w:p>
    <w:p>
      <w:pPr>
        <w:spacing w:after="0" w:line="200" w:lineRule="exact"/>
        <w:rPr>
          <w:sz w:val="20"/>
          <w:szCs w:val="20"/>
          <w:color w:val="auto"/>
        </w:rPr>
      </w:pPr>
    </w:p>
    <w:p>
      <w:pPr>
        <w:sectPr>
          <w:pgSz w:w="11900" w:h="16838" w:orient="portrait"/>
          <w:cols w:equalWidth="0" w:num="3">
            <w:col w:w="1827" w:space="260"/>
            <w:col w:w="3720" w:space="100"/>
            <w:col w:w="4319"/>
          </w:cols>
          <w:pgMar w:left="233" w:top="643" w:right="1440" w:bottom="1440" w:gutter="0" w:footer="0" w:header="0"/>
          <w:type w:val="continuous"/>
        </w:sectPr>
      </w:pPr>
    </w:p>
    <w:p>
      <w:pPr>
        <w:spacing w:after="0" w:line="154" w:lineRule="exact"/>
        <w:rPr>
          <w:sz w:val="20"/>
          <w:szCs w:val="20"/>
          <w:color w:val="auto"/>
        </w:rPr>
      </w:pPr>
    </w:p>
    <w:p>
      <w:pPr>
        <w:ind w:left="367" w:right="3039" w:hanging="367"/>
        <w:spacing w:after="0" w:line="247" w:lineRule="auto"/>
        <w:tabs>
          <w:tab w:leader="none" w:pos="367"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55" w:name="page356"/>
    <w:bookmarkEnd w:id="355"/>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
        <w:spacing w:after="0"/>
        <w:tabs>
          <w:tab w:leader="none" w:pos="606" w:val="left"/>
          <w:tab w:leader="none" w:pos="986" w:val="left"/>
        </w:tabs>
        <w:rPr>
          <w:sz w:val="20"/>
          <w:szCs w:val="20"/>
          <w:color w:val="auto"/>
        </w:rPr>
      </w:pPr>
      <w:r>
        <w:rPr>
          <w:rFonts w:ascii="Courier New" w:cs="Courier New" w:eastAsia="Courier New" w:hAnsi="Courier New"/>
          <w:sz w:val="15"/>
          <w:szCs w:val="15"/>
          <w:color w:val="auto"/>
        </w:rPr>
        <w:t>TABLE</w:t>
        <w:tab/>
        <w:t>OF</w:t>
        <w:tab/>
        <w:t>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PURPOSE.................................................................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524"/>
        </w:trPr>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DEFECTIVE PRODUCT:......................................................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0"/>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2.1.</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TEST PROCESS........................................................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3.1.</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3.2.</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HP INCOMING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3.3.</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DOCK-TO-STOCK.......................................................</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3.4.</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OOBA INSPECTION.....................................................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FIELD QUALITY / RELIABILITY.............................................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4.1.</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AFR (ANNUAL FAILURE RATE)...........................................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FAILURE ANALYSIS EXPECTATIONS...........................................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524"/>
        </w:trPr>
        <w:tc>
          <w:tcPr>
            <w:tcW w:w="3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QUALITY DATA EXPECTATIONS...............................................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6.1.</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HP'S RESPONSIBILITY.................................................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6.2.</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SUPPLIER'S RESPONSIBILITY...........................................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320" w:type="dxa"/>
            <w:vAlign w:val="bottom"/>
          </w:tcPr>
          <w:p>
            <w:pPr>
              <w:spacing w:after="0"/>
              <w:rPr>
                <w:sz w:val="15"/>
                <w:szCs w:val="15"/>
                <w:color w:val="auto"/>
              </w:rPr>
            </w:pP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 REPORTS............................................................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320" w:type="dxa"/>
            <w:vAlign w:val="bottom"/>
          </w:tcPr>
          <w:p>
            <w:pPr>
              <w:spacing w:after="0"/>
              <w:rPr>
                <w:sz w:val="15"/>
                <w:szCs w:val="15"/>
                <w:color w:val="auto"/>
              </w:rPr>
            </w:pP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REPORTS...........................................................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COMMUNICATION EXPECTATIONS..............................................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0"/>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7.1</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PRODUCT CHANGES REQUIRING HP APPROVAL...........................</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7.2</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PROCESS CHANGES REQUIRING HP APPROVAL...........................</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7.3</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SHIPMENT HOLD NOTIFICATION......................................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6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7.[*]</w:t>
            </w: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8.0</w:t>
            </w:r>
          </w:p>
        </w:tc>
        <w:tc>
          <w:tcPr>
            <w:tcW w:w="6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SUPPLIER QUALITY SYSTEM...............................................</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7" w:right="3039" w:hanging="367"/>
        <w:spacing w:after="0" w:line="247" w:lineRule="auto"/>
        <w:tabs>
          <w:tab w:leader="none" w:pos="367" w:val="left"/>
        </w:tabs>
        <w:numPr>
          <w:ilvl w:val="0"/>
          <w:numId w:val="5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Printed: 03/26/02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TBD.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12000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620" w:val="left"/>
          <w:tab w:leader="none" w:pos="880" w:val="left"/>
          <w:tab w:leader="none" w:pos="1260" w:val="left"/>
        </w:tabs>
        <w:rPr>
          <w:sz w:val="20"/>
          <w:szCs w:val="20"/>
          <w:color w:val="auto"/>
        </w:rPr>
      </w:pPr>
      <w:r>
        <w:rPr>
          <w:rFonts w:ascii="Courier New" w:cs="Courier New" w:eastAsia="Courier New" w:hAnsi="Courier New"/>
          <w:sz w:val="15"/>
          <w:szCs w:val="15"/>
          <w:color w:val="auto"/>
        </w:rPr>
        <w:t>Page:</w:t>
        <w:tab/>
        <w:t>3</w:t>
        <w:tab/>
        <w:t>of</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Rubiconqp.doc</w:t>
      </w:r>
    </w:p>
    <w:p>
      <w:pPr>
        <w:sectPr>
          <w:pgSz w:w="11900" w:h="16838" w:orient="portrait"/>
          <w:cols w:equalWidth="0" w:num="3">
            <w:col w:w="1827" w:space="260"/>
            <w:col w:w="3720" w:space="100"/>
            <w:col w:w="4319"/>
          </w:cols>
          <w:pgMar w:left="233" w:top="642" w:right="1440" w:bottom="1440" w:gutter="0" w:footer="0" w:header="0"/>
          <w:type w:val="continuous"/>
        </w:sectPr>
      </w:pPr>
    </w:p>
    <w:bookmarkStart w:id="356" w:name="page357"/>
    <w:bookmarkEnd w:id="356"/>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hanging="727"/>
        <w:spacing w:after="0"/>
        <w:tabs>
          <w:tab w:leader="none" w:pos="727" w:val="left"/>
        </w:tabs>
        <w:numPr>
          <w:ilvl w:val="0"/>
          <w:numId w:val="5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purpose of this Quality/Reliability Requirements Document is to establish an understanding and agreement between Hewlett-Packard (HP) and Seller with regard to quality and reliability expectations and responsibilities. The terms Supplier and Seller are used interchangeably in this Quality/Reliability Requirements Document.</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It is HP's objective to receive Product of the highest possible quality and reliability with the lowest cost of ownership. The Product must consistently meet or exceed the requirements of this document and the individual specifications applicable to each Product. It is HP's expectation that Supplier shall strive to ship defect-free, fully tested Product as measured at the first operational test at HP. Repaired units are subject to the same Product Specifications as when originally shipped.</w:t>
      </w:r>
    </w:p>
    <w:p>
      <w:pPr>
        <w:spacing w:after="0" w:line="179"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HP's objective is to work in close cooperation with Supplier to resolve any quality issue, and expects the Supplier to work diligently to resolve any quality issue.</w:t>
      </w:r>
    </w:p>
    <w:p>
      <w:pPr>
        <w:spacing w:after="0" w:line="174" w:lineRule="exact"/>
        <w:rPr>
          <w:sz w:val="20"/>
          <w:szCs w:val="20"/>
          <w:color w:val="auto"/>
        </w:rPr>
      </w:pPr>
    </w:p>
    <w:p>
      <w:pPr>
        <w:ind w:left="727" w:hanging="727"/>
        <w:spacing w:after="0"/>
        <w:tabs>
          <w:tab w:leader="none" w:pos="727" w:val="left"/>
        </w:tabs>
        <w:numPr>
          <w:ilvl w:val="0"/>
          <w:numId w:val="5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DEFECTIVE PRODUCT:</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HP shall inform Supplier of any units or lots that fail, and provide Supplier with yield percentages. Defective units or lots will be shipped to Supplier's facility as instructed by Supplier. Supplier shall test and verify all failed units, and provide the data of failure symptoms observed or NTF (No Trouble Found), on all units returned from HP worldwide manufacturing sites.</w:t>
      </w:r>
    </w:p>
    <w:p>
      <w:pPr>
        <w:spacing w:after="0" w:line="353"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67" w:right="3039" w:hanging="367"/>
        <w:spacing w:after="0" w:line="247" w:lineRule="auto"/>
        <w:tabs>
          <w:tab w:leader="none" w:pos="367" w:val="left"/>
        </w:tabs>
        <w:numPr>
          <w:ilvl w:val="0"/>
          <w:numId w:val="5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Printed: 03/26/02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TBD.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12000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620" w:val="left"/>
          <w:tab w:leader="none" w:pos="880" w:val="left"/>
          <w:tab w:leader="none" w:pos="1260" w:val="left"/>
        </w:tabs>
        <w:rPr>
          <w:sz w:val="20"/>
          <w:szCs w:val="20"/>
          <w:color w:val="auto"/>
        </w:rPr>
      </w:pPr>
      <w:r>
        <w:rPr>
          <w:rFonts w:ascii="Courier New" w:cs="Courier New" w:eastAsia="Courier New" w:hAnsi="Courier New"/>
          <w:sz w:val="15"/>
          <w:szCs w:val="15"/>
          <w:color w:val="auto"/>
        </w:rPr>
        <w:t>Page:</w:t>
        <w:tab/>
        <w:t>4</w:t>
        <w:tab/>
        <w:t>of</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Rubiconqp.doc</w:t>
      </w:r>
    </w:p>
    <w:p>
      <w:pPr>
        <w:sectPr>
          <w:pgSz w:w="11900" w:h="16838" w:orient="portrait"/>
          <w:cols w:equalWidth="0" w:num="3">
            <w:col w:w="1827" w:space="260"/>
            <w:col w:w="3720" w:space="100"/>
            <w:col w:w="4319"/>
          </w:cols>
          <w:pgMar w:left="233" w:top="643" w:right="1440" w:bottom="1440" w:gutter="0" w:footer="0" w:header="0"/>
          <w:type w:val="continuous"/>
        </w:sectPr>
      </w:pPr>
    </w:p>
    <w:bookmarkStart w:id="357" w:name="page358"/>
    <w:bookmarkEnd w:id="357"/>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5640" w:type="dxa"/>
            <w:vAlign w:val="bottom"/>
          </w:tcPr>
          <w:p>
            <w:pPr>
              <w:ind w:left="300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524"/>
        </w:trPr>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88"/>
              </w:rPr>
              <w:t>3.</w:t>
            </w:r>
          </w:p>
        </w:tc>
        <w:tc>
          <w:tcPr>
            <w:tcW w:w="5640" w:type="dxa"/>
            <w:vAlign w:val="bottom"/>
          </w:tcPr>
          <w:p>
            <w:pPr>
              <w:ind w:left="280"/>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24"/>
                <w:szCs w:val="24"/>
                <w:color w:val="auto"/>
              </w:rPr>
            </w:pPr>
          </w:p>
        </w:tc>
      </w:tr>
      <w:tr>
        <w:trPr>
          <w:trHeight w:val="350"/>
        </w:trPr>
        <w:tc>
          <w:tcPr>
            <w:tcW w:w="440" w:type="dxa"/>
            <w:vAlign w:val="bottom"/>
          </w:tcPr>
          <w:p>
            <w:pPr>
              <w:spacing w:after="0"/>
              <w:rPr>
                <w:sz w:val="24"/>
                <w:szCs w:val="24"/>
                <w:color w:val="auto"/>
              </w:rPr>
            </w:pPr>
          </w:p>
        </w:tc>
        <w:tc>
          <w:tcPr>
            <w:tcW w:w="5640" w:type="dxa"/>
            <w:vAlign w:val="bottom"/>
          </w:tcPr>
          <w:p>
            <w:pPr>
              <w:ind w:left="280"/>
              <w:spacing w:after="0"/>
              <w:rPr>
                <w:sz w:val="20"/>
                <w:szCs w:val="20"/>
                <w:color w:val="auto"/>
              </w:rPr>
            </w:pPr>
            <w:r>
              <w:rPr>
                <w:rFonts w:ascii="Courier New" w:cs="Courier New" w:eastAsia="Courier New" w:hAnsi="Courier New"/>
                <w:sz w:val="15"/>
                <w:szCs w:val="15"/>
                <w:color w:val="auto"/>
              </w:rPr>
              <w:t>3.1. [*] [*]</w:t>
            </w:r>
          </w:p>
        </w:tc>
        <w:tc>
          <w:tcPr>
            <w:tcW w:w="1180" w:type="dxa"/>
            <w:vAlign w:val="bottom"/>
          </w:tcPr>
          <w:p>
            <w:pPr>
              <w:spacing w:after="0"/>
              <w:rPr>
                <w:sz w:val="24"/>
                <w:szCs w:val="24"/>
                <w:color w:val="auto"/>
              </w:rPr>
            </w:pPr>
          </w:p>
        </w:tc>
      </w:tr>
      <w:tr>
        <w:trPr>
          <w:trHeight w:val="350"/>
        </w:trPr>
        <w:tc>
          <w:tcPr>
            <w:tcW w:w="440" w:type="dxa"/>
            <w:vAlign w:val="bottom"/>
          </w:tcPr>
          <w:p>
            <w:pPr>
              <w:spacing w:after="0"/>
              <w:rPr>
                <w:sz w:val="24"/>
                <w:szCs w:val="24"/>
                <w:color w:val="auto"/>
              </w:rPr>
            </w:pPr>
          </w:p>
        </w:tc>
        <w:tc>
          <w:tcPr>
            <w:tcW w:w="6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First production shipment to HP will be [*] to verify that product meets</w:t>
            </w:r>
          </w:p>
        </w:tc>
      </w:tr>
      <w:tr>
        <w:trPr>
          <w:trHeight w:val="175"/>
        </w:trPr>
        <w:tc>
          <w:tcPr>
            <w:tcW w:w="440" w:type="dxa"/>
            <w:vAlign w:val="bottom"/>
          </w:tcPr>
          <w:p>
            <w:pPr>
              <w:spacing w:after="0"/>
              <w:rPr>
                <w:sz w:val="15"/>
                <w:szCs w:val="15"/>
                <w:color w:val="auto"/>
              </w:rPr>
            </w:pPr>
          </w:p>
        </w:tc>
        <w:tc>
          <w:tcPr>
            <w:tcW w:w="6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all conditions listed in the Configuration Specification. The [*]</w:t>
            </w:r>
          </w:p>
        </w:tc>
      </w:tr>
      <w:tr>
        <w:trPr>
          <w:trHeight w:val="175"/>
        </w:trPr>
        <w:tc>
          <w:tcPr>
            <w:tcW w:w="440" w:type="dxa"/>
            <w:vAlign w:val="bottom"/>
          </w:tcPr>
          <w:p>
            <w:pPr>
              <w:spacing w:after="0"/>
              <w:rPr>
                <w:sz w:val="15"/>
                <w:szCs w:val="15"/>
                <w:color w:val="auto"/>
              </w:rPr>
            </w:pPr>
          </w:p>
        </w:tc>
        <w:tc>
          <w:tcPr>
            <w:tcW w:w="5640" w:type="dxa"/>
            <w:vAlign w:val="bottom"/>
          </w:tcPr>
          <w:p>
            <w:pPr>
              <w:ind w:left="280"/>
              <w:spacing w:after="0"/>
              <w:rPr>
                <w:sz w:val="20"/>
                <w:szCs w:val="20"/>
                <w:color w:val="auto"/>
              </w:rPr>
            </w:pPr>
            <w:r>
              <w:rPr>
                <w:rFonts w:ascii="Courier New" w:cs="Courier New" w:eastAsia="Courier New" w:hAnsi="Courier New"/>
                <w:sz w:val="15"/>
                <w:szCs w:val="15"/>
                <w:color w:val="auto"/>
              </w:rPr>
              <w:t>inspection will include a review of the following items:</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3.2. HP INCOMING [*] [*]</w:t>
      </w:r>
    </w:p>
    <w:p>
      <w:pPr>
        <w:spacing w:after="0" w:line="180" w:lineRule="exact"/>
        <w:rPr>
          <w:sz w:val="20"/>
          <w:szCs w:val="20"/>
          <w:color w:val="auto"/>
        </w:rPr>
      </w:pPr>
    </w:p>
    <w:p>
      <w:pPr>
        <w:ind w:left="727" w:right="3219"/>
        <w:spacing w:after="0" w:line="246" w:lineRule="auto"/>
        <w:rPr>
          <w:sz w:val="20"/>
          <w:szCs w:val="20"/>
          <w:color w:val="auto"/>
        </w:rPr>
      </w:pPr>
      <w:r>
        <w:rPr>
          <w:rFonts w:ascii="Courier New" w:cs="Courier New" w:eastAsia="Courier New" w:hAnsi="Courier New"/>
          <w:sz w:val="15"/>
          <w:szCs w:val="15"/>
          <w:color w:val="auto"/>
        </w:rPr>
        <w:t>All new suppliers must demonstrate relevant process control through a quality system [*]. HP shall thoroughly [*] the [*] customer [*] unit received from the Supplier. If there are any functional failures or cosmetic failures HP has the right to [*] the Supplier's [*]</w:t>
      </w:r>
    </w:p>
    <w:p>
      <w:pPr>
        <w:spacing w:after="0" w:line="177"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right="3039"/>
        <w:spacing w:after="0" w:line="246" w:lineRule="auto"/>
        <w:rPr>
          <w:sz w:val="20"/>
          <w:szCs w:val="20"/>
          <w:color w:val="auto"/>
        </w:rPr>
      </w:pPr>
      <w:r>
        <w:rPr>
          <w:rFonts w:ascii="Courier New" w:cs="Courier New" w:eastAsia="Courier New" w:hAnsi="Courier New"/>
          <w:sz w:val="15"/>
          <w:szCs w:val="15"/>
          <w:color w:val="auto"/>
        </w:rPr>
        <w:t>All failures require a [*] report completed by the Supplier within [*] after notification. If the Supplier needs the defective unit to determine the root cause, the Supplier shall complete a [*] report within [*] after receipt of the defective unit(s). The report shall contain detailed explanation of the root cause and [*](s) performed. HP shall verify the report during the [*]</w:t>
      </w:r>
    </w:p>
    <w:p>
      <w:pPr>
        <w:spacing w:after="0" w:line="178"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3.3. DOCK-TO-STOCK</w:t>
      </w:r>
    </w:p>
    <w:p>
      <w:pPr>
        <w:spacing w:after="0" w:line="180" w:lineRule="exact"/>
        <w:rPr>
          <w:sz w:val="20"/>
          <w:szCs w:val="20"/>
          <w:color w:val="auto"/>
        </w:rPr>
      </w:pPr>
    </w:p>
    <w:p>
      <w:pPr>
        <w:jc w:val="both"/>
        <w:ind w:left="727" w:right="2959"/>
        <w:spacing w:after="0" w:line="246" w:lineRule="auto"/>
        <w:rPr>
          <w:sz w:val="20"/>
          <w:szCs w:val="20"/>
          <w:color w:val="auto"/>
        </w:rPr>
      </w:pPr>
      <w:r>
        <w:rPr>
          <w:rFonts w:ascii="Courier New" w:cs="Courier New" w:eastAsia="Courier New" w:hAnsi="Courier New"/>
          <w:sz w:val="15"/>
          <w:szCs w:val="15"/>
          <w:color w:val="auto"/>
        </w:rPr>
        <w:t>Product will move to Dock-To-Stock status after successful completion of Incoming [*] as listed in Section 3.2. Upon successful completion of [*] and [*], subsequent shipments will not be inspected as they are received by HP-NSSO.</w:t>
      </w:r>
    </w:p>
    <w:p>
      <w:pPr>
        <w:spacing w:after="0" w:line="200" w:lineRule="exact"/>
        <w:rPr>
          <w:sz w:val="20"/>
          <w:szCs w:val="20"/>
          <w:color w:val="auto"/>
        </w:rPr>
      </w:pPr>
    </w:p>
    <w:p>
      <w:pPr>
        <w:spacing w:after="0" w:line="327" w:lineRule="exact"/>
        <w:rPr>
          <w:sz w:val="20"/>
          <w:szCs w:val="20"/>
          <w:color w:val="auto"/>
        </w:rPr>
      </w:pPr>
    </w:p>
    <w:p>
      <w:pPr>
        <w:ind w:left="367" w:right="3039" w:hanging="367"/>
        <w:spacing w:after="0" w:line="247" w:lineRule="auto"/>
        <w:tabs>
          <w:tab w:leader="none" w:pos="367" w:val="left"/>
        </w:tabs>
        <w:numPr>
          <w:ilvl w:val="0"/>
          <w:numId w:val="5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Printed: 03/26/02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TBD.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12000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620" w:val="left"/>
          <w:tab w:leader="none" w:pos="880" w:val="left"/>
          <w:tab w:leader="none" w:pos="1260" w:val="left"/>
        </w:tabs>
        <w:rPr>
          <w:sz w:val="20"/>
          <w:szCs w:val="20"/>
          <w:color w:val="auto"/>
        </w:rPr>
      </w:pPr>
      <w:r>
        <w:rPr>
          <w:rFonts w:ascii="Courier New" w:cs="Courier New" w:eastAsia="Courier New" w:hAnsi="Courier New"/>
          <w:sz w:val="15"/>
          <w:szCs w:val="15"/>
          <w:color w:val="auto"/>
        </w:rPr>
        <w:t>Page:</w:t>
        <w:tab/>
        <w:t>5</w:t>
        <w:tab/>
        <w:t>of</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Rubiconqp.doc</w:t>
      </w:r>
    </w:p>
    <w:p>
      <w:pPr>
        <w:sectPr>
          <w:pgSz w:w="11900" w:h="16838" w:orient="portrait"/>
          <w:cols w:equalWidth="0" w:num="3">
            <w:col w:w="1827" w:space="260"/>
            <w:col w:w="3720" w:space="100"/>
            <w:col w:w="4319"/>
          </w:cols>
          <w:pgMar w:left="233" w:top="642" w:right="1440" w:bottom="1440" w:gutter="0" w:footer="0" w:header="0"/>
          <w:type w:val="continuous"/>
        </w:sectPr>
      </w:pPr>
    </w:p>
    <w:bookmarkStart w:id="358" w:name="page359"/>
    <w:bookmarkEnd w:id="358"/>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3.4. OOBA INSPECTION</w:t>
      </w:r>
    </w:p>
    <w:p>
      <w:pPr>
        <w:spacing w:after="0" w:line="180" w:lineRule="exact"/>
        <w:rPr>
          <w:sz w:val="20"/>
          <w:szCs w:val="20"/>
          <w:color w:val="auto"/>
        </w:rPr>
      </w:pPr>
    </w:p>
    <w:p>
      <w:pPr>
        <w:ind w:left="727" w:right="2959"/>
        <w:spacing w:after="0" w:line="247" w:lineRule="auto"/>
        <w:rPr>
          <w:sz w:val="20"/>
          <w:szCs w:val="20"/>
          <w:color w:val="auto"/>
        </w:rPr>
      </w:pPr>
      <w:r>
        <w:rPr>
          <w:rFonts w:ascii="Courier New" w:cs="Courier New" w:eastAsia="Courier New" w:hAnsi="Courier New"/>
          <w:sz w:val="15"/>
          <w:szCs w:val="15"/>
          <w:color w:val="auto"/>
        </w:rPr>
        <w:t>OOBA is performed after a [*] on the BROCADE manufacturing line. The focus of OOBA is to screen for failures, rectify any lots with problems, and implement [*] based on the observed failures.</w:t>
      </w:r>
    </w:p>
    <w:p>
      <w:pPr>
        <w:spacing w:after="0" w:line="174" w:lineRule="exact"/>
        <w:rPr>
          <w:sz w:val="20"/>
          <w:szCs w:val="20"/>
          <w:color w:val="auto"/>
        </w:rPr>
      </w:pPr>
    </w:p>
    <w:p>
      <w:pPr>
        <w:ind w:left="727" w:right="3039"/>
        <w:spacing w:after="0" w:line="247" w:lineRule="auto"/>
        <w:rPr>
          <w:sz w:val="20"/>
          <w:szCs w:val="20"/>
          <w:color w:val="auto"/>
        </w:rPr>
      </w:pPr>
      <w:r>
        <w:rPr>
          <w:rFonts w:ascii="Courier New" w:cs="Courier New" w:eastAsia="Courier New" w:hAnsi="Courier New"/>
          <w:sz w:val="15"/>
          <w:szCs w:val="15"/>
          <w:color w:val="auto"/>
        </w:rPr>
        <w:t>The In-Process Acceptance Limit has been established and specified in the following chart. The In-Process Lot Sample Inspection shall be used when determining the Q1 score for the TQRDC/E review.</w:t>
      </w:r>
    </w:p>
    <w:p>
      <w:pPr>
        <w:sectPr>
          <w:pgSz w:w="11900" w:h="16838" w:orient="portrait"/>
          <w:cols w:equalWidth="0" w:num="1">
            <w:col w:w="10226"/>
          </w:cols>
          <w:pgMar w:left="233" w:top="643" w:right="1440" w:bottom="1440" w:gutter="0" w:footer="0" w:header="0"/>
        </w:sectPr>
      </w:pPr>
    </w:p>
    <w:p>
      <w:pPr>
        <w:spacing w:after="0" w:line="349"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PART DESCRIPTION</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NUMBER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DPM</w:t>
      </w:r>
    </w:p>
    <w:p>
      <w:pPr>
        <w:spacing w:after="0" w:line="5"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UPPER LIMIT</w:t>
      </w:r>
    </w:p>
    <w:p>
      <w:pPr>
        <w:spacing w:after="0" w:line="180" w:lineRule="exact"/>
        <w:rPr>
          <w:sz w:val="20"/>
          <w:szCs w:val="20"/>
          <w:color w:val="auto"/>
        </w:rPr>
      </w:pPr>
    </w:p>
    <w:p>
      <w:pPr>
        <w:sectPr>
          <w:pgSz w:w="11900" w:h="16838" w:orient="portrait"/>
          <w:cols w:equalWidth="0" w:num="3">
            <w:col w:w="2547" w:space="640"/>
            <w:col w:w="1180" w:space="720"/>
            <w:col w:w="5139"/>
          </w:cols>
          <w:pgMar w:left="233" w:top="643" w:right="1440" w:bottom="1440" w:gutter="0" w:footer="0" w:header="0"/>
          <w:type w:val="continuous"/>
        </w:sect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2827" w:space="720"/>
            <w:col w:w="1180" w:space="720"/>
            <w:col w:w="4779"/>
          </w:cols>
          <w:pgMar w:left="233" w:top="643" w:right="1440" w:bottom="1440" w:gutter="0" w:footer="0" w:header="0"/>
          <w:type w:val="continuous"/>
        </w:sectPr>
      </w:pPr>
    </w:p>
    <w:p>
      <w:pPr>
        <w:spacing w:after="0" w:line="1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If the DPM goal is not met, Brocade will provide process yield data and</w:t>
      </w:r>
    </w:p>
    <w:p>
      <w:pPr>
        <w:spacing w:after="0" w:line="5" w:lineRule="exact"/>
        <w:rPr>
          <w:sz w:val="20"/>
          <w:szCs w:val="20"/>
          <w:color w:val="auto"/>
        </w:rPr>
      </w:pPr>
    </w:p>
    <w:p>
      <w:pPr>
        <w:ind w:left="727" w:right="3139"/>
        <w:spacing w:after="0" w:line="247" w:lineRule="auto"/>
        <w:tabs>
          <w:tab w:leader="none" w:pos="1090" w:val="left"/>
        </w:tabs>
        <w:numPr>
          <w:ilvl w:val="0"/>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(and/or contract supplier process if necessary) and hold [*] until quality meets the stated goal.</w:t>
      </w: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27" w:hanging="727"/>
        <w:spacing w:after="0"/>
        <w:tabs>
          <w:tab w:leader="none" w:pos="727"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FIELD QUALITY / RELIABILITY</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AFR (ANNUAL FAILURE RATE)</w:t>
      </w:r>
    </w:p>
    <w:p>
      <w:pPr>
        <w:spacing w:after="0" w:line="354" w:lineRule="exact"/>
        <w:rPr>
          <w:sz w:val="20"/>
          <w:szCs w:val="20"/>
          <w:color w:val="auto"/>
        </w:rPr>
      </w:pPr>
    </w:p>
    <w:p>
      <w:pPr>
        <w:ind w:left="727" w:right="2959"/>
        <w:spacing w:after="0" w:line="247" w:lineRule="auto"/>
        <w:rPr>
          <w:sz w:val="20"/>
          <w:szCs w:val="20"/>
          <w:color w:val="auto"/>
        </w:rPr>
      </w:pPr>
      <w:r>
        <w:rPr>
          <w:rFonts w:ascii="Courier New" w:cs="Courier New" w:eastAsia="Courier New" w:hAnsi="Courier New"/>
          <w:sz w:val="15"/>
          <w:szCs w:val="15"/>
          <w:color w:val="auto"/>
        </w:rPr>
        <w:t>The AFR Limits are defined in the following AFR Chart. The Field Failure Rate (AFR) Limit shall be used when determining the Q2 score for the TQRDC/E review.</w:t>
      </w:r>
    </w:p>
    <w:p>
      <w:pPr>
        <w:sectPr>
          <w:pgSz w:w="11900" w:h="16838" w:orient="portrait"/>
          <w:cols w:equalWidth="0" w:num="1">
            <w:col w:w="10226"/>
          </w:cols>
          <w:pgMar w:left="233" w:top="643" w:right="1440" w:bottom="1440" w:gutter="0" w:footer="0" w:header="0"/>
          <w:type w:val="continuous"/>
        </w:sectPr>
      </w:pPr>
    </w:p>
    <w:p>
      <w:pPr>
        <w:spacing w:after="0" w:line="349"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PART DESCRIPTION</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HP PART NUMBER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FIELD FAILURE RATE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(AFR) LIMIT</w:t>
      </w:r>
    </w:p>
    <w:p>
      <w:pPr>
        <w:spacing w:after="0" w:line="180" w:lineRule="exact"/>
        <w:rPr>
          <w:sz w:val="20"/>
          <w:szCs w:val="20"/>
          <w:color w:val="auto"/>
        </w:rPr>
      </w:pPr>
    </w:p>
    <w:p>
      <w:pPr>
        <w:sectPr>
          <w:pgSz w:w="11900" w:h="16838" w:orient="portrait"/>
          <w:cols w:equalWidth="0" w:num="3">
            <w:col w:w="2727" w:space="720"/>
            <w:col w:w="1280" w:space="540"/>
            <w:col w:w="4959"/>
          </w:cols>
          <w:pgMar w:left="233" w:top="643" w:right="1440" w:bottom="1440" w:gutter="0" w:footer="0" w:header="0"/>
          <w:type w:val="continuous"/>
        </w:sect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3287" w:space="720"/>
            <w:col w:w="1280" w:space="720"/>
            <w:col w:w="4219"/>
          </w:cols>
          <w:pgMar w:left="233" w:top="643" w:right="1440" w:bottom="1440" w:gutter="0" w:footer="0" w:header="0"/>
          <w:type w:val="continuous"/>
        </w:sectPr>
      </w:pPr>
    </w:p>
    <w:p>
      <w:pPr>
        <w:spacing w:after="0" w:line="154"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These numbers do not include [*] and [*].</w:t>
      </w:r>
    </w:p>
    <w:p>
      <w:pPr>
        <w:spacing w:after="0" w:line="180" w:lineRule="exact"/>
        <w:rPr>
          <w:sz w:val="20"/>
          <w:szCs w:val="20"/>
          <w:color w:val="auto"/>
        </w:rPr>
      </w:pPr>
    </w:p>
    <w:p>
      <w:pPr>
        <w:ind w:left="727" w:hanging="727"/>
        <w:spacing w:after="0"/>
        <w:tabs>
          <w:tab w:leader="none" w:pos="727" w:val="left"/>
        </w:tabs>
        <w:numPr>
          <w:ilvl w:val="0"/>
          <w:numId w:val="5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ANALYSIS EXPECTATIONS</w:t>
      </w:r>
    </w:p>
    <w:p>
      <w:pPr>
        <w:spacing w:after="0" w:line="179" w:lineRule="exact"/>
        <w:rPr>
          <w:rFonts w:ascii="Courier New" w:cs="Courier New" w:eastAsia="Courier New" w:hAnsi="Courier New"/>
          <w:sz w:val="15"/>
          <w:szCs w:val="15"/>
          <w:color w:val="auto"/>
        </w:rPr>
      </w:pPr>
    </w:p>
    <w:p>
      <w:pPr>
        <w:ind w:left="72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shall test and verify all unit failures returned by HP worldwide manufacturing organizations, HP field or found in Brocade's manufacturing line. The supplier shall promptly institute the [*]eport and [*] that may be required to prevent any further rejects for such cause.</w:t>
      </w:r>
    </w:p>
    <w:p>
      <w:pPr>
        <w:spacing w:after="0" w:line="200" w:lineRule="exact"/>
        <w:rPr>
          <w:sz w:val="20"/>
          <w:szCs w:val="20"/>
          <w:color w:val="auto"/>
        </w:rPr>
      </w:pPr>
    </w:p>
    <w:p>
      <w:pPr>
        <w:spacing w:after="0" w:line="327" w:lineRule="exact"/>
        <w:rPr>
          <w:sz w:val="20"/>
          <w:szCs w:val="20"/>
          <w:color w:val="auto"/>
        </w:rPr>
      </w:pPr>
    </w:p>
    <w:p>
      <w:pPr>
        <w:ind w:left="367" w:right="3039" w:hanging="367"/>
        <w:spacing w:after="0" w:line="247" w:lineRule="auto"/>
        <w:tabs>
          <w:tab w:leader="none" w:pos="367" w:val="left"/>
        </w:tabs>
        <w:numPr>
          <w:ilvl w:val="0"/>
          <w:numId w:val="5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Printed: 03/26/02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TBD.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12000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620" w:val="left"/>
          <w:tab w:leader="none" w:pos="880" w:val="left"/>
          <w:tab w:leader="none" w:pos="1260" w:val="left"/>
        </w:tabs>
        <w:rPr>
          <w:sz w:val="20"/>
          <w:szCs w:val="20"/>
          <w:color w:val="auto"/>
        </w:rPr>
      </w:pPr>
      <w:r>
        <w:rPr>
          <w:rFonts w:ascii="Courier New" w:cs="Courier New" w:eastAsia="Courier New" w:hAnsi="Courier New"/>
          <w:sz w:val="15"/>
          <w:szCs w:val="15"/>
          <w:color w:val="auto"/>
        </w:rPr>
        <w:t>Page:</w:t>
        <w:tab/>
        <w:t>6</w:t>
        <w:tab/>
        <w:t>of</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Rubiconqp.doc</w:t>
      </w:r>
    </w:p>
    <w:p>
      <w:pPr>
        <w:sectPr>
          <w:pgSz w:w="11900" w:h="16838" w:orient="portrait"/>
          <w:cols w:equalWidth="0" w:num="3">
            <w:col w:w="1827" w:space="260"/>
            <w:col w:w="3720" w:space="100"/>
            <w:col w:w="4319"/>
          </w:cols>
          <w:pgMar w:left="233" w:top="643" w:right="1440" w:bottom="1440" w:gutter="0" w:footer="0" w:header="0"/>
          <w:type w:val="continuous"/>
        </w:sectPr>
      </w:pPr>
    </w:p>
    <w:bookmarkStart w:id="359" w:name="page360"/>
    <w:bookmarkEnd w:id="359"/>
    <w:tbl>
      <w:tblPr>
        <w:tblLayout w:type="fixed"/>
        <w:tblInd w:w="7"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 HP Confidential</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699"/>
        </w:trPr>
        <w:tc>
          <w:tcPr>
            <w:tcW w:w="25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LOWER BOUNDARY</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UPPER BOUNDARY</w:t>
            </w:r>
          </w:p>
        </w:tc>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COMMENTS</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5"/>
                <w:szCs w:val="15"/>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46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Reproduce Failures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day</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1-4 days</w:t>
            </w:r>
          </w:p>
        </w:tc>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Will notify Customer if longer than stated time</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I.D. Root Cause</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days</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5-30</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days</w:t>
            </w:r>
          </w:p>
        </w:tc>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Will notify Customer if longer than stated time</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Short Term Containment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day</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1-10</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days</w:t>
            </w:r>
          </w:p>
        </w:tc>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Will notify Customer if longer than stated time</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Implement CLCA</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 days</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10+days</w:t>
            </w:r>
          </w:p>
        </w:tc>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Will notify Customer if longer than stated time</w:t>
            </w:r>
          </w:p>
        </w:tc>
      </w:tr>
      <w:tr>
        <w:trPr>
          <w:trHeight w:val="524"/>
        </w:trPr>
        <w:tc>
          <w:tcPr>
            <w:tcW w:w="2500" w:type="dxa"/>
            <w:vAlign w:val="bottom"/>
          </w:tcPr>
          <w:p>
            <w:pPr>
              <w:spacing w:after="0"/>
              <w:rPr>
                <w:sz w:val="20"/>
                <w:szCs w:val="20"/>
                <w:color w:val="auto"/>
              </w:rPr>
            </w:pPr>
            <w:r>
              <w:rPr>
                <w:rFonts w:ascii="Courier New" w:cs="Courier New" w:eastAsia="Courier New" w:hAnsi="Courier New"/>
                <w:sz w:val="15"/>
                <w:szCs w:val="15"/>
                <w:color w:val="auto"/>
              </w:rPr>
              <w:t>NOTE:-  TAT is cummulative,</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 receipt of unit</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repair center</w:t>
            </w:r>
          </w:p>
        </w:tc>
        <w:tc>
          <w:tcPr>
            <w:tcW w:w="4640" w:type="dxa"/>
            <w:vAlign w:val="bottom"/>
          </w:tcPr>
          <w:p>
            <w:pPr>
              <w:spacing w:after="0"/>
              <w:rPr>
                <w:sz w:val="24"/>
                <w:szCs w:val="24"/>
                <w:color w:val="auto"/>
              </w:rPr>
            </w:pPr>
          </w:p>
        </w:tc>
      </w:tr>
    </w:tbl>
    <w:p>
      <w:pPr>
        <w:spacing w:after="0" w:line="354" w:lineRule="exact"/>
        <w:rPr>
          <w:sz w:val="20"/>
          <w:szCs w:val="20"/>
          <w:color w:val="auto"/>
        </w:rPr>
      </w:pPr>
    </w:p>
    <w:p>
      <w:pPr>
        <w:ind w:left="727" w:hanging="727"/>
        <w:spacing w:after="0"/>
        <w:tabs>
          <w:tab w:leader="none" w:pos="727" w:val="left"/>
        </w:tabs>
        <w:numPr>
          <w:ilvl w:val="0"/>
          <w:numId w:val="5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DATA EXPECTATIONS</w:t>
      </w:r>
    </w:p>
    <w:p>
      <w:pPr>
        <w:spacing w:after="0" w:line="180" w:lineRule="exact"/>
        <w:rPr>
          <w:sz w:val="20"/>
          <w:szCs w:val="20"/>
          <w:color w:val="auto"/>
        </w:rPr>
      </w:pPr>
    </w:p>
    <w:p>
      <w:pPr>
        <w:ind w:left="7" w:right="3720"/>
        <w:spacing w:after="0" w:line="247" w:lineRule="auto"/>
        <w:rPr>
          <w:sz w:val="20"/>
          <w:szCs w:val="20"/>
          <w:color w:val="auto"/>
        </w:rPr>
      </w:pPr>
      <w:r>
        <w:rPr>
          <w:rFonts w:ascii="Courier New" w:cs="Courier New" w:eastAsia="Courier New" w:hAnsi="Courier New"/>
          <w:sz w:val="15"/>
          <w:szCs w:val="15"/>
          <w:color w:val="auto"/>
        </w:rPr>
        <w:t>Quality data supplied by Supplier shall include, but not be limited to, process yield information and corresponding [*] regarding failures.</w:t>
      </w:r>
    </w:p>
    <w:p>
      <w:pPr>
        <w:spacing w:after="0" w:line="17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6.1. HP'S RESPONSIBILITY</w:t>
      </w:r>
    </w:p>
    <w:p>
      <w:pPr>
        <w:spacing w:after="0" w:line="180" w:lineRule="exact"/>
        <w:rPr>
          <w:sz w:val="20"/>
          <w:szCs w:val="20"/>
          <w:color w:val="auto"/>
        </w:rPr>
      </w:pPr>
    </w:p>
    <w:p>
      <w:pPr>
        <w:ind w:left="727" w:right="3820"/>
        <w:spacing w:after="0" w:line="247" w:lineRule="auto"/>
        <w:rPr>
          <w:sz w:val="20"/>
          <w:szCs w:val="20"/>
          <w:color w:val="auto"/>
        </w:rPr>
      </w:pPr>
      <w:r>
        <w:rPr>
          <w:rFonts w:ascii="Courier New" w:cs="Courier New" w:eastAsia="Courier New" w:hAnsi="Courier New"/>
          <w:sz w:val="15"/>
          <w:szCs w:val="15"/>
          <w:color w:val="auto"/>
        </w:rPr>
        <w:t>HP shall inform Supplier of In-Process failures that occur at [*] on a [*]y basis.</w:t>
      </w:r>
    </w:p>
    <w:p>
      <w:pPr>
        <w:spacing w:after="0" w:line="17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6.2. SUPPLIER'S RESPONSIBILITY</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 REPORTS</w:t>
      </w:r>
    </w:p>
    <w:p>
      <w:pPr>
        <w:spacing w:after="0" w:line="5" w:lineRule="exact"/>
        <w:rPr>
          <w:sz w:val="20"/>
          <w:szCs w:val="20"/>
          <w:color w:val="auto"/>
        </w:rPr>
      </w:pPr>
    </w:p>
    <w:p>
      <w:pPr>
        <w:ind w:left="727" w:right="4640"/>
        <w:spacing w:after="0" w:line="246" w:lineRule="auto"/>
        <w:rPr>
          <w:sz w:val="20"/>
          <w:szCs w:val="20"/>
          <w:color w:val="auto"/>
        </w:rPr>
      </w:pPr>
      <w:r>
        <w:rPr>
          <w:rFonts w:ascii="Courier New" w:cs="Courier New" w:eastAsia="Courier New" w:hAnsi="Courier New"/>
          <w:sz w:val="15"/>
          <w:szCs w:val="15"/>
          <w:color w:val="auto"/>
        </w:rPr>
        <w:t>Supplier shall provide the following reports to HP-NSSO's OEM Engineer on a [*] basis:</w:t>
      </w:r>
    </w:p>
    <w:p>
      <w:pPr>
        <w:spacing w:after="0" w:line="1" w:lineRule="exact"/>
        <w:rPr>
          <w:sz w:val="20"/>
          <w:szCs w:val="20"/>
          <w:color w:val="auto"/>
        </w:rPr>
      </w:pPr>
    </w:p>
    <w:p>
      <w:pPr>
        <w:ind w:left="1007" w:hanging="280"/>
        <w:spacing w:after="0"/>
        <w:tabs>
          <w:tab w:leader="none" w:pos="1007" w:val="left"/>
        </w:tabs>
        <w:numPr>
          <w:ilvl w:val="1"/>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summary of all reports contained in following [*] report section.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67" w:right="3720" w:hanging="364"/>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SEC. CONFIDENTIAL TREATMENT HAS BEEN REQUESTED WITH RESPECT TO THE OMITTED PORTIONS.</w:t>
      </w:r>
    </w:p>
    <w:p>
      <w:pPr>
        <w:sectPr>
          <w:pgSz w:w="11900" w:h="16838" w:orient="portrait"/>
          <w:cols w:equalWidth="0" w:num="1">
            <w:col w:w="10907"/>
          </w:cols>
          <w:pgMar w:left="233" w:top="643" w:right="7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Printed: 03/26/02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TBD.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12000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620" w:val="left"/>
          <w:tab w:leader="none" w:pos="880" w:val="left"/>
          <w:tab w:leader="none" w:pos="1260" w:val="left"/>
        </w:tabs>
        <w:rPr>
          <w:sz w:val="20"/>
          <w:szCs w:val="20"/>
          <w:color w:val="auto"/>
        </w:rPr>
      </w:pPr>
      <w:r>
        <w:rPr>
          <w:rFonts w:ascii="Courier New" w:cs="Courier New" w:eastAsia="Courier New" w:hAnsi="Courier New"/>
          <w:sz w:val="15"/>
          <w:szCs w:val="15"/>
          <w:color w:val="auto"/>
        </w:rPr>
        <w:t>Page:</w:t>
        <w:tab/>
        <w:t>7</w:t>
        <w:tab/>
        <w:t>of</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Rubiconqp.doc</w:t>
      </w:r>
    </w:p>
    <w:p>
      <w:pPr>
        <w:sectPr>
          <w:pgSz w:w="11900" w:h="16838" w:orient="portrait"/>
          <w:cols w:equalWidth="0" w:num="3">
            <w:col w:w="1827" w:space="260"/>
            <w:col w:w="3720" w:space="100"/>
            <w:col w:w="5000"/>
          </w:cols>
          <w:pgMar w:left="233" w:top="643" w:right="759" w:bottom="1440" w:gutter="0" w:footer="0" w:header="0"/>
          <w:type w:val="continuous"/>
        </w:sectPr>
      </w:pPr>
    </w:p>
    <w:bookmarkStart w:id="360" w:name="page361"/>
    <w:bookmarkEnd w:id="360"/>
    <w:p>
      <w:pPr>
        <w:ind w:left="2727"/>
        <w:spacing w:after="0"/>
        <w:rPr>
          <w:sz w:val="20"/>
          <w:szCs w:val="20"/>
          <w:color w:val="auto"/>
        </w:rPr>
      </w:pPr>
      <w:r>
        <w:rPr>
          <w:rFonts w:ascii="Courier New" w:cs="Courier New" w:eastAsia="Courier New" w:hAnsi="Courier New"/>
          <w:sz w:val="15"/>
          <w:szCs w:val="15"/>
          <w:color w:val="auto"/>
        </w:rPr>
        <w:t>** HP Confidential **</w:t>
      </w:r>
    </w:p>
    <w:p>
      <w:pPr>
        <w:spacing w:after="0" w:line="354"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 REPORTS</w:t>
      </w:r>
    </w:p>
    <w:p>
      <w:pPr>
        <w:spacing w:after="0" w:line="5" w:lineRule="exact"/>
        <w:rPr>
          <w:sz w:val="20"/>
          <w:szCs w:val="20"/>
          <w:color w:val="auto"/>
        </w:rPr>
      </w:pPr>
    </w:p>
    <w:p>
      <w:pPr>
        <w:ind w:left="1367" w:right="3219"/>
        <w:spacing w:after="0" w:line="247" w:lineRule="auto"/>
        <w:rPr>
          <w:sz w:val="20"/>
          <w:szCs w:val="20"/>
          <w:color w:val="auto"/>
        </w:rPr>
      </w:pPr>
      <w:r>
        <w:rPr>
          <w:rFonts w:ascii="Courier New" w:cs="Courier New" w:eastAsia="Courier New" w:hAnsi="Courier New"/>
          <w:sz w:val="15"/>
          <w:szCs w:val="15"/>
          <w:color w:val="auto"/>
        </w:rPr>
        <w:t>Supplier shall provide the following reports to HP-NSSO's Mass Storage OEM Engineers on a [*] basis:</w:t>
      </w:r>
    </w:p>
    <w:p>
      <w:pPr>
        <w:spacing w:after="0" w:line="17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367" w:right="2959"/>
        <w:spacing w:after="0" w:line="246" w:lineRule="auto"/>
        <w:rPr>
          <w:sz w:val="20"/>
          <w:szCs w:val="20"/>
          <w:color w:val="auto"/>
        </w:rPr>
      </w:pPr>
      <w:r>
        <w:rPr>
          <w:rFonts w:ascii="Courier New" w:cs="Courier New" w:eastAsia="Courier New" w:hAnsi="Courier New"/>
          <w:sz w:val="15"/>
          <w:szCs w:val="15"/>
          <w:color w:val="auto"/>
        </w:rPr>
        <w:t>The following is available upon request with reasonable advance notice: History Matrix/ECO log with the following information for example:</w:t>
      </w:r>
    </w:p>
    <w:p>
      <w:pPr>
        <w:spacing w:after="0" w:line="2"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Brocade ECO#</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Implementation Date</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Serial Number Range</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Part Number Revision</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Firmware Revision</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Hardware Revision</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Description of change</w:t>
      </w:r>
    </w:p>
    <w:p>
      <w:pPr>
        <w:spacing w:after="0" w:line="354"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OTHER REPORTS</w:t>
      </w:r>
    </w:p>
    <w:p>
      <w:pPr>
        <w:spacing w:after="0" w:line="5" w:lineRule="exact"/>
        <w:rPr>
          <w:sz w:val="20"/>
          <w:szCs w:val="20"/>
          <w:color w:val="auto"/>
        </w:rPr>
      </w:pPr>
    </w:p>
    <w:p>
      <w:pPr>
        <w:ind w:left="1367" w:right="3219"/>
        <w:spacing w:after="0" w:line="246" w:lineRule="auto"/>
        <w:rPr>
          <w:sz w:val="20"/>
          <w:szCs w:val="20"/>
          <w:color w:val="auto"/>
        </w:rPr>
      </w:pPr>
      <w:r>
        <w:rPr>
          <w:rFonts w:ascii="Courier New" w:cs="Courier New" w:eastAsia="Courier New" w:hAnsi="Courier New"/>
          <w:sz w:val="15"/>
          <w:szCs w:val="15"/>
          <w:color w:val="auto"/>
        </w:rPr>
        <w:t>Supplier shall provide the following additional information to the HP Fibre Channel OEM Engineer.</w:t>
      </w:r>
    </w:p>
    <w:p>
      <w:pPr>
        <w:spacing w:after="0" w:line="1" w:lineRule="exact"/>
        <w:rPr>
          <w:sz w:val="20"/>
          <w:szCs w:val="20"/>
          <w:color w:val="auto"/>
        </w:rPr>
      </w:pPr>
    </w:p>
    <w:p>
      <w:pPr>
        <w:ind w:left="1547" w:hanging="184"/>
        <w:spacing w:after="0"/>
        <w:tabs>
          <w:tab w:leader="none" w:pos="1547" w:val="left"/>
        </w:tabs>
        <w:numPr>
          <w:ilvl w:val="1"/>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Analysis (FA) Report upon completion.</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5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EXPECTATIONS</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 PRODUCT CHANGES REQUIRING HP APPROVAL</w:t>
      </w:r>
    </w:p>
    <w:p>
      <w:pPr>
        <w:spacing w:after="0" w:line="179" w:lineRule="exact"/>
        <w:rPr>
          <w:rFonts w:ascii="Courier New" w:cs="Courier New" w:eastAsia="Courier New" w:hAnsi="Courier New"/>
          <w:sz w:val="15"/>
          <w:szCs w:val="15"/>
          <w:color w:val="auto"/>
        </w:rPr>
      </w:pPr>
    </w:p>
    <w:p>
      <w:pPr>
        <w:ind w:left="72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evaluation period for changes is covered in the HP/Brocade Purchase Agreement. The intent is to allow HP sufficient time to review the proposed change and Supplier qualification data and to perform additional testing, if necessary. Supplier must notify HP within [*] of upcoming changes in order to assure a smooth implementation. Changes must be communicated in writing in the form of an Engineering Change Request (ECR) document and sent to the OEM Engineer. Changes that must be communicated in writing are:</w:t>
      </w:r>
    </w:p>
    <w:p>
      <w:pPr>
        <w:spacing w:after="0" w:line="5" w:lineRule="exact"/>
        <w:rPr>
          <w:sz w:val="20"/>
          <w:szCs w:val="20"/>
          <w:color w:val="auto"/>
        </w:rPr>
      </w:pPr>
    </w:p>
    <w:p>
      <w:pPr>
        <w:ind w:left="1627" w:hanging="354"/>
        <w:spacing w:after="0"/>
        <w:tabs>
          <w:tab w:leader="none" w:pos="1627"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fit or function</w:t>
      </w:r>
    </w:p>
    <w:p>
      <w:pPr>
        <w:spacing w:after="0" w:line="4" w:lineRule="exact"/>
        <w:rPr>
          <w:rFonts w:ascii="Courier New" w:cs="Courier New" w:eastAsia="Courier New" w:hAnsi="Courier New"/>
          <w:sz w:val="15"/>
          <w:szCs w:val="15"/>
          <w:color w:val="auto"/>
        </w:rPr>
      </w:pPr>
    </w:p>
    <w:p>
      <w:pPr>
        <w:ind w:left="1627" w:hanging="354"/>
        <w:spacing w:after="0"/>
        <w:tabs>
          <w:tab w:leader="none" w:pos="1627"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changes in sources of supply</w:t>
      </w:r>
    </w:p>
    <w:p>
      <w:pPr>
        <w:spacing w:after="0" w:line="4" w:lineRule="exact"/>
        <w:rPr>
          <w:rFonts w:ascii="Courier New" w:cs="Courier New" w:eastAsia="Courier New" w:hAnsi="Courier New"/>
          <w:sz w:val="15"/>
          <w:szCs w:val="15"/>
          <w:color w:val="auto"/>
        </w:rPr>
      </w:pPr>
    </w:p>
    <w:p>
      <w:pPr>
        <w:ind w:left="1627" w:right="36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-Power supply, printed circuit assemblies (PCA's), fan assembly, wire harnesses, and chassis</w:t>
      </w:r>
    </w:p>
    <w:p>
      <w:pPr>
        <w:spacing w:after="0" w:line="1" w:lineRule="exact"/>
        <w:rPr>
          <w:rFonts w:ascii="Courier New" w:cs="Courier New" w:eastAsia="Courier New" w:hAnsi="Courier New"/>
          <w:sz w:val="15"/>
          <w:szCs w:val="15"/>
          <w:color w:val="auto"/>
        </w:rPr>
      </w:pPr>
    </w:p>
    <w:p>
      <w:pPr>
        <w:ind w:left="1627" w:right="3039" w:hanging="354"/>
        <w:spacing w:after="0" w:line="247" w:lineRule="auto"/>
        <w:tabs>
          <w:tab w:leader="none" w:pos="1627" w:val="left"/>
        </w:tabs>
        <w:numPr>
          <w:ilvl w:val="0"/>
          <w:numId w:val="5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changes in code or hardware with potential impact on data interface including maintenance updates.</w:t>
      </w:r>
    </w:p>
    <w:p>
      <w:pPr>
        <w:spacing w:after="0" w:line="34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7.2 PROCESS CHANGES REQUIRING HP APPROVAL</w:t>
      </w:r>
    </w:p>
    <w:p>
      <w:pPr>
        <w:spacing w:after="0" w:line="180" w:lineRule="exact"/>
        <w:rPr>
          <w:sz w:val="20"/>
          <w:szCs w:val="20"/>
          <w:color w:val="auto"/>
        </w:rPr>
      </w:pPr>
    </w:p>
    <w:p>
      <w:pPr>
        <w:ind w:left="727" w:right="3039"/>
        <w:spacing w:after="0" w:line="246" w:lineRule="auto"/>
        <w:rPr>
          <w:sz w:val="20"/>
          <w:szCs w:val="20"/>
          <w:color w:val="auto"/>
        </w:rPr>
      </w:pPr>
      <w:r>
        <w:rPr>
          <w:rFonts w:ascii="Courier New" w:cs="Courier New" w:eastAsia="Courier New" w:hAnsi="Courier New"/>
          <w:sz w:val="15"/>
          <w:szCs w:val="15"/>
          <w:color w:val="auto"/>
        </w:rPr>
        <w:t>Supplier shall notify HP of any major changes to the manufacturing process in writing [*] prior to proposed implementation. These include:</w:t>
      </w:r>
    </w:p>
    <w:p>
      <w:pPr>
        <w:spacing w:after="0" w:line="1" w:lineRule="exact"/>
        <w:rPr>
          <w:sz w:val="20"/>
          <w:szCs w:val="20"/>
          <w:color w:val="auto"/>
        </w:rPr>
      </w:pPr>
    </w:p>
    <w:p>
      <w:pPr>
        <w:ind w:left="1627" w:right="3779" w:hanging="264"/>
        <w:spacing w:after="0" w:line="246" w:lineRule="auto"/>
        <w:tabs>
          <w:tab w:leader="none" w:pos="1627" w:val="left"/>
        </w:tabs>
        <w:numPr>
          <w:ilvl w:val="1"/>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manufacturing facility for Product of major sub-components.</w:t>
      </w:r>
    </w:p>
    <w:p>
      <w:pPr>
        <w:spacing w:after="0" w:line="1" w:lineRule="exact"/>
        <w:rPr>
          <w:rFonts w:ascii="Courier New" w:cs="Courier New" w:eastAsia="Courier New" w:hAnsi="Courier New"/>
          <w:sz w:val="15"/>
          <w:szCs w:val="15"/>
          <w:color w:val="auto"/>
        </w:rPr>
      </w:pPr>
    </w:p>
    <w:p>
      <w:pPr>
        <w:ind w:left="1627" w:hanging="264"/>
        <w:spacing w:after="0"/>
        <w:tabs>
          <w:tab w:leader="none" w:pos="1627" w:val="left"/>
        </w:tabs>
        <w:numPr>
          <w:ilvl w:val="1"/>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test times or sample sizes.</w:t>
      </w:r>
    </w:p>
    <w:p>
      <w:pPr>
        <w:spacing w:after="0" w:line="4" w:lineRule="exact"/>
        <w:rPr>
          <w:rFonts w:ascii="Courier New" w:cs="Courier New" w:eastAsia="Courier New" w:hAnsi="Courier New"/>
          <w:sz w:val="15"/>
          <w:szCs w:val="15"/>
          <w:color w:val="auto"/>
        </w:rPr>
      </w:pPr>
    </w:p>
    <w:p>
      <w:pPr>
        <w:ind w:left="1627" w:hanging="264"/>
        <w:spacing w:after="0"/>
        <w:tabs>
          <w:tab w:leader="none" w:pos="1627" w:val="left"/>
        </w:tabs>
        <w:numPr>
          <w:ilvl w:val="1"/>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Addition/deletion of tests, inspections, and/or screens</w:t>
      </w:r>
    </w:p>
    <w:p>
      <w:pPr>
        <w:spacing w:after="0" w:line="4" w:lineRule="exact"/>
        <w:rPr>
          <w:rFonts w:ascii="Courier New" w:cs="Courier New" w:eastAsia="Courier New" w:hAnsi="Courier New"/>
          <w:sz w:val="15"/>
          <w:szCs w:val="15"/>
          <w:color w:val="auto"/>
        </w:rPr>
      </w:pPr>
    </w:p>
    <w:p>
      <w:pPr>
        <w:ind w:left="1627" w:hanging="264"/>
        <w:spacing w:after="0"/>
        <w:tabs>
          <w:tab w:leader="none" w:pos="1627" w:val="left"/>
        </w:tabs>
        <w:numPr>
          <w:ilvl w:val="1"/>
          <w:numId w:val="5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 or deletion of automated process steps</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367" w:right="3039" w:hanging="364"/>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Printed: 03/26/02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TBD.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12000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620" w:val="left"/>
          <w:tab w:leader="none" w:pos="880" w:val="left"/>
          <w:tab w:leader="none" w:pos="1260" w:val="left"/>
        </w:tabs>
        <w:rPr>
          <w:sz w:val="20"/>
          <w:szCs w:val="20"/>
          <w:color w:val="auto"/>
        </w:rPr>
      </w:pPr>
      <w:r>
        <w:rPr>
          <w:rFonts w:ascii="Courier New" w:cs="Courier New" w:eastAsia="Courier New" w:hAnsi="Courier New"/>
          <w:sz w:val="15"/>
          <w:szCs w:val="15"/>
          <w:color w:val="auto"/>
        </w:rPr>
        <w:t>Page:</w:t>
        <w:tab/>
        <w:t>8</w:t>
        <w:tab/>
        <w:t>of</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Rubiconqp.doc</w:t>
      </w:r>
    </w:p>
    <w:p>
      <w:pPr>
        <w:sectPr>
          <w:pgSz w:w="11900" w:h="16838" w:orient="portrait"/>
          <w:cols w:equalWidth="0" w:num="3">
            <w:col w:w="1827" w:space="260"/>
            <w:col w:w="3720" w:space="100"/>
            <w:col w:w="4319"/>
          </w:cols>
          <w:pgMar w:left="233" w:top="643" w:right="1440" w:bottom="1440" w:gutter="0" w:footer="0" w:header="0"/>
          <w:type w:val="continuous"/>
        </w:sectPr>
      </w:pPr>
    </w:p>
    <w:bookmarkStart w:id="361" w:name="page362"/>
    <w:bookmarkEnd w:id="361"/>
    <w:p>
      <w:pPr>
        <w:ind w:left="2720"/>
        <w:spacing w:after="0"/>
        <w:rPr>
          <w:sz w:val="20"/>
          <w:szCs w:val="20"/>
          <w:color w:val="auto"/>
        </w:rPr>
      </w:pPr>
      <w:r>
        <w:rPr>
          <w:rFonts w:ascii="Courier New" w:cs="Courier New" w:eastAsia="Courier New" w:hAnsi="Courier New"/>
          <w:sz w:val="15"/>
          <w:szCs w:val="15"/>
          <w:color w:val="auto"/>
        </w:rPr>
        <w:t>** HP Confidential **</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7.3 SHIPMENT HOLD NOTIFICATION</w:t>
      </w:r>
    </w:p>
    <w:p>
      <w:pPr>
        <w:spacing w:after="0" w:line="180" w:lineRule="exact"/>
        <w:rPr>
          <w:sz w:val="20"/>
          <w:szCs w:val="20"/>
          <w:color w:val="auto"/>
        </w:rPr>
      </w:pPr>
    </w:p>
    <w:p>
      <w:pPr>
        <w:ind w:left="720" w:right="2959"/>
        <w:spacing w:after="0" w:line="246" w:lineRule="auto"/>
        <w:rPr>
          <w:sz w:val="20"/>
          <w:szCs w:val="20"/>
          <w:color w:val="auto"/>
        </w:rPr>
      </w:pPr>
      <w:r>
        <w:rPr>
          <w:rFonts w:ascii="Courier New" w:cs="Courier New" w:eastAsia="Courier New" w:hAnsi="Courier New"/>
          <w:sz w:val="15"/>
          <w:szCs w:val="15"/>
          <w:color w:val="auto"/>
        </w:rPr>
        <w:t>Supplier shall notify HP verbally of any line-down or ship hold situations that will adversely affect HP shipments or HP's installed base within [*] of such situation occurring. A written analysis of HP's inventory exposure and a recovery plan, if applicable, shall be provided within [*] of such situation occurring.</w:t>
      </w:r>
    </w:p>
    <w:p>
      <w:pPr>
        <w:spacing w:after="0" w:line="35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7.4 [*]</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Supplier will maintain a [*] with HP to address all open issues and will</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maintain a [*]</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5"/>
          <w:szCs w:val="15"/>
          <w:color w:val="auto"/>
        </w:rPr>
        <w:t>SUPPLIER QUALITY SYSTEM</w:t>
      </w:r>
    </w:p>
    <w:p>
      <w:pPr>
        <w:spacing w:after="0" w:line="180" w:lineRule="exact"/>
        <w:rPr>
          <w:sz w:val="20"/>
          <w:szCs w:val="20"/>
          <w:color w:val="auto"/>
        </w:rPr>
      </w:pPr>
    </w:p>
    <w:p>
      <w:pPr>
        <w:ind w:left="1440" w:right="3419" w:hanging="720"/>
        <w:spacing w:after="0" w:line="247" w:lineRule="auto"/>
        <w:tabs>
          <w:tab w:leader="none" w:pos="1440" w:val="left"/>
        </w:tabs>
        <w:numPr>
          <w:ilvl w:val="1"/>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is expected to have a quality system in place that meets the requirements of ISO 9000 as a minimum.</w:t>
      </w:r>
    </w:p>
    <w:p>
      <w:pPr>
        <w:spacing w:after="0" w:line="174" w:lineRule="exact"/>
        <w:rPr>
          <w:rFonts w:ascii="Courier New" w:cs="Courier New" w:eastAsia="Courier New" w:hAnsi="Courier New"/>
          <w:sz w:val="15"/>
          <w:szCs w:val="15"/>
          <w:color w:val="auto"/>
        </w:rPr>
      </w:pPr>
    </w:p>
    <w:p>
      <w:pPr>
        <w:ind w:left="1440" w:right="3679" w:hanging="720"/>
        <w:spacing w:after="0" w:line="247" w:lineRule="auto"/>
        <w:tabs>
          <w:tab w:leader="none" w:pos="1440" w:val="left"/>
        </w:tabs>
        <w:numPr>
          <w:ilvl w:val="1"/>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shall control every critical point in the manufacturing/test process and maintain documentation as evidence of such process controls (e.g. control charts).</w:t>
      </w:r>
    </w:p>
    <w:p>
      <w:pPr>
        <w:spacing w:after="0" w:line="174" w:lineRule="exact"/>
        <w:rPr>
          <w:rFonts w:ascii="Courier New" w:cs="Courier New" w:eastAsia="Courier New" w:hAnsi="Courier New"/>
          <w:sz w:val="15"/>
          <w:szCs w:val="15"/>
          <w:color w:val="auto"/>
        </w:rPr>
      </w:pPr>
    </w:p>
    <w:p>
      <w:pPr>
        <w:ind w:left="1440" w:right="2959" w:hanging="720"/>
        <w:spacing w:after="0" w:line="247" w:lineRule="auto"/>
        <w:tabs>
          <w:tab w:leader="none" w:pos="1440" w:val="left"/>
        </w:tabs>
        <w:numPr>
          <w:ilvl w:val="1"/>
          <w:numId w:val="5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shall provide details of its test process. The Supplier shall notify HP of any major changes to the test process.</w:t>
      </w:r>
    </w:p>
    <w:p>
      <w:pPr>
        <w:spacing w:after="0" w:line="200" w:lineRule="exact"/>
        <w:rPr>
          <w:rFonts w:ascii="Courier New" w:cs="Courier New" w:eastAsia="Courier New" w:hAnsi="Courier New"/>
          <w:sz w:val="15"/>
          <w:szCs w:val="15"/>
          <w:color w:val="auto"/>
        </w:rPr>
      </w:pPr>
    </w:p>
    <w:p>
      <w:pPr>
        <w:spacing w:after="0" w:line="324" w:lineRule="exact"/>
        <w:rPr>
          <w:rFonts w:ascii="Courier New" w:cs="Courier New" w:eastAsia="Courier New" w:hAnsi="Courier New"/>
          <w:sz w:val="15"/>
          <w:szCs w:val="15"/>
          <w:color w:val="auto"/>
        </w:rPr>
      </w:pPr>
    </w:p>
    <w:p>
      <w:pPr>
        <w:ind w:left="360" w:right="3039" w:hanging="364"/>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SEC. CONFIDENTIAL TREATMENT HAS BEEN REQUESTED WITH RESPECT TO THE OMITTED PORTIONS.</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Printed: 03/26/02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Drawing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TBD.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12000 SWITCH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 QUALITY/RELIABILITY REQUIREMENTS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620" w:val="left"/>
          <w:tab w:leader="none" w:pos="880" w:val="left"/>
          <w:tab w:leader="none" w:pos="1260" w:val="left"/>
        </w:tabs>
        <w:rPr>
          <w:sz w:val="20"/>
          <w:szCs w:val="20"/>
          <w:color w:val="auto"/>
        </w:rPr>
      </w:pPr>
      <w:r>
        <w:rPr>
          <w:rFonts w:ascii="Courier New" w:cs="Courier New" w:eastAsia="Courier New" w:hAnsi="Courier New"/>
          <w:sz w:val="15"/>
          <w:szCs w:val="15"/>
          <w:color w:val="auto"/>
        </w:rPr>
        <w:t>Page:</w:t>
        <w:tab/>
        <w:t>9</w:t>
        <w:tab/>
        <w:t>of</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Filename: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Rubiconqp.doc</w:t>
      </w:r>
    </w:p>
    <w:p>
      <w:pPr>
        <w:sectPr>
          <w:pgSz w:w="11900" w:h="16838" w:orient="portrait"/>
          <w:cols w:equalWidth="0" w:num="3">
            <w:col w:w="1820" w:space="260"/>
            <w:col w:w="3720" w:space="100"/>
            <w:col w:w="4319"/>
          </w:cols>
          <w:pgMar w:left="240" w:top="643" w:right="1440" w:bottom="1440" w:gutter="0" w:footer="0" w:header="0"/>
          <w:type w:val="continuous"/>
        </w:sectPr>
      </w:pPr>
    </w:p>
    <w:bookmarkStart w:id="362" w:name="page363"/>
    <w:bookmarkEnd w:id="362"/>
    <w:p>
      <w:pPr>
        <w:jc w:val="right"/>
        <w:ind w:right="2959"/>
        <w:spacing w:after="0"/>
        <w:rPr>
          <w:sz w:val="20"/>
          <w:szCs w:val="20"/>
          <w:color w:val="auto"/>
        </w:rPr>
      </w:pPr>
      <w:r>
        <w:rPr>
          <w:rFonts w:ascii="Courier New" w:cs="Courier New" w:eastAsia="Courier New" w:hAnsi="Courier New"/>
          <w:sz w:val="15"/>
          <w:szCs w:val="15"/>
          <w:color w:val="auto"/>
        </w:rPr>
        <w:t>EXHIBIT B</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727" w:hanging="727"/>
        <w:spacing w:after="0"/>
        <w:tabs>
          <w:tab w:leader="none" w:pos="727" w:val="left"/>
        </w:tabs>
        <w:numPr>
          <w:ilvl w:val="0"/>
          <w:numId w:val="5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727" w:right="2959" w:hanging="726"/>
        <w:spacing w:after="0" w:line="246" w:lineRule="auto"/>
        <w:tabs>
          <w:tab w:leader="none" w:pos="706"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This specification provides Hewlett-Packard Company's (HP's) general requirements for either restricting or prohibiting certain chemical compounds as constituents of parts, components, materials and products purchased by HP worldwide, or prohibiting the use of certain compounds in the manufacture of parts, components materials and products purchased by HP worldwide.</w:t>
      </w:r>
    </w:p>
    <w:p>
      <w:pPr>
        <w:spacing w:after="0" w:line="178" w:lineRule="exact"/>
        <w:rPr>
          <w:sz w:val="20"/>
          <w:szCs w:val="20"/>
          <w:color w:val="auto"/>
        </w:rPr>
      </w:pPr>
    </w:p>
    <w:p>
      <w:pPr>
        <w:ind w:left="727" w:right="2959" w:hanging="726"/>
        <w:spacing w:after="0" w:line="247" w:lineRule="auto"/>
        <w:tabs>
          <w:tab w:leader="none" w:pos="706"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This specification also provides HP's general requirements for recycling and disposal-marking and labeling of HP purchased parts, components, materials and products; in particular, for batteries.</w:t>
      </w:r>
    </w:p>
    <w:p>
      <w:pPr>
        <w:spacing w:after="0" w:line="174" w:lineRule="exact"/>
        <w:rPr>
          <w:sz w:val="20"/>
          <w:szCs w:val="20"/>
          <w:color w:val="auto"/>
        </w:rPr>
      </w:pPr>
    </w:p>
    <w:p>
      <w:pPr>
        <w:ind w:left="727" w:right="3039" w:hanging="726"/>
        <w:spacing w:after="0" w:line="246" w:lineRule="auto"/>
        <w:tabs>
          <w:tab w:leader="none" w:pos="706"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This specification is not intended to be a listing of all product content limitations or restrictions that may be established as a matter of law. Seller's compliance with this specification does not relieve or diminish Seller's obligation to comply with all applicable laws.</w:t>
      </w:r>
    </w:p>
    <w:p>
      <w:pPr>
        <w:spacing w:after="0" w:line="177" w:lineRule="exact"/>
        <w:rPr>
          <w:sz w:val="20"/>
          <w:szCs w:val="20"/>
          <w:color w:val="auto"/>
        </w:rPr>
      </w:pPr>
    </w:p>
    <w:p>
      <w:pPr>
        <w:jc w:val="both"/>
        <w:ind w:left="727" w:right="3139" w:hanging="726"/>
        <w:spacing w:after="0" w:line="247" w:lineRule="auto"/>
        <w:tabs>
          <w:tab w:leader="none" w:pos="706"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This specification is in addition to, and does not in any way limit or supersede, any other product specifications that may be established by HP.</w:t>
      </w:r>
    </w:p>
    <w:p>
      <w:pPr>
        <w:spacing w:after="0" w:line="174"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This specification contains the following sections:</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General</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5"/>
          <w:szCs w:val="15"/>
          <w:color w:val="auto"/>
        </w:rPr>
        <w:t>General Product Content Restrictions</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1.5.4</w:t>
      </w:r>
      <w:r>
        <w:rPr>
          <w:sz w:val="20"/>
          <w:szCs w:val="20"/>
          <w:color w:val="auto"/>
        </w:rPr>
        <w:tab/>
      </w:r>
      <w:r>
        <w:rPr>
          <w:rFonts w:ascii="Courier New" w:cs="Courier New" w:eastAsia="Courier New" w:hAnsi="Courier New"/>
          <w:sz w:val="15"/>
          <w:szCs w:val="15"/>
          <w:color w:val="auto"/>
        </w:rPr>
        <w:t>Battery Content Restrictions</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Packaging Materials Content Restrictions</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1.5.6</w:t>
      </w:r>
      <w:r>
        <w:rPr>
          <w:sz w:val="20"/>
          <w:szCs w:val="20"/>
          <w:color w:val="auto"/>
        </w:rPr>
        <w:tab/>
      </w:r>
      <w:r>
        <w:rPr>
          <w:rFonts w:ascii="Courier New" w:cs="Courier New" w:eastAsia="Courier New" w:hAnsi="Courier New"/>
          <w:sz w:val="15"/>
          <w:szCs w:val="15"/>
          <w:color w:val="auto"/>
        </w:rPr>
        <w:t>Product Labeling and Marking Requirements</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1.5.7</w:t>
      </w:r>
      <w:r>
        <w:rPr>
          <w:sz w:val="20"/>
          <w:szCs w:val="20"/>
          <w:color w:val="auto"/>
        </w:rPr>
        <w:tab/>
      </w:r>
      <w:r>
        <w:rPr>
          <w:rFonts w:ascii="Courier New" w:cs="Courier New" w:eastAsia="Courier New" w:hAnsi="Courier New"/>
          <w:sz w:val="15"/>
          <w:szCs w:val="15"/>
          <w:color w:val="auto"/>
        </w:rPr>
        <w:t>New Chemical Registration Requirements</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1.5.8</w:t>
      </w:r>
      <w:r>
        <w:rPr>
          <w:sz w:val="20"/>
          <w:szCs w:val="20"/>
          <w:color w:val="auto"/>
        </w:rPr>
        <w:tab/>
      </w:r>
      <w:r>
        <w:rPr>
          <w:rFonts w:ascii="Courier New" w:cs="Courier New" w:eastAsia="Courier New" w:hAnsi="Courier New"/>
          <w:sz w:val="15"/>
          <w:szCs w:val="15"/>
          <w:color w:val="auto"/>
        </w:rPr>
        <w:t>Tables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1.5.8.1 Ozone Depleting Substances Prohibited From Product Manufacturing Process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1.5.8.2 Ozone Depleting Substances Prohibited From Products</w:t>
      </w:r>
    </w:p>
    <w:p>
      <w:pPr>
        <w:spacing w:after="0" w:line="180" w:lineRule="exact"/>
        <w:rPr>
          <w:sz w:val="20"/>
          <w:szCs w:val="20"/>
          <w:color w:val="auto"/>
        </w:rPr>
      </w:pPr>
    </w:p>
    <w:p>
      <w:pPr>
        <w:ind w:left="727" w:right="2959" w:hanging="726"/>
        <w:spacing w:after="0" w:line="247" w:lineRule="auto"/>
        <w:rPr>
          <w:sz w:val="20"/>
          <w:szCs w:val="20"/>
          <w:color w:val="auto"/>
        </w:rPr>
      </w:pPr>
      <w:r>
        <w:rPr>
          <w:rFonts w:ascii="Courier New" w:cs="Courier New" w:eastAsia="Courier New" w:hAnsi="Courier New"/>
          <w:sz w:val="15"/>
          <w:szCs w:val="15"/>
          <w:color w:val="auto"/>
        </w:rPr>
        <w:t>1.5.8.3 Polybrominated Biphenyl/Polybrominated Biphenyl Ether/Polybrominated Diphenyl Oxide (PBB/PBDE/PBDO) Flame Retardants Prohibited from Products</w:t>
      </w:r>
    </w:p>
    <w:p>
      <w:pPr>
        <w:spacing w:after="0" w:line="175" w:lineRule="exact"/>
        <w:rPr>
          <w:sz w:val="20"/>
          <w:szCs w:val="20"/>
          <w:color w:val="auto"/>
        </w:rPr>
      </w:pPr>
    </w:p>
    <w:p>
      <w:pPr>
        <w:ind w:left="727" w:right="3779" w:hanging="726"/>
        <w:spacing w:after="0" w:line="247" w:lineRule="auto"/>
        <w:rPr>
          <w:sz w:val="20"/>
          <w:szCs w:val="20"/>
          <w:color w:val="auto"/>
        </w:rPr>
      </w:pPr>
      <w:r>
        <w:rPr>
          <w:rFonts w:ascii="Courier New" w:cs="Courier New" w:eastAsia="Courier New" w:hAnsi="Courier New"/>
          <w:sz w:val="15"/>
          <w:szCs w:val="15"/>
          <w:color w:val="auto"/>
        </w:rPr>
        <w:t>1.5.8.4 Labeling Requirements for Batteries, and Products and Packaging Containing Batteries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 09/29/99</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GENERAL</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Page 1</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of 8</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Changes since previous issue</w:t>
            </w:r>
          </w:p>
        </w:tc>
        <w:tc>
          <w:tcPr>
            <w:tcW w:w="2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SPECIFICATION FOR</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DWG. [*]</w:t>
            </w: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noted by approval: [*]</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ENVIRONMENT</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Rev. D</w:t>
            </w:r>
          </w:p>
        </w:tc>
        <w:tc>
          <w:tcPr>
            <w:tcW w:w="400" w:type="dxa"/>
            <w:vAlign w:val="bottom"/>
          </w:tcPr>
          <w:p>
            <w:pPr>
              <w:spacing w:after="0"/>
              <w:rPr>
                <w:sz w:val="15"/>
                <w:szCs w:val="15"/>
                <w:color w:val="auto"/>
              </w:rPr>
            </w:pPr>
          </w:p>
        </w:tc>
      </w:tr>
    </w:tbl>
    <w:p>
      <w:pPr>
        <w:spacing w:after="0" w:line="5" w:lineRule="exact"/>
        <w:rPr>
          <w:sz w:val="20"/>
          <w:szCs w:val="20"/>
          <w:color w:val="auto"/>
        </w:rPr>
      </w:pPr>
    </w:p>
    <w:p>
      <w:pPr>
        <w:ind w:left="187" w:hanging="187"/>
        <w:spacing w:after="0"/>
        <w:tabs>
          <w:tab w:leader="none" w:pos="187" w:val="left"/>
        </w:tabs>
        <w:numPr>
          <w:ilvl w:val="0"/>
          <w:numId w:val="5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8" w:lineRule="exact"/>
        <w:rPr>
          <w:rFonts w:ascii="Courier New" w:cs="Courier New" w:eastAsia="Courier New" w:hAnsi="Courier New"/>
          <w:sz w:val="15"/>
          <w:szCs w:val="15"/>
          <w:color w:val="auto"/>
        </w:rPr>
      </w:pPr>
    </w:p>
    <w:p>
      <w:pPr>
        <w:ind w:left="367" w:right="3499" w:hanging="273"/>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468" w:right="1440" w:bottom="1440" w:gutter="0" w:footer="0" w:header="0"/>
        </w:sectPr>
      </w:pPr>
    </w:p>
    <w:bookmarkStart w:id="363" w:name="page364"/>
    <w:bookmarkEnd w:id="363"/>
    <w:p>
      <w:pPr>
        <w:jc w:val="right"/>
        <w:ind w:right="2959"/>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727" w:hanging="727"/>
        <w:spacing w:after="0"/>
        <w:tabs>
          <w:tab w:leader="none" w:pos="727" w:val="left"/>
        </w:tabs>
        <w:numPr>
          <w:ilvl w:val="0"/>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27" w:right="3139" w:firstLine="727"/>
        <w:spacing w:after="0" w:line="246" w:lineRule="auto"/>
        <w:rPr>
          <w:sz w:val="20"/>
          <w:szCs w:val="20"/>
          <w:color w:val="auto"/>
        </w:rPr>
      </w:pPr>
      <w:r>
        <w:rPr>
          <w:rFonts w:ascii="Courier New" w:cs="Courier New" w:eastAsia="Courier New" w:hAnsi="Courier New"/>
          <w:sz w:val="15"/>
          <w:szCs w:val="15"/>
          <w:color w:val="auto"/>
        </w:rPr>
        <w:t>The purpose of this specification is to present HP's general product content requirements for HP purchased parts, components, materials and products that HP sells or that are incorporated into the products HP sells.</w:t>
      </w:r>
    </w:p>
    <w:p>
      <w:pPr>
        <w:spacing w:after="0" w:line="177" w:lineRule="exact"/>
        <w:rPr>
          <w:sz w:val="20"/>
          <w:szCs w:val="20"/>
          <w:color w:val="auto"/>
        </w:rPr>
      </w:pPr>
    </w:p>
    <w:p>
      <w:pPr>
        <w:ind w:left="727" w:hanging="727"/>
        <w:spacing w:after="0"/>
        <w:tabs>
          <w:tab w:leader="none" w:pos="727" w:val="left"/>
        </w:tabs>
        <w:numPr>
          <w:ilvl w:val="0"/>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PRODUCT CONTENT RESTRICTIONS</w:t>
      </w:r>
    </w:p>
    <w:p>
      <w:pPr>
        <w:spacing w:after="0" w:line="179" w:lineRule="exact"/>
        <w:rPr>
          <w:rFonts w:ascii="Courier New" w:cs="Courier New" w:eastAsia="Courier New" w:hAnsi="Courier New"/>
          <w:sz w:val="15"/>
          <w:szCs w:val="15"/>
          <w:color w:val="auto"/>
        </w:rPr>
      </w:pPr>
    </w:p>
    <w:p>
      <w:pPr>
        <w:ind w:left="72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content restrictions specified in this Section apply to the specified compound as a constituent of all parts, components, materials or products purchased by HP. For additional product content restrictions applicable to batteries only, see Section 4. For additional product content restrictions applicable to packaging materials only, see Section 5.</w:t>
      </w:r>
    </w:p>
    <w:p>
      <w:pPr>
        <w:spacing w:after="0" w:line="178"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Asbestos Restrictions</w:t>
      </w:r>
    </w:p>
    <w:p>
      <w:pPr>
        <w:spacing w:after="0" w:line="180" w:lineRule="exact"/>
        <w:rPr>
          <w:sz w:val="20"/>
          <w:szCs w:val="20"/>
          <w:color w:val="auto"/>
        </w:rPr>
      </w:pPr>
    </w:p>
    <w:p>
      <w:pPr>
        <w:ind w:left="727" w:right="3779"/>
        <w:spacing w:after="0" w:line="247" w:lineRule="auto"/>
        <w:rPr>
          <w:sz w:val="20"/>
          <w:szCs w:val="20"/>
          <w:color w:val="auto"/>
        </w:rPr>
      </w:pPr>
      <w:r>
        <w:rPr>
          <w:rFonts w:ascii="Courier New" w:cs="Courier New" w:eastAsia="Courier New" w:hAnsi="Courier New"/>
          <w:sz w:val="15"/>
          <w:szCs w:val="15"/>
          <w:color w:val="auto"/>
        </w:rPr>
        <w:t>Asbestos must not be present in parts, components, materials or products.</w:t>
      </w:r>
    </w:p>
    <w:p>
      <w:pPr>
        <w:spacing w:after="0" w:line="17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Cadmium Restrictions</w:t>
      </w:r>
    </w:p>
    <w:p>
      <w:pPr>
        <w:spacing w:after="0" w:line="180" w:lineRule="exact"/>
        <w:rPr>
          <w:sz w:val="20"/>
          <w:szCs w:val="20"/>
          <w:color w:val="auto"/>
        </w:rPr>
      </w:pPr>
    </w:p>
    <w:p>
      <w:pPr>
        <w:ind w:left="727" w:right="2959" w:hanging="726"/>
        <w:spacing w:after="0" w:line="247" w:lineRule="auto"/>
        <w:tabs>
          <w:tab w:leader="none" w:pos="706"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Cadmium must not be used as a stabilizer, coloring agent or as a surface coating treatment.</w:t>
      </w:r>
    </w:p>
    <w:p>
      <w:pPr>
        <w:spacing w:after="0" w:line="175" w:lineRule="exact"/>
        <w:rPr>
          <w:sz w:val="20"/>
          <w:szCs w:val="20"/>
          <w:color w:val="auto"/>
        </w:rPr>
      </w:pPr>
    </w:p>
    <w:p>
      <w:pPr>
        <w:jc w:val="both"/>
        <w:ind w:left="727" w:right="3219" w:hanging="726"/>
        <w:spacing w:after="0" w:line="247" w:lineRule="auto"/>
        <w:tabs>
          <w:tab w:leader="none" w:pos="706"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5"/>
          <w:szCs w:val="15"/>
          <w:color w:val="auto"/>
        </w:rPr>
        <w:t>The total concentration of cadmium in parts, components, materials or products must not exceed 50 parts per million (50 PPM) by weight (50 mg/kg). This cadmium restriction does not apply to batteries.</w:t>
      </w:r>
    </w:p>
    <w:p>
      <w:pPr>
        <w:spacing w:after="0" w:line="174"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3.2.3</w:t>
      </w:r>
      <w:r>
        <w:rPr>
          <w:sz w:val="20"/>
          <w:szCs w:val="20"/>
          <w:color w:val="auto"/>
        </w:rPr>
        <w:tab/>
      </w:r>
      <w:r>
        <w:rPr>
          <w:rFonts w:ascii="Courier New" w:cs="Courier New" w:eastAsia="Courier New" w:hAnsi="Courier New"/>
          <w:sz w:val="15"/>
          <w:szCs w:val="15"/>
          <w:color w:val="auto"/>
        </w:rPr>
        <w:t>Lead Restrictions in Paints</w:t>
      </w:r>
    </w:p>
    <w:p>
      <w:pPr>
        <w:spacing w:after="0" w:line="180" w:lineRule="exact"/>
        <w:rPr>
          <w:sz w:val="20"/>
          <w:szCs w:val="20"/>
          <w:color w:val="auto"/>
        </w:rPr>
      </w:pPr>
    </w:p>
    <w:p>
      <w:pPr>
        <w:ind w:left="727" w:right="3219"/>
        <w:spacing w:after="0" w:line="247" w:lineRule="auto"/>
        <w:rPr>
          <w:sz w:val="20"/>
          <w:szCs w:val="20"/>
          <w:color w:val="auto"/>
        </w:rPr>
      </w:pPr>
      <w:r>
        <w:rPr>
          <w:rFonts w:ascii="Courier New" w:cs="Courier New" w:eastAsia="Courier New" w:hAnsi="Courier New"/>
          <w:sz w:val="15"/>
          <w:szCs w:val="15"/>
          <w:color w:val="auto"/>
        </w:rPr>
        <w:t>Lead carbonates and sulfates must not be used in any paint applied to parts, components, or products.</w:t>
      </w:r>
    </w:p>
    <w:p>
      <w:pPr>
        <w:spacing w:after="0" w:line="17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3.2.4</w:t>
      </w:r>
      <w:r>
        <w:rPr>
          <w:sz w:val="20"/>
          <w:szCs w:val="20"/>
          <w:color w:val="auto"/>
        </w:rPr>
        <w:tab/>
      </w:r>
      <w:r>
        <w:rPr>
          <w:rFonts w:ascii="Courier New" w:cs="Courier New" w:eastAsia="Courier New" w:hAnsi="Courier New"/>
          <w:sz w:val="15"/>
          <w:szCs w:val="15"/>
          <w:color w:val="auto"/>
        </w:rPr>
        <w:t>Mercury Restrictions</w:t>
      </w:r>
    </w:p>
    <w:p>
      <w:pPr>
        <w:spacing w:after="0" w:line="180" w:lineRule="exact"/>
        <w:rPr>
          <w:sz w:val="20"/>
          <w:szCs w:val="20"/>
          <w:color w:val="auto"/>
        </w:rPr>
      </w:pPr>
    </w:p>
    <w:p>
      <w:pPr>
        <w:ind w:left="727" w:right="3319"/>
        <w:spacing w:after="0" w:line="246" w:lineRule="auto"/>
        <w:rPr>
          <w:sz w:val="20"/>
          <w:szCs w:val="20"/>
          <w:color w:val="auto"/>
        </w:rPr>
      </w:pPr>
      <w:r>
        <w:rPr>
          <w:rFonts w:ascii="Courier New" w:cs="Courier New" w:eastAsia="Courier New" w:hAnsi="Courier New"/>
          <w:sz w:val="15"/>
          <w:szCs w:val="15"/>
          <w:color w:val="auto"/>
        </w:rPr>
        <w:t>Mercury must not be contained in any part, material, component or product, including but not limited to switches, relays or electrical contacts. This mercury restriction does not apply to lamps with less than 10 mg of mercury.</w:t>
      </w:r>
    </w:p>
    <w:p>
      <w:pPr>
        <w:spacing w:after="0" w:line="177"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Ozone Depleting Substances (ODS) Restrictions</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3.3.1</w:t>
      </w:r>
      <w:r>
        <w:rPr>
          <w:sz w:val="20"/>
          <w:szCs w:val="20"/>
          <w:color w:val="auto"/>
        </w:rPr>
        <w:tab/>
      </w:r>
      <w:r>
        <w:rPr>
          <w:rFonts w:ascii="Courier New" w:cs="Courier New" w:eastAsia="Courier New" w:hAnsi="Courier New"/>
          <w:sz w:val="15"/>
          <w:szCs w:val="15"/>
          <w:color w:val="auto"/>
        </w:rPr>
        <w:t>ODS Use in Product Manufacturing Process.</w:t>
      </w:r>
    </w:p>
    <w:p>
      <w:pPr>
        <w:spacing w:after="0" w:line="180" w:lineRule="exact"/>
        <w:rPr>
          <w:sz w:val="20"/>
          <w:szCs w:val="20"/>
          <w:color w:val="auto"/>
        </w:rPr>
      </w:pPr>
    </w:p>
    <w:p>
      <w:pPr>
        <w:ind w:left="727" w:right="3139"/>
        <w:spacing w:after="0" w:line="247" w:lineRule="auto"/>
        <w:rPr>
          <w:sz w:val="20"/>
          <w:szCs w:val="20"/>
          <w:color w:val="auto"/>
        </w:rPr>
      </w:pPr>
      <w:r>
        <w:rPr>
          <w:rFonts w:ascii="Courier New" w:cs="Courier New" w:eastAsia="Courier New" w:hAnsi="Courier New"/>
          <w:sz w:val="15"/>
          <w:szCs w:val="15"/>
          <w:color w:val="auto"/>
        </w:rPr>
        <w:t>The ODS substances listed in Table 8.1 must not be used in the manufacturing process of any parts, components, materials or products.</w:t>
      </w:r>
    </w:p>
    <w:p>
      <w:pPr>
        <w:spacing w:after="0" w:line="17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3.3.1</w:t>
      </w:r>
      <w:r>
        <w:rPr>
          <w:sz w:val="20"/>
          <w:szCs w:val="20"/>
          <w:color w:val="auto"/>
        </w:rPr>
        <w:tab/>
      </w:r>
      <w:r>
        <w:rPr>
          <w:rFonts w:ascii="Courier New" w:cs="Courier New" w:eastAsia="Courier New" w:hAnsi="Courier New"/>
          <w:sz w:val="15"/>
          <w:szCs w:val="15"/>
          <w:color w:val="auto"/>
        </w:rPr>
        <w:t>ODS in Products Parts, Components, Materials and Products</w:t>
      </w:r>
    </w:p>
    <w:p>
      <w:pPr>
        <w:spacing w:after="0" w:line="180" w:lineRule="exact"/>
        <w:rPr>
          <w:sz w:val="20"/>
          <w:szCs w:val="20"/>
          <w:color w:val="auto"/>
        </w:rPr>
      </w:pPr>
    </w:p>
    <w:p>
      <w:pPr>
        <w:ind w:left="727" w:right="3419"/>
        <w:spacing w:after="0" w:line="247" w:lineRule="auto"/>
        <w:rPr>
          <w:sz w:val="20"/>
          <w:szCs w:val="20"/>
          <w:color w:val="auto"/>
        </w:rPr>
      </w:pPr>
      <w:r>
        <w:rPr>
          <w:rFonts w:ascii="Courier New" w:cs="Courier New" w:eastAsia="Courier New" w:hAnsi="Courier New"/>
          <w:sz w:val="15"/>
          <w:szCs w:val="15"/>
          <w:color w:val="auto"/>
        </w:rPr>
        <w:t>The ODS substances listed in Table 8.2 must not be contained in any parts, components, materials or products.</w:t>
      </w:r>
    </w:p>
    <w:p>
      <w:pPr>
        <w:spacing w:after="0" w:line="34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GENERAL</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Page 2 of 8</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Changes since previous issue</w:t>
            </w:r>
          </w:p>
        </w:tc>
        <w:tc>
          <w:tcPr>
            <w:tcW w:w="2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SPECIFICATION FOR</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DWG. [*]</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noted by approval: [*]</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ENVIRONMENT</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Rev. D</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87" w:right="2959" w:hanging="187"/>
        <w:spacing w:after="0" w:line="247" w:lineRule="auto"/>
        <w:tabs>
          <w:tab w:leader="none" w:pos="187" w:val="left"/>
        </w:tabs>
        <w:numPr>
          <w:ilvl w:val="0"/>
          <w:numId w:val="5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364" w:name="page365"/>
    <w:bookmarkEnd w:id="364"/>
    <w:p>
      <w:pPr>
        <w:jc w:val="right"/>
        <w:ind w:right="2959"/>
        <w:spacing w:after="0"/>
        <w:rPr>
          <w:sz w:val="20"/>
          <w:szCs w:val="20"/>
          <w:color w:val="auto"/>
        </w:rPr>
      </w:pPr>
      <w:r>
        <w:rPr>
          <w:rFonts w:ascii="Courier New" w:cs="Courier New" w:eastAsia="Courier New" w:hAnsi="Courier New"/>
          <w:sz w:val="15"/>
          <w:szCs w:val="15"/>
          <w:color w:val="auto"/>
        </w:rPr>
        <w:t>SPECIFICATION CONTROL DRAWING</w:t>
      </w:r>
    </w:p>
    <w:p>
      <w:pPr>
        <w:spacing w:after="0" w:line="354" w:lineRule="exact"/>
        <w:rPr>
          <w:sz w:val="20"/>
          <w:szCs w:val="20"/>
          <w:color w:val="auto"/>
        </w:rPr>
      </w:pPr>
    </w:p>
    <w:p>
      <w:pPr>
        <w:ind w:left="727" w:right="3499" w:hanging="726"/>
        <w:spacing w:after="0" w:line="247" w:lineRule="auto"/>
        <w:tabs>
          <w:tab w:leader="none" w:pos="70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Polybrominated Biphenyls (PBBs) and Polybrominated Biphenyl Ethers (PBBEs)/ Polybrominated Biphenyl Oxides (PBBOs) Restrictions</w:t>
      </w:r>
    </w:p>
    <w:p>
      <w:pPr>
        <w:spacing w:after="0" w:line="175" w:lineRule="exact"/>
        <w:rPr>
          <w:sz w:val="20"/>
          <w:szCs w:val="20"/>
          <w:color w:val="auto"/>
        </w:rPr>
      </w:pPr>
    </w:p>
    <w:p>
      <w:pPr>
        <w:ind w:left="727" w:right="3139"/>
        <w:spacing w:after="0" w:line="246" w:lineRule="auto"/>
        <w:rPr>
          <w:sz w:val="20"/>
          <w:szCs w:val="20"/>
          <w:color w:val="auto"/>
        </w:rPr>
      </w:pPr>
      <w:r>
        <w:rPr>
          <w:rFonts w:ascii="Courier New" w:cs="Courier New" w:eastAsia="Courier New" w:hAnsi="Courier New"/>
          <w:sz w:val="15"/>
          <w:szCs w:val="15"/>
          <w:color w:val="auto"/>
        </w:rPr>
        <w:t>Plastic parts, components, materials and products must not contain polybrominated biphenyls or polybrominated biphenyl ethers, also known as polybrominated biphenyl oxides, flame retardants. Specific PPBs and PBBEs, include but are not limited to, those listed in Table 8.3.</w:t>
      </w:r>
    </w:p>
    <w:p>
      <w:pPr>
        <w:spacing w:after="0" w:line="177"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Polychlorinated Biphenyl (PCB) and Polychlorinated Terphenyls (PCT)</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Restrictions</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Polychlorinated biphenyls (PCB) and polychlorinated terphenyls (PCT)</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must not be present in parts, components, materials, or products.</w:t>
      </w:r>
    </w:p>
    <w:p>
      <w:pPr>
        <w:spacing w:after="0" w:line="180" w:lineRule="exact"/>
        <w:rPr>
          <w:sz w:val="20"/>
          <w:szCs w:val="20"/>
          <w:color w:val="auto"/>
        </w:rPr>
      </w:pPr>
    </w:p>
    <w:p>
      <w:pPr>
        <w:ind w:left="727" w:hanging="727"/>
        <w:spacing w:after="0"/>
        <w:tabs>
          <w:tab w:leader="none" w:pos="727" w:val="left"/>
        </w:tabs>
        <w:numPr>
          <w:ilvl w:val="0"/>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BATTERY CONTENT RESTRICTIONS</w:t>
      </w:r>
    </w:p>
    <w:p>
      <w:pPr>
        <w:spacing w:after="0" w:line="179" w:lineRule="exact"/>
        <w:rPr>
          <w:rFonts w:ascii="Courier New" w:cs="Courier New" w:eastAsia="Courier New" w:hAnsi="Courier New"/>
          <w:sz w:val="15"/>
          <w:szCs w:val="15"/>
          <w:color w:val="auto"/>
        </w:rPr>
      </w:pPr>
    </w:p>
    <w:p>
      <w:pPr>
        <w:ind w:left="72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content restrictions specified in this Section apply to all batteries purchased by HP, and to all batteries contained in any parts, components or products purchased by Hewlett-Packard.</w:t>
      </w:r>
    </w:p>
    <w:p>
      <w:pPr>
        <w:spacing w:after="0" w:line="174"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Mercury Restrictions</w:t>
      </w:r>
    </w:p>
    <w:p>
      <w:pPr>
        <w:spacing w:after="0" w:line="180"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Batteries must not contain mercury exceeding 5 part per million (5 PPM)</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by weight (5 mg/kg).</w:t>
      </w:r>
    </w:p>
    <w:p>
      <w:pPr>
        <w:spacing w:after="0" w:line="180" w:lineRule="exact"/>
        <w:rPr>
          <w:sz w:val="20"/>
          <w:szCs w:val="20"/>
          <w:color w:val="auto"/>
        </w:rPr>
      </w:pPr>
    </w:p>
    <w:p>
      <w:pPr>
        <w:ind w:left="727" w:right="3859" w:hanging="726"/>
        <w:spacing w:after="0" w:line="247" w:lineRule="auto"/>
        <w:tabs>
          <w:tab w:leader="none" w:pos="706"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Products, parts and components must not contain mercuric oxide batteries.</w:t>
      </w:r>
    </w:p>
    <w:p>
      <w:pPr>
        <w:spacing w:after="0" w:line="17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Cadmium Restrictions</w:t>
      </w:r>
    </w:p>
    <w:p>
      <w:pPr>
        <w:spacing w:after="0" w:line="180" w:lineRule="exact"/>
        <w:rPr>
          <w:sz w:val="20"/>
          <w:szCs w:val="20"/>
          <w:color w:val="auto"/>
        </w:rPr>
      </w:pPr>
    </w:p>
    <w:p>
      <w:pPr>
        <w:ind w:left="727" w:right="3499"/>
        <w:spacing w:after="0" w:line="247" w:lineRule="auto"/>
        <w:rPr>
          <w:sz w:val="20"/>
          <w:szCs w:val="20"/>
          <w:color w:val="auto"/>
        </w:rPr>
      </w:pPr>
      <w:r>
        <w:rPr>
          <w:rFonts w:ascii="Courier New" w:cs="Courier New" w:eastAsia="Courier New" w:hAnsi="Courier New"/>
          <w:sz w:val="15"/>
          <w:szCs w:val="15"/>
          <w:color w:val="auto"/>
        </w:rPr>
        <w:t>The total cadmium content of alkaline-manganese batteries must not exceed 10 parts per million (10 PPM) by weight (10 mg/kg).</w:t>
      </w:r>
    </w:p>
    <w:p>
      <w:pPr>
        <w:spacing w:after="0" w:line="175" w:lineRule="exact"/>
        <w:rPr>
          <w:sz w:val="20"/>
          <w:szCs w:val="20"/>
          <w:color w:val="auto"/>
        </w:rPr>
      </w:pPr>
    </w:p>
    <w:p>
      <w:pPr>
        <w:ind w:left="727" w:hanging="727"/>
        <w:spacing w:after="0"/>
        <w:tabs>
          <w:tab w:leader="none" w:pos="727" w:val="left"/>
        </w:tabs>
        <w:numPr>
          <w:ilvl w:val="0"/>
          <w:numId w:val="6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MATERIALS CONTENT RESTRICTIONS</w:t>
      </w:r>
    </w:p>
    <w:p>
      <w:pPr>
        <w:spacing w:after="0" w:line="179" w:lineRule="exact"/>
        <w:rPr>
          <w:rFonts w:ascii="Courier New" w:cs="Courier New" w:eastAsia="Courier New" w:hAnsi="Courier New"/>
          <w:sz w:val="15"/>
          <w:szCs w:val="15"/>
          <w:color w:val="auto"/>
        </w:rPr>
      </w:pPr>
    </w:p>
    <w:p>
      <w:pPr>
        <w:ind w:left="72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content restrictions specified in this section apply to all packaging materials purchased by HP and used to package HP products that are incorporated in the products HP sells.</w:t>
      </w:r>
    </w:p>
    <w:p>
      <w:pPr>
        <w:spacing w:after="0" w:line="174"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ODS Restrictions in Packaging Materials</w:t>
      </w:r>
    </w:p>
    <w:p>
      <w:pPr>
        <w:spacing w:after="0" w:line="180" w:lineRule="exact"/>
        <w:rPr>
          <w:sz w:val="20"/>
          <w:szCs w:val="20"/>
          <w:color w:val="auto"/>
        </w:rPr>
      </w:pPr>
    </w:p>
    <w:p>
      <w:pPr>
        <w:ind w:left="727" w:right="3039"/>
        <w:spacing w:after="0" w:line="247" w:lineRule="auto"/>
        <w:rPr>
          <w:sz w:val="20"/>
          <w:szCs w:val="20"/>
          <w:color w:val="auto"/>
        </w:rPr>
      </w:pPr>
      <w:r>
        <w:rPr>
          <w:rFonts w:ascii="Courier New" w:cs="Courier New" w:eastAsia="Courier New" w:hAnsi="Courier New"/>
          <w:sz w:val="15"/>
          <w:szCs w:val="15"/>
          <w:color w:val="auto"/>
        </w:rPr>
        <w:t>CFCs and HCFCs listed in Tables 8.1 and 8.2 must not be used in plastic foam packaging materials, for example, as foaming agents.</w:t>
      </w:r>
    </w:p>
    <w:p>
      <w:pPr>
        <w:spacing w:after="0" w:line="175"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Heavy Metals Restrictions in Packaging Materials.</w:t>
      </w:r>
    </w:p>
    <w:p>
      <w:pPr>
        <w:spacing w:after="0" w:line="180" w:lineRule="exact"/>
        <w:rPr>
          <w:sz w:val="20"/>
          <w:szCs w:val="20"/>
          <w:color w:val="auto"/>
        </w:rPr>
      </w:pPr>
    </w:p>
    <w:p>
      <w:pPr>
        <w:ind w:left="727" w:right="3039"/>
        <w:spacing w:after="0" w:line="246" w:lineRule="auto"/>
        <w:rPr>
          <w:sz w:val="20"/>
          <w:szCs w:val="20"/>
          <w:color w:val="auto"/>
        </w:rPr>
      </w:pPr>
      <w:r>
        <w:rPr>
          <w:rFonts w:ascii="Courier New" w:cs="Courier New" w:eastAsia="Courier New" w:hAnsi="Courier New"/>
          <w:sz w:val="15"/>
          <w:szCs w:val="15"/>
          <w:color w:val="auto"/>
        </w:rPr>
        <w:t>Packaging materials must not contain any amount of lead, mercury, cadmium, or hexavalent chromium as an intentionally added element. The sum concentration of incidental lead, mercury, cadmium, and hexavalent chromium must not exceed 100 parts per million, 100 PPM, by weight (100 mg/kg).</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GENERAL</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Page 3 of 8</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Changes since previous issue</w:t>
            </w:r>
          </w:p>
        </w:tc>
        <w:tc>
          <w:tcPr>
            <w:tcW w:w="2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SPECIFICATION FOR</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DWG. [*]</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noted by approval: [*]</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ENVIRONMENT</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Rev. D</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87" w:right="2959" w:hanging="187"/>
        <w:spacing w:after="0" w:line="247" w:lineRule="auto"/>
        <w:tabs>
          <w:tab w:leader="none" w:pos="187"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365" w:name="page366"/>
    <w:bookmarkEnd w:id="365"/>
    <w:p>
      <w:pPr>
        <w:jc w:val="right"/>
        <w:ind w:right="2959"/>
        <w:spacing w:after="0"/>
        <w:rPr>
          <w:sz w:val="20"/>
          <w:szCs w:val="20"/>
          <w:color w:val="auto"/>
        </w:rPr>
      </w:pPr>
      <w:r>
        <w:rPr>
          <w:rFonts w:ascii="Courier New" w:cs="Courier New" w:eastAsia="Courier New" w:hAnsi="Courier New"/>
          <w:sz w:val="15"/>
          <w:szCs w:val="15"/>
          <w:color w:val="auto"/>
        </w:rPr>
        <w:t>SPECIFICATION CONTROL DRAWING</w:t>
      </w:r>
    </w:p>
    <w:p>
      <w:pPr>
        <w:spacing w:after="0" w:line="354" w:lineRule="exact"/>
        <w:rPr>
          <w:sz w:val="20"/>
          <w:szCs w:val="20"/>
          <w:color w:val="auto"/>
        </w:rPr>
      </w:pPr>
    </w:p>
    <w:p>
      <w:pPr>
        <w:ind w:left="727" w:right="5779" w:hanging="727"/>
        <w:spacing w:after="0" w:line="493" w:lineRule="auto"/>
        <w:tabs>
          <w:tab w:leader="none" w:pos="727" w:val="left"/>
        </w:tabs>
        <w:numPr>
          <w:ilvl w:val="0"/>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LABELING AND MARKING REQUIREMENTS 6.1 Battery Labeling Requirements</w:t>
      </w:r>
    </w:p>
    <w:p>
      <w:pPr>
        <w:spacing w:after="0" w:line="1" w:lineRule="exact"/>
        <w:rPr>
          <w:sz w:val="20"/>
          <w:szCs w:val="20"/>
          <w:color w:val="auto"/>
        </w:rPr>
      </w:pPr>
    </w:p>
    <w:p>
      <w:pPr>
        <w:ind w:left="727" w:right="3039" w:firstLine="727"/>
        <w:spacing w:after="0" w:line="247" w:lineRule="auto"/>
        <w:rPr>
          <w:sz w:val="20"/>
          <w:szCs w:val="20"/>
          <w:color w:val="auto"/>
        </w:rPr>
      </w:pPr>
      <w:r>
        <w:rPr>
          <w:rFonts w:ascii="Courier New" w:cs="Courier New" w:eastAsia="Courier New" w:hAnsi="Courier New"/>
          <w:sz w:val="15"/>
          <w:szCs w:val="15"/>
          <w:color w:val="auto"/>
        </w:rPr>
        <w:t>Batteries, rechargeable consumer products with not easily removable battery, and their packaging must be labeled according to the requirements specified in Table 8.4.</w:t>
      </w:r>
    </w:p>
    <w:p>
      <w:pPr>
        <w:spacing w:after="0" w:line="174" w:lineRule="exact"/>
        <w:rPr>
          <w:sz w:val="20"/>
          <w:szCs w:val="20"/>
          <w:color w:val="auto"/>
        </w:rPr>
      </w:pPr>
    </w:p>
    <w:p>
      <w:pPr>
        <w:ind w:left="727" w:hanging="727"/>
        <w:spacing w:after="0"/>
        <w:tabs>
          <w:tab w:leader="none" w:pos="727"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CHEMICAL REGISTRATION REQUIREMENTS</w:t>
      </w:r>
    </w:p>
    <w:p>
      <w:pPr>
        <w:spacing w:after="0" w:line="179" w:lineRule="exact"/>
        <w:rPr>
          <w:rFonts w:ascii="Courier New" w:cs="Courier New" w:eastAsia="Courier New" w:hAnsi="Courier New"/>
          <w:sz w:val="15"/>
          <w:szCs w:val="15"/>
          <w:color w:val="auto"/>
        </w:rPr>
      </w:pPr>
    </w:p>
    <w:p>
      <w:pPr>
        <w:ind w:left="72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chemical substance contained in parts, components, materials and products sold to HP must comply with chemical registration and premanufacture notification requirements in those countries which have enacted such requirements (including but not limited to. Australia, Canada, China, Japan, South Korea, Switzerland, the United States, and the countries of the European Union). This is in order to permit import and sale of the parts, components, materials and products sold to HP in all of these countries.</w:t>
      </w:r>
    </w:p>
    <w:p>
      <w:pPr>
        <w:spacing w:after="0" w:line="179" w:lineRule="exact"/>
        <w:rPr>
          <w:rFonts w:ascii="Courier New" w:cs="Courier New" w:eastAsia="Courier New" w:hAnsi="Courier New"/>
          <w:sz w:val="15"/>
          <w:szCs w:val="15"/>
          <w:color w:val="auto"/>
        </w:rPr>
      </w:pPr>
    </w:p>
    <w:p>
      <w:pPr>
        <w:ind w:left="727" w:hanging="727"/>
        <w:spacing w:after="0"/>
        <w:tabs>
          <w:tab w:leader="none" w:pos="727"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TABLES</w:t>
      </w:r>
    </w:p>
    <w:p>
      <w:pPr>
        <w:spacing w:after="0" w:line="180" w:lineRule="exact"/>
        <w:rPr>
          <w:sz w:val="20"/>
          <w:szCs w:val="20"/>
          <w:color w:val="auto"/>
        </w:rPr>
      </w:pPr>
    </w:p>
    <w:p>
      <w:pPr>
        <w:ind w:left="1267" w:right="3139" w:hanging="1271"/>
        <w:spacing w:after="0" w:line="247" w:lineRule="auto"/>
        <w:tabs>
          <w:tab w:leader="none" w:pos="1246" w:val="left"/>
        </w:tabs>
        <w:rPr>
          <w:sz w:val="20"/>
          <w:szCs w:val="20"/>
          <w:color w:val="auto"/>
        </w:rPr>
      </w:pPr>
      <w:r>
        <w:rPr>
          <w:rFonts w:ascii="Courier New" w:cs="Courier New" w:eastAsia="Courier New" w:hAnsi="Courier New"/>
          <w:sz w:val="15"/>
          <w:szCs w:val="15"/>
          <w:color w:val="auto"/>
        </w:rPr>
        <w:t>Table 8.1 -</w:t>
        <w:tab/>
        <w:t>Ozone Depleting Substances Prohibited From Product Manufacturing Process</w:t>
      </w:r>
    </w:p>
    <w:p>
      <w:pPr>
        <w:sectPr>
          <w:pgSz w:w="11900" w:h="16838" w:orient="portrait"/>
          <w:cols w:equalWidth="0" w:num="1">
            <w:col w:w="10226"/>
          </w:cols>
          <w:pgMar w:left="233" w:top="817"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CHLOROFLUOROCARBONS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HALONS</w:t>
      </w:r>
    </w:p>
    <w:p>
      <w:pPr>
        <w:spacing w:after="0" w:line="180" w:lineRule="exact"/>
        <w:rPr>
          <w:sz w:val="20"/>
          <w:szCs w:val="20"/>
          <w:color w:val="auto"/>
        </w:rPr>
      </w:pPr>
    </w:p>
    <w:p>
      <w:pPr>
        <w:sectPr>
          <w:pgSz w:w="11900" w:h="16838" w:orient="portrait"/>
          <w:cols w:equalWidth="0" w:num="2">
            <w:col w:w="3367" w:space="720"/>
            <w:col w:w="6139"/>
          </w:cols>
          <w:pgMar w:left="233" w:top="817" w:right="1440" w:bottom="1440" w:gutter="0" w:footer="0" w:header="0"/>
          <w:type w:val="continuous"/>
        </w:sectPr>
      </w:pPr>
    </w:p>
    <w:p>
      <w:pPr>
        <w:ind w:left="18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isomers of the above substances</w:t>
      </w:r>
    </w:p>
    <w:p>
      <w:pPr>
        <w:spacing w:after="0" w:line="180" w:lineRule="exact"/>
        <w:rPr>
          <w:sz w:val="20"/>
          <w:szCs w:val="20"/>
          <w:color w:val="auto"/>
        </w:rPr>
      </w:pPr>
    </w:p>
    <w:p>
      <w:pPr>
        <w:sectPr>
          <w:pgSz w:w="11900" w:h="16838" w:orient="portrait"/>
          <w:cols w:equalWidth="0" w:num="2">
            <w:col w:w="3367" w:space="720"/>
            <w:col w:w="6139"/>
          </w:cols>
          <w:pgMar w:left="233" w:top="817" w:right="1440" w:bottom="1440" w:gutter="0" w:footer="0" w:header="0"/>
          <w:type w:val="continuous"/>
        </w:sectPr>
      </w:pPr>
    </w:p>
    <w:p>
      <w:pPr>
        <w:ind w:left="4087"/>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817" w:right="1440" w:bottom="1440" w:gutter="0" w:footer="0" w:header="0"/>
          <w:type w:val="continuous"/>
        </w:sectPr>
      </w:pP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All isomers of the above substances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GENERAL</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Page 4 of 8</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Changes since previous issue</w:t>
            </w:r>
          </w:p>
        </w:tc>
        <w:tc>
          <w:tcPr>
            <w:tcW w:w="2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SPECIFICATION FOR</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DWG. No. [*]</w:t>
            </w:r>
          </w:p>
        </w:tc>
      </w:tr>
      <w:tr>
        <w:trPr>
          <w:trHeight w:val="17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noted by approval: [*]</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ENVIRONMENT</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Rev. D</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6"/>
          </w:cols>
          <w:pgMar w:left="233" w:top="817" w:right="1440" w:bottom="1440" w:gutter="0" w:footer="0" w:header="0"/>
          <w:type w:val="continuous"/>
        </w:sectPr>
      </w:pPr>
    </w:p>
    <w:bookmarkStart w:id="366" w:name="page367"/>
    <w:bookmarkEnd w:id="366"/>
    <w:p>
      <w:pPr>
        <w:jc w:val="right"/>
        <w:ind w:right="2959"/>
        <w:spacing w:after="0"/>
        <w:rPr>
          <w:sz w:val="20"/>
          <w:szCs w:val="20"/>
          <w:color w:val="auto"/>
        </w:rPr>
      </w:pPr>
      <w:r>
        <w:rPr>
          <w:rFonts w:ascii="Courier New" w:cs="Courier New" w:eastAsia="Courier New" w:hAnsi="Courier New"/>
          <w:sz w:val="15"/>
          <w:szCs w:val="15"/>
          <w:color w:val="auto"/>
        </w:rPr>
        <w:t>SPECIFICATION CONTROL DRAWING</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Table 8.2 - Ozone Depleting Substances Prohibited From Products</w:t>
      </w:r>
    </w:p>
    <w:p>
      <w:pPr>
        <w:spacing w:after="0" w:line="200" w:lineRule="exact"/>
        <w:rPr>
          <w:sz w:val="20"/>
          <w:szCs w:val="20"/>
          <w:color w:val="auto"/>
        </w:rPr>
      </w:pPr>
    </w:p>
    <w:p>
      <w:pPr>
        <w:spacing w:after="0" w:line="329" w:lineRule="exact"/>
        <w:rPr>
          <w:sz w:val="20"/>
          <w:szCs w:val="20"/>
          <w:color w:val="auto"/>
        </w:rPr>
      </w:pPr>
    </w:p>
    <w:p>
      <w:pPr>
        <w:ind w:left="7"/>
        <w:spacing w:after="0"/>
        <w:tabs>
          <w:tab w:leader="none" w:pos="986" w:val="left"/>
        </w:tabs>
        <w:rPr>
          <w:sz w:val="20"/>
          <w:szCs w:val="20"/>
          <w:color w:val="auto"/>
        </w:rPr>
      </w:pPr>
      <w:r>
        <w:rPr>
          <w:rFonts w:ascii="Courier New" w:cs="Courier New" w:eastAsia="Courier New" w:hAnsi="Courier New"/>
          <w:sz w:val="15"/>
          <w:szCs w:val="15"/>
          <w:color w:val="auto"/>
        </w:rPr>
        <w:t>Group I</w:t>
      </w:r>
      <w:r>
        <w:rPr>
          <w:sz w:val="20"/>
          <w:szCs w:val="20"/>
          <w:color w:val="auto"/>
        </w:rPr>
        <w:tab/>
      </w:r>
      <w:r>
        <w:rPr>
          <w:rFonts w:ascii="Courier New" w:cs="Courier New" w:eastAsia="Courier New" w:hAnsi="Courier New"/>
          <w:sz w:val="15"/>
          <w:szCs w:val="15"/>
          <w:color w:val="auto"/>
        </w:rPr>
        <w:t>Chlorofluorocarbons, CFCs (includes isomers of listed substances)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88"/>
              </w:rPr>
              <w:t>[*]</w:t>
            </w:r>
          </w:p>
        </w:tc>
        <w:tc>
          <w:tcPr>
            <w:tcW w:w="236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88"/>
              </w:rPr>
              <w:t>[*]</w:t>
            </w:r>
          </w:p>
        </w:tc>
        <w:tc>
          <w:tcPr>
            <w:tcW w:w="236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88"/>
              </w:rPr>
              <w:t>[*]</w:t>
            </w:r>
          </w:p>
        </w:tc>
        <w:tc>
          <w:tcPr>
            <w:tcW w:w="236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tabs>
          <w:tab w:leader="none" w:pos="986" w:val="left"/>
        </w:tabs>
        <w:rPr>
          <w:sz w:val="20"/>
          <w:szCs w:val="20"/>
          <w:color w:val="auto"/>
        </w:rPr>
      </w:pPr>
      <w:r>
        <w:rPr>
          <w:rFonts w:ascii="Courier New" w:cs="Courier New" w:eastAsia="Courier New" w:hAnsi="Courier New"/>
          <w:sz w:val="15"/>
          <w:szCs w:val="15"/>
          <w:color w:val="auto"/>
        </w:rPr>
        <w:t>Group II</w:t>
      </w:r>
      <w:r>
        <w:rPr>
          <w:sz w:val="20"/>
          <w:szCs w:val="20"/>
          <w:color w:val="auto"/>
        </w:rPr>
        <w:tab/>
      </w:r>
      <w:r>
        <w:rPr>
          <w:rFonts w:ascii="Courier New" w:cs="Courier New" w:eastAsia="Courier New" w:hAnsi="Courier New"/>
          <w:sz w:val="15"/>
          <w:szCs w:val="15"/>
          <w:color w:val="auto"/>
        </w:rPr>
        <w:t>Other Fully Halogenated CFCs (includes isomers of listed substances)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Group III</w:t>
            </w:r>
          </w:p>
        </w:tc>
        <w:tc>
          <w:tcPr>
            <w:tcW w:w="46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Halons (includes isomers of listed substances)</w:t>
            </w:r>
          </w:p>
        </w:tc>
        <w:tc>
          <w:tcPr>
            <w:tcW w:w="680" w:type="dxa"/>
            <w:vAlign w:val="bottom"/>
          </w:tcPr>
          <w:p>
            <w:pPr>
              <w:spacing w:after="0"/>
              <w:rPr>
                <w:sz w:val="24"/>
                <w:szCs w:val="24"/>
                <w:color w:val="auto"/>
              </w:rPr>
            </w:pP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50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267" w:hanging="1267"/>
        <w:spacing w:after="0"/>
        <w:tabs>
          <w:tab w:leader="none" w:pos="1267" w:val="left"/>
        </w:tabs>
        <w:numPr>
          <w:ilvl w:val="0"/>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Group IV</w:t>
      </w:r>
    </w:p>
    <w:p>
      <w:pPr>
        <w:spacing w:after="0" w:line="179" w:lineRule="exact"/>
        <w:rPr>
          <w:rFonts w:ascii="Courier New" w:cs="Courier New" w:eastAsia="Courier New" w:hAnsi="Courier New"/>
          <w:sz w:val="15"/>
          <w:szCs w:val="15"/>
          <w:color w:val="auto"/>
        </w:rPr>
      </w:pPr>
    </w:p>
    <w:p>
      <w:pPr>
        <w:ind w:left="1267" w:hanging="1267"/>
        <w:spacing w:after="0"/>
        <w:tabs>
          <w:tab w:leader="none" w:pos="1267" w:val="left"/>
        </w:tabs>
        <w:numPr>
          <w:ilvl w:val="0"/>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Group V</w:t>
      </w:r>
    </w:p>
    <w:p>
      <w:pPr>
        <w:spacing w:after="0" w:line="179" w:lineRule="exact"/>
        <w:rPr>
          <w:rFonts w:ascii="Courier New" w:cs="Courier New" w:eastAsia="Courier New" w:hAnsi="Courier New"/>
          <w:sz w:val="15"/>
          <w:szCs w:val="15"/>
          <w:color w:val="auto"/>
        </w:rPr>
      </w:pPr>
    </w:p>
    <w:p>
      <w:pPr>
        <w:ind w:left="1267" w:hanging="1267"/>
        <w:spacing w:after="0"/>
        <w:tabs>
          <w:tab w:leader="none" w:pos="1267" w:val="left"/>
        </w:tabs>
        <w:numPr>
          <w:ilvl w:val="0"/>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Group VI</w:t>
      </w:r>
    </w:p>
    <w:p>
      <w:pPr>
        <w:spacing w:after="0" w:line="179" w:lineRule="exact"/>
        <w:rPr>
          <w:rFonts w:ascii="Courier New" w:cs="Courier New" w:eastAsia="Courier New" w:hAnsi="Courier New"/>
          <w:sz w:val="15"/>
          <w:szCs w:val="15"/>
          <w:color w:val="auto"/>
        </w:rPr>
      </w:pPr>
    </w:p>
    <w:p>
      <w:pPr>
        <w:ind w:left="1267" w:hanging="1267"/>
        <w:spacing w:after="0"/>
        <w:tabs>
          <w:tab w:leader="none" w:pos="1267" w:val="left"/>
        </w:tabs>
        <w:numPr>
          <w:ilvl w:val="0"/>
          <w:numId w:val="6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1080" w:type="dxa"/>
            <w:vAlign w:val="bottom"/>
          </w:tcPr>
          <w:p>
            <w:pPr>
              <w:spacing w:after="0"/>
              <w:rPr>
                <w:sz w:val="15"/>
                <w:szCs w:val="15"/>
                <w:color w:val="auto"/>
              </w:rPr>
            </w:pP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GENERAL</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Page 5 of 8</w:t>
            </w:r>
          </w:p>
        </w:tc>
      </w:tr>
      <w:tr>
        <w:trPr>
          <w:trHeight w:val="175"/>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Changes since previous issue</w:t>
            </w:r>
          </w:p>
        </w:tc>
        <w:tc>
          <w:tcPr>
            <w:tcW w:w="2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SPECIFICATION FOR</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noted by approval:</w:t>
            </w:r>
          </w:p>
        </w:tc>
        <w:tc>
          <w:tcPr>
            <w:tcW w:w="1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ENVIRONMENT</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Rev. D</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87" w:right="2959" w:hanging="187"/>
        <w:spacing w:after="0" w:line="247" w:lineRule="auto"/>
        <w:tabs>
          <w:tab w:leader="none" w:pos="187" w:val="left"/>
        </w:tabs>
        <w:numPr>
          <w:ilvl w:val="0"/>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sectPr>
      </w:pPr>
    </w:p>
    <w:bookmarkStart w:id="367" w:name="page368"/>
    <w:bookmarkEnd w:id="367"/>
    <w:p>
      <w:pPr>
        <w:ind w:left="4627"/>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Table 8.2 - Ozone Depleting Substances Prohibited From Products (Continued)</w:t>
      </w:r>
    </w:p>
    <w:p>
      <w:pPr>
        <w:spacing w:after="0" w:line="180" w:lineRule="exact"/>
        <w:rPr>
          <w:sz w:val="20"/>
          <w:szCs w:val="20"/>
          <w:color w:val="auto"/>
        </w:rPr>
      </w:pPr>
    </w:p>
    <w:p>
      <w:pPr>
        <w:ind w:left="907" w:right="3959" w:hanging="908"/>
        <w:spacing w:after="0" w:line="247" w:lineRule="auto"/>
        <w:rPr>
          <w:sz w:val="20"/>
          <w:szCs w:val="20"/>
          <w:color w:val="auto"/>
        </w:rPr>
      </w:pPr>
      <w:r>
        <w:rPr>
          <w:rFonts w:ascii="Courier New" w:cs="Courier New" w:eastAsia="Courier New" w:hAnsi="Courier New"/>
          <w:sz w:val="15"/>
          <w:szCs w:val="15"/>
          <w:color w:val="auto"/>
        </w:rPr>
        <w:t>Group VII Hydrobromofluorocarbons, HBFC's (includes isomers of listed substances)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88"/>
              </w:rPr>
              <w:t>[*]</w:t>
            </w:r>
          </w:p>
        </w:tc>
        <w:tc>
          <w:tcPr>
            <w:tcW w:w="28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Group VIII</w:t>
            </w:r>
          </w:p>
        </w:tc>
        <w:tc>
          <w:tcPr>
            <w:tcW w:w="568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Hydrochlorofluorocarbons, HCFC's (includes isomers of listed</w:t>
            </w:r>
          </w:p>
        </w:tc>
      </w:tr>
      <w:tr>
        <w:trPr>
          <w:trHeight w:val="175"/>
        </w:trPr>
        <w:tc>
          <w:tcPr>
            <w:tcW w:w="1120" w:type="dxa"/>
            <w:vAlign w:val="bottom"/>
          </w:tcPr>
          <w:p>
            <w:pPr>
              <w:spacing w:after="0"/>
              <w:rPr>
                <w:sz w:val="15"/>
                <w:szCs w:val="15"/>
                <w:color w:val="auto"/>
              </w:rPr>
            </w:pPr>
          </w:p>
        </w:tc>
        <w:tc>
          <w:tcPr>
            <w:tcW w:w="2100" w:type="dxa"/>
            <w:vAlign w:val="bottom"/>
          </w:tcPr>
          <w:p>
            <w:pPr>
              <w:ind w:left="240"/>
              <w:spacing w:after="0"/>
              <w:rPr>
                <w:sz w:val="20"/>
                <w:szCs w:val="20"/>
                <w:color w:val="auto"/>
              </w:rPr>
            </w:pPr>
            <w:r>
              <w:rPr>
                <w:rFonts w:ascii="Courier New" w:cs="Courier New" w:eastAsia="Courier New" w:hAnsi="Courier New"/>
                <w:sz w:val="15"/>
                <w:szCs w:val="15"/>
                <w:color w:val="auto"/>
              </w:rPr>
              <w:t>substances)</w:t>
            </w:r>
          </w:p>
        </w:tc>
        <w:tc>
          <w:tcPr>
            <w:tcW w:w="2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699"/>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1080" w:type="dxa"/>
            <w:vAlign w:val="bottom"/>
          </w:tcPr>
          <w:p>
            <w:pPr>
              <w:spacing w:after="0"/>
              <w:rPr>
                <w:sz w:val="15"/>
                <w:szCs w:val="15"/>
                <w:color w:val="auto"/>
              </w:rPr>
            </w:pP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GENERAL</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Page 6 of 8</w:t>
            </w:r>
          </w:p>
        </w:tc>
      </w:tr>
      <w:tr>
        <w:trPr>
          <w:trHeight w:val="175"/>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Changes since previous issue</w:t>
            </w:r>
          </w:p>
        </w:tc>
        <w:tc>
          <w:tcPr>
            <w:tcW w:w="2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SPECIFICATION FOR</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noted by approval:</w:t>
            </w:r>
          </w:p>
        </w:tc>
        <w:tc>
          <w:tcPr>
            <w:tcW w:w="1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ENVIRONMENT</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Rev. D</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87" w:right="2959" w:hanging="187"/>
        <w:spacing w:after="0" w:line="247" w:lineRule="auto"/>
        <w:tabs>
          <w:tab w:leader="none" w:pos="187" w:val="left"/>
        </w:tabs>
        <w:numPr>
          <w:ilvl w:val="0"/>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2" w:right="1440" w:bottom="1440" w:gutter="0" w:footer="0" w:header="0"/>
        </w:sectPr>
      </w:pPr>
    </w:p>
    <w:bookmarkStart w:id="368" w:name="page369"/>
    <w:bookmarkEnd w:id="368"/>
    <w:p>
      <w:pPr>
        <w:jc w:val="right"/>
        <w:ind w:right="2959"/>
        <w:spacing w:after="0"/>
        <w:rPr>
          <w:sz w:val="20"/>
          <w:szCs w:val="20"/>
          <w:color w:val="auto"/>
        </w:rPr>
      </w:pPr>
      <w:r>
        <w:rPr>
          <w:rFonts w:ascii="Courier New" w:cs="Courier New" w:eastAsia="Courier New" w:hAnsi="Courier New"/>
          <w:sz w:val="15"/>
          <w:szCs w:val="15"/>
          <w:color w:val="auto"/>
        </w:rPr>
        <w:t>SPECIFICATION CONTROL DRAWING</w:t>
      </w:r>
    </w:p>
    <w:p>
      <w:pPr>
        <w:spacing w:after="0" w:line="354" w:lineRule="exact"/>
        <w:rPr>
          <w:sz w:val="20"/>
          <w:szCs w:val="20"/>
          <w:color w:val="auto"/>
        </w:rPr>
      </w:pPr>
    </w:p>
    <w:p>
      <w:pPr>
        <w:ind w:left="1087" w:right="3779" w:hanging="1090"/>
        <w:spacing w:after="0" w:line="247" w:lineRule="auto"/>
        <w:rPr>
          <w:sz w:val="20"/>
          <w:szCs w:val="20"/>
          <w:color w:val="auto"/>
        </w:rPr>
      </w:pPr>
      <w:r>
        <w:rPr>
          <w:rFonts w:ascii="Courier New" w:cs="Courier New" w:eastAsia="Courier New" w:hAnsi="Courier New"/>
          <w:sz w:val="15"/>
          <w:szCs w:val="15"/>
          <w:color w:val="auto"/>
        </w:rPr>
        <w:t>Table 8.3 - Polybrominated Biphenyl and Biphenyl Ether Flame Retardants Prohibited From Products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 NUMBER</w:t>
      </w:r>
    </w:p>
    <w:p>
      <w:pPr>
        <w:spacing w:after="0" w:line="191" w:lineRule="exact"/>
        <w:rPr>
          <w:sz w:val="20"/>
          <w:szCs w:val="20"/>
          <w:color w:val="auto"/>
        </w:rPr>
      </w:pPr>
    </w:p>
    <w:p>
      <w:pPr>
        <w:sectPr>
          <w:pgSz w:w="11900" w:h="16838" w:orient="portrait"/>
          <w:cols w:equalWidth="0" w:num="2">
            <w:col w:w="3467" w:space="720"/>
            <w:col w:w="60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2">
            <w:col w:w="3467" w:space="720"/>
            <w:col w:w="60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6"/>
          </w:cols>
          <w:pgMar w:left="233" w:top="643" w:right="1440" w:bottom="1440" w:gutter="0" w:footer="0" w:header="0"/>
          <w:type w:val="continuous"/>
        </w:sectPr>
      </w:pP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2">
            <w:col w:w="3467" w:space="720"/>
            <w:col w:w="60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6"/>
          </w:cols>
          <w:pgMar w:left="233" w:top="643" w:right="1440" w:bottom="1440" w:gutter="0" w:footer="0" w:header="0"/>
          <w:type w:val="continuous"/>
        </w:sectPr>
      </w:pP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2">
            <w:col w:w="3467" w:space="720"/>
            <w:col w:w="60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6"/>
          </w:cols>
          <w:pgMar w:left="233" w:top="643" w:right="1440" w:bottom="1440" w:gutter="0" w:footer="0" w:header="0"/>
          <w:type w:val="continuous"/>
        </w:sectPr>
      </w:pP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2">
            <w:col w:w="3467" w:space="720"/>
            <w:col w:w="60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6"/>
          </w:cols>
          <w:pgMar w:left="233" w:top="643" w:right="1440" w:bottom="1440" w:gutter="0" w:footer="0" w:header="0"/>
          <w:type w:val="continuous"/>
        </w:sectPr>
      </w:pP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2">
            <w:col w:w="3467" w:space="720"/>
            <w:col w:w="603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6"/>
          </w:cols>
          <w:pgMar w:left="233" w:top="643" w:right="1440" w:bottom="1440" w:gutter="0" w:footer="0" w:header="0"/>
          <w:type w:val="continuous"/>
        </w:sectPr>
      </w:pP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467" w:space="720"/>
            <w:col w:w="6039"/>
          </w:cols>
          <w:pgMar w:left="233" w:top="643" w:right="1440" w:bottom="1440" w:gutter="0" w:footer="0" w:header="0"/>
          <w:type w:val="continuous"/>
        </w:sectPr>
      </w:pPr>
    </w:p>
    <w:p>
      <w:pPr>
        <w:spacing w:after="0" w:line="166" w:lineRule="exact"/>
        <w:rPr>
          <w:sz w:val="20"/>
          <w:szCs w:val="20"/>
          <w:color w:val="auto"/>
        </w:rPr>
      </w:pPr>
    </w:p>
    <w:p>
      <w:pPr>
        <w:ind w:left="7" w:right="3219" w:hanging="7"/>
        <w:spacing w:after="0" w:line="246" w:lineRule="auto"/>
        <w:tabs>
          <w:tab w:leader="none" w:pos="461"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Polybrominated Biphenyl(s) = Polybromobiphenyl(s) = Polybromodiphenyl(s) ** Polybrominated Biphenyl Ether(s) = Polybrominated Biphenyl Oxide(s)</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  = Chemical Abstract Service</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1080" w:type="dxa"/>
            <w:vAlign w:val="bottom"/>
          </w:tcPr>
          <w:p>
            <w:pPr>
              <w:spacing w:after="0"/>
              <w:rPr>
                <w:sz w:val="15"/>
                <w:szCs w:val="15"/>
                <w:color w:val="auto"/>
              </w:rPr>
            </w:pP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GENERAL</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Page 7 of 8</w:t>
            </w:r>
          </w:p>
        </w:tc>
      </w:tr>
      <w:tr>
        <w:trPr>
          <w:trHeight w:val="175"/>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Changes since previous issue</w:t>
            </w:r>
          </w:p>
        </w:tc>
        <w:tc>
          <w:tcPr>
            <w:tcW w:w="2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SPECIFICATION FOR</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noted by approval:</w:t>
            </w:r>
          </w:p>
        </w:tc>
        <w:tc>
          <w:tcPr>
            <w:tcW w:w="1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ENVIRONMENT</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Rev. D</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87" w:right="2959" w:hanging="187"/>
        <w:spacing w:after="0" w:line="247" w:lineRule="auto"/>
        <w:tabs>
          <w:tab w:leader="none" w:pos="187"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0226"/>
          </w:cols>
          <w:pgMar w:left="233" w:top="643" w:right="1440" w:bottom="1440" w:gutter="0" w:footer="0" w:header="0"/>
          <w:type w:val="continuous"/>
        </w:sectPr>
      </w:pPr>
    </w:p>
    <w:bookmarkStart w:id="369" w:name="page370"/>
    <w:bookmarkEnd w:id="369"/>
    <w:p>
      <w:pPr>
        <w:ind w:left="4627"/>
        <w:spacing w:after="0"/>
        <w:rPr>
          <w:sz w:val="20"/>
          <w:szCs w:val="20"/>
          <w:color w:val="auto"/>
        </w:rPr>
      </w:pPr>
      <w:r>
        <w:rPr>
          <w:rFonts w:ascii="Courier New" w:cs="Courier New" w:eastAsia="Courier New" w:hAnsi="Courier New"/>
          <w:sz w:val="15"/>
          <w:szCs w:val="15"/>
          <w:color w:val="auto"/>
        </w:rPr>
        <w:t>SPECIFICATION CONTROL DRAWING</w:t>
      </w:r>
    </w:p>
    <w:p>
      <w:pPr>
        <w:spacing w:after="0" w:line="180" w:lineRule="exact"/>
        <w:rPr>
          <w:sz w:val="20"/>
          <w:szCs w:val="20"/>
          <w:color w:val="auto"/>
        </w:rPr>
      </w:pPr>
    </w:p>
    <w:p>
      <w:pPr>
        <w:jc w:val="center"/>
        <w:ind w:right="4353"/>
        <w:spacing w:after="0"/>
        <w:rPr>
          <w:sz w:val="20"/>
          <w:szCs w:val="20"/>
          <w:color w:val="auto"/>
        </w:rPr>
      </w:pPr>
      <w:r>
        <w:rPr>
          <w:rFonts w:ascii="Courier New" w:cs="Courier New" w:eastAsia="Courier New" w:hAnsi="Courier New"/>
          <w:sz w:val="15"/>
          <w:szCs w:val="15"/>
          <w:color w:val="auto"/>
        </w:rPr>
        <w:t>TABLE 8.4 - LABELING REQUIREMENTS FOR BATTERIES, CONSUMER PRODUCTS</w:t>
      </w:r>
    </w:p>
    <w:p>
      <w:pPr>
        <w:spacing w:after="0" w:line="5" w:lineRule="exact"/>
        <w:rPr>
          <w:sz w:val="20"/>
          <w:szCs w:val="20"/>
          <w:color w:val="auto"/>
        </w:rPr>
      </w:pPr>
    </w:p>
    <w:p>
      <w:pPr>
        <w:jc w:val="center"/>
        <w:ind w:right="4453"/>
        <w:spacing w:after="0"/>
        <w:rPr>
          <w:sz w:val="20"/>
          <w:szCs w:val="20"/>
          <w:color w:val="auto"/>
        </w:rPr>
      </w:pPr>
      <w:r>
        <w:rPr>
          <w:rFonts w:ascii="Courier New" w:cs="Courier New" w:eastAsia="Courier New" w:hAnsi="Courier New"/>
          <w:sz w:val="15"/>
          <w:szCs w:val="15"/>
          <w:color w:val="auto"/>
        </w:rPr>
        <w:t>CONTAINING BATTERIES, AND THEIR PACKAGING</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5606" w:val="left"/>
          <w:tab w:leader="none" w:pos="7606" w:val="left"/>
        </w:tabs>
        <w:rPr>
          <w:sz w:val="20"/>
          <w:szCs w:val="20"/>
          <w:color w:val="auto"/>
        </w:rPr>
      </w:pPr>
      <w:r>
        <w:rPr>
          <w:rFonts w:ascii="Courier New" w:cs="Courier New" w:eastAsia="Courier New" w:hAnsi="Courier New"/>
          <w:sz w:val="15"/>
          <w:szCs w:val="15"/>
          <w:color w:val="auto"/>
        </w:rPr>
        <w:t>PRODUCT TYPE</w:t>
      </w:r>
      <w:r>
        <w:rPr>
          <w:sz w:val="20"/>
          <w:szCs w:val="20"/>
          <w:color w:val="auto"/>
        </w:rPr>
        <w:tab/>
      </w:r>
      <w:r>
        <w:rPr>
          <w:rFonts w:ascii="Courier New" w:cs="Courier New" w:eastAsia="Courier New" w:hAnsi="Courier New"/>
          <w:sz w:val="15"/>
          <w:szCs w:val="15"/>
          <w:color w:val="auto"/>
        </w:rPr>
        <w:t>SYMBOL</w:t>
      </w:r>
      <w:r>
        <w:rPr>
          <w:sz w:val="20"/>
          <w:szCs w:val="20"/>
          <w:color w:val="auto"/>
        </w:rPr>
        <w:tab/>
      </w:r>
      <w:r>
        <w:rPr>
          <w:rFonts w:ascii="Courier New" w:cs="Courier New" w:eastAsia="Courier New" w:hAnsi="Courier New"/>
          <w:sz w:val="15"/>
          <w:szCs w:val="15"/>
          <w:color w:val="auto"/>
        </w:rPr>
        <w:t>WORDING ON LABEL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5166" w:val="left"/>
          <w:tab w:leader="none" w:pos="7526" w:val="left"/>
        </w:tabs>
        <w:rPr>
          <w:sz w:val="20"/>
          <w:szCs w:val="20"/>
          <w:color w:val="auto"/>
        </w:rPr>
      </w:pPr>
      <w:r>
        <w:rPr>
          <w:rFonts w:ascii="Courier New" w:cs="Courier New" w:eastAsia="Courier New" w:hAnsi="Courier New"/>
          <w:sz w:val="15"/>
          <w:szCs w:val="15"/>
          <w:color w:val="auto"/>
        </w:rPr>
        <w:t>ALKALINE BATTERIES</w:t>
      </w:r>
      <w:r>
        <w:rPr>
          <w:sz w:val="20"/>
          <w:szCs w:val="20"/>
          <w:color w:val="auto"/>
        </w:rPr>
        <w:tab/>
      </w:r>
      <w:r>
        <w:rPr>
          <w:rFonts w:ascii="Courier New" w:cs="Courier New" w:eastAsia="Courier New" w:hAnsi="Courier New"/>
          <w:sz w:val="15"/>
          <w:szCs w:val="15"/>
          <w:color w:val="auto"/>
        </w:rPr>
        <w:t>SEE NOTE 1 BELOW</w:t>
      </w:r>
      <w:r>
        <w:rPr>
          <w:sz w:val="20"/>
          <w:szCs w:val="20"/>
          <w:color w:val="auto"/>
        </w:rPr>
        <w:tab/>
      </w:r>
      <w:r>
        <w:rPr>
          <w:rFonts w:ascii="Courier New" w:cs="Courier New" w:eastAsia="Courier New" w:hAnsi="Courier New"/>
          <w:sz w:val="15"/>
          <w:szCs w:val="15"/>
          <w:color w:val="auto"/>
        </w:rPr>
        <w:t>- MANUFACTURER'S NAME AND ADDRESS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4606" w:val="left"/>
          <w:tab w:leader="none" w:pos="7526" w:val="left"/>
        </w:tabs>
        <w:rPr>
          <w:sz w:val="20"/>
          <w:szCs w:val="20"/>
          <w:color w:val="auto"/>
        </w:rPr>
      </w:pPr>
      <w:r>
        <w:rPr>
          <w:rFonts w:ascii="Courier New" w:cs="Courier New" w:eastAsia="Courier New" w:hAnsi="Courier New"/>
          <w:sz w:val="15"/>
          <w:szCs w:val="15"/>
          <w:color w:val="auto"/>
        </w:rPr>
        <w:t>LEAD-ACID (SEALED) BATTERIES AND THEIR PACKAGING</w:t>
        <w:tab/>
        <w:t>[GRAPHIC IMAGE APPEARS HERE]</w:t>
      </w:r>
      <w:r>
        <w:rPr>
          <w:sz w:val="20"/>
          <w:szCs w:val="20"/>
          <w:color w:val="auto"/>
        </w:rPr>
        <w:tab/>
      </w:r>
      <w:r>
        <w:rPr>
          <w:rFonts w:ascii="Courier New" w:cs="Courier New" w:eastAsia="Courier New" w:hAnsi="Courier New"/>
          <w:sz w:val="15"/>
          <w:szCs w:val="15"/>
          <w:color w:val="auto"/>
        </w:rPr>
        <w:t>- MANUFACTURER'S NAME AND ADDRESS</w:t>
      </w:r>
    </w:p>
    <w:p>
      <w:pPr>
        <w:spacing w:after="0" w:line="5" w:lineRule="exact"/>
        <w:rPr>
          <w:sz w:val="20"/>
          <w:szCs w:val="20"/>
          <w:color w:val="auto"/>
        </w:rPr>
      </w:pPr>
    </w:p>
    <w:p>
      <w:pPr>
        <w:ind w:left="7547"/>
        <w:spacing w:after="0"/>
        <w:rPr>
          <w:sz w:val="20"/>
          <w:szCs w:val="20"/>
          <w:color w:val="auto"/>
        </w:rPr>
      </w:pPr>
      <w:r>
        <w:rPr>
          <w:rFonts w:ascii="Courier New" w:cs="Courier New" w:eastAsia="Courier New" w:hAnsi="Courier New"/>
          <w:sz w:val="15"/>
          <w:szCs w:val="15"/>
          <w:color w:val="auto"/>
        </w:rPr>
        <w:t>- Pb</w:t>
      </w:r>
    </w:p>
    <w:p>
      <w:pPr>
        <w:spacing w:after="0" w:line="5" w:lineRule="exact"/>
        <w:rPr>
          <w:sz w:val="20"/>
          <w:szCs w:val="20"/>
          <w:color w:val="auto"/>
        </w:rPr>
      </w:pPr>
    </w:p>
    <w:p>
      <w:pPr>
        <w:ind w:left="7547"/>
        <w:spacing w:after="0"/>
        <w:rPr>
          <w:sz w:val="20"/>
          <w:szCs w:val="20"/>
          <w:color w:val="auto"/>
        </w:rPr>
      </w:pPr>
      <w:r>
        <w:rPr>
          <w:rFonts w:ascii="Courier New" w:cs="Courier New" w:eastAsia="Courier New" w:hAnsi="Courier New"/>
          <w:sz w:val="15"/>
          <w:szCs w:val="15"/>
          <w:color w:val="auto"/>
        </w:rPr>
        <w:t>- "BATTERY MUST BE RECYCLED."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5187" w:right="540" w:hanging="7542"/>
        <w:spacing w:after="0" w:line="246" w:lineRule="auto"/>
        <w:tabs>
          <w:tab w:leader="none" w:pos="5166" w:val="left"/>
        </w:tabs>
        <w:rPr>
          <w:sz w:val="20"/>
          <w:szCs w:val="20"/>
          <w:color w:val="auto"/>
        </w:rPr>
      </w:pPr>
      <w:r>
        <w:rPr>
          <w:rFonts w:ascii="Courier New" w:cs="Courier New" w:eastAsia="Courier New" w:hAnsi="Courier New"/>
          <w:sz w:val="15"/>
          <w:szCs w:val="15"/>
          <w:color w:val="auto"/>
        </w:rPr>
        <w:t>LITHIUM AND LITHIUM ION BATTERIES</w:t>
      </w:r>
      <w:r>
        <w:rPr>
          <w:sz w:val="20"/>
          <w:szCs w:val="20"/>
          <w:color w:val="auto"/>
        </w:rPr>
        <w:tab/>
      </w:r>
      <w:r>
        <w:rPr>
          <w:rFonts w:ascii="Courier New" w:cs="Courier New" w:eastAsia="Courier New" w:hAnsi="Courier New"/>
          <w:sz w:val="15"/>
          <w:szCs w:val="15"/>
          <w:color w:val="auto"/>
        </w:rPr>
        <w:t>SEE NOTE 1 BELOW - MANUFACTURER'S NAME AND ADDRESS - LITHIUM OR LITHIUM ION</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4606" w:val="left"/>
          <w:tab w:leader="none" w:pos="7526" w:val="left"/>
        </w:tabs>
        <w:rPr>
          <w:sz w:val="20"/>
          <w:szCs w:val="20"/>
          <w:color w:val="auto"/>
        </w:rPr>
      </w:pPr>
      <w:r>
        <w:rPr>
          <w:rFonts w:ascii="Courier New" w:cs="Courier New" w:eastAsia="Courier New" w:hAnsi="Courier New"/>
          <w:sz w:val="15"/>
          <w:szCs w:val="15"/>
          <w:color w:val="auto"/>
        </w:rPr>
        <w:t>NICKEL-CADMIUM BATTERIES AND THEIR PACKAGING</w:t>
      </w:r>
      <w:r>
        <w:rPr>
          <w:sz w:val="20"/>
          <w:szCs w:val="20"/>
          <w:color w:val="auto"/>
        </w:rPr>
        <w:tab/>
      </w:r>
      <w:r>
        <w:rPr>
          <w:rFonts w:ascii="Courier New" w:cs="Courier New" w:eastAsia="Courier New" w:hAnsi="Courier New"/>
          <w:sz w:val="15"/>
          <w:szCs w:val="15"/>
          <w:color w:val="auto"/>
        </w:rPr>
        <w:t>[GRAPHIC IMAGE APPEARS HERE]</w:t>
      </w:r>
      <w:r>
        <w:rPr>
          <w:sz w:val="20"/>
          <w:szCs w:val="20"/>
          <w:color w:val="auto"/>
        </w:rPr>
        <w:tab/>
      </w:r>
      <w:r>
        <w:rPr>
          <w:rFonts w:ascii="Courier New" w:cs="Courier New" w:eastAsia="Courier New" w:hAnsi="Courier New"/>
          <w:sz w:val="15"/>
          <w:szCs w:val="15"/>
          <w:color w:val="auto"/>
        </w:rPr>
        <w:t>- MANUFACTURER'S NAME AND ADDRESS</w:t>
      </w:r>
    </w:p>
    <w:p>
      <w:pPr>
        <w:spacing w:after="0" w:line="5" w:lineRule="exact"/>
        <w:rPr>
          <w:sz w:val="20"/>
          <w:szCs w:val="20"/>
          <w:color w:val="auto"/>
        </w:rPr>
      </w:pPr>
    </w:p>
    <w:p>
      <w:pPr>
        <w:ind w:left="7547"/>
        <w:spacing w:after="0"/>
        <w:rPr>
          <w:sz w:val="20"/>
          <w:szCs w:val="20"/>
          <w:color w:val="auto"/>
        </w:rPr>
      </w:pPr>
      <w:r>
        <w:rPr>
          <w:rFonts w:ascii="Courier New" w:cs="Courier New" w:eastAsia="Courier New" w:hAnsi="Courier New"/>
          <w:sz w:val="15"/>
          <w:szCs w:val="15"/>
          <w:color w:val="auto"/>
        </w:rPr>
        <w:t>- Ni-Cd</w:t>
      </w:r>
    </w:p>
    <w:p>
      <w:pPr>
        <w:spacing w:after="0" w:line="5" w:lineRule="exact"/>
        <w:rPr>
          <w:sz w:val="20"/>
          <w:szCs w:val="20"/>
          <w:color w:val="auto"/>
        </w:rPr>
      </w:pPr>
    </w:p>
    <w:p>
      <w:pPr>
        <w:ind w:left="7547"/>
        <w:spacing w:after="0"/>
        <w:rPr>
          <w:sz w:val="20"/>
          <w:szCs w:val="20"/>
          <w:color w:val="auto"/>
        </w:rPr>
      </w:pPr>
      <w:r>
        <w:rPr>
          <w:rFonts w:ascii="Courier New" w:cs="Courier New" w:eastAsia="Courier New" w:hAnsi="Courier New"/>
          <w:sz w:val="15"/>
          <w:szCs w:val="15"/>
          <w:color w:val="auto"/>
        </w:rPr>
        <w:t>- "BATTERY MUST BE RECYCLED OR</w:t>
      </w:r>
    </w:p>
    <w:p>
      <w:pPr>
        <w:spacing w:after="0" w:line="5" w:lineRule="exact"/>
        <w:rPr>
          <w:sz w:val="20"/>
          <w:szCs w:val="20"/>
          <w:color w:val="auto"/>
        </w:rPr>
      </w:pPr>
    </w:p>
    <w:p>
      <w:pPr>
        <w:ind w:left="7727"/>
        <w:spacing w:after="0"/>
        <w:rPr>
          <w:sz w:val="20"/>
          <w:szCs w:val="20"/>
          <w:color w:val="auto"/>
        </w:rPr>
      </w:pPr>
      <w:r>
        <w:rPr>
          <w:rFonts w:ascii="Courier New" w:cs="Courier New" w:eastAsia="Courier New" w:hAnsi="Courier New"/>
          <w:sz w:val="15"/>
          <w:szCs w:val="15"/>
          <w:color w:val="auto"/>
        </w:rPr>
        <w:t>DISPOSED OF PROPERLY."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5166" w:val="left"/>
          <w:tab w:leader="none" w:pos="7526" w:val="left"/>
        </w:tabs>
        <w:rPr>
          <w:sz w:val="20"/>
          <w:szCs w:val="20"/>
          <w:color w:val="auto"/>
        </w:rPr>
      </w:pPr>
      <w:r>
        <w:rPr>
          <w:rFonts w:ascii="Courier New" w:cs="Courier New" w:eastAsia="Courier New" w:hAnsi="Courier New"/>
          <w:sz w:val="15"/>
          <w:szCs w:val="15"/>
          <w:color w:val="auto"/>
        </w:rPr>
        <w:t>NICKEL METAL HYDRIDE BATTERIES</w:t>
      </w:r>
      <w:r>
        <w:rPr>
          <w:sz w:val="20"/>
          <w:szCs w:val="20"/>
          <w:color w:val="auto"/>
        </w:rPr>
        <w:tab/>
      </w:r>
      <w:r>
        <w:rPr>
          <w:rFonts w:ascii="Courier New" w:cs="Courier New" w:eastAsia="Courier New" w:hAnsi="Courier New"/>
          <w:sz w:val="15"/>
          <w:szCs w:val="15"/>
          <w:color w:val="auto"/>
        </w:rPr>
        <w:t>SEE NOTE 1 BELOW</w:t>
      </w:r>
      <w:r>
        <w:rPr>
          <w:sz w:val="20"/>
          <w:szCs w:val="20"/>
          <w:color w:val="auto"/>
        </w:rPr>
        <w:tab/>
      </w:r>
      <w:r>
        <w:rPr>
          <w:rFonts w:ascii="Courier New" w:cs="Courier New" w:eastAsia="Courier New" w:hAnsi="Courier New"/>
          <w:sz w:val="15"/>
          <w:szCs w:val="15"/>
          <w:color w:val="auto"/>
        </w:rPr>
        <w:t>- MANUFACTURER'S NAME AND ADDRESS</w:t>
      </w:r>
    </w:p>
    <w:p>
      <w:pPr>
        <w:spacing w:after="0" w:line="5" w:lineRule="exact"/>
        <w:rPr>
          <w:sz w:val="20"/>
          <w:szCs w:val="20"/>
          <w:color w:val="auto"/>
        </w:rPr>
      </w:pPr>
    </w:p>
    <w:p>
      <w:pPr>
        <w:ind w:left="7547"/>
        <w:spacing w:after="0"/>
        <w:rPr>
          <w:sz w:val="20"/>
          <w:szCs w:val="20"/>
          <w:color w:val="auto"/>
        </w:rPr>
      </w:pPr>
      <w:r>
        <w:rPr>
          <w:rFonts w:ascii="Courier New" w:cs="Courier New" w:eastAsia="Courier New" w:hAnsi="Courier New"/>
          <w:sz w:val="15"/>
          <w:szCs w:val="15"/>
          <w:color w:val="auto"/>
        </w:rPr>
        <w:t>- "CONTAINS NICKEL METAL HYDRIDE</w:t>
      </w:r>
    </w:p>
    <w:p>
      <w:pPr>
        <w:spacing w:after="0" w:line="5" w:lineRule="exact"/>
        <w:rPr>
          <w:sz w:val="20"/>
          <w:szCs w:val="20"/>
          <w:color w:val="auto"/>
        </w:rPr>
      </w:pPr>
    </w:p>
    <w:p>
      <w:pPr>
        <w:ind w:left="7727"/>
        <w:spacing w:after="0"/>
        <w:rPr>
          <w:sz w:val="20"/>
          <w:szCs w:val="20"/>
          <w:color w:val="auto"/>
        </w:rPr>
      </w:pPr>
      <w:r>
        <w:rPr>
          <w:rFonts w:ascii="Courier New" w:cs="Courier New" w:eastAsia="Courier New" w:hAnsi="Courier New"/>
          <w:sz w:val="15"/>
          <w:szCs w:val="15"/>
          <w:color w:val="auto"/>
        </w:rPr>
        <w:t>(NiMH) BATTERY."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4606" w:val="left"/>
          <w:tab w:leader="none" w:pos="7526" w:val="left"/>
        </w:tabs>
        <w:rPr>
          <w:sz w:val="20"/>
          <w:szCs w:val="20"/>
          <w:color w:val="auto"/>
        </w:rPr>
      </w:pPr>
      <w:r>
        <w:rPr>
          <w:rFonts w:ascii="Courier New" w:cs="Courier New" w:eastAsia="Courier New" w:hAnsi="Courier New"/>
          <w:sz w:val="15"/>
          <w:szCs w:val="15"/>
          <w:color w:val="auto"/>
        </w:rPr>
        <w:t>RECHARGEABLE CONSUMER PRODUCTS CONTAINING NOT</w:t>
      </w:r>
      <w:r>
        <w:rPr>
          <w:sz w:val="20"/>
          <w:szCs w:val="20"/>
          <w:color w:val="auto"/>
        </w:rPr>
        <w:tab/>
      </w:r>
      <w:r>
        <w:rPr>
          <w:rFonts w:ascii="Courier New" w:cs="Courier New" w:eastAsia="Courier New" w:hAnsi="Courier New"/>
          <w:sz w:val="15"/>
          <w:szCs w:val="15"/>
          <w:color w:val="auto"/>
        </w:rPr>
        <w:t>[GRAPHIC IMAGE APPEARS HERE]</w:t>
      </w:r>
      <w:r>
        <w:rPr>
          <w:sz w:val="20"/>
          <w:szCs w:val="20"/>
          <w:color w:val="auto"/>
        </w:rPr>
        <w:tab/>
      </w:r>
      <w:r>
        <w:rPr>
          <w:rFonts w:ascii="Courier New" w:cs="Courier New" w:eastAsia="Courier New" w:hAnsi="Courier New"/>
          <w:sz w:val="15"/>
          <w:szCs w:val="15"/>
          <w:color w:val="auto"/>
        </w:rPr>
        <w:t>MANUFACTURER'S NAME AND</w:t>
      </w:r>
    </w:p>
    <w:p>
      <w:pPr>
        <w:spacing w:after="0" w:line="5" w:lineRule="exact"/>
        <w:rPr>
          <w:sz w:val="20"/>
          <w:szCs w:val="20"/>
          <w:color w:val="auto"/>
        </w:rPr>
      </w:pPr>
    </w:p>
    <w:p>
      <w:pPr>
        <w:ind w:left="7"/>
        <w:spacing w:after="0"/>
        <w:tabs>
          <w:tab w:leader="none" w:pos="7526" w:val="left"/>
        </w:tabs>
        <w:rPr>
          <w:sz w:val="20"/>
          <w:szCs w:val="20"/>
          <w:color w:val="auto"/>
        </w:rPr>
      </w:pPr>
      <w:r>
        <w:rPr>
          <w:rFonts w:ascii="Courier New" w:cs="Courier New" w:eastAsia="Courier New" w:hAnsi="Courier New"/>
          <w:sz w:val="15"/>
          <w:szCs w:val="15"/>
          <w:color w:val="auto"/>
        </w:rPr>
        <w:t>EASILY ADDRESS REMOVABLE SEALED LEAD ACID</w:t>
      </w:r>
      <w:r>
        <w:rPr>
          <w:sz w:val="20"/>
          <w:szCs w:val="20"/>
          <w:color w:val="auto"/>
        </w:rPr>
        <w:tab/>
      </w:r>
      <w:r>
        <w:rPr>
          <w:rFonts w:ascii="Courier New" w:cs="Courier New" w:eastAsia="Courier New" w:hAnsi="Courier New"/>
          <w:sz w:val="15"/>
          <w:szCs w:val="15"/>
          <w:color w:val="auto"/>
        </w:rPr>
        <w:t>- "CONTAINS SEALED LEAD BATTERY.</w:t>
      </w:r>
    </w:p>
    <w:p>
      <w:pPr>
        <w:spacing w:after="0" w:line="5" w:lineRule="exact"/>
        <w:rPr>
          <w:sz w:val="20"/>
          <w:szCs w:val="20"/>
          <w:color w:val="auto"/>
        </w:rPr>
      </w:pPr>
    </w:p>
    <w:p>
      <w:pPr>
        <w:ind w:left="7"/>
        <w:spacing w:after="0"/>
        <w:tabs>
          <w:tab w:leader="none" w:pos="7526" w:val="left"/>
        </w:tabs>
        <w:rPr>
          <w:sz w:val="20"/>
          <w:szCs w:val="20"/>
          <w:color w:val="auto"/>
        </w:rPr>
      </w:pPr>
      <w:r>
        <w:rPr>
          <w:rFonts w:ascii="Courier New" w:cs="Courier New" w:eastAsia="Courier New" w:hAnsi="Courier New"/>
          <w:sz w:val="15"/>
          <w:szCs w:val="15"/>
          <w:color w:val="auto"/>
        </w:rPr>
        <w:t>BATTERIES</w:t>
      </w:r>
      <w:r>
        <w:rPr>
          <w:sz w:val="20"/>
          <w:szCs w:val="20"/>
          <w:color w:val="auto"/>
        </w:rPr>
        <w:tab/>
      </w:r>
      <w:r>
        <w:rPr>
          <w:rFonts w:ascii="Courier New" w:cs="Courier New" w:eastAsia="Courier New" w:hAnsi="Courier New"/>
          <w:sz w:val="15"/>
          <w:szCs w:val="15"/>
          <w:color w:val="auto"/>
        </w:rPr>
        <w:t>BATTERY MUST BE RECYCLED."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4606" w:val="left"/>
          <w:tab w:leader="none" w:pos="7526" w:val="left"/>
        </w:tabs>
        <w:rPr>
          <w:sz w:val="20"/>
          <w:szCs w:val="20"/>
          <w:color w:val="auto"/>
        </w:rPr>
      </w:pPr>
      <w:r>
        <w:rPr>
          <w:rFonts w:ascii="Courier New" w:cs="Courier New" w:eastAsia="Courier New" w:hAnsi="Courier New"/>
          <w:sz w:val="15"/>
          <w:szCs w:val="15"/>
          <w:color w:val="auto"/>
        </w:rPr>
        <w:t>RECHARGEABLE CONSUMER PRODUCTS CONTAINING NOT</w:t>
      </w:r>
      <w:r>
        <w:rPr>
          <w:sz w:val="20"/>
          <w:szCs w:val="20"/>
          <w:color w:val="auto"/>
        </w:rPr>
        <w:tab/>
      </w:r>
      <w:r>
        <w:rPr>
          <w:rFonts w:ascii="Courier New" w:cs="Courier New" w:eastAsia="Courier New" w:hAnsi="Courier New"/>
          <w:sz w:val="15"/>
          <w:szCs w:val="15"/>
          <w:color w:val="auto"/>
        </w:rPr>
        <w:t>[GRAPHIC IMAGE APPEARS HERE]</w:t>
      </w:r>
      <w:r>
        <w:rPr>
          <w:sz w:val="20"/>
          <w:szCs w:val="20"/>
          <w:color w:val="auto"/>
        </w:rPr>
        <w:tab/>
      </w:r>
      <w:r>
        <w:rPr>
          <w:rFonts w:ascii="Courier New" w:cs="Courier New" w:eastAsia="Courier New" w:hAnsi="Courier New"/>
          <w:sz w:val="15"/>
          <w:szCs w:val="15"/>
          <w:color w:val="auto"/>
        </w:rPr>
        <w:t>- MANUFACTURER'S NAME AND ADDRESS</w:t>
      </w:r>
    </w:p>
    <w:p>
      <w:pPr>
        <w:spacing w:after="0" w:line="5" w:lineRule="exact"/>
        <w:rPr>
          <w:sz w:val="20"/>
          <w:szCs w:val="20"/>
          <w:color w:val="auto"/>
        </w:rPr>
      </w:pPr>
    </w:p>
    <w:p>
      <w:pPr>
        <w:ind w:left="7"/>
        <w:spacing w:after="0"/>
        <w:tabs>
          <w:tab w:leader="none" w:pos="7526" w:val="left"/>
        </w:tabs>
        <w:rPr>
          <w:sz w:val="20"/>
          <w:szCs w:val="20"/>
          <w:color w:val="auto"/>
        </w:rPr>
      </w:pPr>
      <w:r>
        <w:rPr>
          <w:rFonts w:ascii="Courier New" w:cs="Courier New" w:eastAsia="Courier New" w:hAnsi="Courier New"/>
          <w:sz w:val="15"/>
          <w:szCs w:val="15"/>
          <w:color w:val="auto"/>
        </w:rPr>
        <w:t>EASILY REMOVABLE NICKEL-CADMIUM BATTERIES</w:t>
      </w:r>
      <w:r>
        <w:rPr>
          <w:sz w:val="20"/>
          <w:szCs w:val="20"/>
          <w:color w:val="auto"/>
        </w:rPr>
        <w:tab/>
      </w:r>
      <w:r>
        <w:rPr>
          <w:rFonts w:ascii="Courier New" w:cs="Courier New" w:eastAsia="Courier New" w:hAnsi="Courier New"/>
          <w:sz w:val="15"/>
          <w:szCs w:val="15"/>
          <w:color w:val="auto"/>
        </w:rPr>
        <w:t>- "CONTAINS NICKEL-CADMIUM</w:t>
      </w:r>
    </w:p>
    <w:p>
      <w:pPr>
        <w:spacing w:after="0" w:line="5" w:lineRule="exact"/>
        <w:rPr>
          <w:sz w:val="20"/>
          <w:szCs w:val="20"/>
          <w:color w:val="auto"/>
        </w:rPr>
      </w:pPr>
    </w:p>
    <w:p>
      <w:pPr>
        <w:ind w:left="7727"/>
        <w:spacing w:after="0"/>
        <w:rPr>
          <w:sz w:val="20"/>
          <w:szCs w:val="20"/>
          <w:color w:val="auto"/>
        </w:rPr>
      </w:pPr>
      <w:r>
        <w:rPr>
          <w:rFonts w:ascii="Courier New" w:cs="Courier New" w:eastAsia="Courier New" w:hAnsi="Courier New"/>
          <w:sz w:val="15"/>
          <w:szCs w:val="15"/>
          <w:color w:val="auto"/>
        </w:rPr>
        <w:t>BATTERY. BATTERY MUST BE</w:t>
      </w:r>
    </w:p>
    <w:p>
      <w:pPr>
        <w:spacing w:after="0" w:line="5" w:lineRule="exact"/>
        <w:rPr>
          <w:sz w:val="20"/>
          <w:szCs w:val="20"/>
          <w:color w:val="auto"/>
        </w:rPr>
      </w:pPr>
    </w:p>
    <w:p>
      <w:pPr>
        <w:ind w:left="7727"/>
        <w:spacing w:after="0"/>
        <w:rPr>
          <w:sz w:val="20"/>
          <w:szCs w:val="20"/>
          <w:color w:val="auto"/>
        </w:rPr>
      </w:pPr>
      <w:r>
        <w:rPr>
          <w:rFonts w:ascii="Courier New" w:cs="Courier New" w:eastAsia="Courier New" w:hAnsi="Courier New"/>
          <w:sz w:val="15"/>
          <w:szCs w:val="15"/>
          <w:color w:val="auto"/>
        </w:rPr>
        <w:t>RECYCLED OR DISPOSED OF</w:t>
      </w:r>
    </w:p>
    <w:p>
      <w:pPr>
        <w:spacing w:after="0" w:line="5" w:lineRule="exact"/>
        <w:rPr>
          <w:sz w:val="20"/>
          <w:szCs w:val="20"/>
          <w:color w:val="auto"/>
        </w:rPr>
      </w:pPr>
    </w:p>
    <w:p>
      <w:pPr>
        <w:ind w:left="7727"/>
        <w:spacing w:after="0"/>
        <w:rPr>
          <w:sz w:val="20"/>
          <w:szCs w:val="20"/>
          <w:color w:val="auto"/>
        </w:rPr>
      </w:pPr>
      <w:r>
        <w:rPr>
          <w:rFonts w:ascii="Courier New" w:cs="Courier New" w:eastAsia="Courier New" w:hAnsi="Courier New"/>
          <w:sz w:val="15"/>
          <w:szCs w:val="15"/>
          <w:color w:val="auto"/>
        </w:rPr>
        <w:t>PROPERLY."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7" w:right="640"/>
        <w:spacing w:after="0" w:line="249" w:lineRule="auto"/>
        <w:rPr>
          <w:sz w:val="20"/>
          <w:szCs w:val="20"/>
          <w:color w:val="auto"/>
        </w:rPr>
      </w:pPr>
      <w:r>
        <w:rPr>
          <w:rFonts w:ascii="Courier New" w:cs="Courier New" w:eastAsia="Courier New" w:hAnsi="Courier New"/>
          <w:sz w:val="15"/>
          <w:szCs w:val="15"/>
          <w:color w:val="auto"/>
        </w:rPr>
        <w:t>PACKAGING OF RECHARGEABLE CONSUMER PRODUCT [GRAPHIC IMAGE APPEARS HERE] - MANUFACTURE'S NAME AND CONTAINING ADDRESS SEALED LEAD BATTERY - "CONTAINS SEALED LEAD BATTERY. BATTERY MUST BE RECYCLED"</w:t>
      </w:r>
    </w:p>
    <w:p>
      <w:pPr>
        <w:spacing w:after="0" w:line="17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4606" w:val="left"/>
          <w:tab w:leader="none" w:pos="7526" w:val="left"/>
        </w:tabs>
        <w:rPr>
          <w:sz w:val="20"/>
          <w:szCs w:val="20"/>
          <w:color w:val="auto"/>
        </w:rPr>
      </w:pPr>
      <w:r>
        <w:rPr>
          <w:rFonts w:ascii="Courier New" w:cs="Courier New" w:eastAsia="Courier New" w:hAnsi="Courier New"/>
          <w:sz w:val="15"/>
          <w:szCs w:val="15"/>
          <w:color w:val="auto"/>
        </w:rPr>
        <w:t>PACKAGING OF RECHARGEABLE CONSUMER PRODUCT</w:t>
      </w:r>
      <w:r>
        <w:rPr>
          <w:sz w:val="20"/>
          <w:szCs w:val="20"/>
          <w:color w:val="auto"/>
        </w:rPr>
        <w:tab/>
      </w:r>
      <w:r>
        <w:rPr>
          <w:rFonts w:ascii="Courier New" w:cs="Courier New" w:eastAsia="Courier New" w:hAnsi="Courier New"/>
          <w:sz w:val="15"/>
          <w:szCs w:val="15"/>
          <w:color w:val="auto"/>
        </w:rPr>
        <w:t>[GRAPHIC IMAGE APPEARS HERE]</w:t>
      </w:r>
      <w:r>
        <w:rPr>
          <w:sz w:val="20"/>
          <w:szCs w:val="20"/>
          <w:color w:val="auto"/>
        </w:rPr>
        <w:tab/>
      </w:r>
      <w:r>
        <w:rPr>
          <w:rFonts w:ascii="Courier New" w:cs="Courier New" w:eastAsia="Courier New" w:hAnsi="Courier New"/>
          <w:sz w:val="15"/>
          <w:szCs w:val="15"/>
          <w:color w:val="auto"/>
        </w:rPr>
        <w:t>- MANUFACTURER'S NAME AND ADDRESS</w:t>
      </w:r>
    </w:p>
    <w:p>
      <w:pPr>
        <w:spacing w:after="0" w:line="5" w:lineRule="exact"/>
        <w:rPr>
          <w:sz w:val="20"/>
          <w:szCs w:val="20"/>
          <w:color w:val="auto"/>
        </w:rPr>
      </w:pPr>
    </w:p>
    <w:p>
      <w:pPr>
        <w:ind w:left="7"/>
        <w:spacing w:after="0"/>
        <w:tabs>
          <w:tab w:leader="none" w:pos="7526" w:val="left"/>
        </w:tabs>
        <w:rPr>
          <w:sz w:val="20"/>
          <w:szCs w:val="20"/>
          <w:color w:val="auto"/>
        </w:rPr>
      </w:pPr>
      <w:r>
        <w:rPr>
          <w:rFonts w:ascii="Courier New" w:cs="Courier New" w:eastAsia="Courier New" w:hAnsi="Courier New"/>
          <w:sz w:val="15"/>
          <w:szCs w:val="15"/>
          <w:color w:val="auto"/>
        </w:rPr>
        <w:t>CONTAINING NICKEL-CADMIUM BATTERY</w:t>
      </w:r>
      <w:r>
        <w:rPr>
          <w:sz w:val="20"/>
          <w:szCs w:val="20"/>
          <w:color w:val="auto"/>
        </w:rPr>
        <w:tab/>
      </w:r>
      <w:r>
        <w:rPr>
          <w:rFonts w:ascii="Courier New" w:cs="Courier New" w:eastAsia="Courier New" w:hAnsi="Courier New"/>
          <w:sz w:val="15"/>
          <w:szCs w:val="15"/>
          <w:color w:val="auto"/>
        </w:rPr>
        <w:t>- "CONTAINS NICKEL-CADMIUM</w:t>
      </w:r>
    </w:p>
    <w:p>
      <w:pPr>
        <w:spacing w:after="0" w:line="5" w:lineRule="exact"/>
        <w:rPr>
          <w:sz w:val="20"/>
          <w:szCs w:val="20"/>
          <w:color w:val="auto"/>
        </w:rPr>
      </w:pPr>
    </w:p>
    <w:p>
      <w:pPr>
        <w:ind w:left="7727"/>
        <w:spacing w:after="0"/>
        <w:rPr>
          <w:sz w:val="20"/>
          <w:szCs w:val="20"/>
          <w:color w:val="auto"/>
        </w:rPr>
      </w:pPr>
      <w:r>
        <w:rPr>
          <w:rFonts w:ascii="Courier New" w:cs="Courier New" w:eastAsia="Courier New" w:hAnsi="Courier New"/>
          <w:sz w:val="15"/>
          <w:szCs w:val="15"/>
          <w:color w:val="auto"/>
        </w:rPr>
        <w:t>BATTERY. BATTERY MUST BE</w:t>
      </w:r>
    </w:p>
    <w:p>
      <w:pPr>
        <w:spacing w:after="0" w:line="5" w:lineRule="exact"/>
        <w:rPr>
          <w:sz w:val="20"/>
          <w:szCs w:val="20"/>
          <w:color w:val="auto"/>
        </w:rPr>
      </w:pPr>
    </w:p>
    <w:p>
      <w:pPr>
        <w:ind w:left="7727"/>
        <w:spacing w:after="0"/>
        <w:rPr>
          <w:sz w:val="20"/>
          <w:szCs w:val="20"/>
          <w:color w:val="auto"/>
        </w:rPr>
      </w:pPr>
      <w:r>
        <w:rPr>
          <w:rFonts w:ascii="Courier New" w:cs="Courier New" w:eastAsia="Courier New" w:hAnsi="Courier New"/>
          <w:sz w:val="15"/>
          <w:szCs w:val="15"/>
          <w:color w:val="auto"/>
        </w:rPr>
        <w:t>RECYCLED OR DISPOSED OR</w:t>
      </w:r>
    </w:p>
    <w:p>
      <w:pPr>
        <w:spacing w:after="0" w:line="5" w:lineRule="exact"/>
        <w:rPr>
          <w:sz w:val="20"/>
          <w:szCs w:val="20"/>
          <w:color w:val="auto"/>
        </w:rPr>
      </w:pPr>
    </w:p>
    <w:p>
      <w:pPr>
        <w:ind w:left="7727"/>
        <w:spacing w:after="0"/>
        <w:rPr>
          <w:sz w:val="20"/>
          <w:szCs w:val="20"/>
          <w:color w:val="auto"/>
        </w:rPr>
      </w:pPr>
      <w:r>
        <w:rPr>
          <w:rFonts w:ascii="Courier New" w:cs="Courier New" w:eastAsia="Courier New" w:hAnsi="Courier New"/>
          <w:sz w:val="15"/>
          <w:szCs w:val="15"/>
          <w:color w:val="auto"/>
        </w:rPr>
        <w:t>PROPERLY."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NOTE 1: LABELING REQUIREMENT FOR THE NETHERLANDS</w:t>
      </w:r>
    </w:p>
    <w:p>
      <w:pPr>
        <w:sectPr>
          <w:pgSz w:w="11900" w:h="16838" w:orient="portrait"/>
          <w:cols w:equalWidth="0" w:num="1">
            <w:col w:w="11087"/>
          </w:cols>
          <w:pgMar w:left="233" w:top="642" w:right="579"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IMAGE APPEARS HERE]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label must be on the packaging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battery (if sold separate from the product)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in the manual of the product containing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battery with statements about removal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battery.</w:t>
      </w:r>
    </w:p>
    <w:p>
      <w:pPr>
        <w:spacing w:after="0" w:line="200" w:lineRule="exact"/>
        <w:rPr>
          <w:sz w:val="20"/>
          <w:szCs w:val="20"/>
          <w:color w:val="auto"/>
        </w:rPr>
      </w:pPr>
    </w:p>
    <w:p>
      <w:pPr>
        <w:sectPr>
          <w:pgSz w:w="11900" w:h="16838" w:orient="portrait"/>
          <w:cols w:equalWidth="0" w:num="2">
            <w:col w:w="2547" w:space="640"/>
            <w:col w:w="7900"/>
          </w:cols>
          <w:pgMar w:left="233" w:top="642" w:right="579" w:bottom="1440" w:gutter="0" w:footer="0" w:header="0"/>
          <w:type w:val="continuous"/>
        </w:sectPr>
      </w:pPr>
    </w:p>
    <w:p>
      <w:pPr>
        <w:spacing w:after="0" w:line="1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Date: 09/29/99</w:t>
            </w:r>
          </w:p>
        </w:tc>
        <w:tc>
          <w:tcPr>
            <w:tcW w:w="1040" w:type="dxa"/>
            <w:vAlign w:val="bottom"/>
          </w:tcPr>
          <w:p>
            <w:pPr>
              <w:spacing w:after="0"/>
              <w:rPr>
                <w:sz w:val="15"/>
                <w:szCs w:val="15"/>
                <w:color w:val="auto"/>
              </w:rPr>
            </w:pP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GENERAL</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Page 8 of 8</w:t>
            </w:r>
          </w:p>
        </w:tc>
      </w:tr>
      <w:tr>
        <w:trPr>
          <w:trHeight w:val="175"/>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Changes since previous issue</w:t>
            </w:r>
          </w:p>
        </w:tc>
        <w:tc>
          <w:tcPr>
            <w:tcW w:w="2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SPECIFICATION FOR</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DWG [*]</w:t>
            </w:r>
          </w:p>
        </w:tc>
      </w:tr>
      <w:tr>
        <w:trPr>
          <w:trHeight w:val="175"/>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noted by approval:</w:t>
            </w: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ENVIRONMENT</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Rev. D</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87" w:right="3820" w:hanging="187"/>
        <w:spacing w:after="0" w:line="247" w:lineRule="auto"/>
        <w:tabs>
          <w:tab w:leader="none" w:pos="187" w:val="left"/>
        </w:tabs>
        <w:numPr>
          <w:ilvl w:val="0"/>
          <w:numId w:val="6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ectPr>
          <w:pgSz w:w="11900" w:h="16838" w:orient="portrait"/>
          <w:cols w:equalWidth="0" w:num="1">
            <w:col w:w="11087"/>
          </w:cols>
          <w:pgMar w:left="233" w:top="642" w:right="579" w:bottom="1440" w:gutter="0" w:footer="0" w:header="0"/>
          <w:type w:val="continuous"/>
        </w:sectPr>
      </w:pPr>
    </w:p>
    <w:bookmarkStart w:id="370" w:name="page371"/>
    <w:bookmarkEnd w:id="370"/>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EXHIBIT (C)</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PRICING &amp; FEES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OEM PRODUCT PRICING.</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SHIPPING TERMS. Shipping terms for the SILKWORM 12000 during the allocation period of [*] shall be DDU (port) pursuant to Incoterms 2000. HP shall be the U.S. Principal Party in Interest.</w:t>
      </w:r>
    </w:p>
    <w:p>
      <w:pPr>
        <w:spacing w:after="0" w:line="174"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ORDERS. All Orders for the SILKWORM 12000 shall be "Discrete Purchase Orders" which shall mean Orders that are not pursuant to nor subject to the [*] model</w:t>
      </w:r>
    </w:p>
    <w:p>
      <w:pPr>
        <w:spacing w:after="0" w:line="1" w:lineRule="exact"/>
        <w:rPr>
          <w:sz w:val="20"/>
          <w:szCs w:val="20"/>
          <w:color w:val="auto"/>
        </w:rPr>
      </w:pPr>
    </w:p>
    <w:p>
      <w:pPr>
        <w:ind w:left="367" w:hanging="367"/>
        <w:spacing w:after="0"/>
        <w:tabs>
          <w:tab w:leader="none" w:pos="367"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 its associated fees. The lead- time for the forecasted Orders shall be</w:t>
      </w:r>
    </w:p>
    <w:p>
      <w:pPr>
        <w:spacing w:after="0" w:line="4" w:lineRule="exact"/>
        <w:rPr>
          <w:rFonts w:ascii="Courier New" w:cs="Courier New" w:eastAsia="Courier New" w:hAnsi="Courier New"/>
          <w:sz w:val="15"/>
          <w:szCs w:val="15"/>
          <w:color w:val="auto"/>
        </w:rPr>
      </w:pPr>
    </w:p>
    <w:p>
      <w:pPr>
        <w:ind w:left="7" w:right="3419" w:hanging="7"/>
        <w:spacing w:after="0" w:line="247" w:lineRule="auto"/>
        <w:tabs>
          <w:tab w:leader="none" w:pos="370" w:val="left"/>
        </w:tabs>
        <w:numPr>
          <w:ilvl w:val="0"/>
          <w:numId w:val="6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 forecast. Brocade shall use commercially reasonable efforts for un-forecasted Orders.</w:t>
      </w:r>
    </w:p>
    <w:p>
      <w:pPr>
        <w:spacing w:after="0" w:line="17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PRODUCT WARRANTY. The extended warranty of period shall be for [*] commencing upon shipment. Such warranty is for FRUs and hardware exclusive of software which has a warranty of [*].</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SILKWORM 12000 BASE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PART DESCRIPTION: SilkWorm 12000 32-port Base Fibre Channel Fabric Switch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MODEL NO./DESCRIPTION: [*]</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066" w:val="left"/>
        </w:tabs>
        <w:rPr>
          <w:sz w:val="20"/>
          <w:szCs w:val="20"/>
          <w:color w:val="auto"/>
        </w:rPr>
      </w:pPr>
      <w:r>
        <w:rPr>
          <w:rFonts w:ascii="Courier New" w:cs="Courier New" w:eastAsia="Courier New" w:hAnsi="Courier New"/>
          <w:sz w:val="15"/>
          <w:szCs w:val="15"/>
          <w:color w:val="auto"/>
        </w:rPr>
        <w:t>TIME PERIOD</w:t>
      </w:r>
      <w:r>
        <w:rPr>
          <w:sz w:val="20"/>
          <w:szCs w:val="20"/>
          <w:color w:val="auto"/>
        </w:rPr>
        <w:tab/>
      </w:r>
      <w:r>
        <w:rPr>
          <w:rFonts w:ascii="Courier New" w:cs="Courier New" w:eastAsia="Courier New" w:hAnsi="Courier New"/>
          <w:sz w:val="15"/>
          <w:szCs w:val="15"/>
          <w:color w:val="auto"/>
        </w:rPr>
        <w:t>HP PURCHASE PRICE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3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779"/>
        <w:spacing w:after="0" w:line="247" w:lineRule="auto"/>
        <w:rPr>
          <w:sz w:val="20"/>
          <w:szCs w:val="20"/>
          <w:color w:val="auto"/>
        </w:rPr>
      </w:pPr>
      <w:r>
        <w:rPr>
          <w:rFonts w:ascii="Courier New" w:cs="Courier New" w:eastAsia="Courier New" w:hAnsi="Courier New"/>
          <w:sz w:val="15"/>
          <w:szCs w:val="15"/>
          <w:color w:val="auto"/>
        </w:rPr>
        <w:t>- -------------------------------------------------------------------------------- [*] [*]</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16-PORT MODULES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HP PART DESCRIPTION: Upgrade 16-port Auto-sensing 1-2 Gbit/second Module</w:t>
      </w:r>
    </w:p>
    <w:p>
      <w:pPr>
        <w:spacing w:after="0" w:line="200" w:lineRule="exact"/>
        <w:rPr>
          <w:sz w:val="20"/>
          <w:szCs w:val="20"/>
          <w:color w:val="auto"/>
        </w:rPr>
      </w:pPr>
    </w:p>
    <w:p>
      <w:pPr>
        <w:spacing w:after="0" w:line="329" w:lineRule="exact"/>
        <w:rPr>
          <w:sz w:val="20"/>
          <w:szCs w:val="20"/>
          <w:color w:val="auto"/>
        </w:rPr>
      </w:pPr>
    </w:p>
    <w:p>
      <w:pPr>
        <w:ind w:left="447" w:right="2959" w:hanging="447"/>
        <w:spacing w:after="0" w:line="247" w:lineRule="auto"/>
        <w:tabs>
          <w:tab w:leader="none" w:pos="447" w:val="left"/>
        </w:tabs>
        <w:numPr>
          <w:ilvl w:val="0"/>
          <w:numId w:val="6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AMENDMENT NO. 4</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1 of 3</w:t>
      </w:r>
    </w:p>
    <w:p>
      <w:pPr>
        <w:sectPr>
          <w:pgSz w:w="11900" w:h="16838" w:orient="portrait"/>
          <w:cols w:equalWidth="0" w:num="1">
            <w:col w:w="10226"/>
          </w:cols>
          <w:pgMar w:left="233" w:top="643" w:right="1440" w:bottom="1440" w:gutter="0" w:footer="0" w:header="0"/>
        </w:sectPr>
      </w:pPr>
    </w:p>
    <w:bookmarkStart w:id="371" w:name="page372"/>
    <w:bookmarkEnd w:id="371"/>
    <w:p>
      <w:pPr>
        <w:ind w:left="2547"/>
        <w:spacing w:after="0"/>
        <w:rPr>
          <w:sz w:val="20"/>
          <w:szCs w:val="20"/>
          <w:color w:val="auto"/>
        </w:rPr>
      </w:pPr>
      <w:r>
        <w:rPr>
          <w:rFonts w:ascii="Courier New" w:cs="Courier New" w:eastAsia="Courier New" w:hAnsi="Courier New"/>
          <w:sz w:val="15"/>
          <w:szCs w:val="15"/>
          <w:color w:val="auto"/>
        </w:rPr>
        <w:t>BROCADE/HP CONFIDENTIAL</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SUPPLIER MODEL NO./DESCRIPTION: [*]</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066" w:val="left"/>
        </w:tabs>
        <w:rPr>
          <w:sz w:val="20"/>
          <w:szCs w:val="20"/>
          <w:color w:val="auto"/>
        </w:rPr>
      </w:pPr>
      <w:r>
        <w:rPr>
          <w:rFonts w:ascii="Courier New" w:cs="Courier New" w:eastAsia="Courier New" w:hAnsi="Courier New"/>
          <w:sz w:val="15"/>
          <w:szCs w:val="15"/>
          <w:color w:val="auto"/>
        </w:rPr>
        <w:t>TIME PERIOD</w:t>
      </w:r>
      <w:r>
        <w:rPr>
          <w:sz w:val="20"/>
          <w:szCs w:val="20"/>
          <w:color w:val="auto"/>
        </w:rPr>
        <w:tab/>
      </w:r>
      <w:r>
        <w:rPr>
          <w:rFonts w:ascii="Courier New" w:cs="Courier New" w:eastAsia="Courier New" w:hAnsi="Courier New"/>
          <w:sz w:val="15"/>
          <w:szCs w:val="15"/>
          <w:color w:val="auto"/>
        </w:rPr>
        <w:t>HP PURCHASE PRICE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760" w:type="dxa"/>
            <w:vAlign w:val="bottom"/>
          </w:tcPr>
          <w:p>
            <w:pPr>
              <w:jc w:val="right"/>
              <w:ind w:right="4004"/>
              <w:spacing w:after="0"/>
              <w:rPr>
                <w:sz w:val="20"/>
                <w:szCs w:val="20"/>
                <w:color w:val="auto"/>
              </w:rPr>
            </w:pPr>
            <w:r>
              <w:rPr>
                <w:rFonts w:ascii="Courier New" w:cs="Courier New" w:eastAsia="Courier New" w:hAnsi="Courier New"/>
                <w:sz w:val="15"/>
                <w:szCs w:val="15"/>
                <w:color w:val="auto"/>
              </w:rPr>
              <w:t>[*]</w:t>
            </w:r>
          </w:p>
        </w:tc>
      </w:tr>
      <w:tr>
        <w:trPr>
          <w:trHeight w:val="35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760" w:type="dxa"/>
            <w:vAlign w:val="bottom"/>
          </w:tcPr>
          <w:p>
            <w:pPr>
              <w:jc w:val="right"/>
              <w:ind w:right="4004"/>
              <w:spacing w:after="0"/>
              <w:rPr>
                <w:sz w:val="20"/>
                <w:szCs w:val="20"/>
                <w:color w:val="auto"/>
              </w:rPr>
            </w:pPr>
            <w:r>
              <w:rPr>
                <w:rFonts w:ascii="Courier New" w:cs="Courier New" w:eastAsia="Courier New" w:hAnsi="Courier New"/>
                <w:sz w:val="15"/>
                <w:szCs w:val="15"/>
                <w:color w:val="auto"/>
              </w:rPr>
              <w:t>[*]</w:t>
            </w:r>
          </w:p>
        </w:tc>
      </w:tr>
      <w:tr>
        <w:trPr>
          <w:trHeight w:val="35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760" w:type="dxa"/>
            <w:vAlign w:val="bottom"/>
          </w:tcPr>
          <w:p>
            <w:pPr>
              <w:jc w:val="right"/>
              <w:ind w:right="400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87" w:hanging="187"/>
        <w:spacing w:after="0"/>
        <w:tabs>
          <w:tab w:leader="none" w:pos="187"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 La Carte SOFTWARE</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166" w:val="left"/>
        </w:tabs>
        <w:rPr>
          <w:sz w:val="20"/>
          <w:szCs w:val="20"/>
          <w:color w:val="auto"/>
        </w:rPr>
      </w:pPr>
      <w:r>
        <w:rPr>
          <w:rFonts w:ascii="Courier New" w:cs="Courier New" w:eastAsia="Courier New" w:hAnsi="Courier New"/>
          <w:sz w:val="15"/>
          <w:szCs w:val="15"/>
          <w:color w:val="auto"/>
        </w:rPr>
        <w:t>SOFTWARE / FIRMWARE TITLE</w:t>
      </w:r>
      <w:r>
        <w:rPr>
          <w:sz w:val="20"/>
          <w:szCs w:val="20"/>
          <w:color w:val="auto"/>
        </w:rPr>
        <w:tab/>
      </w:r>
      <w:r>
        <w:rPr>
          <w:rFonts w:ascii="Courier New" w:cs="Courier New" w:eastAsia="Courier New" w:hAnsi="Courier New"/>
          <w:sz w:val="15"/>
          <w:szCs w:val="15"/>
          <w:color w:val="auto"/>
        </w:rPr>
        <w:t>HP PURCHASE PRICE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31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720" w:type="dxa"/>
            <w:vAlign w:val="bottom"/>
          </w:tcPr>
          <w:p>
            <w:pPr>
              <w:jc w:val="right"/>
              <w:ind w:right="392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720" w:type="dxa"/>
            <w:vAlign w:val="bottom"/>
          </w:tcPr>
          <w:p>
            <w:pPr>
              <w:jc w:val="right"/>
              <w:ind w:right="392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5720" w:type="dxa"/>
            <w:vAlign w:val="bottom"/>
          </w:tcPr>
          <w:p>
            <w:pPr>
              <w:jc w:val="right"/>
              <w:ind w:right="392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7" w:hanging="187"/>
        <w:spacing w:after="0"/>
        <w:tabs>
          <w:tab w:leader="none" w:pos="187" w:val="left"/>
        </w:tabs>
        <w:numPr>
          <w:ilvl w:val="0"/>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FRU PRODUCT PRICING.</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HP SERVICE FRU'S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3066"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REPAIR</w:t>
      </w:r>
    </w:p>
    <w:p>
      <w:pPr>
        <w:spacing w:after="0" w:line="5" w:lineRule="exact"/>
        <w:rPr>
          <w:sz w:val="20"/>
          <w:szCs w:val="20"/>
          <w:color w:val="auto"/>
        </w:rPr>
      </w:pPr>
    </w:p>
    <w:p>
      <w:pPr>
        <w:ind w:left="3087"/>
        <w:spacing w:after="0"/>
        <w:tabs>
          <w:tab w:leader="none" w:pos="4426" w:val="left"/>
          <w:tab w:leader="none" w:pos="5706" w:val="left"/>
          <w:tab w:leader="none" w:pos="6886" w:val="left"/>
          <w:tab w:leader="none" w:pos="8066" w:val="left"/>
        </w:tabs>
        <w:rPr>
          <w:sz w:val="20"/>
          <w:szCs w:val="20"/>
          <w:color w:val="auto"/>
        </w:rPr>
      </w:pPr>
      <w:r>
        <w:rPr>
          <w:rFonts w:ascii="Courier New" w:cs="Courier New" w:eastAsia="Courier New" w:hAnsi="Courier New"/>
          <w:sz w:val="15"/>
          <w:szCs w:val="15"/>
          <w:color w:val="auto"/>
        </w:rPr>
        <w:t>PRICING</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3246" w:val="left"/>
          <w:tab w:leader="none" w:pos="4426" w:val="left"/>
          <w:tab w:leader="none" w:pos="5706" w:val="left"/>
          <w:tab w:leader="none" w:pos="6886" w:val="left"/>
          <w:tab w:leader="none" w:pos="8066" w:val="left"/>
        </w:tabs>
        <w:rPr>
          <w:sz w:val="20"/>
          <w:szCs w:val="20"/>
          <w:color w:val="auto"/>
        </w:rPr>
      </w:pPr>
      <w:r>
        <w:rPr>
          <w:rFonts w:ascii="Courier New" w:cs="Courier New" w:eastAsia="Courier New" w:hAnsi="Courier New"/>
          <w:sz w:val="15"/>
          <w:szCs w:val="15"/>
          <w:color w:val="auto"/>
        </w:rPr>
        <w:t>SW12000 Chassis FRU, includes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backplane, blower backplane &amp;</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harness, AC harness (does not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include blower assys, power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supplies, WWN card, door,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cable tray)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7" w:right="1859"/>
        <w:spacing w:after="0" w:line="243" w:lineRule="auto"/>
        <w:rPr>
          <w:sz w:val="20"/>
          <w:szCs w:val="20"/>
          <w:color w:val="auto"/>
        </w:rPr>
      </w:pPr>
      <w:r>
        <w:rPr>
          <w:rFonts w:ascii="Courier New" w:cs="Courier New" w:eastAsia="Courier New" w:hAnsi="Courier New"/>
          <w:sz w:val="15"/>
          <w:szCs w:val="15"/>
          <w:color w:val="auto"/>
        </w:rPr>
        <w:t>FRU, 16 Port Auto-Sensing 1-2 [*] [*] [*] [*] [*] Gbit/Sec Module</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246" w:val="left"/>
          <w:tab w:leader="none" w:pos="4426" w:val="left"/>
          <w:tab w:leader="none" w:pos="5706" w:val="left"/>
          <w:tab w:leader="none" w:pos="6886" w:val="left"/>
          <w:tab w:leader="none" w:pos="8066" w:val="left"/>
        </w:tabs>
        <w:rPr>
          <w:sz w:val="20"/>
          <w:szCs w:val="20"/>
          <w:color w:val="auto"/>
        </w:rPr>
      </w:pPr>
      <w:r>
        <w:rPr>
          <w:rFonts w:ascii="Courier New" w:cs="Courier New" w:eastAsia="Courier New" w:hAnsi="Courier New"/>
          <w:sz w:val="15"/>
          <w:szCs w:val="15"/>
          <w:color w:val="auto"/>
        </w:rPr>
        <w:t>FRU, SW12000 Control Processor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7" w:right="1859"/>
        <w:spacing w:after="0" w:line="243" w:lineRule="auto"/>
        <w:rPr>
          <w:sz w:val="20"/>
          <w:szCs w:val="20"/>
          <w:color w:val="auto"/>
        </w:rPr>
      </w:pPr>
      <w:r>
        <w:rPr>
          <w:rFonts w:ascii="Courier New" w:cs="Courier New" w:eastAsia="Courier New" w:hAnsi="Courier New"/>
          <w:sz w:val="15"/>
          <w:szCs w:val="15"/>
          <w:color w:val="auto"/>
        </w:rPr>
        <w:t>FRU, SW12000 Power Supply, [*] [*] [*] [*] [*] 180-264VAC, 1000W</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246" w:val="left"/>
          <w:tab w:leader="none" w:pos="4426" w:val="left"/>
          <w:tab w:leader="none" w:pos="5706" w:val="left"/>
          <w:tab w:leader="none" w:pos="6886" w:val="left"/>
          <w:tab w:leader="none" w:pos="8066" w:val="left"/>
        </w:tabs>
        <w:rPr>
          <w:sz w:val="20"/>
          <w:szCs w:val="20"/>
          <w:color w:val="auto"/>
        </w:rPr>
      </w:pPr>
      <w:r>
        <w:rPr>
          <w:rFonts w:ascii="Courier New" w:cs="Courier New" w:eastAsia="Courier New" w:hAnsi="Courier New"/>
          <w:sz w:val="15"/>
          <w:szCs w:val="15"/>
          <w:color w:val="auto"/>
        </w:rPr>
        <w:t>FRU, SW12000 rack mount kit.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Includes front &amp; rear brkts,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bottom support rack rails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246" w:val="left"/>
          <w:tab w:leader="none" w:pos="4426" w:val="left"/>
          <w:tab w:leader="none" w:pos="5706" w:val="left"/>
          <w:tab w:leader="none" w:pos="6886" w:val="left"/>
          <w:tab w:leader="none" w:pos="8066" w:val="left"/>
        </w:tabs>
        <w:rPr>
          <w:sz w:val="20"/>
          <w:szCs w:val="20"/>
          <w:color w:val="auto"/>
        </w:rPr>
      </w:pPr>
      <w:r>
        <w:rPr>
          <w:rFonts w:ascii="Courier New" w:cs="Courier New" w:eastAsia="Courier New" w:hAnsi="Courier New"/>
          <w:sz w:val="15"/>
          <w:szCs w:val="15"/>
          <w:color w:val="auto"/>
        </w:rPr>
        <w:t>FRU, SW12000 Blower Assembly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986" w:val="left"/>
        </w:tabs>
        <w:rPr>
          <w:sz w:val="20"/>
          <w:szCs w:val="20"/>
          <w:color w:val="auto"/>
        </w:rPr>
      </w:pPr>
      <w:r>
        <w:rPr>
          <w:rFonts w:ascii="Courier New" w:cs="Courier New" w:eastAsia="Courier New" w:hAnsi="Courier New"/>
          <w:sz w:val="15"/>
          <w:szCs w:val="15"/>
          <w:color w:val="auto"/>
        </w:rPr>
        <w:t>(single).</w:t>
      </w:r>
      <w:r>
        <w:rPr>
          <w:sz w:val="20"/>
          <w:szCs w:val="20"/>
          <w:color w:val="auto"/>
        </w:rPr>
        <w:tab/>
      </w:r>
      <w:r>
        <w:rPr>
          <w:rFonts w:ascii="Courier New" w:cs="Courier New" w:eastAsia="Courier New" w:hAnsi="Courier New"/>
          <w:sz w:val="14"/>
          <w:szCs w:val="14"/>
          <w:color w:val="auto"/>
        </w:rPr>
        <w:t>Includes blower,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control board, housing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1859"/>
        <w:spacing w:after="0" w:line="243" w:lineRule="auto"/>
        <w:rPr>
          <w:sz w:val="20"/>
          <w:szCs w:val="20"/>
          <w:color w:val="auto"/>
        </w:rPr>
      </w:pPr>
      <w:r>
        <w:rPr>
          <w:rFonts w:ascii="Courier New" w:cs="Courier New" w:eastAsia="Courier New" w:hAnsi="Courier New"/>
          <w:sz w:val="15"/>
          <w:szCs w:val="15"/>
          <w:color w:val="auto"/>
        </w:rPr>
        <w:t>FRU, SW12000 Rear WWN Bezel, [*] [*] [*] [*] [*] LED Status Panel cosmetic trim</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FRU, SW12000 WWN board</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assembly</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9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FRU, SW12000 chassis door</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9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6"/>
          </w:cols>
          <w:pgMar w:left="233" w:top="643" w:right="1440" w:bottom="431" w:gutter="0" w:footer="0" w:header="0"/>
        </w:sectPr>
      </w:pPr>
    </w:p>
    <w:bookmarkStart w:id="372" w:name="page373"/>
    <w:bookmarkEnd w:id="372"/>
    <w:p>
      <w:pPr>
        <w:ind w:left="447" w:right="2959" w:hanging="447"/>
        <w:spacing w:after="0" w:line="247" w:lineRule="auto"/>
        <w:tabs>
          <w:tab w:leader="none" w:pos="447" w:val="left"/>
        </w:tabs>
        <w:numPr>
          <w:ilvl w:val="0"/>
          <w:numId w:val="6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AMENDMENT NO. 4</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2 of 3</w:t>
      </w:r>
    </w:p>
    <w:p>
      <w:pPr>
        <w:sectPr>
          <w:pgSz w:w="11900" w:h="16838" w:orient="portrait"/>
          <w:cols w:equalWidth="0" w:num="1">
            <w:col w:w="10226"/>
          </w:cols>
          <w:pgMar w:left="233" w:top="142" w:right="1440" w:bottom="1440" w:gutter="0" w:footer="0" w:header="0"/>
        </w:sectPr>
      </w:pPr>
    </w:p>
    <w:bookmarkStart w:id="373" w:name="page374"/>
    <w:bookmarkEnd w:id="373"/>
    <w:p>
      <w:pPr>
        <w:ind w:left="2547"/>
        <w:spacing w:after="0"/>
        <w:rPr>
          <w:sz w:val="20"/>
          <w:szCs w:val="20"/>
          <w:color w:val="auto"/>
        </w:rPr>
      </w:pPr>
      <w:r>
        <w:rPr>
          <w:rFonts w:ascii="Courier New" w:cs="Courier New" w:eastAsia="Courier New" w:hAnsi="Courier New"/>
          <w:sz w:val="15"/>
          <w:szCs w:val="15"/>
          <w:color w:val="auto"/>
        </w:rPr>
        <w:t>BROCADE / HP CONFIDENTIAL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1859"/>
        <w:spacing w:after="0" w:line="243" w:lineRule="auto"/>
        <w:rPr>
          <w:sz w:val="20"/>
          <w:szCs w:val="20"/>
          <w:color w:val="auto"/>
        </w:rPr>
      </w:pPr>
      <w:r>
        <w:rPr>
          <w:rFonts w:ascii="Courier New" w:cs="Courier New" w:eastAsia="Courier New" w:hAnsi="Courier New"/>
          <w:sz w:val="15"/>
          <w:szCs w:val="15"/>
          <w:color w:val="auto"/>
        </w:rPr>
        <w:t>FRU, SW12000 Switch card slot [*] [*] [*] [*] [*] filler panel</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246" w:val="left"/>
          <w:tab w:leader="none" w:pos="4426" w:val="left"/>
          <w:tab w:leader="none" w:pos="5706" w:val="left"/>
          <w:tab w:leader="none" w:pos="6886" w:val="left"/>
          <w:tab w:leader="none" w:pos="8066" w:val="left"/>
        </w:tabs>
        <w:rPr>
          <w:sz w:val="20"/>
          <w:szCs w:val="20"/>
          <w:color w:val="auto"/>
        </w:rPr>
      </w:pPr>
      <w:r>
        <w:rPr>
          <w:rFonts w:ascii="Courier New" w:cs="Courier New" w:eastAsia="Courier New" w:hAnsi="Courier New"/>
          <w:sz w:val="15"/>
          <w:szCs w:val="15"/>
          <w:color w:val="auto"/>
        </w:rPr>
        <w:t>FRU, SW12000 cable management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tray</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9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FRU, SW12000 cable management</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pillar (16)</w:t>
            </w: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9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right="2959" w:hanging="447"/>
        <w:spacing w:after="0" w:line="247" w:lineRule="auto"/>
        <w:tabs>
          <w:tab w:leader="none" w:pos="447" w:val="left"/>
        </w:tabs>
        <w:numPr>
          <w:ilvl w:val="0"/>
          <w:numId w:val="6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ON THIS PAGE HAS BEEN OMITTED AND FILED SEPARATELY WITH THE SEC. CONFIDENTIAL TREATMENT HAS BEEN REQUESTED WITH RESPECT TO THE OMITTED PORTIONS.</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AMENDMENT NO. 4</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Page 3 of 3</w:t>
      </w:r>
    </w:p>
    <w:p>
      <w:pPr>
        <w:sectPr>
          <w:pgSz w:w="11900" w:h="16838" w:orient="portrait"/>
          <w:cols w:equalWidth="0" w:num="1">
            <w:col w:w="10226"/>
          </w:cols>
          <w:pgMar w:left="233" w:top="643" w:right="1440" w:bottom="1440" w:gutter="0" w:footer="0" w:header="0"/>
        </w:sectPr>
      </w:pPr>
    </w:p>
    <w:bookmarkStart w:id="374" w:name="page375"/>
    <w:bookmarkEnd w:id="374"/>
    <w:p>
      <w:pPr>
        <w:ind w:left="6187"/>
        <w:spacing w:after="0"/>
        <w:rPr>
          <w:sz w:val="20"/>
          <w:szCs w:val="20"/>
          <w:color w:val="auto"/>
        </w:rPr>
      </w:pPr>
      <w:r>
        <w:rPr>
          <w:rFonts w:ascii="Courier New" w:cs="Courier New" w:eastAsia="Courier New" w:hAnsi="Courier New"/>
          <w:sz w:val="15"/>
          <w:szCs w:val="15"/>
          <w:color w:val="auto"/>
        </w:rPr>
        <w:t>Exhibit 12.1</w:t>
      </w:r>
    </w:p>
    <w:p>
      <w:pPr>
        <w:spacing w:after="0" w:line="180"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Statement of Computation of Ratio of Earnings to Fixed Charges</w:t>
      </w:r>
    </w:p>
    <w:p>
      <w:pPr>
        <w:spacing w:after="0" w:line="5" w:lineRule="exact"/>
        <w:rPr>
          <w:sz w:val="20"/>
          <w:szCs w:val="20"/>
          <w:color w:val="auto"/>
        </w:rPr>
      </w:pPr>
    </w:p>
    <w:p>
      <w:pPr>
        <w:jc w:val="center"/>
        <w:ind w:right="4153"/>
        <w:spacing w:after="0"/>
        <w:rPr>
          <w:sz w:val="20"/>
          <w:szCs w:val="20"/>
          <w:color w:val="auto"/>
        </w:rPr>
      </w:pPr>
      <w:r>
        <w:rPr>
          <w:rFonts w:ascii="Courier New" w:cs="Courier New" w:eastAsia="Courier New" w:hAnsi="Courier New"/>
          <w:sz w:val="15"/>
          <w:szCs w:val="15"/>
          <w:color w:val="auto"/>
        </w:rPr>
        <w:t>(in thousands, except ratios)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Nine Months Ended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3040" w:type="dxa"/>
            <w:vAlign w:val="bottom"/>
          </w:tcPr>
          <w:p>
            <w:pPr>
              <w:spacing w:after="0"/>
              <w:rPr>
                <w:sz w:val="15"/>
                <w:szCs w:val="15"/>
                <w:color w:val="auto"/>
              </w:rPr>
            </w:pPr>
          </w:p>
        </w:tc>
        <w:tc>
          <w:tcPr>
            <w:tcW w:w="2360" w:type="dxa"/>
            <w:vAlign w:val="bottom"/>
            <w:gridSpan w:val="4"/>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120" w:type="dxa"/>
            <w:vAlign w:val="bottom"/>
            <w:gridSpan w:val="8"/>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July 27,</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July 28,</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Oct. 27,</w:t>
            </w:r>
          </w:p>
        </w:tc>
        <w:tc>
          <w:tcPr>
            <w:tcW w:w="1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Oct. 28,</w:t>
            </w: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Oct. 31,</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Oct. 31,</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Oct. 31,</w:t>
            </w:r>
          </w:p>
        </w:tc>
      </w:tr>
      <w:tr>
        <w:trPr>
          <w:trHeight w:val="175"/>
        </w:trPr>
        <w:tc>
          <w:tcPr>
            <w:tcW w:w="3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5"/>
                <w:szCs w:val="15"/>
                <w:color w:val="auto"/>
              </w:rPr>
            </w:pPr>
          </w:p>
        </w:tc>
        <w:tc>
          <w:tcPr>
            <w:tcW w:w="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8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5"/>
                <w:szCs w:val="15"/>
                <w:color w:val="auto"/>
              </w:rPr>
            </w:pP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04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operations before taxes</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$ 61,967</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$ 80,755</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$ 17,802</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$ 88,316</w:t>
            </w:r>
          </w:p>
        </w:tc>
        <w:tc>
          <w:tcPr>
            <w:tcW w:w="5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2,591</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$(15,111)</w:t>
            </w:r>
          </w:p>
        </w:tc>
        <w:tc>
          <w:tcPr>
            <w:tcW w:w="11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(9,619)</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Fixed charges from continuing</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Interest expense and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amortization of debt</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discount and issuance</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040" w:type="dxa"/>
            <w:vAlign w:val="bottom"/>
          </w:tcPr>
          <w:p>
            <w:pPr>
              <w:ind w:left="540"/>
              <w:spacing w:after="0"/>
              <w:rPr>
                <w:sz w:val="20"/>
                <w:szCs w:val="20"/>
                <w:color w:val="auto"/>
              </w:rPr>
            </w:pPr>
            <w:r>
              <w:rPr>
                <w:rFonts w:ascii="Courier New" w:cs="Courier New" w:eastAsia="Courier New" w:hAnsi="Courier New"/>
                <w:sz w:val="15"/>
                <w:szCs w:val="15"/>
                <w:color w:val="auto"/>
              </w:rPr>
              <w:t>costs on all indebtedness</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8,057</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54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459</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557</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351</w:t>
            </w: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Interest included in rent</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4,838</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4,277</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5,507</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1,381</w:t>
            </w:r>
          </w:p>
        </w:tc>
        <w:tc>
          <w:tcPr>
            <w:tcW w:w="54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428</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268</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165</w:t>
            </w:r>
          </w:p>
        </w:tc>
      </w:tr>
      <w:tr>
        <w:trPr>
          <w:trHeight w:val="175"/>
        </w:trPr>
        <w:tc>
          <w:tcPr>
            <w:tcW w:w="304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 fixed charges from</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12,895</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4,277</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5,507</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1,426</w:t>
            </w:r>
          </w:p>
        </w:tc>
        <w:tc>
          <w:tcPr>
            <w:tcW w:w="54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887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825</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516</w:t>
            </w:r>
          </w:p>
        </w:tc>
      </w:tr>
      <w:tr>
        <w:trPr>
          <w:trHeight w:val="175"/>
        </w:trPr>
        <w:tc>
          <w:tcPr>
            <w:tcW w:w="304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Earnings (loss) before taxes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and fixed charges</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$ 74,862</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$ 85,032</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$ 23,309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$ 89,742</w:t>
            </w:r>
          </w:p>
        </w:tc>
        <w:tc>
          <w:tcPr>
            <w:tcW w:w="5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3,478</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$(14,286)</w:t>
            </w:r>
          </w:p>
        </w:tc>
        <w:tc>
          <w:tcPr>
            <w:tcW w:w="11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(9,103)</w:t>
            </w:r>
          </w:p>
        </w:tc>
      </w:tr>
      <w:tr>
        <w:trPr>
          <w:trHeight w:val="175"/>
        </w:trPr>
        <w:tc>
          <w:tcPr>
            <w:tcW w:w="304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charges(1)</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5.8x</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19.9x</w:t>
            </w:r>
          </w:p>
        </w:tc>
        <w:tc>
          <w:tcPr>
            <w:tcW w:w="36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4.2x</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62.9x</w:t>
            </w:r>
          </w:p>
        </w:tc>
        <w:tc>
          <w:tcPr>
            <w:tcW w:w="54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3.9x</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(17.3x)(2)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(17.6x)(2)</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Coverage deficiency</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$ 15,111</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9,619</w:t>
            </w:r>
          </w:p>
        </w:tc>
      </w:tr>
      <w:tr>
        <w:trPr>
          <w:trHeight w:val="175"/>
        </w:trPr>
        <w:tc>
          <w:tcPr>
            <w:tcW w:w="3040" w:type="dxa"/>
            <w:vAlign w:val="bottom"/>
          </w:tcPr>
          <w:p>
            <w:pPr>
              <w:spacing w:after="0"/>
              <w:rPr>
                <w:sz w:val="15"/>
                <w:szCs w:val="15"/>
                <w:color w:val="auto"/>
              </w:rPr>
            </w:pP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27" w:right="4260" w:hanging="727"/>
        <w:spacing w:after="0" w:line="246" w:lineRule="auto"/>
        <w:tabs>
          <w:tab w:leader="none" w:pos="727"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was computed by dividing earnings (loss) from continuing operations before taxes by fixed charges from continuing operations for the periods indicated. Fixed charges from continuing operations include (i) interest expense and amortization of debt discount and issuance costs on all indebtedness, and (ii) one-third of all rental expense, which the Company considers to be a reasonable approximation of the interest factor included in rental expense.</w:t>
      </w:r>
    </w:p>
    <w:p>
      <w:pPr>
        <w:spacing w:after="0" w:line="179" w:lineRule="exact"/>
        <w:rPr>
          <w:rFonts w:ascii="Courier New" w:cs="Courier New" w:eastAsia="Courier New" w:hAnsi="Courier New"/>
          <w:sz w:val="15"/>
          <w:szCs w:val="15"/>
          <w:color w:val="auto"/>
        </w:rPr>
      </w:pPr>
    </w:p>
    <w:p>
      <w:pPr>
        <w:ind w:left="727" w:right="4440" w:hanging="727"/>
        <w:spacing w:after="0" w:line="246" w:lineRule="auto"/>
        <w:tabs>
          <w:tab w:leader="none" w:pos="727" w:val="left"/>
        </w:tabs>
        <w:numPr>
          <w:ilvl w:val="0"/>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inadequate to cover fixed charges. For the years ended October 31, 1998 and October 31, 1997, the Company needed additional earnings of $15.1 million and $9.6 million, respectively, to achieve a ratio of earnings to fixed charges of 1.0x.</w:t>
      </w:r>
    </w:p>
    <w:p>
      <w:pPr>
        <w:sectPr>
          <w:pgSz w:w="11900" w:h="16838" w:orient="portrait"/>
          <w:cols w:equalWidth="0" w:num="1">
            <w:col w:w="11527"/>
          </w:cols>
          <w:pgMar w:left="233" w:top="491" w:right="139" w:bottom="1440" w:gutter="0" w:footer="0" w:header="0"/>
        </w:sectPr>
      </w:pPr>
    </w:p>
    <w:bookmarkStart w:id="375" w:name="page376"/>
    <w:bookmarkEnd w:id="375"/>
    <w:p>
      <w:pPr>
        <w:jc w:val="right"/>
        <w:ind w:right="2959"/>
        <w:spacing w:after="0"/>
        <w:rPr>
          <w:sz w:val="20"/>
          <w:szCs w:val="20"/>
          <w:color w:val="auto"/>
        </w:rPr>
      </w:pPr>
      <w:r>
        <w:rPr>
          <w:rFonts w:ascii="Courier New" w:cs="Courier New" w:eastAsia="Courier New" w:hAnsi="Courier New"/>
          <w:sz w:val="15"/>
          <w:szCs w:val="15"/>
          <w:color w:val="auto"/>
        </w:rPr>
        <w:t>Exhibit 99.1</w:t>
      </w:r>
    </w:p>
    <w:p>
      <w:pPr>
        <w:spacing w:after="0" w:line="35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CERTIFICATION OF CHIEF EXECUTIVE OFFICER AND CHIEF FINANCIAL OFFICER</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PURSUANT TO</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18 U.S.C. SECTION 1350,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AS ADOPTED PURSUANT TO</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 Gregory L. Reyes, certify, pursuant to 18 U.S.C. Section 1350, as adopted pursuant to Section 906 of the Sarbanes-Oxley Act of 2002, that the Quarterly Report of Brocade Communications Systems, Inc. on Form 10-Q for the quarterly period ended July 27, 2002 fully complies with the requirements of Section 13(a) or 15(d) of the Securities Exchange Act of 1934 and that information contained in such Quarterly Report fairly presents in all material respects the financial condition and results of operations of Brocade Communications Systems, Inc.</w:t>
      </w:r>
    </w:p>
    <w:p>
      <w:pPr>
        <w:spacing w:after="0" w:line="179"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By: /s/ GREGORY L. REYES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Gregory L. Reyes</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Chairman of the Board and</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 Antonio Canova, certify, pursuant to 18 U.S.C. Section 1350, as adopted pursuant to Section 906 of the Sarbanes-Oxley Act of 2002, that the Quarterly Report of Brocade Communications Systems, Inc. on Form 10-Q for the quarterly period ended July 27, 2002 fully complies with the requirements of Section 13(a) or 15(d) of the Securities Exchange Act of 1934 and that information contained in such Quarterly Report fairly presents in all material respects the financial condition and results of operations of Brocade Communications Systems, Inc.</w:t>
      </w:r>
    </w:p>
    <w:p>
      <w:pPr>
        <w:spacing w:after="0" w:line="179"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By: /s/ ANTONIO CANOVA</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Antonio Canova</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Vice President, Finance and</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Chief Financial Officer</w:t>
      </w:r>
    </w:p>
    <w:sectPr>
      <w:pgSz w:w="11900" w:h="16838" w:orient="portrait"/>
      <w:cols w:equalWidth="0" w:num="1">
        <w:col w:w="10219"/>
      </w:cols>
      <w:pgMar w:left="24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FD0AD81"/>
    <w:multiLevelType w:val="hybridMultilevel"/>
    <w:lvl w:ilvl="0">
      <w:lvlJc w:val="left"/>
      <w:lvlText w:val="[%1]"/>
      <w:numFmt w:val="lowerRoman"/>
      <w:start w:val="10"/>
    </w:lvl>
  </w:abstractNum>
  <w:abstractNum w:abstractNumId="1">
    <w:nsid w:val="1978EBEB"/>
    <w:multiLevelType w:val="hybridMultilevel"/>
    <w:lvl w:ilvl="0">
      <w:lvlJc w:val="left"/>
      <w:lvlText w:val="•"/>
      <w:numFmt w:val="bullet"/>
      <w:start w:val="1"/>
    </w:lvl>
  </w:abstractNum>
  <w:abstractNum w:abstractNumId="2">
    <w:nsid w:val="52C12C61"/>
    <w:multiLevelType w:val="hybridMultilevel"/>
    <w:lvl w:ilvl="0">
      <w:lvlJc w:val="left"/>
      <w:lvlText w:val="•"/>
      <w:numFmt w:val="bullet"/>
      <w:start w:val="1"/>
    </w:lvl>
  </w:abstractNum>
  <w:abstractNum w:abstractNumId="3">
    <w:nsid w:val="4BDD53FD"/>
    <w:multiLevelType w:val="hybridMultilevel"/>
    <w:lvl w:ilvl="0">
      <w:lvlJc w:val="left"/>
      <w:lvlText w:val="•"/>
      <w:numFmt w:val="bullet"/>
      <w:start w:val="1"/>
    </w:lvl>
  </w:abstractNum>
  <w:abstractNum w:abstractNumId="4">
    <w:nsid w:val="569951FE"/>
    <w:multiLevelType w:val="hybridMultilevel"/>
    <w:lvl w:ilvl="0">
      <w:lvlJc w:val="left"/>
      <w:lvlText w:val="•"/>
      <w:numFmt w:val="bullet"/>
      <w:start w:val="1"/>
    </w:lvl>
  </w:abstractNum>
  <w:abstractNum w:abstractNumId="5">
    <w:nsid w:val="4C54E2C3"/>
    <w:multiLevelType w:val="hybridMultilevel"/>
    <w:lvl w:ilvl="0">
      <w:lvlJc w:val="left"/>
      <w:lvlText w:val="•"/>
      <w:numFmt w:val="bullet"/>
      <w:start w:val="1"/>
    </w:lvl>
  </w:abstractNum>
  <w:abstractNum w:abstractNumId="6">
    <w:nsid w:val="788BD9B"/>
    <w:multiLevelType w:val="hybridMultilevel"/>
    <w:lvl w:ilvl="0">
      <w:lvlJc w:val="left"/>
      <w:lvlText w:val="•"/>
      <w:numFmt w:val="bullet"/>
      <w:start w:val="1"/>
    </w:lvl>
  </w:abstractNum>
  <w:abstractNum w:abstractNumId="7">
    <w:nsid w:val="47CAA567"/>
    <w:multiLevelType w:val="hybridMultilevel"/>
    <w:lvl w:ilvl="0">
      <w:lvlJc w:val="left"/>
      <w:lvlText w:val="•"/>
      <w:numFmt w:val="bullet"/>
      <w:start w:val="1"/>
    </w:lvl>
  </w:abstractNum>
  <w:abstractNum w:abstractNumId="8">
    <w:nsid w:val="48249DBF"/>
    <w:multiLevelType w:val="hybridMultilevel"/>
    <w:lvl w:ilvl="0">
      <w:lvlJc w:val="left"/>
      <w:lvlText w:val="•"/>
      <w:numFmt w:val="bullet"/>
      <w:start w:val="1"/>
    </w:lvl>
  </w:abstractNum>
  <w:abstractNum w:abstractNumId="9">
    <w:nsid w:val="1F0E5D0D"/>
    <w:multiLevelType w:val="hybridMultilevel"/>
    <w:lvl w:ilvl="0">
      <w:lvlJc w:val="left"/>
      <w:lvlText w:val="•"/>
      <w:numFmt w:val="bullet"/>
      <w:start w:val="1"/>
    </w:lvl>
  </w:abstractNum>
  <w:abstractNum w:abstractNumId="10">
    <w:nsid w:val="26BAAE9"/>
    <w:multiLevelType w:val="hybridMultilevel"/>
    <w:lvl w:ilvl="0">
      <w:lvlJc w:val="left"/>
      <w:lvlText w:val="•"/>
      <w:numFmt w:val="bullet"/>
      <w:start w:val="1"/>
    </w:lvl>
  </w:abstractNum>
  <w:abstractNum w:abstractNumId="11">
    <w:nsid w:val="2C02FE8C"/>
    <w:multiLevelType w:val="hybridMultilevel"/>
    <w:lvl w:ilvl="0">
      <w:lvlJc w:val="left"/>
      <w:lvlText w:val="*"/>
      <w:numFmt w:val="bullet"/>
      <w:start w:val="1"/>
    </w:lvl>
  </w:abstractNum>
  <w:abstractNum w:abstractNumId="12">
    <w:nsid w:val="129517E"/>
    <w:multiLevelType w:val="hybridMultilevel"/>
    <w:lvl w:ilvl="0">
      <w:lvlJc w:val="left"/>
      <w:lvlText w:val="#"/>
      <w:numFmt w:val="bullet"/>
      <w:start w:val="1"/>
    </w:lvl>
  </w:abstractNum>
  <w:abstractNum w:abstractNumId="13">
    <w:nsid w:val="763B8C4E"/>
    <w:multiLevelType w:val="hybridMultilevel"/>
    <w:lvl w:ilvl="0">
      <w:lvlJc w:val="left"/>
      <w:lvlText w:val="+"/>
      <w:numFmt w:val="bullet"/>
      <w:start w:val="1"/>
    </w:lvl>
  </w:abstractNum>
  <w:abstractNum w:abstractNumId="14">
    <w:nsid w:val="4CFB8D32"/>
    <w:multiLevelType w:val="hybridMultilevel"/>
    <w:lvl w:ilvl="0">
      <w:lvlJc w:val="left"/>
      <w:lvlText w:val="(%1)"/>
      <w:numFmt w:val="decimal"/>
      <w:start w:val="1"/>
    </w:lvl>
    <w:lvl w:ilvl="1">
      <w:lvlJc w:val="left"/>
      <w:lvlText w:val="(%2)"/>
      <w:numFmt w:val="lowerLetter"/>
      <w:start w:val="2"/>
    </w:lvl>
  </w:abstractNum>
  <w:abstractNum w:abstractNumId="15">
    <w:nsid w:val="62A5D5BD"/>
    <w:multiLevelType w:val="hybridMultilevel"/>
    <w:lvl w:ilvl="0">
      <w:lvlJc w:val="left"/>
      <w:lvlText w:val="*"/>
      <w:numFmt w:val="bullet"/>
      <w:start w:val="1"/>
    </w:lvl>
  </w:abstractNum>
  <w:abstractNum w:abstractNumId="16">
    <w:nsid w:val="718FABF9"/>
    <w:multiLevelType w:val="hybridMultilevel"/>
    <w:lvl w:ilvl="0">
      <w:lvlJc w:val="left"/>
      <w:lvlText w:val="#"/>
      <w:numFmt w:val="bullet"/>
      <w:start w:val="1"/>
    </w:lvl>
  </w:abstractNum>
  <w:abstractNum w:abstractNumId="17">
    <w:nsid w:val="7775797C"/>
    <w:multiLevelType w:val="hybridMultilevel"/>
    <w:lvl w:ilvl="0">
      <w:lvlJc w:val="left"/>
      <w:lvlText w:val="+"/>
      <w:numFmt w:val="bullet"/>
      <w:start w:val="1"/>
    </w:lvl>
  </w:abstractNum>
  <w:abstractNum w:abstractNumId="18">
    <w:nsid w:val="1626FB8C"/>
    <w:multiLevelType w:val="hybridMultilevel"/>
    <w:lvl w:ilvl="0">
      <w:lvlJc w:val="left"/>
      <w:lvlText w:val="(%1)"/>
      <w:numFmt w:val="decimal"/>
      <w:start w:val="1"/>
    </w:lvl>
  </w:abstractNum>
  <w:abstractNum w:abstractNumId="19">
    <w:nsid w:val="3957756A"/>
    <w:multiLevelType w:val="hybridMultilevel"/>
    <w:lvl w:ilvl="0">
      <w:lvlJc w:val="left"/>
      <w:lvlText w:val="*"/>
      <w:numFmt w:val="bullet"/>
      <w:start w:val="1"/>
    </w:lvl>
  </w:abstractNum>
  <w:abstractNum w:abstractNumId="20">
    <w:nsid w:val="3E6DA1C7"/>
    <w:multiLevelType w:val="hybridMultilevel"/>
    <w:lvl w:ilvl="0">
      <w:lvlJc w:val="left"/>
      <w:lvlText w:val="%1."/>
      <w:numFmt w:val="decimal"/>
      <w:start w:val="2"/>
    </w:lvl>
  </w:abstractNum>
  <w:abstractNum w:abstractNumId="21">
    <w:nsid w:val="65CA235B"/>
    <w:multiLevelType w:val="hybridMultilevel"/>
    <w:lvl w:ilvl="0">
      <w:lvlJc w:val="left"/>
      <w:lvlText w:val="*"/>
      <w:numFmt w:val="bullet"/>
      <w:start w:val="1"/>
    </w:lvl>
  </w:abstractNum>
  <w:abstractNum w:abstractNumId="22">
    <w:nsid w:val="51CB0DA4"/>
    <w:multiLevelType w:val="hybridMultilevel"/>
    <w:lvl w:ilvl="0">
      <w:lvlJc w:val="left"/>
      <w:lvlText w:val="*"/>
      <w:numFmt w:val="bullet"/>
      <w:start w:val="1"/>
    </w:lvl>
  </w:abstractNum>
  <w:abstractNum w:abstractNumId="23">
    <w:nsid w:val="7B9B743C"/>
    <w:multiLevelType w:val="hybridMultilevel"/>
    <w:lvl w:ilvl="0">
      <w:lvlJc w:val="left"/>
      <w:lvlText w:val="*"/>
      <w:numFmt w:val="bullet"/>
      <w:start w:val="1"/>
    </w:lvl>
  </w:abstractNum>
  <w:abstractNum w:abstractNumId="24">
    <w:nsid w:val="13E21002"/>
    <w:multiLevelType w:val="hybridMultilevel"/>
    <w:lvl w:ilvl="0">
      <w:lvlJc w:val="left"/>
      <w:lvlText w:val="%1."/>
      <w:numFmt w:val="decimal"/>
      <w:start w:val="3"/>
    </w:lvl>
  </w:abstractNum>
  <w:abstractNum w:abstractNumId="25">
    <w:nsid w:val="257D63F4"/>
    <w:multiLevelType w:val="hybridMultilevel"/>
    <w:lvl w:ilvl="0">
      <w:lvlJc w:val="left"/>
      <w:lvlText w:val="*"/>
      <w:numFmt w:val="bullet"/>
      <w:start w:val="1"/>
    </w:lvl>
  </w:abstractNum>
  <w:abstractNum w:abstractNumId="26">
    <w:nsid w:val="70EC11B2"/>
    <w:multiLevelType w:val="hybridMultilevel"/>
    <w:lvl w:ilvl="0">
      <w:lvlJc w:val="left"/>
      <w:lvlText w:val="%1."/>
      <w:numFmt w:val="decimal"/>
      <w:start w:val="5"/>
    </w:lvl>
  </w:abstractNum>
  <w:abstractNum w:abstractNumId="27">
    <w:nsid w:val="2EDA00ED"/>
    <w:multiLevelType w:val="hybridMultilevel"/>
    <w:lvl w:ilvl="0">
      <w:lvlJc w:val="left"/>
      <w:lvlText w:val="%1."/>
      <w:numFmt w:val="decimal"/>
      <w:start w:val="6"/>
    </w:lvl>
  </w:abstractNum>
  <w:abstractNum w:abstractNumId="28">
    <w:nsid w:val="73209072"/>
    <w:multiLevelType w:val="hybridMultilevel"/>
    <w:lvl w:ilvl="0">
      <w:lvlJc w:val="left"/>
      <w:lvlText w:val="*"/>
      <w:numFmt w:val="bullet"/>
      <w:start w:val="1"/>
    </w:lvl>
  </w:abstractNum>
  <w:abstractNum w:abstractNumId="29">
    <w:nsid w:val="5FB29816"/>
    <w:multiLevelType w:val="hybridMultilevel"/>
    <w:lvl w:ilvl="0">
      <w:lvlJc w:val="left"/>
      <w:lvlText w:val="*"/>
      <w:numFmt w:val="bullet"/>
      <w:start w:val="1"/>
    </w:lvl>
  </w:abstractNum>
  <w:abstractNum w:abstractNumId="30">
    <w:nsid w:val="3CE732EC"/>
    <w:multiLevelType w:val="hybridMultilevel"/>
    <w:lvl w:ilvl="0">
      <w:lvlJc w:val="left"/>
      <w:lvlText w:val="*"/>
      <w:numFmt w:val="bullet"/>
      <w:start w:val="1"/>
    </w:lvl>
  </w:abstractNum>
  <w:abstractNum w:abstractNumId="31">
    <w:nsid w:val="22F13DF3"/>
    <w:multiLevelType w:val="hybridMultilevel"/>
    <w:lvl w:ilvl="0">
      <w:lvlJc w:val="left"/>
      <w:lvlText w:val="*"/>
      <w:numFmt w:val="bullet"/>
      <w:start w:val="1"/>
    </w:lvl>
  </w:abstractNum>
  <w:abstractNum w:abstractNumId="32">
    <w:nsid w:val="792B8401"/>
    <w:multiLevelType w:val="hybridMultilevel"/>
    <w:lvl w:ilvl="0">
      <w:lvlJc w:val="left"/>
      <w:lvlText w:val="%1."/>
      <w:numFmt w:val="decimal"/>
      <w:start w:val="1"/>
    </w:lvl>
  </w:abstractNum>
  <w:abstractNum w:abstractNumId="33">
    <w:nsid w:val="FA85F4D"/>
    <w:multiLevelType w:val="hybridMultilevel"/>
    <w:lvl w:ilvl="0">
      <w:lvlJc w:val="left"/>
      <w:lvlText w:val="*"/>
      <w:numFmt w:val="bullet"/>
      <w:start w:val="1"/>
    </w:lvl>
  </w:abstractNum>
  <w:abstractNum w:abstractNumId="34">
    <w:nsid w:val="6ECE91F0"/>
    <w:multiLevelType w:val="hybridMultilevel"/>
    <w:lvl w:ilvl="0">
      <w:lvlJc w:val="left"/>
      <w:lvlText w:val="[*]"/>
      <w:numFmt w:val="bullet"/>
      <w:start w:val="1"/>
    </w:lvl>
  </w:abstractNum>
  <w:abstractNum w:abstractNumId="35">
    <w:nsid w:val="4FC4D600"/>
    <w:multiLevelType w:val="hybridMultilevel"/>
    <w:lvl w:ilvl="0">
      <w:lvlJc w:val="left"/>
      <w:lvlText w:val="*"/>
      <w:numFmt w:val="bullet"/>
      <w:start w:val="1"/>
    </w:lvl>
  </w:abstractNum>
  <w:abstractNum w:abstractNumId="36">
    <w:nsid w:val="5BFD4210"/>
    <w:multiLevelType w:val="hybridMultilevel"/>
    <w:lvl w:ilvl="0">
      <w:lvlJc w:val="left"/>
      <w:lvlText w:val="%1."/>
      <w:numFmt w:val="decimal"/>
      <w:start w:val="3"/>
    </w:lvl>
  </w:abstractNum>
  <w:abstractNum w:abstractNumId="37">
    <w:nsid w:val="76574F8B"/>
    <w:multiLevelType w:val="hybridMultilevel"/>
    <w:lvl w:ilvl="0">
      <w:lvlJc w:val="left"/>
      <w:lvlText w:val="*"/>
      <w:numFmt w:val="bullet"/>
      <w:start w:val="1"/>
    </w:lvl>
  </w:abstractNum>
  <w:abstractNum w:abstractNumId="38">
    <w:nsid w:val="178F7B67"/>
    <w:multiLevelType w:val="hybridMultilevel"/>
    <w:lvl w:ilvl="0">
      <w:lvlJc w:val="left"/>
      <w:lvlText w:val="[*]"/>
      <w:numFmt w:val="bullet"/>
      <w:start w:val="1"/>
    </w:lvl>
  </w:abstractNum>
  <w:abstractNum w:abstractNumId="39">
    <w:nsid w:val="2421DFCF"/>
    <w:multiLevelType w:val="hybridMultilevel"/>
    <w:lvl w:ilvl="0">
      <w:lvlJc w:val="left"/>
      <w:lvlText w:val="[*]"/>
      <w:numFmt w:val="bullet"/>
      <w:start w:val="1"/>
    </w:lvl>
  </w:abstractNum>
  <w:abstractNum w:abstractNumId="40">
    <w:nsid w:val="1565AC99"/>
    <w:multiLevelType w:val="hybridMultilevel"/>
    <w:lvl w:ilvl="0">
      <w:lvlJc w:val="left"/>
      <w:lvlText w:val="*"/>
      <w:numFmt w:val="bullet"/>
      <w:start w:val="1"/>
    </w:lvl>
  </w:abstractNum>
  <w:abstractNum w:abstractNumId="41">
    <w:nsid w:val="19FB2650"/>
    <w:multiLevelType w:val="hybridMultilevel"/>
    <w:lvl w:ilvl="0">
      <w:lvlJc w:val="left"/>
      <w:lvlText w:val="[*]"/>
      <w:numFmt w:val="bullet"/>
      <w:start w:val="1"/>
    </w:lvl>
  </w:abstractNum>
  <w:abstractNum w:abstractNumId="42">
    <w:nsid w:val="5024DE5B"/>
    <w:multiLevelType w:val="hybridMultilevel"/>
    <w:lvl w:ilvl="0">
      <w:lvlJc w:val="left"/>
      <w:lvlText w:val="[*]"/>
      <w:numFmt w:val="bullet"/>
      <w:start w:val="1"/>
    </w:lvl>
  </w:abstractNum>
  <w:abstractNum w:abstractNumId="43">
    <w:nsid w:val="168EFE17"/>
    <w:multiLevelType w:val="hybridMultilevel"/>
    <w:lvl w:ilvl="0">
      <w:lvlJc w:val="left"/>
      <w:lvlText w:val="(%1)"/>
      <w:numFmt w:val="lowerLetter"/>
      <w:start w:val="1"/>
    </w:lvl>
  </w:abstractNum>
  <w:abstractNum w:abstractNumId="44">
    <w:nsid w:val="1036B29F"/>
    <w:multiLevelType w:val="hybridMultilevel"/>
    <w:lvl w:ilvl="0">
      <w:lvlJc w:val="left"/>
      <w:lvlText w:val="%1."/>
      <w:numFmt w:val="decimal"/>
      <w:start w:val="3"/>
    </w:lvl>
    <w:lvl w:ilvl="1">
      <w:lvlJc w:val="left"/>
      <w:lvlText w:val="[*]"/>
      <w:numFmt w:val="bullet"/>
      <w:start w:val="1"/>
    </w:lvl>
  </w:abstractNum>
  <w:abstractNum w:abstractNumId="45">
    <w:nsid w:val="1D206B8E"/>
    <w:multiLevelType w:val="hybridMultilevel"/>
    <w:lvl w:ilvl="0">
      <w:lvlJc w:val="left"/>
      <w:lvlText w:val="*"/>
      <w:numFmt w:val="bullet"/>
      <w:start w:val="1"/>
    </w:lvl>
  </w:abstractNum>
  <w:abstractNum w:abstractNumId="46">
    <w:nsid w:val="7934D3D4"/>
    <w:multiLevelType w:val="hybridMultilevel"/>
    <w:lvl w:ilvl="0">
      <w:lvlJc w:val="left"/>
      <w:lvlText w:val="%1."/>
      <w:numFmt w:val="decimal"/>
      <w:start w:val="4"/>
    </w:lvl>
    <w:lvl w:ilvl="1">
      <w:lvlJc w:val="left"/>
      <w:lvlText w:val="[*]."/>
      <w:numFmt w:val="bullet"/>
      <w:start w:val="1"/>
    </w:lvl>
  </w:abstractNum>
  <w:abstractNum w:abstractNumId="47">
    <w:nsid w:val="1C65E98"/>
    <w:multiLevelType w:val="hybridMultilevel"/>
    <w:lvl w:ilvl="0">
      <w:lvlJc w:val="left"/>
      <w:lvlText w:val="*"/>
      <w:numFmt w:val="bullet"/>
      <w:start w:val="1"/>
    </w:lvl>
  </w:abstractNum>
  <w:abstractNum w:abstractNumId="48">
    <w:nsid w:val="1495E50A"/>
    <w:multiLevelType w:val="hybridMultilevel"/>
    <w:lvl w:ilvl="0">
      <w:lvlJc w:val="left"/>
      <w:lvlText w:val="%1."/>
      <w:numFmt w:val="decimal"/>
      <w:start w:val="7"/>
    </w:lvl>
    <w:lvl w:ilvl="1">
      <w:lvlJc w:val="left"/>
      <w:lvlText w:val="[*]"/>
      <w:numFmt w:val="bullet"/>
      <w:start w:val="1"/>
    </w:lvl>
  </w:abstractNum>
  <w:abstractNum w:abstractNumId="49">
    <w:nsid w:val="F5BCF61"/>
    <w:multiLevelType w:val="hybridMultilevel"/>
    <w:lvl w:ilvl="0">
      <w:lvlJc w:val="left"/>
      <w:lvlText w:val="*"/>
      <w:numFmt w:val="bullet"/>
      <w:start w:val="1"/>
    </w:lvl>
  </w:abstractNum>
  <w:abstractNum w:abstractNumId="50">
    <w:nsid w:val="3B1DD403"/>
    <w:multiLevelType w:val="hybridMultilevel"/>
    <w:lvl w:ilvl="0">
      <w:lvlJc w:val="left"/>
      <w:lvlText w:val="(%1)"/>
      <w:numFmt w:val="lowerLetter"/>
      <w:start w:val="1"/>
    </w:lvl>
  </w:abstractNum>
  <w:abstractNum w:abstractNumId="51">
    <w:nsid w:val="530386D1"/>
    <w:multiLevelType w:val="hybridMultilevel"/>
    <w:lvl w:ilvl="0">
      <w:lvlJc w:val="left"/>
      <w:lvlText w:val="%1."/>
      <w:numFmt w:val="decimal"/>
      <w:start w:val="8"/>
    </w:lvl>
  </w:abstractNum>
  <w:abstractNum w:abstractNumId="52">
    <w:nsid w:val="7525F2BC"/>
    <w:multiLevelType w:val="hybridMultilevel"/>
    <w:lvl w:ilvl="0">
      <w:lvlJc w:val="left"/>
      <w:lvlText w:val="*"/>
      <w:numFmt w:val="bullet"/>
      <w:start w:val="1"/>
    </w:lvl>
  </w:abstractNum>
  <w:abstractNum w:abstractNumId="53">
    <w:nsid w:val="CE8E1A7"/>
    <w:multiLevelType w:val="hybridMultilevel"/>
    <w:lvl w:ilvl="0">
      <w:lvlJc w:val="left"/>
      <w:lvlText w:val="%1."/>
      <w:numFmt w:val="decimal"/>
      <w:start w:val="9"/>
    </w:lvl>
  </w:abstractNum>
  <w:abstractNum w:abstractNumId="54">
    <w:nsid w:val="4E9EFB0D"/>
    <w:multiLevelType w:val="hybridMultilevel"/>
    <w:lvl w:ilvl="0">
      <w:lvlJc w:val="left"/>
      <w:lvlText w:val="[*]"/>
      <w:numFmt w:val="bullet"/>
      <w:start w:val="1"/>
    </w:lvl>
  </w:abstractNum>
  <w:abstractNum w:abstractNumId="55">
    <w:nsid w:val="90802BE"/>
    <w:multiLevelType w:val="hybridMultilevel"/>
    <w:lvl w:ilvl="0">
      <w:lvlJc w:val="left"/>
      <w:lvlText w:val="*"/>
      <w:numFmt w:val="bullet"/>
      <w:start w:val="1"/>
    </w:lvl>
    <w:lvl w:ilvl="1">
      <w:lvlJc w:val="left"/>
      <w:lvlText w:val="(%2)"/>
      <w:numFmt w:val="decimal"/>
      <w:start w:val="2"/>
    </w:lvl>
  </w:abstractNum>
  <w:abstractNum w:abstractNumId="56">
    <w:nsid w:val="3266459B"/>
    <w:multiLevelType w:val="hybridMultilevel"/>
    <w:lvl w:ilvl="0">
      <w:lvlJc w:val="left"/>
      <w:lvlText w:val="(%1)"/>
      <w:numFmt w:val="lowerLetter"/>
      <w:start w:val="1"/>
    </w:lvl>
  </w:abstractNum>
  <w:abstractNum w:abstractNumId="57">
    <w:nsid w:val="3F8B0CBF"/>
    <w:multiLevelType w:val="hybridMultilevel"/>
    <w:lvl w:ilvl="0">
      <w:lvlJc w:val="left"/>
      <w:lvlText w:val="%1."/>
      <w:numFmt w:val="decimal"/>
      <w:start w:val="10"/>
    </w:lvl>
  </w:abstractNum>
  <w:abstractNum w:abstractNumId="58">
    <w:nsid w:val="37E203AB"/>
    <w:multiLevelType w:val="hybridMultilevel"/>
    <w:lvl w:ilvl="0">
      <w:lvlJc w:val="left"/>
      <w:lvlText w:val="*"/>
      <w:numFmt w:val="bullet"/>
      <w:start w:val="1"/>
    </w:lvl>
  </w:abstractNum>
  <w:abstractNum w:abstractNumId="59">
    <w:nsid w:val="2586D60E"/>
    <w:multiLevelType w:val="hybridMultilevel"/>
    <w:lvl w:ilvl="0">
      <w:lvlJc w:val="left"/>
      <w:lvlText w:val="*"/>
      <w:numFmt w:val="bullet"/>
      <w:start w:val="1"/>
    </w:lvl>
  </w:abstractNum>
  <w:abstractNum w:abstractNumId="60">
    <w:nsid w:val="1F3DA4D5"/>
    <w:multiLevelType w:val="hybridMultilevel"/>
    <w:lvl w:ilvl="0">
      <w:lvlJc w:val="left"/>
      <w:lvlText w:val="(%1)"/>
      <w:numFmt w:val="decimal"/>
      <w:start w:val="1"/>
    </w:lvl>
  </w:abstractNum>
  <w:abstractNum w:abstractNumId="61">
    <w:nsid w:val="74C93698"/>
    <w:multiLevelType w:val="hybridMultilevel"/>
    <w:lvl w:ilvl="0">
      <w:lvlJc w:val="left"/>
      <w:lvlText w:val="%1."/>
      <w:numFmt w:val="decimal"/>
      <w:start w:val="11"/>
    </w:lvl>
  </w:abstractNum>
  <w:abstractNum w:abstractNumId="62">
    <w:nsid w:val="48781401"/>
    <w:multiLevelType w:val="hybridMultilevel"/>
    <w:lvl w:ilvl="0">
      <w:lvlJc w:val="left"/>
      <w:lvlText w:val="*"/>
      <w:numFmt w:val="bullet"/>
      <w:start w:val="1"/>
    </w:lvl>
  </w:abstractNum>
  <w:abstractNum w:abstractNumId="63">
    <w:nsid w:val="186928D6"/>
    <w:multiLevelType w:val="hybridMultilevel"/>
    <w:lvl w:ilvl="0">
      <w:lvlJc w:val="left"/>
      <w:lvlText w:val="(%1)"/>
      <w:numFmt w:val="decimal"/>
      <w:start w:val="1"/>
    </w:lvl>
  </w:abstractNum>
  <w:abstractNum w:abstractNumId="64">
    <w:nsid w:val="47195E5"/>
    <w:multiLevelType w:val="hybridMultilevel"/>
    <w:lvl w:ilvl="0">
      <w:lvlJc w:val="left"/>
      <w:lvlText w:val="%1."/>
      <w:numFmt w:val="decimal"/>
      <w:start w:val="12"/>
    </w:lvl>
    <w:lvl w:ilvl="1">
      <w:lvlJc w:val="left"/>
      <w:lvlText w:val="[*]"/>
      <w:numFmt w:val="bullet"/>
      <w:start w:val="1"/>
    </w:lvl>
  </w:abstractNum>
  <w:abstractNum w:abstractNumId="65">
    <w:nsid w:val="3746A5F2"/>
    <w:multiLevelType w:val="hybridMultilevel"/>
    <w:lvl w:ilvl="0">
      <w:lvlJc w:val="left"/>
      <w:lvlText w:val="%1."/>
      <w:numFmt w:val="decimal"/>
      <w:start w:val="13"/>
    </w:lvl>
  </w:abstractNum>
  <w:abstractNum w:abstractNumId="66">
    <w:nsid w:val="682DFED6"/>
    <w:multiLevelType w:val="hybridMultilevel"/>
    <w:lvl w:ilvl="0">
      <w:lvlJc w:val="left"/>
      <w:lvlText w:val="*"/>
      <w:numFmt w:val="bullet"/>
      <w:start w:val="1"/>
    </w:lvl>
  </w:abstractNum>
  <w:abstractNum w:abstractNumId="67">
    <w:nsid w:val="606ED7F6"/>
    <w:multiLevelType w:val="hybridMultilevel"/>
    <w:lvl w:ilvl="0">
      <w:lvlJc w:val="left"/>
      <w:lvlText w:val="[*]."/>
      <w:numFmt w:val="bullet"/>
      <w:start w:val="1"/>
    </w:lvl>
  </w:abstractNum>
  <w:abstractNum w:abstractNumId="68">
    <w:nsid w:val="2D9DF57D"/>
    <w:multiLevelType w:val="hybridMultilevel"/>
    <w:lvl w:ilvl="0">
      <w:lvlJc w:val="left"/>
      <w:lvlText w:val="(%1)"/>
      <w:numFmt w:val="lowerRoman"/>
      <w:start w:val="3"/>
    </w:lvl>
  </w:abstractNum>
  <w:abstractNum w:abstractNumId="69">
    <w:nsid w:val="7FBD7A3E"/>
    <w:multiLevelType w:val="hybridMultilevel"/>
    <w:lvl w:ilvl="0">
      <w:lvlJc w:val="left"/>
      <w:lvlText w:val="*"/>
      <w:numFmt w:val="bullet"/>
      <w:start w:val="1"/>
    </w:lvl>
  </w:abstractNum>
  <w:abstractNum w:abstractNumId="70">
    <w:nsid w:val="490B7C5"/>
    <w:multiLevelType w:val="hybridMultilevel"/>
    <w:lvl w:ilvl="0">
      <w:lvlJc w:val="left"/>
      <w:lvlText w:val="(%1)"/>
      <w:numFmt w:val="lowerLetter"/>
      <w:start w:val="1"/>
    </w:lvl>
  </w:abstractNum>
  <w:abstractNum w:abstractNumId="71">
    <w:nsid w:val="4303A216"/>
    <w:multiLevelType w:val="hybridMultilevel"/>
    <w:lvl w:ilvl="0">
      <w:lvlJc w:val="left"/>
      <w:lvlText w:val="(%1)"/>
      <w:numFmt w:val="lowerLetter"/>
      <w:start w:val="35"/>
    </w:lvl>
  </w:abstractNum>
  <w:abstractNum w:abstractNumId="72">
    <w:nsid w:val="19B8A08E"/>
    <w:multiLevelType w:val="hybridMultilevel"/>
    <w:lvl w:ilvl="0">
      <w:lvlJc w:val="left"/>
      <w:lvlText w:val="(%1)"/>
      <w:numFmt w:val="lowerLetter"/>
      <w:start w:val="3"/>
    </w:lvl>
  </w:abstractNum>
  <w:abstractNum w:abstractNumId="73">
    <w:nsid w:val="54B59621"/>
    <w:multiLevelType w:val="hybridMultilevel"/>
    <w:lvl w:ilvl="0">
      <w:lvlJc w:val="left"/>
      <w:lvlText w:val="%1."/>
      <w:numFmt w:val="decimal"/>
      <w:start w:val="13"/>
    </w:lvl>
    <w:lvl w:ilvl="1">
      <w:lvlJc w:val="left"/>
      <w:lvlText w:val="[*]"/>
      <w:numFmt w:val="bullet"/>
      <w:start w:val="1"/>
    </w:lvl>
  </w:abstractNum>
  <w:abstractNum w:abstractNumId="74">
    <w:nsid w:val="5992A02E"/>
    <w:multiLevelType w:val="hybridMultilevel"/>
    <w:lvl w:ilvl="0">
      <w:lvlJc w:val="left"/>
      <w:lvlText w:val="*"/>
      <w:numFmt w:val="bullet"/>
      <w:start w:val="1"/>
    </w:lvl>
  </w:abstractNum>
  <w:abstractNum w:abstractNumId="75">
    <w:nsid w:val="29EF532D"/>
    <w:multiLevelType w:val="hybridMultilevel"/>
    <w:lvl w:ilvl="0">
      <w:lvlJc w:val="left"/>
      <w:lvlText w:val="[*]"/>
      <w:numFmt w:val="bullet"/>
      <w:start w:val="1"/>
    </w:lvl>
  </w:abstractNum>
  <w:abstractNum w:abstractNumId="76">
    <w:nsid w:val="71D601AF"/>
    <w:multiLevelType w:val="hybridMultilevel"/>
    <w:lvl w:ilvl="0">
      <w:lvlJc w:val="left"/>
      <w:lvlText w:val="(%1)"/>
      <w:numFmt w:val="decimal"/>
      <w:start w:val="3"/>
    </w:lvl>
  </w:abstractNum>
  <w:abstractNum w:abstractNumId="77">
    <w:nsid w:val="52C77402"/>
    <w:multiLevelType w:val="hybridMultilevel"/>
    <w:lvl w:ilvl="0">
      <w:lvlJc w:val="left"/>
      <w:lvlText w:val="%1."/>
      <w:numFmt w:val="decimal"/>
      <w:start w:val="14"/>
    </w:lvl>
    <w:lvl w:ilvl="1">
      <w:lvlJc w:val="left"/>
      <w:lvlText w:val="[*]"/>
      <w:numFmt w:val="bullet"/>
      <w:start w:val="1"/>
    </w:lvl>
  </w:abstractNum>
  <w:abstractNum w:abstractNumId="78">
    <w:nsid w:val="2BB5B1C6"/>
    <w:multiLevelType w:val="hybridMultilevel"/>
    <w:lvl w:ilvl="0">
      <w:lvlJc w:val="left"/>
      <w:lvlText w:val="*"/>
      <w:numFmt w:val="bullet"/>
      <w:start w:val="1"/>
    </w:lvl>
  </w:abstractNum>
  <w:abstractNum w:abstractNumId="79">
    <w:nsid w:val="66BE6B9"/>
    <w:multiLevelType w:val="hybridMultilevel"/>
    <w:lvl w:ilvl="0">
      <w:lvlJc w:val="left"/>
      <w:lvlText w:val="%1."/>
      <w:numFmt w:val="decimal"/>
      <w:start w:val="16"/>
    </w:lvl>
    <w:lvl w:ilvl="1">
      <w:lvlJc w:val="left"/>
      <w:lvlText w:val="(%2)"/>
      <w:numFmt w:val="decimal"/>
      <w:start w:val="1"/>
    </w:lvl>
  </w:abstractNum>
  <w:abstractNum w:abstractNumId="80">
    <w:nsid w:val="62234363"/>
    <w:multiLevelType w:val="hybridMultilevel"/>
    <w:lvl w:ilvl="0">
      <w:lvlJc w:val="left"/>
      <w:lvlText w:val="*"/>
      <w:numFmt w:val="bullet"/>
      <w:start w:val="1"/>
    </w:lvl>
  </w:abstractNum>
  <w:abstractNum w:abstractNumId="81">
    <w:nsid w:val="66D385C9"/>
    <w:multiLevelType w:val="hybridMultilevel"/>
    <w:lvl w:ilvl="0">
      <w:lvlJc w:val="left"/>
      <w:lvlText w:val="[*]"/>
      <w:numFmt w:val="bullet"/>
      <w:start w:val="1"/>
    </w:lvl>
  </w:abstractNum>
  <w:abstractNum w:abstractNumId="82">
    <w:nsid w:val="596F6D8A"/>
    <w:multiLevelType w:val="hybridMultilevel"/>
    <w:lvl w:ilvl="0">
      <w:lvlJc w:val="left"/>
      <w:lvlText w:val="%1."/>
      <w:numFmt w:val="decimal"/>
      <w:start w:val="18"/>
    </w:lvl>
    <w:lvl w:ilvl="1">
      <w:lvlJc w:val="left"/>
      <w:lvlText w:val="(%2)"/>
      <w:numFmt w:val="decimal"/>
      <w:start w:val="1"/>
    </w:lvl>
  </w:abstractNum>
  <w:abstractNum w:abstractNumId="83">
    <w:nsid w:val="5749361F"/>
    <w:multiLevelType w:val="hybridMultilevel"/>
    <w:lvl w:ilvl="0">
      <w:lvlJc w:val="left"/>
      <w:lvlText w:val="*"/>
      <w:numFmt w:val="bullet"/>
      <w:start w:val="1"/>
    </w:lvl>
  </w:abstractNum>
  <w:abstractNum w:abstractNumId="84">
    <w:nsid w:val="73BC6770"/>
    <w:multiLevelType w:val="hybridMultilevel"/>
    <w:lvl w:ilvl="0">
      <w:lvlJc w:val="left"/>
      <w:lvlText w:val="[*]"/>
      <w:numFmt w:val="bullet"/>
      <w:start w:val="1"/>
    </w:lvl>
  </w:abstractNum>
  <w:abstractNum w:abstractNumId="85">
    <w:nsid w:val="280E6897"/>
    <w:multiLevelType w:val="hybridMultilevel"/>
    <w:lvl w:ilvl="0">
      <w:lvlJc w:val="left"/>
      <w:lvlText w:val="[*]"/>
      <w:numFmt w:val="bullet"/>
      <w:start w:val="1"/>
    </w:lvl>
  </w:abstractNum>
  <w:abstractNum w:abstractNumId="86">
    <w:nsid w:val="605138DE"/>
    <w:multiLevelType w:val="hybridMultilevel"/>
    <w:lvl w:ilvl="0">
      <w:lvlJc w:val="left"/>
      <w:lvlText w:val="%1."/>
      <w:numFmt w:val="decimal"/>
      <w:start w:val="19"/>
    </w:lvl>
  </w:abstractNum>
  <w:abstractNum w:abstractNumId="87">
    <w:nsid w:val="2622AD0C"/>
    <w:multiLevelType w:val="hybridMultilevel"/>
    <w:lvl w:ilvl="0">
      <w:lvlJc w:val="left"/>
      <w:lvlText w:val="*"/>
      <w:numFmt w:val="bullet"/>
      <w:start w:val="1"/>
    </w:lvl>
  </w:abstractNum>
  <w:abstractNum w:abstractNumId="88">
    <w:nsid w:val="67997556"/>
    <w:multiLevelType w:val="hybridMultilevel"/>
    <w:lvl w:ilvl="0">
      <w:lvlJc w:val="left"/>
      <w:lvlText w:val="%1"/>
      <w:numFmt w:val="decimal"/>
      <w:start w:val="1"/>
    </w:lvl>
    <w:lvl w:ilvl="1">
      <w:lvlJc w:val="left"/>
      <w:lvlText w:val="(%2)"/>
      <w:numFmt w:val="lowerLetter"/>
      <w:start w:val="2"/>
    </w:lvl>
  </w:abstractNum>
  <w:abstractNum w:abstractNumId="89">
    <w:nsid w:val="18333C89"/>
    <w:multiLevelType w:val="hybridMultilevel"/>
    <w:lvl w:ilvl="0">
      <w:lvlJc w:val="left"/>
      <w:lvlText w:val="%1."/>
      <w:numFmt w:val="decimal"/>
      <w:start w:val="20"/>
    </w:lvl>
    <w:lvl w:ilvl="1">
      <w:lvlJc w:val="left"/>
      <w:lvlText w:val="%2"/>
      <w:numFmt w:val="lowerLetter"/>
      <w:start w:val="1"/>
    </w:lvl>
  </w:abstractNum>
  <w:abstractNum w:abstractNumId="90">
    <w:nsid w:val="4BA9831A"/>
    <w:multiLevelType w:val="hybridMultilevel"/>
    <w:lvl w:ilvl="0">
      <w:lvlJc w:val="left"/>
      <w:lvlText w:val="*"/>
      <w:numFmt w:val="bullet"/>
      <w:start w:val="1"/>
    </w:lvl>
  </w:abstractNum>
  <w:abstractNum w:abstractNumId="91">
    <w:nsid w:val="6D71A2B"/>
    <w:multiLevelType w:val="hybridMultilevel"/>
    <w:lvl w:ilvl="0">
      <w:lvlJc w:val="left"/>
      <w:lvlText w:val="%1."/>
      <w:numFmt w:val="decimal"/>
      <w:start w:val="21"/>
    </w:lvl>
    <w:lvl w:ilvl="1">
      <w:lvlJc w:val="left"/>
      <w:lvlText w:val="[*]"/>
      <w:numFmt w:val="bullet"/>
      <w:start w:val="1"/>
    </w:lvl>
    <w:lvl w:ilvl="2">
      <w:lvlJc w:val="left"/>
      <w:lvlText w:val="%3."/>
      <w:numFmt w:val="decimal"/>
      <w:start w:val="20"/>
    </w:lvl>
  </w:abstractNum>
  <w:abstractNum w:abstractNumId="92">
    <w:nsid w:val="CFC7321"/>
    <w:multiLevelType w:val="hybridMultilevel"/>
    <w:lvl w:ilvl="0">
      <w:lvlJc w:val="left"/>
      <w:lvlText w:val="*"/>
      <w:numFmt w:val="bullet"/>
      <w:start w:val="1"/>
    </w:lvl>
  </w:abstractNum>
  <w:abstractNum w:abstractNumId="93">
    <w:nsid w:val="1421971B"/>
    <w:multiLevelType w:val="hybridMultilevel"/>
    <w:lvl w:ilvl="0">
      <w:lvlJc w:val="left"/>
      <w:lvlText w:val="-"/>
      <w:numFmt w:val="bullet"/>
      <w:start w:val="1"/>
    </w:lvl>
  </w:abstractNum>
  <w:abstractNum w:abstractNumId="94">
    <w:nsid w:val="1F404301"/>
    <w:multiLevelType w:val="hybridMultilevel"/>
    <w:lvl w:ilvl="0">
      <w:lvlJc w:val="left"/>
      <w:lvlText w:val="-"/>
      <w:numFmt w:val="bullet"/>
      <w:start w:val="1"/>
    </w:lvl>
  </w:abstractNum>
  <w:abstractNum w:abstractNumId="95">
    <w:nsid w:val="116E0907"/>
    <w:multiLevelType w:val="hybridMultilevel"/>
    <w:lvl w:ilvl="0">
      <w:lvlJc w:val="left"/>
      <w:lvlText w:val="-"/>
      <w:numFmt w:val="bullet"/>
      <w:start w:val="1"/>
    </w:lvl>
  </w:abstractNum>
  <w:abstractNum w:abstractNumId="96">
    <w:nsid w:val="4B683D0D"/>
    <w:multiLevelType w:val="hybridMultilevel"/>
    <w:lvl w:ilvl="0">
      <w:lvlJc w:val="left"/>
      <w:lvlText w:val="-"/>
      <w:numFmt w:val="bullet"/>
      <w:start w:val="1"/>
    </w:lvl>
  </w:abstractNum>
  <w:abstractNum w:abstractNumId="97">
    <w:nsid w:val="76E41D8"/>
    <w:multiLevelType w:val="hybridMultilevel"/>
    <w:lvl w:ilvl="0">
      <w:lvlJc w:val="left"/>
      <w:lvlText w:val="-"/>
      <w:numFmt w:val="bullet"/>
      <w:start w:val="1"/>
    </w:lvl>
  </w:abstractNum>
  <w:abstractNum w:abstractNumId="98">
    <w:nsid w:val="71DCE0FD"/>
    <w:multiLevelType w:val="hybridMultilevel"/>
    <w:lvl w:ilvl="0">
      <w:lvlJc w:val="left"/>
      <w:lvlText w:val="-"/>
      <w:numFmt w:val="bullet"/>
      <w:start w:val="1"/>
    </w:lvl>
  </w:abstractNum>
  <w:abstractNum w:abstractNumId="99">
    <w:nsid w:val="7906328B"/>
    <w:multiLevelType w:val="hybridMultilevel"/>
    <w:lvl w:ilvl="0">
      <w:lvlJc w:val="left"/>
      <w:lvlText w:val="-"/>
      <w:numFmt w:val="bullet"/>
      <w:start w:val="1"/>
    </w:lvl>
  </w:abstractNum>
  <w:abstractNum w:abstractNumId="100">
    <w:nsid w:val="72BBC16"/>
    <w:multiLevelType w:val="hybridMultilevel"/>
    <w:lvl w:ilvl="0">
      <w:lvlJc w:val="left"/>
      <w:lvlText w:val="-"/>
      <w:numFmt w:val="bullet"/>
      <w:start w:val="1"/>
    </w:lvl>
  </w:abstractNum>
  <w:abstractNum w:abstractNumId="101">
    <w:nsid w:val="766D98C2"/>
    <w:multiLevelType w:val="hybridMultilevel"/>
    <w:lvl w:ilvl="0">
      <w:lvlJc w:val="left"/>
      <w:lvlText w:val="*"/>
      <w:numFmt w:val="bullet"/>
      <w:start w:val="1"/>
    </w:lvl>
  </w:abstractNum>
  <w:abstractNum w:abstractNumId="102">
    <w:nsid w:val="3C09D4A1"/>
    <w:multiLevelType w:val="hybridMultilevel"/>
    <w:lvl w:ilvl="0">
      <w:lvlJc w:val="left"/>
      <w:lvlText w:val="*"/>
      <w:numFmt w:val="bullet"/>
      <w:start w:val="1"/>
    </w:lvl>
  </w:abstractNum>
  <w:abstractNum w:abstractNumId="103">
    <w:nsid w:val="20E45CA4"/>
    <w:multiLevelType w:val="hybridMultilevel"/>
    <w:lvl w:ilvl="0">
      <w:lvlJc w:val="left"/>
      <w:lvlText w:val="-"/>
      <w:numFmt w:val="bullet"/>
      <w:start w:val="1"/>
    </w:lvl>
  </w:abstractNum>
  <w:abstractNum w:abstractNumId="104">
    <w:nsid w:val="4B232EE3"/>
    <w:multiLevelType w:val="hybridMultilevel"/>
    <w:lvl w:ilvl="0">
      <w:lvlJc w:val="left"/>
      <w:lvlText w:val="*"/>
      <w:numFmt w:val="bullet"/>
      <w:start w:val="1"/>
    </w:lvl>
  </w:abstractNum>
  <w:abstractNum w:abstractNumId="105">
    <w:nsid w:val="159C74CF"/>
    <w:multiLevelType w:val="hybridMultilevel"/>
    <w:lvl w:ilvl="0">
      <w:lvlJc w:val="left"/>
      <w:lvlText w:val="-"/>
      <w:numFmt w:val="bullet"/>
      <w:start w:val="1"/>
    </w:lvl>
    <w:lvl w:ilvl="1">
      <w:lvlJc w:val="left"/>
      <w:lvlText w:val="#"/>
      <w:numFmt w:val="bullet"/>
      <w:start w:val="1"/>
    </w:lvl>
  </w:abstractNum>
  <w:abstractNum w:abstractNumId="106">
    <w:nsid w:val="4AD3AFD2"/>
    <w:multiLevelType w:val="hybridMultilevel"/>
    <w:lvl w:ilvl="0">
      <w:lvlJc w:val="left"/>
      <w:lvlText w:val="-"/>
      <w:numFmt w:val="bullet"/>
      <w:start w:val="1"/>
    </w:lvl>
  </w:abstractNum>
  <w:abstractNum w:abstractNumId="107">
    <w:nsid w:val="3CF93092"/>
    <w:multiLevelType w:val="hybridMultilevel"/>
    <w:lvl w:ilvl="0">
      <w:lvlJc w:val="left"/>
      <w:lvlText w:val="-"/>
      <w:numFmt w:val="bullet"/>
      <w:start w:val="1"/>
    </w:lvl>
  </w:abstractNum>
  <w:abstractNum w:abstractNumId="108">
    <w:nsid w:val="6863E8D2"/>
    <w:multiLevelType w:val="hybridMultilevel"/>
    <w:lvl w:ilvl="0">
      <w:lvlJc w:val="left"/>
      <w:lvlText w:val="*"/>
      <w:numFmt w:val="bullet"/>
      <w:start w:val="1"/>
    </w:lvl>
  </w:abstractNum>
  <w:abstractNum w:abstractNumId="109">
    <w:nsid w:val="76896198"/>
    <w:multiLevelType w:val="hybridMultilevel"/>
    <w:lvl w:ilvl="0">
      <w:lvlJc w:val="left"/>
      <w:lvlText w:val="-"/>
      <w:numFmt w:val="bullet"/>
      <w:start w:val="1"/>
    </w:lvl>
  </w:abstractNum>
  <w:abstractNum w:abstractNumId="110">
    <w:nsid w:val="4365174B"/>
    <w:multiLevelType w:val="hybridMultilevel"/>
    <w:lvl w:ilvl="0">
      <w:lvlJc w:val="left"/>
      <w:lvlText w:val="*"/>
      <w:numFmt w:val="bullet"/>
      <w:start w:val="1"/>
    </w:lvl>
  </w:abstractNum>
  <w:abstractNum w:abstractNumId="111">
    <w:nsid w:val="4A872C35"/>
    <w:multiLevelType w:val="hybridMultilevel"/>
    <w:lvl w:ilvl="0">
      <w:lvlJc w:val="left"/>
      <w:lvlText w:val="-"/>
      <w:numFmt w:val="bullet"/>
      <w:start w:val="1"/>
    </w:lvl>
  </w:abstractNum>
  <w:abstractNum w:abstractNumId="112">
    <w:nsid w:val="5D5CE761"/>
    <w:multiLevelType w:val="hybridMultilevel"/>
    <w:lvl w:ilvl="0">
      <w:lvlJc w:val="left"/>
      <w:lvlText w:val="*"/>
      <w:numFmt w:val="bullet"/>
      <w:start w:val="1"/>
    </w:lvl>
  </w:abstractNum>
  <w:abstractNum w:abstractNumId="113">
    <w:nsid w:val="1CD484D5"/>
    <w:multiLevelType w:val="hybridMultilevel"/>
    <w:lvl w:ilvl="0">
      <w:lvlJc w:val="left"/>
      <w:lvlText w:val="-"/>
      <w:numFmt w:val="bullet"/>
      <w:start w:val="1"/>
    </w:lvl>
  </w:abstractNum>
  <w:abstractNum w:abstractNumId="114">
    <w:nsid w:val="21D06255"/>
    <w:multiLevelType w:val="hybridMultilevel"/>
    <w:lvl w:ilvl="0">
      <w:lvlJc w:val="left"/>
      <w:lvlText w:val="-"/>
      <w:numFmt w:val="bullet"/>
      <w:start w:val="1"/>
    </w:lvl>
  </w:abstractNum>
  <w:abstractNum w:abstractNumId="115">
    <w:nsid w:val="51194ED1"/>
    <w:multiLevelType w:val="hybridMultilevel"/>
    <w:lvl w:ilvl="0">
      <w:lvlJc w:val="left"/>
      <w:lvlText w:val="*"/>
      <w:numFmt w:val="bullet"/>
      <w:start w:val="1"/>
    </w:lvl>
  </w:abstractNum>
  <w:abstractNum w:abstractNumId="116">
    <w:nsid w:val="44E2ED6C"/>
    <w:multiLevelType w:val="hybridMultilevel"/>
    <w:lvl w:ilvl="0">
      <w:lvlJc w:val="left"/>
      <w:lvlText w:val="*"/>
      <w:numFmt w:val="bullet"/>
      <w:start w:val="1"/>
    </w:lvl>
  </w:abstractNum>
  <w:abstractNum w:abstractNumId="117">
    <w:nsid w:val="2219B33"/>
    <w:multiLevelType w:val="hybridMultilevel"/>
    <w:lvl w:ilvl="0">
      <w:lvlJc w:val="left"/>
      <w:lvlText w:val="%1."/>
      <w:numFmt w:val="decimal"/>
      <w:start w:val="1"/>
    </w:lvl>
    <w:lvl w:ilvl="1">
      <w:lvlJc w:val="left"/>
      <w:lvlText w:val="-"/>
      <w:numFmt w:val="bullet"/>
      <w:start w:val="1"/>
    </w:lvl>
  </w:abstractNum>
  <w:abstractNum w:abstractNumId="118">
    <w:nsid w:val="773BFBDD"/>
    <w:multiLevelType w:val="hybridMultilevel"/>
    <w:lvl w:ilvl="0">
      <w:lvlJc w:val="left"/>
      <w:lvlText w:val="-"/>
      <w:numFmt w:val="bullet"/>
      <w:start w:val="1"/>
    </w:lvl>
  </w:abstractNum>
  <w:abstractNum w:abstractNumId="119">
    <w:nsid w:val="2C7C62C2"/>
    <w:multiLevelType w:val="hybridMultilevel"/>
    <w:lvl w:ilvl="0">
      <w:lvlJc w:val="left"/>
      <w:lvlText w:val="-"/>
      <w:numFmt w:val="bullet"/>
      <w:start w:val="1"/>
    </w:lvl>
  </w:abstractNum>
  <w:abstractNum w:abstractNumId="120">
    <w:nsid w:val="1A54D7BC"/>
    <w:multiLevelType w:val="hybridMultilevel"/>
    <w:lvl w:ilvl="0">
      <w:lvlJc w:val="left"/>
      <w:lvlText w:val="-"/>
      <w:numFmt w:val="bullet"/>
      <w:start w:val="1"/>
    </w:lvl>
  </w:abstractNum>
  <w:abstractNum w:abstractNumId="121">
    <w:nsid w:val="42E57EF7"/>
    <w:multiLevelType w:val="hybridMultilevel"/>
    <w:lvl w:ilvl="0">
      <w:lvlJc w:val="left"/>
      <w:lvlText w:val="-"/>
      <w:numFmt w:val="bullet"/>
      <w:start w:val="1"/>
    </w:lvl>
  </w:abstractNum>
  <w:abstractNum w:abstractNumId="122">
    <w:nsid w:val="33537CED"/>
    <w:multiLevelType w:val="hybridMultilevel"/>
    <w:lvl w:ilvl="0">
      <w:lvlJc w:val="left"/>
      <w:lvlText w:val="-"/>
      <w:numFmt w:val="bullet"/>
      <w:start w:val="1"/>
    </w:lvl>
  </w:abstractNum>
  <w:abstractNum w:abstractNumId="123">
    <w:nsid w:val="27514ADE"/>
    <w:multiLevelType w:val="hybridMultilevel"/>
    <w:lvl w:ilvl="0">
      <w:lvlJc w:val="left"/>
      <w:lvlText w:val="-"/>
      <w:numFmt w:val="bullet"/>
      <w:start w:val="1"/>
    </w:lvl>
    <w:lvl w:ilvl="1">
      <w:lvlJc w:val="left"/>
      <w:lvlText w:val="-"/>
      <w:numFmt w:val="bullet"/>
      <w:start w:val="1"/>
    </w:lvl>
  </w:abstractNum>
  <w:abstractNum w:abstractNumId="124">
    <w:nsid w:val="57071613"/>
    <w:multiLevelType w:val="hybridMultilevel"/>
    <w:lvl w:ilvl="0">
      <w:lvlJc w:val="left"/>
      <w:lvlText w:val="*"/>
      <w:numFmt w:val="bullet"/>
      <w:start w:val="1"/>
    </w:lvl>
  </w:abstractNum>
  <w:abstractNum w:abstractNumId="125">
    <w:nsid w:val="5293BFEF"/>
    <w:multiLevelType w:val="hybridMultilevel"/>
    <w:lvl w:ilvl="0">
      <w:lvlJc w:val="left"/>
      <w:lvlText w:val="%1."/>
      <w:numFmt w:val="decimal"/>
      <w:start w:val="3"/>
    </w:lvl>
  </w:abstractNum>
  <w:abstractNum w:abstractNumId="126">
    <w:nsid w:val="38BF53E5"/>
    <w:multiLevelType w:val="hybridMultilevel"/>
    <w:lvl w:ilvl="0">
      <w:lvlJc w:val="left"/>
      <w:lvlText w:val="-"/>
      <w:numFmt w:val="bullet"/>
      <w:start w:val="1"/>
    </w:lvl>
  </w:abstractNum>
  <w:abstractNum w:abstractNumId="127">
    <w:nsid w:val="226F5320"/>
    <w:multiLevelType w:val="hybridMultilevel"/>
    <w:lvl w:ilvl="0">
      <w:lvlJc w:val="left"/>
      <w:lvlText w:val="-"/>
      <w:numFmt w:val="bullet"/>
      <w:start w:val="1"/>
    </w:lvl>
  </w:abstractNum>
  <w:abstractNum w:abstractNumId="128">
    <w:nsid w:val="5A0201C7"/>
    <w:multiLevelType w:val="hybridMultilevel"/>
    <w:lvl w:ilvl="0">
      <w:lvlJc w:val="left"/>
      <w:lvlText w:val="*"/>
      <w:numFmt w:val="bullet"/>
      <w:start w:val="1"/>
    </w:lvl>
  </w:abstractNum>
  <w:abstractNum w:abstractNumId="129">
    <w:nsid w:val="2A9C34E2"/>
    <w:multiLevelType w:val="hybridMultilevel"/>
    <w:lvl w:ilvl="0">
      <w:lvlJc w:val="left"/>
      <w:lvlText w:val="%1."/>
      <w:numFmt w:val="decimal"/>
      <w:start w:val="4"/>
    </w:lvl>
  </w:abstractNum>
  <w:abstractNum w:abstractNumId="130">
    <w:nsid w:val="1B7585AB"/>
    <w:multiLevelType w:val="hybridMultilevel"/>
    <w:lvl w:ilvl="0">
      <w:lvlJc w:val="left"/>
      <w:lvlText w:val="-"/>
      <w:numFmt w:val="bullet"/>
      <w:start w:val="1"/>
    </w:lvl>
  </w:abstractNum>
  <w:abstractNum w:abstractNumId="131">
    <w:nsid w:val="612DBDDD"/>
    <w:multiLevelType w:val="hybridMultilevel"/>
    <w:lvl w:ilvl="0">
      <w:lvlJc w:val="left"/>
      <w:lvlText w:val="*"/>
      <w:numFmt w:val="bullet"/>
      <w:start w:val="1"/>
    </w:lvl>
  </w:abstractNum>
  <w:abstractNum w:abstractNumId="132">
    <w:nsid w:val="2109CDA4"/>
    <w:multiLevelType w:val="hybridMultilevel"/>
    <w:lvl w:ilvl="0">
      <w:lvlJc w:val="left"/>
      <w:lvlText w:val="*"/>
      <w:numFmt w:val="bullet"/>
      <w:start w:val="1"/>
    </w:lvl>
  </w:abstractNum>
  <w:abstractNum w:abstractNumId="133">
    <w:nsid w:val="577F5A4D"/>
    <w:multiLevelType w:val="hybridMultilevel"/>
    <w:lvl w:ilvl="0">
      <w:lvlJc w:val="left"/>
      <w:lvlText w:val="*"/>
      <w:numFmt w:val="bullet"/>
      <w:start w:val="1"/>
    </w:lvl>
  </w:abstractNum>
  <w:abstractNum w:abstractNumId="134">
    <w:nsid w:val="2121A81"/>
    <w:multiLevelType w:val="hybridMultilevel"/>
    <w:lvl w:ilvl="0">
      <w:lvlJc w:val="left"/>
      <w:lvlText w:val="-"/>
      <w:numFmt w:val="bullet"/>
      <w:start w:val="1"/>
    </w:lvl>
  </w:abstractNum>
  <w:abstractNum w:abstractNumId="135">
    <w:nsid w:val="6C2CFC88"/>
    <w:multiLevelType w:val="hybridMultilevel"/>
    <w:lvl w:ilvl="0">
      <w:lvlJc w:val="left"/>
      <w:lvlText w:val="*"/>
      <w:numFmt w:val="bullet"/>
      <w:start w:val="1"/>
    </w:lvl>
  </w:abstractNum>
  <w:abstractNum w:abstractNumId="136">
    <w:nsid w:val="6D1BCF1C"/>
    <w:multiLevelType w:val="hybridMultilevel"/>
    <w:lvl w:ilvl="0">
      <w:lvlJc w:val="left"/>
      <w:lvlText w:val="*"/>
      <w:numFmt w:val="bullet"/>
      <w:start w:val="1"/>
    </w:lvl>
  </w:abstractNum>
  <w:abstractNum w:abstractNumId="137">
    <w:nsid w:val="4CE5CA53"/>
    <w:multiLevelType w:val="hybridMultilevel"/>
    <w:lvl w:ilvl="0">
      <w:lvlJc w:val="left"/>
      <w:lvlText w:val="-"/>
      <w:numFmt w:val="bullet"/>
      <w:start w:val="1"/>
    </w:lvl>
  </w:abstractNum>
  <w:abstractNum w:abstractNumId="138">
    <w:nsid w:val="29262D1A"/>
    <w:multiLevelType w:val="hybridMultilevel"/>
    <w:lvl w:ilvl="0">
      <w:lvlJc w:val="left"/>
      <w:lvlText w:val="*"/>
      <w:numFmt w:val="bullet"/>
      <w:start w:val="1"/>
    </w:lvl>
  </w:abstractNum>
  <w:abstractNum w:abstractNumId="139">
    <w:nsid w:val="557FB7EE"/>
    <w:multiLevelType w:val="hybridMultilevel"/>
    <w:lvl w:ilvl="0">
      <w:lvlJc w:val="left"/>
      <w:lvlText w:val="*"/>
      <w:numFmt w:val="bullet"/>
      <w:start w:val="1"/>
    </w:lvl>
  </w:abstractNum>
  <w:abstractNum w:abstractNumId="140">
    <w:nsid w:val="436F2BEB"/>
    <w:multiLevelType w:val="hybridMultilevel"/>
    <w:lvl w:ilvl="0">
      <w:lvlJc w:val="left"/>
      <w:lvlText w:val="-"/>
      <w:numFmt w:val="bullet"/>
      <w:start w:val="1"/>
    </w:lvl>
  </w:abstractNum>
  <w:abstractNum w:abstractNumId="141">
    <w:nsid w:val="6C8B4466"/>
    <w:multiLevelType w:val="hybridMultilevel"/>
    <w:lvl w:ilvl="0">
      <w:lvlJc w:val="left"/>
      <w:lvlText w:val="-"/>
      <w:numFmt w:val="bullet"/>
      <w:start w:val="1"/>
    </w:lvl>
  </w:abstractNum>
  <w:abstractNum w:abstractNumId="142">
    <w:nsid w:val="2006E424"/>
    <w:multiLevelType w:val="hybridMultilevel"/>
    <w:lvl w:ilvl="0">
      <w:lvlJc w:val="left"/>
      <w:lvlText w:val="*"/>
      <w:numFmt w:val="bullet"/>
      <w:start w:val="1"/>
    </w:lvl>
  </w:abstractNum>
  <w:abstractNum w:abstractNumId="143">
    <w:nsid w:val="20CC134C"/>
    <w:multiLevelType w:val="hybridMultilevel"/>
    <w:lvl w:ilvl="0">
      <w:lvlJc w:val="left"/>
      <w:lvlText w:val="-"/>
      <w:numFmt w:val="bullet"/>
      <w:start w:val="1"/>
    </w:lvl>
  </w:abstractNum>
  <w:abstractNum w:abstractNumId="144">
    <w:nsid w:val="95FC93B"/>
    <w:multiLevelType w:val="hybridMultilevel"/>
    <w:lvl w:ilvl="0">
      <w:lvlJc w:val="left"/>
      <w:lvlText w:val="-"/>
      <w:numFmt w:val="bullet"/>
      <w:start w:val="1"/>
    </w:lvl>
  </w:abstractNum>
  <w:abstractNum w:abstractNumId="145">
    <w:nsid w:val="41D74679"/>
    <w:multiLevelType w:val="hybridMultilevel"/>
    <w:lvl w:ilvl="0">
      <w:lvlJc w:val="left"/>
      <w:lvlText w:val="-"/>
      <w:numFmt w:val="bullet"/>
      <w:start w:val="1"/>
    </w:lvl>
  </w:abstractNum>
  <w:abstractNum w:abstractNumId="146">
    <w:nsid w:val="71E5621E"/>
    <w:multiLevelType w:val="hybridMultilevel"/>
    <w:lvl w:ilvl="0">
      <w:lvlJc w:val="left"/>
      <w:lvlText w:val="*"/>
      <w:numFmt w:val="bullet"/>
      <w:start w:val="1"/>
    </w:lvl>
  </w:abstractNum>
  <w:abstractNum w:abstractNumId="147">
    <w:nsid w:val="4E42B6A8"/>
    <w:multiLevelType w:val="hybridMultilevel"/>
    <w:lvl w:ilvl="0">
      <w:lvlJc w:val="left"/>
      <w:lvlText w:val="*"/>
      <w:numFmt w:val="bullet"/>
      <w:start w:val="1"/>
    </w:lvl>
  </w:abstractNum>
  <w:abstractNum w:abstractNumId="148">
    <w:nsid w:val="43F8E1AC"/>
    <w:multiLevelType w:val="hybridMultilevel"/>
    <w:lvl w:ilvl="0">
      <w:lvlJc w:val="left"/>
      <w:lvlText w:val="*"/>
      <w:numFmt w:val="bullet"/>
      <w:start w:val="1"/>
    </w:lvl>
  </w:abstractNum>
  <w:abstractNum w:abstractNumId="149">
    <w:nsid w:val="69215DFB"/>
    <w:multiLevelType w:val="hybridMultilevel"/>
    <w:lvl w:ilvl="0">
      <w:lvlJc w:val="left"/>
      <w:lvlText w:val="*"/>
      <w:numFmt w:val="bullet"/>
      <w:start w:val="1"/>
    </w:lvl>
  </w:abstractNum>
  <w:abstractNum w:abstractNumId="150">
    <w:nsid w:val="7ABF196A"/>
    <w:multiLevelType w:val="hybridMultilevel"/>
    <w:lvl w:ilvl="0">
      <w:lvlJc w:val="left"/>
      <w:lvlText w:val="*"/>
      <w:numFmt w:val="bullet"/>
      <w:start w:val="1"/>
    </w:lvl>
  </w:abstractNum>
  <w:abstractNum w:abstractNumId="151">
    <w:nsid w:val="5E4DB968"/>
    <w:multiLevelType w:val="hybridMultilevel"/>
    <w:lvl w:ilvl="0">
      <w:lvlJc w:val="left"/>
      <w:lvlText w:val="*"/>
      <w:numFmt w:val="bullet"/>
      <w:start w:val="1"/>
    </w:lvl>
  </w:abstractNum>
  <w:abstractNum w:abstractNumId="152">
    <w:nsid w:val="2C06DCF3"/>
    <w:multiLevelType w:val="hybridMultilevel"/>
    <w:lvl w:ilvl="0">
      <w:lvlJc w:val="left"/>
      <w:lvlText w:val="*"/>
      <w:numFmt w:val="bullet"/>
      <w:start w:val="1"/>
    </w:lvl>
  </w:abstractNum>
  <w:abstractNum w:abstractNumId="153">
    <w:nsid w:val="2E129658"/>
    <w:multiLevelType w:val="hybridMultilevel"/>
    <w:lvl w:ilvl="0">
      <w:lvlJc w:val="left"/>
      <w:lvlText w:val="*"/>
      <w:numFmt w:val="bullet"/>
      <w:start w:val="1"/>
    </w:lvl>
  </w:abstractNum>
  <w:abstractNum w:abstractNumId="154">
    <w:nsid w:val="59F0446"/>
    <w:multiLevelType w:val="hybridMultilevel"/>
    <w:lvl w:ilvl="0">
      <w:lvlJc w:val="left"/>
      <w:lvlText w:val="%1"/>
      <w:numFmt w:val="upperLetter"/>
      <w:start w:val="81"/>
    </w:lvl>
  </w:abstractNum>
  <w:abstractNum w:abstractNumId="155">
    <w:nsid w:val="30DF306"/>
    <w:multiLevelType w:val="hybridMultilevel"/>
    <w:lvl w:ilvl="0">
      <w:lvlJc w:val="left"/>
      <w:lvlText w:val="%1"/>
      <w:numFmt w:val="decimal"/>
      <w:start w:val="1"/>
    </w:lvl>
    <w:lvl w:ilvl="1">
      <w:lvlJc w:val="left"/>
      <w:lvlText w:val="%2."/>
      <w:numFmt w:val="lowerLetter"/>
      <w:start w:val="1"/>
    </w:lvl>
  </w:abstractNum>
  <w:abstractNum w:abstractNumId="156">
    <w:nsid w:val="A65647"/>
    <w:multiLevelType w:val="hybridMultilevel"/>
    <w:lvl w:ilvl="0">
      <w:lvlJc w:val="left"/>
      <w:lvlText w:val="%1."/>
      <w:numFmt w:val="decimal"/>
      <w:start w:val="5"/>
    </w:lvl>
    <w:lvl w:ilvl="1">
      <w:lvlJc w:val="left"/>
      <w:lvlText w:val="%2."/>
      <w:numFmt w:val="lowerLetter"/>
      <w:start w:val="1"/>
    </w:lvl>
  </w:abstractNum>
  <w:abstractNum w:abstractNumId="157">
    <w:nsid w:val="3E5E582B"/>
    <w:multiLevelType w:val="hybridMultilevel"/>
    <w:lvl w:ilvl="0">
      <w:lvlJc w:val="left"/>
      <w:lvlText w:val="*"/>
      <w:numFmt w:val="bullet"/>
      <w:start w:val="1"/>
    </w:lvl>
  </w:abstractNum>
  <w:abstractNum w:abstractNumId="158">
    <w:nsid w:val="257D4626"/>
    <w:multiLevelType w:val="hybridMultilevel"/>
    <w:lvl w:ilvl="0">
      <w:lvlJc w:val="left"/>
      <w:lvlText w:val="%1."/>
      <w:numFmt w:val="lowerLetter"/>
      <w:start w:val="1"/>
    </w:lvl>
    <w:lvl w:ilvl="1">
      <w:lvlJc w:val="left"/>
      <w:lvlText w:val="-"/>
      <w:numFmt w:val="bullet"/>
      <w:start w:val="1"/>
    </w:lvl>
  </w:abstractNum>
  <w:abstractNum w:abstractNumId="159">
    <w:nsid w:val="5AA8580E"/>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60">
    <w:nsid w:val="68FA8D0D"/>
    <w:multiLevelType w:val="hybridMultilevel"/>
    <w:lvl w:ilvl="0">
      <w:lvlJc w:val="left"/>
      <w:lvlText w:val="*"/>
      <w:numFmt w:val="bullet"/>
      <w:start w:val="1"/>
    </w:lvl>
  </w:abstractNum>
  <w:abstractNum w:abstractNumId="161">
    <w:nsid w:val="40F2CBD2"/>
    <w:multiLevelType w:val="hybridMultilevel"/>
    <w:lvl w:ilvl="0">
      <w:lvlJc w:val="left"/>
      <w:lvlText w:val="*"/>
      <w:numFmt w:val="bullet"/>
      <w:start w:val="1"/>
    </w:lvl>
  </w:abstractNum>
  <w:abstractNum w:abstractNumId="162">
    <w:nsid w:val="3BD615EB"/>
    <w:multiLevelType w:val="hybridMultilevel"/>
    <w:lvl w:ilvl="0">
      <w:lvlJc w:val="left"/>
      <w:lvlText w:val="%1."/>
      <w:numFmt w:val="decimal"/>
      <w:start w:val="1"/>
    </w:lvl>
  </w:abstractNum>
  <w:abstractNum w:abstractNumId="163">
    <w:nsid w:val="A045AB2"/>
    <w:multiLevelType w:val="hybridMultilevel"/>
    <w:lvl w:ilvl="0">
      <w:lvlJc w:val="left"/>
      <w:lvlText w:val="*"/>
      <w:numFmt w:val="bullet"/>
      <w:start w:val="1"/>
    </w:lvl>
  </w:abstractNum>
  <w:abstractNum w:abstractNumId="164">
    <w:nsid w:val="1872261F"/>
    <w:multiLevelType w:val="hybridMultilevel"/>
    <w:lvl w:ilvl="0">
      <w:lvlJc w:val="left"/>
      <w:lvlText w:val="*"/>
      <w:numFmt w:val="bullet"/>
      <w:start w:val="1"/>
    </w:lvl>
  </w:abstractNum>
  <w:abstractNum w:abstractNumId="165">
    <w:nsid w:val="3DE8306C"/>
    <w:multiLevelType w:val="hybridMultilevel"/>
    <w:lvl w:ilvl="0">
      <w:lvlJc w:val="left"/>
      <w:lvlText w:val="*"/>
      <w:numFmt w:val="bullet"/>
      <w:start w:val="1"/>
    </w:lvl>
  </w:abstractNum>
  <w:abstractNum w:abstractNumId="166">
    <w:nsid w:val="7631573A"/>
    <w:multiLevelType w:val="hybridMultilevel"/>
    <w:lvl w:ilvl="0">
      <w:lvlJc w:val="left"/>
      <w:lvlText w:val="%1."/>
      <w:numFmt w:val="decimal"/>
      <w:start w:val="2"/>
    </w:lvl>
  </w:abstractNum>
  <w:abstractNum w:abstractNumId="167">
    <w:nsid w:val="58DF53B"/>
    <w:multiLevelType w:val="hybridMultilevel"/>
    <w:lvl w:ilvl="0">
      <w:lvlJc w:val="left"/>
      <w:lvlText w:val="-"/>
      <w:numFmt w:val="bullet"/>
      <w:start w:val="1"/>
    </w:lvl>
    <w:lvl w:ilvl="1">
      <w:lvlJc w:val="left"/>
      <w:lvlText w:val="[*]"/>
      <w:numFmt w:val="bullet"/>
      <w:start w:val="1"/>
    </w:lvl>
    <w:lvl w:ilvl="2">
      <w:lvlJc w:val="left"/>
      <w:lvlText w:val="%3."/>
      <w:numFmt w:val="decimal"/>
      <w:start w:val="2"/>
    </w:lvl>
  </w:abstractNum>
  <w:abstractNum w:abstractNumId="168">
    <w:nsid w:val="ACDFAC0"/>
    <w:multiLevelType w:val="hybridMultilevel"/>
    <w:lvl w:ilvl="0">
      <w:lvlJc w:val="left"/>
      <w:lvlText w:val="*"/>
      <w:numFmt w:val="bullet"/>
      <w:start w:val="1"/>
    </w:lvl>
  </w:abstractNum>
  <w:abstractNum w:abstractNumId="169">
    <w:nsid w:val="1F578454"/>
    <w:multiLevelType w:val="hybridMultilevel"/>
    <w:lvl w:ilvl="0">
      <w:lvlJc w:val="left"/>
      <w:lvlText w:val="%1."/>
      <w:numFmt w:val="decimal"/>
      <w:start w:val="1"/>
    </w:lvl>
  </w:abstractNum>
  <w:abstractNum w:abstractNumId="170">
    <w:nsid w:val="5B0DAD2A"/>
    <w:multiLevelType w:val="hybridMultilevel"/>
    <w:lvl w:ilvl="0">
      <w:lvlJc w:val="left"/>
      <w:lvlText w:val="%1."/>
      <w:numFmt w:val="decimal"/>
      <w:start w:val="3"/>
    </w:lvl>
  </w:abstractNum>
  <w:abstractNum w:abstractNumId="171">
    <w:nsid w:val="4E3D26AB"/>
    <w:multiLevelType w:val="hybridMultilevel"/>
    <w:lvl w:ilvl="0">
      <w:lvlJc w:val="left"/>
      <w:lvlText w:val="%1."/>
      <w:numFmt w:val="decimal"/>
      <w:start w:val="1"/>
    </w:lvl>
  </w:abstractNum>
  <w:abstractNum w:abstractNumId="172">
    <w:nsid w:val="BE2C8BA"/>
    <w:multiLevelType w:val="hybridMultilevel"/>
    <w:lvl w:ilvl="0">
      <w:lvlJc w:val="left"/>
      <w:lvlText w:val="%1."/>
      <w:numFmt w:val="decimal"/>
      <w:start w:val="4"/>
    </w:lvl>
  </w:abstractNum>
  <w:abstractNum w:abstractNumId="173">
    <w:nsid w:val="7B14914E"/>
    <w:multiLevelType w:val="hybridMultilevel"/>
    <w:lvl w:ilvl="0">
      <w:lvlJc w:val="left"/>
      <w:lvlText w:val="*"/>
      <w:numFmt w:val="bullet"/>
      <w:start w:val="1"/>
    </w:lvl>
  </w:abstractNum>
  <w:abstractNum w:abstractNumId="174">
    <w:nsid w:val="6F0939F8"/>
    <w:multiLevelType w:val="hybridMultilevel"/>
    <w:lvl w:ilvl="0">
      <w:lvlJc w:val="left"/>
      <w:lvlText w:val="%1."/>
      <w:numFmt w:val="decimal"/>
      <w:start w:val="1"/>
    </w:lvl>
  </w:abstractNum>
  <w:abstractNum w:abstractNumId="175">
    <w:nsid w:val="154291F6"/>
    <w:multiLevelType w:val="hybridMultilevel"/>
    <w:lvl w:ilvl="0">
      <w:lvlJc w:val="left"/>
      <w:lvlText w:val="%1."/>
      <w:numFmt w:val="decimal"/>
      <w:start w:val="4"/>
    </w:lvl>
  </w:abstractNum>
  <w:abstractNum w:abstractNumId="176">
    <w:nsid w:val="3CEBD7C7"/>
    <w:multiLevelType w:val="hybridMultilevel"/>
    <w:lvl w:ilvl="0">
      <w:lvlJc w:val="left"/>
      <w:lvlText w:val="*"/>
      <w:numFmt w:val="bullet"/>
      <w:start w:val="1"/>
    </w:lvl>
    <w:lvl w:ilvl="1">
      <w:lvlJc w:val="left"/>
      <w:lvlText w:val="%2."/>
      <w:numFmt w:val="decimal"/>
      <w:start w:val="1"/>
    </w:lvl>
  </w:abstractNum>
  <w:abstractNum w:abstractNumId="177">
    <w:nsid w:val="60EE9C16"/>
    <w:multiLevelType w:val="hybridMultilevel"/>
    <w:lvl w:ilvl="0">
      <w:lvlJc w:val="left"/>
      <w:lvlText w:val="[*]"/>
      <w:numFmt w:val="bullet"/>
      <w:start w:val="1"/>
    </w:lvl>
    <w:lvl w:ilvl="1">
      <w:lvlJc w:val="left"/>
      <w:lvlText w:val="%2."/>
      <w:numFmt w:val="decimal"/>
      <w:start w:val="4"/>
    </w:lvl>
  </w:abstractNum>
  <w:abstractNum w:abstractNumId="178">
    <w:nsid w:val="6385489E"/>
    <w:multiLevelType w:val="hybridMultilevel"/>
    <w:lvl w:ilvl="0">
      <w:lvlJc w:val="left"/>
      <w:lvlText w:val="[*]"/>
      <w:numFmt w:val="bullet"/>
      <w:start w:val="1"/>
    </w:lvl>
  </w:abstractNum>
  <w:abstractNum w:abstractNumId="179">
    <w:nsid w:val="E4B973"/>
    <w:multiLevelType w:val="hybridMultilevel"/>
    <w:lvl w:ilvl="0">
      <w:lvlJc w:val="left"/>
      <w:lvlText w:val="*"/>
      <w:numFmt w:val="bullet"/>
      <w:start w:val="1"/>
    </w:lvl>
    <w:lvl w:ilvl="1">
      <w:lvlJc w:val="left"/>
      <w:lvlText w:val="[*]"/>
      <w:numFmt w:val="bullet"/>
      <w:start w:val="1"/>
    </w:lvl>
  </w:abstractNum>
  <w:abstractNum w:abstractNumId="180">
    <w:nsid w:val="4A0FFA11"/>
    <w:multiLevelType w:val="hybridMultilevel"/>
    <w:lvl w:ilvl="0">
      <w:lvlJc w:val="left"/>
      <w:lvlText w:val="*"/>
      <w:numFmt w:val="bullet"/>
      <w:start w:val="1"/>
    </w:lvl>
  </w:abstractNum>
  <w:abstractNum w:abstractNumId="181">
    <w:nsid w:val="5E446208"/>
    <w:multiLevelType w:val="hybridMultilevel"/>
    <w:lvl w:ilvl="0">
      <w:lvlJc w:val="left"/>
      <w:lvlText w:val="*"/>
      <w:numFmt w:val="bullet"/>
      <w:start w:val="1"/>
    </w:lvl>
  </w:abstractNum>
  <w:abstractNum w:abstractNumId="182">
    <w:nsid w:val="5F3272DB"/>
    <w:multiLevelType w:val="hybridMultilevel"/>
    <w:lvl w:ilvl="0">
      <w:lvlJc w:val="left"/>
      <w:lvlText w:val="*"/>
      <w:numFmt w:val="bullet"/>
      <w:start w:val="1"/>
    </w:lvl>
  </w:abstractNum>
  <w:abstractNum w:abstractNumId="183">
    <w:nsid w:val="7616D704"/>
    <w:multiLevelType w:val="hybridMultilevel"/>
    <w:lvl w:ilvl="0">
      <w:lvlJc w:val="left"/>
      <w:lvlText w:val="%1."/>
      <w:numFmt w:val="decimal"/>
      <w:start w:val="1"/>
    </w:lvl>
  </w:abstractNum>
  <w:abstractNum w:abstractNumId="184">
    <w:nsid w:val="C56F860"/>
    <w:multiLevelType w:val="hybridMultilevel"/>
    <w:lvl w:ilvl="0">
      <w:lvlJc w:val="left"/>
      <w:lvlText w:val="*"/>
      <w:numFmt w:val="bullet"/>
      <w:start w:val="1"/>
    </w:lvl>
  </w:abstractNum>
  <w:abstractNum w:abstractNumId="185">
    <w:nsid w:val="64D17722"/>
    <w:multiLevelType w:val="hybridMultilevel"/>
    <w:lvl w:ilvl="0">
      <w:lvlJc w:val="left"/>
      <w:lvlText w:val="%1."/>
      <w:numFmt w:val="decimal"/>
      <w:start w:val="7"/>
    </w:lvl>
  </w:abstractNum>
  <w:abstractNum w:abstractNumId="186">
    <w:nsid w:val="7924CA0A"/>
    <w:multiLevelType w:val="hybridMultilevel"/>
    <w:lvl w:ilvl="0">
      <w:lvlJc w:val="left"/>
      <w:lvlText w:val="*"/>
      <w:numFmt w:val="bullet"/>
      <w:start w:val="1"/>
    </w:lvl>
  </w:abstractNum>
  <w:abstractNum w:abstractNumId="187">
    <w:nsid w:val="CFD4EA7"/>
    <w:multiLevelType w:val="hybridMultilevel"/>
    <w:lvl w:ilvl="0">
      <w:lvlJc w:val="left"/>
      <w:lvlText w:val="%1."/>
      <w:numFmt w:val="decimal"/>
      <w:start w:val="13"/>
    </w:lvl>
    <w:lvl w:ilvl="1">
      <w:lvlJc w:val="left"/>
      <w:lvlText w:val="(%2)"/>
      <w:numFmt w:val="lowerRoman"/>
      <w:start w:val="1"/>
    </w:lvl>
  </w:abstractNum>
  <w:abstractNum w:abstractNumId="188">
    <w:nsid w:val="232FCF4D"/>
    <w:multiLevelType w:val="hybridMultilevel"/>
    <w:lvl w:ilvl="0">
      <w:lvlJc w:val="left"/>
      <w:lvlText w:val="*"/>
      <w:numFmt w:val="bullet"/>
      <w:start w:val="1"/>
    </w:lvl>
  </w:abstractNum>
  <w:abstractNum w:abstractNumId="189">
    <w:nsid w:val="1EA21031"/>
    <w:multiLevelType w:val="hybridMultilevel"/>
    <w:lvl w:ilvl="0">
      <w:lvlJc w:val="left"/>
      <w:lvlText w:val="-"/>
      <w:numFmt w:val="bullet"/>
      <w:start w:val="1"/>
    </w:lvl>
  </w:abstractNum>
  <w:abstractNum w:abstractNumId="190">
    <w:nsid w:val="67A5A6B5"/>
    <w:multiLevelType w:val="hybridMultilevel"/>
    <w:lvl w:ilvl="0">
      <w:lvlJc w:val="left"/>
      <w:lvlText w:val="%1."/>
      <w:numFmt w:val="decimal"/>
      <w:start w:val="1"/>
    </w:lvl>
  </w:abstractNum>
  <w:abstractNum w:abstractNumId="191">
    <w:nsid w:val="C2A5C5B"/>
    <w:multiLevelType w:val="hybridMultilevel"/>
    <w:lvl w:ilvl="0">
      <w:lvlJc w:val="left"/>
      <w:lvlText w:val="%1."/>
      <w:numFmt w:val="decimal"/>
      <w:start w:val="3"/>
    </w:lvl>
  </w:abstractNum>
  <w:abstractNum w:abstractNumId="192">
    <w:nsid w:val="5F94DC03"/>
    <w:multiLevelType w:val="hybridMultilevel"/>
    <w:lvl w:ilvl="0">
      <w:lvlJc w:val="left"/>
      <w:lvlText w:val="%1."/>
      <w:numFmt w:val="decimal"/>
      <w:start w:val="4"/>
    </w:lvl>
  </w:abstractNum>
  <w:abstractNum w:abstractNumId="193">
    <w:nsid w:val="237BBCA0"/>
    <w:multiLevelType w:val="hybridMultilevel"/>
    <w:lvl w:ilvl="0">
      <w:lvlJc w:val="left"/>
      <w:lvlText w:val="%1."/>
      <w:numFmt w:val="decimal"/>
      <w:start w:val="5"/>
    </w:lvl>
  </w:abstractNum>
  <w:abstractNum w:abstractNumId="194">
    <w:nsid w:val="162EB70D"/>
    <w:multiLevelType w:val="hybridMultilevel"/>
    <w:lvl w:ilvl="0">
      <w:lvlJc w:val="left"/>
      <w:lvlText w:val="*"/>
      <w:numFmt w:val="bullet"/>
      <w:start w:val="1"/>
    </w:lvl>
  </w:abstractNum>
  <w:abstractNum w:abstractNumId="195">
    <w:nsid w:val="78070222"/>
    <w:multiLevelType w:val="hybridMultilevel"/>
    <w:lvl w:ilvl="0">
      <w:lvlJc w:val="left"/>
      <w:lvlText w:val="%1."/>
      <w:numFmt w:val="decimal"/>
      <w:start w:val="8"/>
    </w:lvl>
  </w:abstractNum>
  <w:abstractNum w:abstractNumId="196">
    <w:nsid w:val="6163ED0D"/>
    <w:multiLevelType w:val="hybridMultilevel"/>
    <w:lvl w:ilvl="0">
      <w:lvlJc w:val="left"/>
      <w:lvlText w:val="%1."/>
      <w:numFmt w:val="decimal"/>
      <w:start w:val="12"/>
    </w:lvl>
  </w:abstractNum>
  <w:abstractNum w:abstractNumId="197">
    <w:nsid w:val="C600E47"/>
    <w:multiLevelType w:val="hybridMultilevel"/>
    <w:lvl w:ilvl="0">
      <w:lvlJc w:val="left"/>
      <w:lvlText w:val="*"/>
      <w:numFmt w:val="bullet"/>
      <w:start w:val="1"/>
    </w:lvl>
  </w:abstractNum>
  <w:abstractNum w:abstractNumId="198">
    <w:nsid w:val="7D94F75D"/>
    <w:multiLevelType w:val="hybridMultilevel"/>
    <w:lvl w:ilvl="0">
      <w:lvlJc w:val="left"/>
      <w:lvlText w:val="*"/>
      <w:numFmt w:val="bullet"/>
      <w:start w:val="1"/>
    </w:lvl>
  </w:abstractNum>
  <w:abstractNum w:abstractNumId="199">
    <w:nsid w:val="6C31E7CD"/>
    <w:multiLevelType w:val="hybridMultilevel"/>
    <w:lvl w:ilvl="0">
      <w:lvlJc w:val="left"/>
      <w:lvlText w:val="-"/>
      <w:numFmt w:val="bullet"/>
      <w:start w:val="1"/>
    </w:lvl>
  </w:abstractNum>
  <w:abstractNum w:abstractNumId="200">
    <w:nsid w:val="2BB7929B"/>
    <w:multiLevelType w:val="hybridMultilevel"/>
    <w:lvl w:ilvl="0">
      <w:lvlJc w:val="left"/>
      <w:lvlText w:val="*"/>
      <w:numFmt w:val="bullet"/>
      <w:start w:val="1"/>
    </w:lvl>
  </w:abstractNum>
  <w:abstractNum w:abstractNumId="201">
    <w:nsid w:val="58A2A487"/>
    <w:multiLevelType w:val="hybridMultilevel"/>
    <w:lvl w:ilvl="0">
      <w:lvlJc w:val="left"/>
      <w:lvlText w:val="-"/>
      <w:numFmt w:val="bullet"/>
      <w:start w:val="1"/>
    </w:lvl>
  </w:abstractNum>
  <w:abstractNum w:abstractNumId="202">
    <w:nsid w:val="3A6F0E78"/>
    <w:multiLevelType w:val="hybridMultilevel"/>
    <w:lvl w:ilvl="0">
      <w:lvlJc w:val="left"/>
      <w:lvlText w:val="*"/>
      <w:numFmt w:val="bullet"/>
      <w:start w:val="1"/>
    </w:lvl>
  </w:abstractNum>
  <w:abstractNum w:abstractNumId="203">
    <w:nsid w:val="379A5B56"/>
    <w:multiLevelType w:val="hybridMultilevel"/>
    <w:lvl w:ilvl="0">
      <w:lvlJc w:val="left"/>
      <w:lvlText w:val="[*]"/>
      <w:numFmt w:val="bullet"/>
      <w:start w:val="1"/>
    </w:lvl>
  </w:abstractNum>
  <w:abstractNum w:abstractNumId="204">
    <w:nsid w:val="53B735D5"/>
    <w:multiLevelType w:val="hybridMultilevel"/>
    <w:lvl w:ilvl="0">
      <w:lvlJc w:val="left"/>
      <w:lvlText w:val="-"/>
      <w:numFmt w:val="bullet"/>
      <w:start w:val="1"/>
    </w:lvl>
  </w:abstractNum>
  <w:abstractNum w:abstractNumId="205">
    <w:nsid w:val="29784870"/>
    <w:multiLevelType w:val="hybridMultilevel"/>
    <w:lvl w:ilvl="0">
      <w:lvlJc w:val="left"/>
      <w:lvlText w:val="-"/>
      <w:numFmt w:val="bullet"/>
      <w:start w:val="1"/>
    </w:lvl>
    <w:lvl w:ilvl="1">
      <w:lvlJc w:val="left"/>
      <w:lvlText w:val="%2"/>
      <w:numFmt w:val="decimal"/>
    </w:lvl>
  </w:abstractNum>
  <w:abstractNum w:abstractNumId="206">
    <w:nsid w:val="4CDCED4C"/>
    <w:multiLevelType w:val="hybridMultilevel"/>
    <w:lvl w:ilvl="0">
      <w:lvlJc w:val="left"/>
      <w:lvlText w:val="-"/>
      <w:numFmt w:val="bullet"/>
      <w:start w:val="1"/>
    </w:lvl>
    <w:lvl w:ilvl="1">
      <w:lvlJc w:val="left"/>
      <w:lvlText w:val="%2"/>
      <w:numFmt w:val="decimal"/>
      <w:start w:val="1"/>
    </w:lvl>
  </w:abstractNum>
  <w:abstractNum w:abstractNumId="207">
    <w:nsid w:val="10A30D9C"/>
    <w:multiLevelType w:val="hybridMultilevel"/>
    <w:lvl w:ilvl="0">
      <w:lvlJc w:val="left"/>
      <w:lvlText w:val="-"/>
      <w:numFmt w:val="bullet"/>
      <w:start w:val="1"/>
    </w:lvl>
    <w:lvl w:ilvl="1">
      <w:lvlJc w:val="left"/>
      <w:lvlText w:val="%2"/>
      <w:numFmt w:val="decimal"/>
      <w:start w:val="2"/>
    </w:lvl>
  </w:abstractNum>
  <w:abstractNum w:abstractNumId="208">
    <w:nsid w:val="A66E486"/>
    <w:multiLevelType w:val="hybridMultilevel"/>
    <w:lvl w:ilvl="0">
      <w:lvlJc w:val="left"/>
      <w:lvlText w:val="-"/>
      <w:numFmt w:val="bullet"/>
      <w:start w:val="1"/>
    </w:lvl>
    <w:lvl w:ilvl="1">
      <w:lvlJc w:val="left"/>
      <w:lvlText w:val="%2"/>
      <w:numFmt w:val="decimal"/>
      <w:start w:val="3"/>
    </w:lvl>
  </w:abstractNum>
  <w:abstractNum w:abstractNumId="209">
    <w:nsid w:val="306235EA"/>
    <w:multiLevelType w:val="hybridMultilevel"/>
    <w:lvl w:ilvl="0">
      <w:lvlJc w:val="left"/>
      <w:lvlText w:val="-"/>
      <w:numFmt w:val="bullet"/>
      <w:start w:val="1"/>
    </w:lvl>
    <w:lvl w:ilvl="1">
      <w:lvlJc w:val="left"/>
      <w:lvlText w:val="%2"/>
      <w:numFmt w:val="decimal"/>
      <w:start w:val="4"/>
    </w:lvl>
  </w:abstractNum>
  <w:abstractNum w:abstractNumId="210">
    <w:nsid w:val="1187C70F"/>
    <w:multiLevelType w:val="hybridMultilevel"/>
    <w:lvl w:ilvl="0">
      <w:lvlJc w:val="left"/>
      <w:lvlText w:val="-"/>
      <w:numFmt w:val="bullet"/>
      <w:start w:val="1"/>
    </w:lvl>
    <w:lvl w:ilvl="1">
      <w:lvlJc w:val="left"/>
      <w:lvlText w:val="%2"/>
      <w:numFmt w:val="decimal"/>
      <w:start w:val="5"/>
    </w:lvl>
  </w:abstractNum>
  <w:abstractNum w:abstractNumId="211">
    <w:nsid w:val="5476DE98"/>
    <w:multiLevelType w:val="hybridMultilevel"/>
    <w:lvl w:ilvl="0">
      <w:lvlJc w:val="left"/>
      <w:lvlText w:val="*"/>
      <w:numFmt w:val="bullet"/>
      <w:start w:val="1"/>
    </w:lvl>
  </w:abstractNum>
  <w:abstractNum w:abstractNumId="212">
    <w:nsid w:val="EA697F2"/>
    <w:multiLevelType w:val="hybridMultilevel"/>
    <w:lvl w:ilvl="0">
      <w:lvlJc w:val="left"/>
      <w:lvlText w:val="*"/>
      <w:numFmt w:val="bullet"/>
      <w:start w:val="1"/>
    </w:lvl>
  </w:abstractNum>
  <w:abstractNum w:abstractNumId="213">
    <w:nsid w:val="70BA39EB"/>
    <w:multiLevelType w:val="hybridMultilevel"/>
    <w:lvl w:ilvl="0">
      <w:lvlJc w:val="left"/>
      <w:lvlText w:val="%1."/>
      <w:numFmt w:val="decimal"/>
      <w:start w:val="1"/>
    </w:lvl>
  </w:abstractNum>
  <w:abstractNum w:abstractNumId="214">
    <w:nsid w:val="4A8DB59C"/>
    <w:multiLevelType w:val="hybridMultilevel"/>
    <w:lvl w:ilvl="0">
      <w:lvlJc w:val="left"/>
      <w:lvlText w:val="%1."/>
      <w:numFmt w:val="decimal"/>
      <w:start w:val="2"/>
    </w:lvl>
  </w:abstractNum>
  <w:abstractNum w:abstractNumId="215">
    <w:nsid w:val="1AFD9053"/>
    <w:multiLevelType w:val="hybridMultilevel"/>
    <w:lvl w:ilvl="0">
      <w:lvlJc w:val="left"/>
      <w:lvlText w:val="*"/>
      <w:numFmt w:val="bullet"/>
      <w:start w:val="1"/>
    </w:lvl>
  </w:abstractNum>
  <w:abstractNum w:abstractNumId="216">
    <w:nsid w:val="558BB10D"/>
    <w:multiLevelType w:val="hybridMultilevel"/>
    <w:lvl w:ilvl="0">
      <w:lvlJc w:val="left"/>
      <w:lvlText w:val="-"/>
      <w:numFmt w:val="bullet"/>
      <w:start w:val="1"/>
    </w:lvl>
    <w:lvl w:ilvl="1">
      <w:lvlJc w:val="left"/>
      <w:lvlText w:val="[*]"/>
      <w:numFmt w:val="bullet"/>
      <w:start w:val="1"/>
    </w:lvl>
  </w:abstractNum>
  <w:abstractNum w:abstractNumId="217">
    <w:nsid w:val="43B27FA7"/>
    <w:multiLevelType w:val="hybridMultilevel"/>
    <w:lvl w:ilvl="0">
      <w:lvlJc w:val="left"/>
      <w:lvlText w:val="*"/>
      <w:numFmt w:val="bullet"/>
      <w:start w:val="1"/>
    </w:lvl>
  </w:abstractNum>
  <w:abstractNum w:abstractNumId="218">
    <w:nsid w:val="27FADEFA"/>
    <w:multiLevelType w:val="hybridMultilevel"/>
    <w:lvl w:ilvl="0">
      <w:lvlJc w:val="left"/>
      <w:lvlText w:val="%1"/>
      <w:numFmt w:val="decimal"/>
      <w:start w:val="1"/>
    </w:lvl>
    <w:lvl w:ilvl="1">
      <w:lvlJc w:val="left"/>
      <w:lvlText w:val="%2)"/>
      <w:numFmt w:val="lowerLetter"/>
      <w:start w:val="3"/>
    </w:lvl>
  </w:abstractNum>
  <w:abstractNum w:abstractNumId="219">
    <w:nsid w:val="78BB805A"/>
    <w:multiLevelType w:val="hybridMultilevel"/>
    <w:lvl w:ilvl="0">
      <w:lvlJc w:val="left"/>
      <w:lvlText w:val="%1."/>
      <w:numFmt w:val="decimal"/>
      <w:start w:val="3"/>
    </w:lvl>
    <w:lvl w:ilvl="1">
      <w:lvlJc w:val="left"/>
      <w:lvlText w:val="%2"/>
      <w:numFmt w:val="lowerLetter"/>
      <w:start w:val="1"/>
    </w:lvl>
  </w:abstractNum>
  <w:abstractNum w:abstractNumId="220">
    <w:nsid w:val="62548FD8"/>
    <w:multiLevelType w:val="hybridMultilevel"/>
    <w:lvl w:ilvl="0">
      <w:lvlJc w:val="left"/>
      <w:lvlText w:val="*"/>
      <w:numFmt w:val="bullet"/>
      <w:start w:val="1"/>
    </w:lvl>
  </w:abstractNum>
  <w:abstractNum w:abstractNumId="221">
    <w:nsid w:val="FA085B0"/>
    <w:multiLevelType w:val="hybridMultilevel"/>
    <w:lvl w:ilvl="0">
      <w:lvlJc w:val="left"/>
      <w:lvlText w:val="%1."/>
      <w:numFmt w:val="upperLetter"/>
      <w:start w:val="9"/>
    </w:lvl>
  </w:abstractNum>
  <w:abstractNum w:abstractNumId="222">
    <w:nsid w:val="4E5DCB5"/>
    <w:multiLevelType w:val="hybridMultilevel"/>
    <w:lvl w:ilvl="0">
      <w:lvlJc w:val="left"/>
      <w:lvlText w:val="%1."/>
      <w:numFmt w:val="decimal"/>
      <w:start w:val="4"/>
    </w:lvl>
  </w:abstractNum>
  <w:abstractNum w:abstractNumId="223">
    <w:nsid w:val="41E96BDB"/>
    <w:multiLevelType w:val="hybridMultilevel"/>
    <w:lvl w:ilvl="0">
      <w:lvlJc w:val="left"/>
      <w:lvlText w:val="*"/>
      <w:numFmt w:val="bullet"/>
      <w:start w:val="1"/>
    </w:lvl>
  </w:abstractNum>
  <w:abstractNum w:abstractNumId="224">
    <w:nsid w:val="331C4250"/>
    <w:multiLevelType w:val="hybridMultilevel"/>
    <w:lvl w:ilvl="0">
      <w:lvlJc w:val="left"/>
      <w:lvlText w:val="%1."/>
      <w:numFmt w:val="decimal"/>
      <w:start w:val="5"/>
    </w:lvl>
  </w:abstractNum>
  <w:abstractNum w:abstractNumId="225">
    <w:nsid w:val="1B1493C2"/>
    <w:multiLevelType w:val="hybridMultilevel"/>
    <w:lvl w:ilvl="0">
      <w:lvlJc w:val="left"/>
      <w:lvlText w:val="*"/>
      <w:numFmt w:val="bullet"/>
      <w:start w:val="1"/>
    </w:lvl>
  </w:abstractNum>
  <w:abstractNum w:abstractNumId="226">
    <w:nsid w:val="39F06DFD"/>
    <w:multiLevelType w:val="hybridMultilevel"/>
    <w:lvl w:ilvl="0">
      <w:lvlJc w:val="left"/>
      <w:lvlText w:val="-"/>
      <w:numFmt w:val="bullet"/>
      <w:start w:val="1"/>
    </w:lvl>
    <w:lvl w:ilvl="1">
      <w:lvlJc w:val="left"/>
      <w:lvlText w:val="-"/>
      <w:numFmt w:val="bullet"/>
      <w:start w:val="1"/>
    </w:lvl>
  </w:abstractNum>
  <w:abstractNum w:abstractNumId="227">
    <w:nsid w:val="14802F5D"/>
    <w:multiLevelType w:val="hybridMultilevel"/>
    <w:lvl w:ilvl="0">
      <w:lvlJc w:val="left"/>
      <w:lvlText w:val="-"/>
      <w:numFmt w:val="bullet"/>
      <w:start w:val="1"/>
    </w:lvl>
  </w:abstractNum>
  <w:abstractNum w:abstractNumId="228">
    <w:nsid w:val="2774A209"/>
    <w:multiLevelType w:val="hybridMultilevel"/>
    <w:lvl w:ilvl="0">
      <w:lvlJc w:val="left"/>
      <w:lvlText w:val="*"/>
      <w:numFmt w:val="bullet"/>
      <w:start w:val="1"/>
    </w:lvl>
  </w:abstractNum>
  <w:abstractNum w:abstractNumId="229">
    <w:nsid w:val="3785655A"/>
    <w:multiLevelType w:val="hybridMultilevel"/>
    <w:lvl w:ilvl="0">
      <w:lvlJc w:val="left"/>
      <w:lvlText w:val="%1."/>
      <w:numFmt w:val="decimal"/>
      <w:start w:val="6"/>
    </w:lvl>
  </w:abstractNum>
  <w:abstractNum w:abstractNumId="230">
    <w:nsid w:val="B2172A"/>
    <w:multiLevelType w:val="hybridMultilevel"/>
    <w:lvl w:ilvl="0">
      <w:lvlJc w:val="left"/>
      <w:lvlText w:val="%1."/>
      <w:numFmt w:val="lowerLetter"/>
      <w:start w:val="12"/>
    </w:lvl>
  </w:abstractNum>
  <w:abstractNum w:abstractNumId="231">
    <w:nsid w:val="532C34A5"/>
    <w:multiLevelType w:val="hybridMultilevel"/>
    <w:lvl w:ilvl="0">
      <w:lvlJc w:val="left"/>
      <w:lvlText w:val="*"/>
      <w:numFmt w:val="bullet"/>
      <w:start w:val="1"/>
    </w:lvl>
  </w:abstractNum>
  <w:abstractNum w:abstractNumId="232">
    <w:nsid w:val="102809E2"/>
    <w:multiLevelType w:val="hybridMultilevel"/>
    <w:lvl w:ilvl="0">
      <w:lvlJc w:val="left"/>
      <w:lvlText w:val="%1."/>
      <w:numFmt w:val="decimal"/>
      <w:start w:val="7"/>
    </w:lvl>
    <w:lvl w:ilvl="1">
      <w:lvlJc w:val="left"/>
      <w:lvlText w:val="%2"/>
      <w:numFmt w:val="upperLetter"/>
      <w:start w:val="1"/>
    </w:lvl>
  </w:abstractNum>
  <w:abstractNum w:abstractNumId="233">
    <w:nsid w:val="3B2125A3"/>
    <w:multiLevelType w:val="hybridMultilevel"/>
    <w:lvl w:ilvl="0">
      <w:lvlJc w:val="left"/>
      <w:lvlText w:val="*"/>
      <w:numFmt w:val="bullet"/>
      <w:start w:val="1"/>
    </w:lvl>
  </w:abstractNum>
  <w:abstractNum w:abstractNumId="234">
    <w:nsid w:val="AC68FFB"/>
    <w:multiLevelType w:val="hybridMultilevel"/>
    <w:lvl w:ilvl="0">
      <w:lvlJc w:val="left"/>
      <w:lvlText w:val="[*]"/>
      <w:numFmt w:val="bullet"/>
      <w:start w:val="1"/>
    </w:lvl>
  </w:abstractNum>
  <w:abstractNum w:abstractNumId="235">
    <w:nsid w:val="63DF3FB7"/>
    <w:multiLevelType w:val="hybridMultilevel"/>
    <w:lvl w:ilvl="0">
      <w:lvlJc w:val="left"/>
      <w:lvlText w:val="*"/>
      <w:numFmt w:val="bullet"/>
      <w:start w:val="1"/>
    </w:lvl>
  </w:abstractNum>
  <w:abstractNum w:abstractNumId="236">
    <w:nsid w:val="64996E13"/>
    <w:multiLevelType w:val="hybridMultilevel"/>
    <w:lvl w:ilvl="0">
      <w:lvlJc w:val="left"/>
      <w:lvlText w:val="-"/>
      <w:numFmt w:val="bullet"/>
      <w:start w:val="1"/>
    </w:lvl>
  </w:abstractNum>
  <w:abstractNum w:abstractNumId="237">
    <w:nsid w:val="57A37D47"/>
    <w:multiLevelType w:val="hybridMultilevel"/>
    <w:lvl w:ilvl="0">
      <w:lvlJc w:val="left"/>
      <w:lvlText w:val="[*]"/>
      <w:numFmt w:val="bullet"/>
      <w:start w:val="1"/>
    </w:lvl>
  </w:abstractNum>
  <w:abstractNum w:abstractNumId="238">
    <w:nsid w:val="74824D54"/>
    <w:multiLevelType w:val="hybridMultilevel"/>
    <w:lvl w:ilvl="0">
      <w:lvlJc w:val="left"/>
      <w:lvlText w:val="*"/>
      <w:numFmt w:val="bullet"/>
      <w:start w:val="1"/>
    </w:lvl>
  </w:abstractNum>
  <w:abstractNum w:abstractNumId="239">
    <w:nsid w:val="6F00529A"/>
    <w:multiLevelType w:val="hybridMultilevel"/>
    <w:lvl w:ilvl="0">
      <w:lvlJc w:val="left"/>
      <w:lvlText w:val="-"/>
      <w:numFmt w:val="bullet"/>
      <w:start w:val="1"/>
    </w:lvl>
  </w:abstractNum>
  <w:abstractNum w:abstractNumId="240">
    <w:nsid w:val="805B331"/>
    <w:multiLevelType w:val="hybridMultilevel"/>
    <w:lvl w:ilvl="0">
      <w:lvlJc w:val="left"/>
      <w:lvlText w:val="-"/>
      <w:numFmt w:val="bullet"/>
      <w:start w:val="1"/>
    </w:lvl>
  </w:abstractNum>
  <w:abstractNum w:abstractNumId="241">
    <w:nsid w:val="60A1463"/>
    <w:multiLevelType w:val="hybridMultilevel"/>
    <w:lvl w:ilvl="0">
      <w:lvlJc w:val="left"/>
      <w:lvlText w:val="%1."/>
      <w:numFmt w:val="decimal"/>
      <w:start w:val="1"/>
    </w:lvl>
  </w:abstractNum>
  <w:abstractNum w:abstractNumId="242">
    <w:nsid w:val="43773132"/>
    <w:multiLevelType w:val="hybridMultilevel"/>
    <w:lvl w:ilvl="0">
      <w:lvlJc w:val="left"/>
      <w:lvlText w:val="*"/>
      <w:numFmt w:val="bullet"/>
      <w:start w:val="1"/>
    </w:lvl>
  </w:abstractNum>
  <w:abstractNum w:abstractNumId="243">
    <w:nsid w:val="16AC4B23"/>
    <w:multiLevelType w:val="hybridMultilevel"/>
    <w:lvl w:ilvl="0">
      <w:lvlJc w:val="left"/>
      <w:lvlText w:val="[*]"/>
      <w:numFmt w:val="bullet"/>
      <w:start w:val="1"/>
    </w:lvl>
  </w:abstractNum>
  <w:abstractNum w:abstractNumId="244">
    <w:nsid w:val="76C44E4E"/>
    <w:multiLevelType w:val="hybridMultilevel"/>
    <w:lvl w:ilvl="0">
      <w:lvlJc w:val="left"/>
      <w:lvlText w:val="*"/>
      <w:numFmt w:val="bullet"/>
      <w:start w:val="1"/>
    </w:lvl>
  </w:abstractNum>
  <w:abstractNum w:abstractNumId="245">
    <w:nsid w:val="E04E6CE"/>
    <w:multiLevelType w:val="hybridMultilevel"/>
    <w:lvl w:ilvl="0">
      <w:lvlJc w:val="left"/>
      <w:lvlText w:val="*"/>
      <w:numFmt w:val="bullet"/>
      <w:start w:val="1"/>
    </w:lvl>
  </w:abstractNum>
  <w:abstractNum w:abstractNumId="246">
    <w:nsid w:val="31A9DB76"/>
    <w:multiLevelType w:val="hybridMultilevel"/>
    <w:lvl w:ilvl="0">
      <w:lvlJc w:val="left"/>
      <w:lvlText w:val="%1."/>
      <w:numFmt w:val="decimal"/>
      <w:start w:val="3"/>
    </w:lvl>
    <w:lvl w:ilvl="1">
      <w:lvlJc w:val="left"/>
      <w:lvlText w:val="[*]"/>
      <w:numFmt w:val="bullet"/>
      <w:start w:val="1"/>
    </w:lvl>
  </w:abstractNum>
  <w:abstractNum w:abstractNumId="247">
    <w:nsid w:val="4C4FFF5B"/>
    <w:multiLevelType w:val="hybridMultilevel"/>
    <w:lvl w:ilvl="0">
      <w:lvlJc w:val="left"/>
      <w:lvlText w:val="*"/>
      <w:numFmt w:val="bullet"/>
      <w:start w:val="1"/>
    </w:lvl>
  </w:abstractNum>
  <w:abstractNum w:abstractNumId="248">
    <w:nsid w:val="51B76675"/>
    <w:multiLevelType w:val="hybridMultilevel"/>
    <w:lvl w:ilvl="0">
      <w:lvlJc w:val="left"/>
      <w:lvlText w:val="[*]"/>
      <w:numFmt w:val="bullet"/>
      <w:start w:val="1"/>
    </w:lvl>
  </w:abstractNum>
  <w:abstractNum w:abstractNumId="249">
    <w:nsid w:val="59A4BA71"/>
    <w:multiLevelType w:val="hybridMultilevel"/>
    <w:lvl w:ilvl="0">
      <w:lvlJc w:val="left"/>
      <w:lvlText w:val="*"/>
      <w:numFmt w:val="bullet"/>
      <w:start w:val="1"/>
    </w:lvl>
    <w:lvl w:ilvl="1">
      <w:lvlJc w:val="left"/>
      <w:lvlText w:val="(%2)"/>
      <w:numFmt w:val="lowerLetter"/>
      <w:start w:val="2"/>
    </w:lvl>
  </w:abstractNum>
  <w:abstractNum w:abstractNumId="250">
    <w:nsid w:val="450B7FB6"/>
    <w:multiLevelType w:val="hybridMultilevel"/>
    <w:lvl w:ilvl="0">
      <w:lvlJc w:val="left"/>
      <w:lvlText w:val="[*]"/>
      <w:numFmt w:val="bullet"/>
      <w:start w:val="1"/>
    </w:lvl>
  </w:abstractNum>
  <w:abstractNum w:abstractNumId="251">
    <w:nsid w:val="340BF64D"/>
    <w:multiLevelType w:val="hybridMultilevel"/>
    <w:lvl w:ilvl="0">
      <w:lvlJc w:val="left"/>
      <w:lvlText w:val="(%1)"/>
      <w:numFmt w:val="lowerLetter"/>
      <w:start w:val="1"/>
    </w:lvl>
  </w:abstractNum>
  <w:abstractNum w:abstractNumId="252">
    <w:nsid w:val="69454021"/>
    <w:multiLevelType w:val="hybridMultilevel"/>
    <w:lvl w:ilvl="0">
      <w:lvlJc w:val="left"/>
      <w:lvlText w:val="*"/>
      <w:numFmt w:val="bullet"/>
      <w:start w:val="1"/>
    </w:lvl>
    <w:lvl w:ilvl="1">
      <w:lvlJc w:val="left"/>
      <w:lvlText w:val="[*]"/>
      <w:numFmt w:val="bullet"/>
      <w:start w:val="1"/>
    </w:lvl>
  </w:abstractNum>
  <w:abstractNum w:abstractNumId="253">
    <w:nsid w:val="49F15C6B"/>
    <w:multiLevelType w:val="hybridMultilevel"/>
    <w:lvl w:ilvl="0">
      <w:lvlJc w:val="left"/>
      <w:lvlText w:val="%1."/>
      <w:numFmt w:val="decimal"/>
      <w:start w:val="4"/>
    </w:lvl>
    <w:lvl w:ilvl="1">
      <w:lvlJc w:val="left"/>
      <w:lvlText w:val="[*]"/>
      <w:numFmt w:val="bullet"/>
      <w:start w:val="1"/>
    </w:lvl>
  </w:abstractNum>
  <w:abstractNum w:abstractNumId="254">
    <w:nsid w:val="75F56228"/>
    <w:multiLevelType w:val="hybridMultilevel"/>
    <w:lvl w:ilvl="0">
      <w:lvlJc w:val="left"/>
      <w:lvlText w:val="*"/>
      <w:numFmt w:val="bullet"/>
      <w:start w:val="1"/>
    </w:lvl>
  </w:abstractNum>
  <w:abstractNum w:abstractNumId="255">
    <w:nsid w:val="1C618271"/>
    <w:multiLevelType w:val="hybridMultilevel"/>
    <w:lvl w:ilvl="0">
      <w:lvlJc w:val="left"/>
      <w:lvlText w:val="%1."/>
      <w:numFmt w:val="decimal"/>
      <w:start w:val="5"/>
    </w:lvl>
    <w:lvl w:ilvl="1">
      <w:lvlJc w:val="left"/>
      <w:lvlText w:val="[*]"/>
      <w:numFmt w:val="bullet"/>
      <w:start w:val="1"/>
    </w:lvl>
  </w:abstractNum>
  <w:abstractNum w:abstractNumId="256">
    <w:nsid w:val="6505F02E"/>
    <w:multiLevelType w:val="hybridMultilevel"/>
    <w:lvl w:ilvl="0">
      <w:lvlJc w:val="left"/>
      <w:lvlText w:val="*"/>
      <w:numFmt w:val="bullet"/>
      <w:start w:val="1"/>
    </w:lvl>
  </w:abstractNum>
  <w:abstractNum w:abstractNumId="257">
    <w:nsid w:val="2FE5D025"/>
    <w:multiLevelType w:val="hybridMultilevel"/>
    <w:lvl w:ilvl="0">
      <w:lvlJc w:val="left"/>
      <w:lvlText w:val="%1."/>
      <w:numFmt w:val="decimal"/>
      <w:start w:val="7"/>
    </w:lvl>
    <w:lvl w:ilvl="1">
      <w:lvlJc w:val="left"/>
      <w:lvlText w:val="(%2)"/>
      <w:numFmt w:val="decimal"/>
      <w:start w:val="1"/>
    </w:lvl>
  </w:abstractNum>
  <w:abstractNum w:abstractNumId="258">
    <w:nsid w:val="30E1B1CF"/>
    <w:multiLevelType w:val="hybridMultilevel"/>
    <w:lvl w:ilvl="0">
      <w:lvlJc w:val="left"/>
      <w:lvlText w:val="[*]."/>
      <w:numFmt w:val="bullet"/>
      <w:start w:val="1"/>
    </w:lvl>
  </w:abstractNum>
  <w:abstractNum w:abstractNumId="259">
    <w:nsid w:val="C7A9237"/>
    <w:multiLevelType w:val="hybridMultilevel"/>
    <w:lvl w:ilvl="0">
      <w:lvlJc w:val="left"/>
      <w:lvlText w:val="*"/>
      <w:numFmt w:val="bullet"/>
      <w:start w:val="1"/>
    </w:lvl>
  </w:abstractNum>
  <w:abstractNum w:abstractNumId="260">
    <w:nsid w:val="676B3580"/>
    <w:multiLevelType w:val="hybridMultilevel"/>
    <w:lvl w:ilvl="0">
      <w:lvlJc w:val="left"/>
      <w:lvlText w:val="[*]"/>
      <w:numFmt w:val="bullet"/>
      <w:start w:val="1"/>
    </w:lvl>
  </w:abstractNum>
  <w:abstractNum w:abstractNumId="261">
    <w:nsid w:val="3193C8F9"/>
    <w:multiLevelType w:val="hybridMultilevel"/>
    <w:lvl w:ilvl="0">
      <w:lvlJc w:val="left"/>
      <w:lvlText w:val="(%1)"/>
      <w:numFmt w:val="lowerLetter"/>
      <w:start w:val="1"/>
    </w:lvl>
  </w:abstractNum>
  <w:abstractNum w:abstractNumId="262">
    <w:nsid w:val="5FA6C6DC"/>
    <w:multiLevelType w:val="hybridMultilevel"/>
    <w:lvl w:ilvl="0">
      <w:lvlJc w:val="left"/>
      <w:lvlText w:val="%1."/>
      <w:numFmt w:val="decimal"/>
      <w:start w:val="8"/>
    </w:lvl>
  </w:abstractNum>
  <w:abstractNum w:abstractNumId="263">
    <w:nsid w:val="77933F62"/>
    <w:multiLevelType w:val="hybridMultilevel"/>
    <w:lvl w:ilvl="0">
      <w:lvlJc w:val="left"/>
      <w:lvlText w:val="*"/>
      <w:numFmt w:val="bullet"/>
      <w:start w:val="1"/>
    </w:lvl>
  </w:abstractNum>
  <w:abstractNum w:abstractNumId="264">
    <w:nsid w:val="6CB4EE9C"/>
    <w:multiLevelType w:val="hybridMultilevel"/>
    <w:lvl w:ilvl="0">
      <w:lvlJc w:val="left"/>
      <w:lvlText w:val="%1."/>
      <w:numFmt w:val="decimal"/>
      <w:start w:val="9"/>
    </w:lvl>
    <w:lvl w:ilvl="1">
      <w:lvlJc w:val="left"/>
      <w:lvlText w:val="(%2)"/>
      <w:numFmt w:val="decimal"/>
      <w:start w:val="1"/>
    </w:lvl>
  </w:abstractNum>
  <w:abstractNum w:abstractNumId="265">
    <w:nsid w:val="6A6D56D7"/>
    <w:multiLevelType w:val="hybridMultilevel"/>
    <w:lvl w:ilvl="0">
      <w:lvlJc w:val="left"/>
      <w:lvlText w:val="*"/>
      <w:numFmt w:val="bullet"/>
      <w:start w:val="1"/>
    </w:lvl>
  </w:abstractNum>
  <w:abstractNum w:abstractNumId="266">
    <w:nsid w:val="5B727F19"/>
    <w:multiLevelType w:val="hybridMultilevel"/>
    <w:lvl w:ilvl="0">
      <w:lvlJc w:val="left"/>
      <w:lvlText w:val="(%1)"/>
      <w:numFmt w:val="lowerLetter"/>
      <w:start w:val="1"/>
    </w:lvl>
  </w:abstractNum>
  <w:abstractNum w:abstractNumId="267">
    <w:nsid w:val="514E5CB0"/>
    <w:multiLevelType w:val="hybridMultilevel"/>
    <w:lvl w:ilvl="0">
      <w:lvlJc w:val="left"/>
      <w:lvlText w:val="%1."/>
      <w:numFmt w:val="decimal"/>
      <w:start w:val="10"/>
    </w:lvl>
    <w:lvl w:ilvl="1">
      <w:lvlJc w:val="left"/>
      <w:lvlText w:val="%2"/>
      <w:numFmt w:val="upperLetter"/>
      <w:start w:val="1"/>
    </w:lvl>
  </w:abstractNum>
  <w:abstractNum w:abstractNumId="268">
    <w:nsid w:val="4210D41E"/>
    <w:multiLevelType w:val="hybridMultilevel"/>
    <w:lvl w:ilvl="0">
      <w:lvlJc w:val="left"/>
      <w:lvlText w:val="*"/>
      <w:numFmt w:val="bullet"/>
      <w:start w:val="1"/>
    </w:lvl>
  </w:abstractNum>
  <w:abstractNum w:abstractNumId="269">
    <w:nsid w:val="4FF4CC6D"/>
    <w:multiLevelType w:val="hybridMultilevel"/>
    <w:lvl w:ilvl="0">
      <w:lvlJc w:val="left"/>
      <w:lvlText w:val="*"/>
      <w:numFmt w:val="bullet"/>
      <w:start w:val="1"/>
    </w:lvl>
  </w:abstractNum>
  <w:abstractNum w:abstractNumId="270">
    <w:nsid w:val="404EAF4A"/>
    <w:multiLevelType w:val="hybridMultilevel"/>
    <w:lvl w:ilvl="0">
      <w:lvlJc w:val="left"/>
      <w:lvlText w:val="(%1)"/>
      <w:numFmt w:val="decimal"/>
      <w:start w:val="1"/>
    </w:lvl>
  </w:abstractNum>
  <w:abstractNum w:abstractNumId="271">
    <w:nsid w:val="4A16874F"/>
    <w:multiLevelType w:val="hybridMultilevel"/>
    <w:lvl w:ilvl="0">
      <w:lvlJc w:val="left"/>
      <w:lvlText w:val="%1."/>
      <w:numFmt w:val="decimal"/>
      <w:start w:val="11"/>
    </w:lvl>
  </w:abstractNum>
  <w:abstractNum w:abstractNumId="272">
    <w:nsid w:val="55FEE0D1"/>
    <w:multiLevelType w:val="hybridMultilevel"/>
    <w:lvl w:ilvl="0">
      <w:lvlJc w:val="left"/>
      <w:lvlText w:val="*"/>
      <w:numFmt w:val="bullet"/>
      <w:start w:val="1"/>
    </w:lvl>
  </w:abstractNum>
  <w:abstractNum w:abstractNumId="273">
    <w:nsid w:val="3C5E07C"/>
    <w:multiLevelType w:val="hybridMultilevel"/>
    <w:lvl w:ilvl="0">
      <w:lvlJc w:val="left"/>
      <w:lvlText w:val="%1."/>
      <w:numFmt w:val="decimal"/>
      <w:start w:val="12"/>
    </w:lvl>
  </w:abstractNum>
  <w:abstractNum w:abstractNumId="274">
    <w:nsid w:val="60C2D273"/>
    <w:multiLevelType w:val="hybridMultilevel"/>
    <w:lvl w:ilvl="0">
      <w:lvlJc w:val="left"/>
      <w:lvlText w:val="*"/>
      <w:numFmt w:val="bullet"/>
      <w:start w:val="1"/>
    </w:lvl>
  </w:abstractNum>
  <w:abstractNum w:abstractNumId="275">
    <w:nsid w:val="4CC32F1F"/>
    <w:multiLevelType w:val="hybridMultilevel"/>
    <w:lvl w:ilvl="0">
      <w:lvlJc w:val="left"/>
      <w:lvlText w:val="%1."/>
      <w:numFmt w:val="decimal"/>
      <w:start w:val="13"/>
    </w:lvl>
    <w:lvl w:ilvl="1">
      <w:lvlJc w:val="left"/>
      <w:lvlText w:val="(%2)"/>
      <w:numFmt w:val="lowerRoman"/>
      <w:start w:val="2"/>
    </w:lvl>
  </w:abstractNum>
  <w:abstractNum w:abstractNumId="276">
    <w:nsid w:val="11CAC74A"/>
    <w:multiLevelType w:val="hybridMultilevel"/>
    <w:lvl w:ilvl="0">
      <w:lvlJc w:val="left"/>
      <w:lvlText w:val="*"/>
      <w:numFmt w:val="bullet"/>
      <w:start w:val="1"/>
    </w:lvl>
  </w:abstractNum>
  <w:abstractNum w:abstractNumId="277">
    <w:nsid w:val="126CADE9"/>
    <w:multiLevelType w:val="hybridMultilevel"/>
    <w:lvl w:ilvl="0">
      <w:lvlJc w:val="left"/>
      <w:lvlText w:val="*"/>
      <w:numFmt w:val="bullet"/>
      <w:start w:val="1"/>
    </w:lvl>
  </w:abstractNum>
  <w:abstractNum w:abstractNumId="278">
    <w:nsid w:val="19132E7B"/>
    <w:multiLevelType w:val="hybridMultilevel"/>
    <w:lvl w:ilvl="0">
      <w:lvlJc w:val="left"/>
      <w:lvlText w:val="[*]"/>
      <w:numFmt w:val="bullet"/>
      <w:start w:val="1"/>
    </w:lvl>
  </w:abstractNum>
  <w:abstractNum w:abstractNumId="279">
    <w:nsid w:val="63822DC0"/>
    <w:multiLevelType w:val="hybridMultilevel"/>
    <w:lvl w:ilvl="0">
      <w:lvlJc w:val="left"/>
      <w:lvlText w:val="[*]"/>
      <w:numFmt w:val="bullet"/>
      <w:start w:val="1"/>
    </w:lvl>
  </w:abstractNum>
  <w:abstractNum w:abstractNumId="280">
    <w:nsid w:val="6C11685A"/>
    <w:multiLevelType w:val="hybridMultilevel"/>
    <w:lvl w:ilvl="0">
      <w:lvlJc w:val="left"/>
      <w:lvlText w:val="*"/>
      <w:numFmt w:val="bullet"/>
      <w:start w:val="1"/>
    </w:lvl>
  </w:abstractNum>
  <w:abstractNum w:abstractNumId="281">
    <w:nsid w:val="5E1EAE31"/>
    <w:multiLevelType w:val="hybridMultilevel"/>
    <w:lvl w:ilvl="0">
      <w:lvlJc w:val="left"/>
      <w:lvlText w:val="%1."/>
      <w:numFmt w:val="decimal"/>
      <w:start w:val="14"/>
    </w:lvl>
    <w:lvl w:ilvl="1">
      <w:lvlJc w:val="left"/>
      <w:lvlText w:val="[*]"/>
      <w:numFmt w:val="bullet"/>
      <w:start w:val="1"/>
    </w:lvl>
  </w:abstractNum>
  <w:abstractNum w:abstractNumId="282">
    <w:nsid w:val="178E240D"/>
    <w:multiLevelType w:val="hybridMultilevel"/>
    <w:lvl w:ilvl="0">
      <w:lvlJc w:val="left"/>
      <w:lvlText w:val="*"/>
      <w:numFmt w:val="bullet"/>
      <w:start w:val="1"/>
    </w:lvl>
  </w:abstractNum>
  <w:abstractNum w:abstractNumId="283">
    <w:nsid w:val="5556A87B"/>
    <w:multiLevelType w:val="hybridMultilevel"/>
    <w:lvl w:ilvl="0">
      <w:lvlJc w:val="left"/>
      <w:lvlText w:val="(%1)"/>
      <w:numFmt w:val="decimal"/>
      <w:start w:val="1"/>
    </w:lvl>
  </w:abstractNum>
  <w:abstractNum w:abstractNumId="284">
    <w:nsid w:val="28100A9C"/>
    <w:multiLevelType w:val="hybridMultilevel"/>
    <w:lvl w:ilvl="0">
      <w:lvlJc w:val="left"/>
      <w:lvlText w:val="%1."/>
      <w:numFmt w:val="decimal"/>
      <w:start w:val="15"/>
    </w:lvl>
  </w:abstractNum>
  <w:abstractNum w:abstractNumId="285">
    <w:nsid w:val="D838636"/>
    <w:multiLevelType w:val="hybridMultilevel"/>
    <w:lvl w:ilvl="0">
      <w:lvlJc w:val="left"/>
      <w:lvlText w:val="*"/>
      <w:numFmt w:val="bullet"/>
      <w:start w:val="1"/>
    </w:lvl>
  </w:abstractNum>
  <w:abstractNum w:abstractNumId="286">
    <w:nsid w:val="71B82AED"/>
    <w:multiLevelType w:val="hybridMultilevel"/>
    <w:lvl w:ilvl="0">
      <w:lvlJc w:val="left"/>
      <w:lvlText w:val="%1"/>
      <w:numFmt w:val="decimal"/>
      <w:start w:val="1"/>
    </w:lvl>
    <w:lvl w:ilvl="1">
      <w:lvlJc w:val="left"/>
      <w:lvlText w:val="(%2)"/>
      <w:numFmt w:val="decimal"/>
      <w:start w:val="1"/>
    </w:lvl>
  </w:abstractNum>
  <w:abstractNum w:abstractNumId="287">
    <w:nsid w:val="D15FACA"/>
    <w:multiLevelType w:val="hybridMultilevel"/>
    <w:lvl w:ilvl="0">
      <w:lvlJc w:val="left"/>
      <w:lvlText w:val="%1."/>
      <w:numFmt w:val="decimal"/>
      <w:start w:val="17"/>
    </w:lvl>
    <w:lvl w:ilvl="1">
      <w:lvlJc w:val="left"/>
      <w:lvlText w:val="(%2)"/>
      <w:numFmt w:val="decimal"/>
      <w:start w:val="1"/>
    </w:lvl>
  </w:abstractNum>
  <w:abstractNum w:abstractNumId="288">
    <w:nsid w:val="3D69565B"/>
    <w:multiLevelType w:val="hybridMultilevel"/>
    <w:lvl w:ilvl="0">
      <w:lvlJc w:val="left"/>
      <w:lvlText w:val="*"/>
      <w:numFmt w:val="bullet"/>
      <w:start w:val="1"/>
    </w:lvl>
  </w:abstractNum>
  <w:abstractNum w:abstractNumId="289">
    <w:nsid w:val="2299DCBC"/>
    <w:multiLevelType w:val="hybridMultilevel"/>
    <w:lvl w:ilvl="0">
      <w:lvlJc w:val="left"/>
      <w:lvlText w:val="%1."/>
      <w:numFmt w:val="decimal"/>
      <w:start w:val="18"/>
    </w:lvl>
    <w:lvl w:ilvl="1">
      <w:lvlJc w:val="left"/>
      <w:lvlText w:val="(%2)"/>
      <w:numFmt w:val="decimal"/>
      <w:start w:val="1"/>
    </w:lvl>
  </w:abstractNum>
  <w:abstractNum w:abstractNumId="290">
    <w:nsid w:val="19908D0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1">
    <w:nsid w:val="24D48BDB"/>
    <w:multiLevelType w:val="hybridMultilevel"/>
    <w:lvl w:ilvl="0">
      <w:lvlJc w:val="left"/>
      <w:lvlText w:val="[*]"/>
      <w:numFmt w:val="bullet"/>
      <w:start w:val="1"/>
    </w:lvl>
  </w:abstractNum>
  <w:abstractNum w:abstractNumId="292">
    <w:nsid w:val="542DA5B5"/>
    <w:multiLevelType w:val="hybridMultilevel"/>
    <w:lvl w:ilvl="0">
      <w:lvlJc w:val="left"/>
      <w:lvlText w:val="%1."/>
      <w:numFmt w:val="decimal"/>
      <w:start w:val="19"/>
    </w:lvl>
  </w:abstractNum>
  <w:abstractNum w:abstractNumId="293">
    <w:nsid w:val="793753DE"/>
    <w:multiLevelType w:val="hybridMultilevel"/>
    <w:lvl w:ilvl="0">
      <w:lvlJc w:val="left"/>
      <w:lvlText w:val="*"/>
      <w:numFmt w:val="bullet"/>
      <w:start w:val="1"/>
    </w:lvl>
  </w:abstractNum>
  <w:abstractNum w:abstractNumId="294">
    <w:nsid w:val="1C67CB3D"/>
    <w:multiLevelType w:val="hybridMultilevel"/>
    <w:lvl w:ilvl="0">
      <w:lvlJc w:val="left"/>
      <w:lvlText w:val="%1."/>
      <w:numFmt w:val="decimal"/>
      <w:start w:val="20"/>
    </w:lvl>
    <w:lvl w:ilvl="1">
      <w:lvlJc w:val="left"/>
      <w:lvlText w:val="(%2)"/>
      <w:numFmt w:val="decimal"/>
      <w:start w:val="20"/>
    </w:lvl>
  </w:abstractNum>
  <w:abstractNum w:abstractNumId="295">
    <w:nsid w:val="40E29452"/>
    <w:multiLevelType w:val="hybridMultilevel"/>
    <w:lvl w:ilvl="0">
      <w:lvlJc w:val="left"/>
      <w:lvlText w:val="*"/>
      <w:numFmt w:val="bullet"/>
      <w:start w:val="1"/>
    </w:lvl>
  </w:abstractNum>
  <w:abstractNum w:abstractNumId="296">
    <w:nsid w:val="63A4AAB6"/>
    <w:multiLevelType w:val="hybridMultilevel"/>
    <w:lvl w:ilvl="0">
      <w:lvlJc w:val="left"/>
      <w:lvlText w:val="%1."/>
      <w:numFmt w:val="decimal"/>
      <w:start w:val="22"/>
    </w:lvl>
  </w:abstractNum>
  <w:abstractNum w:abstractNumId="297">
    <w:nsid w:val="77DA4A57"/>
    <w:multiLevelType w:val="hybridMultilevel"/>
    <w:lvl w:ilvl="0">
      <w:lvlJc w:val="left"/>
      <w:lvlText w:val="*"/>
      <w:numFmt w:val="bullet"/>
      <w:start w:val="1"/>
    </w:lvl>
  </w:abstractNum>
  <w:abstractNum w:abstractNumId="298">
    <w:nsid w:val="1230F102"/>
    <w:multiLevelType w:val="hybridMultilevel"/>
    <w:lvl w:ilvl="0">
      <w:lvlJc w:val="left"/>
      <w:lvlText w:val="-"/>
      <w:numFmt w:val="bullet"/>
      <w:start w:val="1"/>
    </w:lvl>
  </w:abstractNum>
  <w:abstractNum w:abstractNumId="299">
    <w:nsid w:val="25B57ED4"/>
    <w:multiLevelType w:val="hybridMultilevel"/>
    <w:lvl w:ilvl="0">
      <w:lvlJc w:val="left"/>
      <w:lvlText w:val="-"/>
      <w:numFmt w:val="bullet"/>
      <w:start w:val="1"/>
    </w:lvl>
  </w:abstractNum>
  <w:abstractNum w:abstractNumId="300">
    <w:nsid w:val="47CF16C4"/>
    <w:multiLevelType w:val="hybridMultilevel"/>
    <w:lvl w:ilvl="0">
      <w:lvlJc w:val="left"/>
      <w:lvlText w:val="-"/>
      <w:numFmt w:val="bullet"/>
      <w:start w:val="1"/>
    </w:lvl>
  </w:abstractNum>
  <w:abstractNum w:abstractNumId="301">
    <w:nsid w:val="527FA04C"/>
    <w:multiLevelType w:val="hybridMultilevel"/>
    <w:lvl w:ilvl="0">
      <w:lvlJc w:val="left"/>
      <w:lvlText w:val="-"/>
      <w:numFmt w:val="bullet"/>
      <w:start w:val="1"/>
    </w:lvl>
  </w:abstractNum>
  <w:abstractNum w:abstractNumId="302">
    <w:nsid w:val="6FCC0624"/>
    <w:multiLevelType w:val="hybridMultilevel"/>
    <w:lvl w:ilvl="0">
      <w:lvlJc w:val="left"/>
      <w:lvlText w:val="-"/>
      <w:numFmt w:val="bullet"/>
      <w:start w:val="1"/>
    </w:lvl>
  </w:abstractNum>
  <w:abstractNum w:abstractNumId="303">
    <w:nsid w:val="1DCDF795"/>
    <w:multiLevelType w:val="hybridMultilevel"/>
    <w:lvl w:ilvl="0">
      <w:lvlJc w:val="left"/>
      <w:lvlText w:val="-"/>
      <w:numFmt w:val="bullet"/>
      <w:start w:val="1"/>
    </w:lvl>
  </w:abstractNum>
  <w:abstractNum w:abstractNumId="304">
    <w:nsid w:val="564580C8"/>
    <w:multiLevelType w:val="hybridMultilevel"/>
    <w:lvl w:ilvl="0">
      <w:lvlJc w:val="left"/>
      <w:lvlText w:val="-"/>
      <w:numFmt w:val="bullet"/>
      <w:start w:val="1"/>
    </w:lvl>
  </w:abstractNum>
  <w:abstractNum w:abstractNumId="305">
    <w:nsid w:val="508ED897"/>
    <w:multiLevelType w:val="hybridMultilevel"/>
    <w:lvl w:ilvl="0">
      <w:lvlJc w:val="left"/>
      <w:lvlText w:val="-"/>
      <w:numFmt w:val="bullet"/>
      <w:start w:val="1"/>
    </w:lvl>
  </w:abstractNum>
  <w:abstractNum w:abstractNumId="306">
    <w:nsid w:val="6A9126B5"/>
    <w:multiLevelType w:val="hybridMultilevel"/>
    <w:lvl w:ilvl="0">
      <w:lvlJc w:val="left"/>
      <w:lvlText w:val="*"/>
      <w:numFmt w:val="bullet"/>
      <w:start w:val="1"/>
    </w:lvl>
  </w:abstractNum>
  <w:abstractNum w:abstractNumId="307">
    <w:nsid w:val="68104812"/>
    <w:multiLevelType w:val="hybridMultilevel"/>
    <w:lvl w:ilvl="0">
      <w:lvlJc w:val="left"/>
      <w:lvlText w:val="(%1)"/>
      <w:numFmt w:val="upperLetter"/>
      <w:start w:val="3"/>
    </w:lvl>
  </w:abstractNum>
  <w:abstractNum w:abstractNumId="308">
    <w:nsid w:val="62FB8680"/>
    <w:multiLevelType w:val="hybridMultilevel"/>
    <w:lvl w:ilvl="0">
      <w:lvlJc w:val="left"/>
      <w:lvlText w:val="%1."/>
      <w:numFmt w:val="decimal"/>
      <w:start w:val="1"/>
    </w:lvl>
  </w:abstractNum>
  <w:abstractNum w:abstractNumId="309">
    <w:nsid w:val="3A45530"/>
    <w:multiLevelType w:val="hybridMultilevel"/>
    <w:lvl w:ilvl="0">
      <w:lvlJc w:val="left"/>
      <w:lvlText w:val="%1."/>
      <w:numFmt w:val="decimal"/>
      <w:start w:val="1"/>
    </w:lvl>
  </w:abstractNum>
  <w:abstractNum w:abstractNumId="310">
    <w:nsid w:val="4B9275D2"/>
    <w:multiLevelType w:val="hybridMultilevel"/>
    <w:lvl w:ilvl="0">
      <w:lvlJc w:val="left"/>
      <w:lvlText w:val="%1."/>
      <w:numFmt w:val="decimal"/>
      <w:start w:val="2"/>
    </w:lvl>
  </w:abstractNum>
  <w:abstractNum w:abstractNumId="311">
    <w:nsid w:val="4F0CEEDB"/>
    <w:multiLevelType w:val="hybridMultilevel"/>
    <w:lvl w:ilvl="0">
      <w:lvlJc w:val="left"/>
      <w:lvlText w:val="%1."/>
      <w:numFmt w:val="decimal"/>
      <w:start w:val="5"/>
    </w:lvl>
  </w:abstractNum>
  <w:abstractNum w:abstractNumId="312">
    <w:nsid w:val="61C30361"/>
    <w:multiLevelType w:val="hybridMultilevel"/>
    <w:lvl w:ilvl="0">
      <w:lvlJc w:val="left"/>
      <w:lvlText w:val="%1."/>
      <w:numFmt w:val="decimal"/>
      <w:start w:val="10"/>
    </w:lvl>
  </w:abstractNum>
  <w:abstractNum w:abstractNumId="313">
    <w:nsid w:val="632099E0"/>
    <w:multiLevelType w:val="hybridMultilevel"/>
    <w:lvl w:ilvl="0">
      <w:lvlJc w:val="left"/>
      <w:lvlText w:val="*"/>
      <w:numFmt w:val="bullet"/>
      <w:start w:val="1"/>
    </w:lvl>
  </w:abstractNum>
  <w:abstractNum w:abstractNumId="314">
    <w:nsid w:val="24639756"/>
    <w:multiLevelType w:val="hybridMultilevel"/>
    <w:lvl w:ilvl="0">
      <w:lvlJc w:val="left"/>
      <w:lvlText w:val="*"/>
      <w:numFmt w:val="bullet"/>
      <w:start w:val="1"/>
    </w:lvl>
  </w:abstractNum>
  <w:abstractNum w:abstractNumId="315">
    <w:nsid w:val="9D30DFD"/>
    <w:multiLevelType w:val="hybridMultilevel"/>
    <w:lvl w:ilvl="0">
      <w:lvlJc w:val="left"/>
      <w:lvlText w:val="(%1)"/>
      <w:numFmt w:val="decimal"/>
      <w:start w:val="1"/>
    </w:lvl>
  </w:abstractNum>
  <w:abstractNum w:abstractNumId="316">
    <w:nsid w:val="70A42016"/>
    <w:multiLevelType w:val="hybridMultilevel"/>
    <w:lvl w:ilvl="0">
      <w:lvlJc w:val="left"/>
      <w:lvlText w:val="*"/>
      <w:numFmt w:val="bullet"/>
      <w:start w:val="1"/>
    </w:lvl>
  </w:abstractNum>
  <w:abstractNum w:abstractNumId="317">
    <w:nsid w:val="161BC243"/>
    <w:multiLevelType w:val="hybridMultilevel"/>
    <w:lvl w:ilvl="0">
      <w:lvlJc w:val="left"/>
      <w:lvlText w:val="-"/>
      <w:numFmt w:val="bullet"/>
      <w:start w:val="1"/>
    </w:lvl>
  </w:abstractNum>
  <w:abstractNum w:abstractNumId="318">
    <w:nsid w:val="16E908C8"/>
    <w:multiLevelType w:val="hybridMultilevel"/>
    <w:lvl w:ilvl="0">
      <w:lvlJc w:val="left"/>
      <w:lvlText w:val="-"/>
      <w:numFmt w:val="bullet"/>
      <w:start w:val="1"/>
    </w:lvl>
  </w:abstractNum>
  <w:abstractNum w:abstractNumId="319">
    <w:nsid w:val="2E0D7671"/>
    <w:multiLevelType w:val="hybridMultilevel"/>
    <w:lvl w:ilvl="0">
      <w:lvlJc w:val="left"/>
      <w:lvlText w:val="-"/>
      <w:numFmt w:val="bullet"/>
      <w:start w:val="1"/>
    </w:lvl>
  </w:abstractNum>
  <w:abstractNum w:abstractNumId="320">
    <w:nsid w:val="38B59EFF"/>
    <w:multiLevelType w:val="hybridMultilevel"/>
    <w:lvl w:ilvl="0">
      <w:lvlJc w:val="left"/>
      <w:lvlText w:val="-"/>
      <w:numFmt w:val="bullet"/>
      <w:start w:val="1"/>
    </w:lvl>
  </w:abstractNum>
  <w:abstractNum w:abstractNumId="321">
    <w:nsid w:val="307995CA"/>
    <w:multiLevelType w:val="hybridMultilevel"/>
    <w:lvl w:ilvl="0">
      <w:lvlJc w:val="left"/>
      <w:lvlText w:val="-"/>
      <w:numFmt w:val="bullet"/>
      <w:start w:val="1"/>
    </w:lvl>
  </w:abstractNum>
  <w:abstractNum w:abstractNumId="322">
    <w:nsid w:val="52E2024D"/>
    <w:multiLevelType w:val="hybridMultilevel"/>
    <w:lvl w:ilvl="0">
      <w:lvlJc w:val="left"/>
      <w:lvlText w:val="-"/>
      <w:numFmt w:val="bullet"/>
      <w:start w:val="1"/>
    </w:lvl>
  </w:abstractNum>
  <w:abstractNum w:abstractNumId="323">
    <w:nsid w:val="CE344B5"/>
    <w:multiLevelType w:val="hybridMultilevel"/>
    <w:lvl w:ilvl="0">
      <w:lvlJc w:val="left"/>
      <w:lvlText w:val="-"/>
      <w:numFmt w:val="bullet"/>
      <w:start w:val="1"/>
    </w:lvl>
  </w:abstractNum>
  <w:abstractNum w:abstractNumId="324">
    <w:nsid w:val="29B0E9A8"/>
    <w:multiLevelType w:val="hybridMultilevel"/>
    <w:lvl w:ilvl="0">
      <w:lvlJc w:val="left"/>
      <w:lvlText w:val="%1."/>
      <w:numFmt w:val="decimal"/>
      <w:start w:val="1"/>
    </w:lvl>
    <w:lvl w:ilvl="1">
      <w:lvlJc w:val="left"/>
      <w:lvlText w:val="%2."/>
      <w:numFmt w:val="lowerLetter"/>
      <w:start w:val="1"/>
    </w:lvl>
  </w:abstractNum>
  <w:abstractNum w:abstractNumId="325">
    <w:nsid w:val="6F49CD8A"/>
    <w:multiLevelType w:val="hybridMultilevel"/>
    <w:lvl w:ilvl="0">
      <w:lvlJc w:val="left"/>
      <w:lvlText w:val="%1."/>
      <w:numFmt w:val="decimal"/>
      <w:start w:val="2"/>
    </w:lvl>
  </w:abstractNum>
  <w:abstractNum w:abstractNumId="326">
    <w:nsid w:val="4DC5D907"/>
    <w:multiLevelType w:val="hybridMultilevel"/>
    <w:lvl w:ilvl="0">
      <w:lvlJc w:val="left"/>
      <w:lvlText w:val="%1."/>
      <w:numFmt w:val="lowerLetter"/>
      <w:start w:val="1"/>
    </w:lvl>
  </w:abstractNum>
  <w:abstractNum w:abstractNumId="327">
    <w:nsid w:val="D55945E"/>
    <w:multiLevelType w:val="hybridMultilevel"/>
    <w:lvl w:ilvl="0">
      <w:lvlJc w:val="left"/>
      <w:lvlText w:val="%1."/>
      <w:numFmt w:val="lowerLetter"/>
      <w:start w:val="2"/>
    </w:lvl>
  </w:abstractNum>
  <w:abstractNum w:abstractNumId="328">
    <w:nsid w:val="672417E1"/>
    <w:multiLevelType w:val="hybridMultilevel"/>
    <w:lvl w:ilvl="0">
      <w:lvlJc w:val="left"/>
      <w:lvlText w:val="%1."/>
      <w:numFmt w:val="decimal"/>
      <w:start w:val="3"/>
    </w:lvl>
  </w:abstractNum>
  <w:abstractNum w:abstractNumId="329">
    <w:nsid w:val="5FF6CA09"/>
    <w:multiLevelType w:val="hybridMultilevel"/>
    <w:lvl w:ilvl="0">
      <w:lvlJc w:val="left"/>
      <w:lvlText w:val="%1."/>
      <w:numFmt w:val="decimal"/>
      <w:start w:val="4"/>
    </w:lvl>
    <w:lvl w:ilvl="1">
      <w:lvlJc w:val="left"/>
      <w:lvlText w:val="%2."/>
      <w:numFmt w:val="lowerLetter"/>
      <w:start w:val="1"/>
    </w:lvl>
    <w:lvl w:ilvl="2">
      <w:lvlJc w:val="left"/>
      <w:lvlText w:val="%3)"/>
      <w:numFmt w:val="decimal"/>
      <w:start w:val="5"/>
    </w:lvl>
  </w:abstractNum>
  <w:abstractNum w:abstractNumId="330">
    <w:nsid w:val="330B1333"/>
    <w:multiLevelType w:val="hybridMultilevel"/>
    <w:lvl w:ilvl="0">
      <w:lvlJc w:val="left"/>
      <w:lvlText w:val="%1."/>
      <w:numFmt w:val="decimal"/>
      <w:start w:val="7"/>
    </w:lvl>
  </w:abstractNum>
  <w:abstractNum w:abstractNumId="331">
    <w:nsid w:val="2EF32EA6"/>
    <w:multiLevelType w:val="hybridMultilevel"/>
    <w:lvl w:ilvl="0">
      <w:lvlJc w:val="left"/>
      <w:lvlText w:val="%1."/>
      <w:numFmt w:val="decimal"/>
      <w:start w:val="1"/>
    </w:lvl>
  </w:abstractNum>
  <w:abstractNum w:abstractNumId="332">
    <w:nsid w:val="32766A55"/>
    <w:multiLevelType w:val="hybridMultilevel"/>
    <w:lvl w:ilvl="0">
      <w:lvlJc w:val="left"/>
      <w:lvlText w:val="*"/>
      <w:numFmt w:val="bullet"/>
      <w:start w:val="1"/>
    </w:lvl>
  </w:abstractNum>
  <w:abstractNum w:abstractNumId="333">
    <w:nsid w:val="22D71957"/>
    <w:multiLevelType w:val="hybridMultilevel"/>
    <w:lvl w:ilvl="0">
      <w:lvlJc w:val="left"/>
      <w:lvlText w:val="%1."/>
      <w:numFmt w:val="decimal"/>
      <w:start w:val="1"/>
    </w:lvl>
  </w:abstractNum>
  <w:abstractNum w:abstractNumId="334">
    <w:nsid w:val="4CC1263B"/>
    <w:multiLevelType w:val="hybridMultilevel"/>
    <w:lvl w:ilvl="0">
      <w:lvlJc w:val="left"/>
      <w:lvlText w:val="%1."/>
      <w:numFmt w:val="decimal"/>
      <w:start w:val="1"/>
    </w:lvl>
  </w:abstractNum>
  <w:abstractNum w:abstractNumId="335">
    <w:nsid w:val="8BBEB1D"/>
    <w:multiLevelType w:val="hybridMultilevel"/>
    <w:lvl w:ilvl="0">
      <w:lvlJc w:val="left"/>
      <w:lvlText w:val="*"/>
      <w:numFmt w:val="bullet"/>
      <w:start w:val="1"/>
    </w:lvl>
  </w:abstractNum>
  <w:abstractNum w:abstractNumId="336">
    <w:nsid w:val="7365F1EE"/>
    <w:multiLevelType w:val="hybridMultilevel"/>
    <w:lvl w:ilvl="0">
      <w:lvlJc w:val="left"/>
      <w:lvlText w:val="[*]"/>
      <w:numFmt w:val="bullet"/>
      <w:start w:val="1"/>
    </w:lvl>
  </w:abstractNum>
  <w:abstractNum w:abstractNumId="337">
    <w:nsid w:val="37524CF0"/>
    <w:multiLevelType w:val="hybridMultilevel"/>
    <w:lvl w:ilvl="0">
      <w:lvlJc w:val="left"/>
      <w:lvlText w:val="*"/>
      <w:numFmt w:val="bullet"/>
      <w:start w:val="1"/>
    </w:lvl>
  </w:abstractNum>
  <w:abstractNum w:abstractNumId="338">
    <w:nsid w:val="70CC332F"/>
    <w:multiLevelType w:val="hybridMultilevel"/>
    <w:lvl w:ilvl="0">
      <w:lvlJc w:val="left"/>
      <w:lvlText w:val="[*]"/>
      <w:numFmt w:val="bullet"/>
      <w:start w:val="1"/>
    </w:lvl>
  </w:abstractNum>
  <w:abstractNum w:abstractNumId="339">
    <w:nsid w:val="5661786E"/>
    <w:multiLevelType w:val="hybridMultilevel"/>
    <w:lvl w:ilvl="0">
      <w:lvlJc w:val="left"/>
      <w:lvlText w:val="*"/>
      <w:numFmt w:val="bullet"/>
      <w:start w:val="1"/>
    </w:lvl>
  </w:abstractNum>
  <w:abstractNum w:abstractNumId="340">
    <w:nsid w:val="3AF6A220"/>
    <w:multiLevelType w:val="hybridMultilevel"/>
    <w:lvl w:ilvl="0">
      <w:lvlJc w:val="left"/>
      <w:lvlText w:val="*"/>
      <w:numFmt w:val="bullet"/>
      <w:start w:val="1"/>
    </w:lvl>
  </w:abstractNum>
  <w:abstractNum w:abstractNumId="341">
    <w:nsid w:val="3C5EA902"/>
    <w:multiLevelType w:val="hybridMultilevel"/>
    <w:lvl w:ilvl="0">
      <w:lvlJc w:val="left"/>
      <w:lvlText w:val="*"/>
      <w:numFmt w:val="bullet"/>
      <w:start w:val="1"/>
    </w:lvl>
  </w:abstractNum>
  <w:abstractNum w:abstractNumId="342">
    <w:nsid w:val="256E6749"/>
    <w:multiLevelType w:val="hybridMultilevel"/>
    <w:lvl w:ilvl="0">
      <w:lvlJc w:val="left"/>
      <w:lvlText w:val="*"/>
      <w:numFmt w:val="bullet"/>
      <w:start w:val="1"/>
    </w:lvl>
  </w:abstractNum>
  <w:abstractNum w:abstractNumId="343">
    <w:nsid w:val="1CB9A58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4">
    <w:nsid w:val="1F7F42E2"/>
    <w:multiLevelType w:val="hybridMultilevel"/>
    <w:lvl w:ilvl="0">
      <w:lvlJc w:val="left"/>
      <w:lvlText w:val="*"/>
      <w:numFmt w:val="bullet"/>
      <w:start w:val="1"/>
    </w:lvl>
  </w:abstractNum>
  <w:abstractNum w:abstractNumId="345">
    <w:nsid w:val="49D1FEA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6">
    <w:nsid w:val="268CB37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47">
    <w:nsid w:val="102362F8"/>
    <w:multiLevelType w:val="hybridMultilevel"/>
    <w:lvl w:ilvl="0">
      <w:lvlJc w:val="left"/>
      <w:lvlText w:val="*"/>
      <w:numFmt w:val="bullet"/>
      <w:start w:val="1"/>
    </w:lvl>
  </w:abstractNum>
  <w:abstractNum w:abstractNumId="348">
    <w:nsid w:val="5FEDC0E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49">
    <w:nsid w:val="3D75BC47"/>
    <w:multiLevelType w:val="hybridMultilevel"/>
    <w:lvl w:ilvl="0">
      <w:lvlJc w:val="left"/>
      <w:lvlText w:val="*"/>
      <w:numFmt w:val="bullet"/>
      <w:start w:val="1"/>
    </w:lvl>
  </w:abstractNum>
  <w:abstractNum w:abstractNumId="350">
    <w:nsid w:val="3E30D96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351">
    <w:nsid w:val="18A35FE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352">
    <w:nsid w:val="6DEF52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3">
    <w:nsid w:val="1112DBB6"/>
    <w:multiLevelType w:val="hybridMultilevel"/>
    <w:lvl w:ilvl="0">
      <w:lvlJc w:val="left"/>
      <w:lvlText w:val="*"/>
      <w:numFmt w:val="bullet"/>
      <w:start w:val="1"/>
    </w:lvl>
  </w:abstractNum>
  <w:abstractNum w:abstractNumId="354">
    <w:nsid w:val="2586A498"/>
    <w:multiLevelType w:val="hybridMultilevel"/>
    <w:lvl w:ilvl="0">
      <w:lvlJc w:val="left"/>
      <w:lvlText w:val="*"/>
      <w:numFmt w:val="bullet"/>
      <w:start w:val="1"/>
    </w:lvl>
  </w:abstractNum>
  <w:abstractNum w:abstractNumId="355">
    <w:nsid w:val="17A03BB9"/>
    <w:multiLevelType w:val="hybridMultilevel"/>
    <w:lvl w:ilvl="0">
      <w:lvlJc w:val="left"/>
      <w:lvlText w:val="-"/>
      <w:numFmt w:val="bullet"/>
      <w:start w:val="1"/>
    </w:lvl>
  </w:abstractNum>
  <w:abstractNum w:abstractNumId="356">
    <w:nsid w:val="5CA941"/>
    <w:multiLevelType w:val="hybridMultilevel"/>
    <w:lvl w:ilvl="0">
      <w:lvlJc w:val="left"/>
      <w:lvlText w:val="-"/>
      <w:numFmt w:val="bullet"/>
      <w:start w:val="1"/>
    </w:lvl>
  </w:abstractNum>
  <w:abstractNum w:abstractNumId="357">
    <w:nsid w:val="734C7D9F"/>
    <w:multiLevelType w:val="hybridMultilevel"/>
    <w:lvl w:ilvl="0">
      <w:lvlJc w:val="left"/>
      <w:lvlText w:val="*"/>
      <w:numFmt w:val="bullet"/>
      <w:start w:val="1"/>
    </w:lvl>
  </w:abstractNum>
  <w:abstractNum w:abstractNumId="358">
    <w:nsid w:val="24F5D018"/>
    <w:multiLevelType w:val="hybridMultilevel"/>
    <w:lvl w:ilvl="0">
      <w:lvlJc w:val="left"/>
      <w:lvlText w:val="-"/>
      <w:numFmt w:val="bullet"/>
      <w:start w:val="1"/>
    </w:lvl>
  </w:abstractNum>
  <w:abstractNum w:abstractNumId="359">
    <w:nsid w:val="6780C122"/>
    <w:multiLevelType w:val="hybridMultilevel"/>
    <w:lvl w:ilvl="0">
      <w:lvlJc w:val="left"/>
      <w:lvlText w:val="-"/>
      <w:numFmt w:val="bullet"/>
      <w:start w:val="1"/>
    </w:lvl>
    <w:lvl w:ilvl="1">
      <w:lvlJc w:val="left"/>
      <w:lvlText w:val="-"/>
      <w:numFmt w:val="bullet"/>
      <w:start w:val="1"/>
    </w:lvl>
  </w:abstractNum>
  <w:abstractNum w:abstractNumId="360">
    <w:nsid w:val="534347A8"/>
    <w:multiLevelType w:val="hybridMultilevel"/>
    <w:lvl w:ilvl="0">
      <w:lvlJc w:val="left"/>
      <w:lvlText w:val="*"/>
      <w:numFmt w:val="bullet"/>
      <w:start w:val="1"/>
    </w:lvl>
  </w:abstractNum>
  <w:abstractNum w:abstractNumId="361">
    <w:nsid w:val="5800E34B"/>
    <w:multiLevelType w:val="hybridMultilevel"/>
    <w:lvl w:ilvl="0">
      <w:lvlJc w:val="left"/>
      <w:lvlText w:val="-"/>
      <w:numFmt w:val="bullet"/>
      <w:start w:val="1"/>
    </w:lvl>
  </w:abstractNum>
  <w:abstractNum w:abstractNumId="362">
    <w:nsid w:val="1673EFC8"/>
    <w:multiLevelType w:val="hybridMultilevel"/>
    <w:lvl w:ilvl="0">
      <w:lvlJc w:val="left"/>
      <w:lvlText w:val="*"/>
      <w:numFmt w:val="bullet"/>
      <w:start w:val="1"/>
    </w:lvl>
  </w:abstractNum>
  <w:abstractNum w:abstractNumId="363">
    <w:nsid w:val="5B9B1FD"/>
    <w:multiLevelType w:val="hybridMultilevel"/>
    <w:lvl w:ilvl="0">
      <w:lvlJc w:val="left"/>
      <w:lvlText w:val="-"/>
      <w:numFmt w:val="bullet"/>
      <w:start w:val="1"/>
    </w:lvl>
  </w:abstractNum>
  <w:abstractNum w:abstractNumId="364">
    <w:nsid w:val="7AD7FCA2"/>
    <w:multiLevelType w:val="hybridMultilevel"/>
    <w:lvl w:ilvl="0">
      <w:lvlJc w:val="left"/>
      <w:lvlText w:val="*"/>
      <w:numFmt w:val="bullet"/>
      <w:start w:val="1"/>
    </w:lvl>
  </w:abstractNum>
  <w:abstractNum w:abstractNumId="365">
    <w:nsid w:val="63351604"/>
    <w:multiLevelType w:val="hybridMultilevel"/>
    <w:lvl w:ilvl="0">
      <w:lvlJc w:val="left"/>
      <w:lvlText w:val="*"/>
      <w:numFmt w:val="bullet"/>
      <w:start w:val="1"/>
    </w:lvl>
  </w:abstractNum>
  <w:abstractNum w:abstractNumId="366">
    <w:nsid w:val="E759D1A"/>
    <w:multiLevelType w:val="hybridMultilevel"/>
    <w:lvl w:ilvl="0">
      <w:lvlJc w:val="left"/>
      <w:lvlText w:val="-"/>
      <w:numFmt w:val="bullet"/>
      <w:start w:val="1"/>
    </w:lvl>
  </w:abstractNum>
  <w:abstractNum w:abstractNumId="367">
    <w:nsid w:val="6E3DEE90"/>
    <w:multiLevelType w:val="hybridMultilevel"/>
    <w:lvl w:ilvl="0">
      <w:lvlJc w:val="left"/>
      <w:lvlText w:val="-"/>
      <w:numFmt w:val="bullet"/>
      <w:start w:val="1"/>
    </w:lvl>
    <w:lvl w:ilvl="1">
      <w:lvlJc w:val="left"/>
      <w:lvlText w:val="-"/>
      <w:numFmt w:val="bullet"/>
      <w:start w:val="1"/>
    </w:lvl>
  </w:abstractNum>
  <w:abstractNum w:abstractNumId="368">
    <w:nsid w:val="1A8762F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9">
    <w:nsid w:val="7F41D049"/>
    <w:multiLevelType w:val="hybridMultilevel"/>
    <w:lvl w:ilvl="0">
      <w:lvlJc w:val="left"/>
      <w:lvlText w:val="-"/>
      <w:numFmt w:val="bullet"/>
      <w:start w:val="1"/>
    </w:lvl>
  </w:abstractNum>
  <w:abstractNum w:abstractNumId="370">
    <w:nsid w:val="449F66FE"/>
    <w:multiLevelType w:val="hybridMultilevel"/>
    <w:lvl w:ilvl="0">
      <w:lvlJc w:val="left"/>
      <w:lvlText w:val="-"/>
      <w:numFmt w:val="bullet"/>
      <w:start w:val="1"/>
    </w:lvl>
  </w:abstractNum>
  <w:abstractNum w:abstractNumId="371">
    <w:nsid w:val="557E0515"/>
    <w:multiLevelType w:val="hybridMultilevel"/>
    <w:lvl w:ilvl="0">
      <w:lvlJc w:val="left"/>
      <w:lvlText w:val="*"/>
      <w:numFmt w:val="bullet"/>
      <w:start w:val="1"/>
    </w:lvl>
  </w:abstractNum>
  <w:abstractNum w:abstractNumId="372">
    <w:nsid w:val="3BA0794B"/>
    <w:multiLevelType w:val="hybridMultilevel"/>
    <w:lvl w:ilvl="0">
      <w:lvlJc w:val="left"/>
      <w:lvlText w:val="*"/>
      <w:numFmt w:val="bullet"/>
      <w:start w:val="1"/>
    </w:lvl>
  </w:abstractNum>
  <w:abstractNum w:abstractNumId="373">
    <w:nsid w:val="6A0DCE48"/>
    <w:multiLevelType w:val="hybridMultilevel"/>
    <w:lvl w:ilvl="0">
      <w:lvlJc w:val="left"/>
      <w:lvlText w:val="-"/>
      <w:numFmt w:val="bullet"/>
      <w:start w:val="1"/>
    </w:lvl>
  </w:abstractNum>
  <w:abstractNum w:abstractNumId="374">
    <w:nsid w:val="7237AA96"/>
    <w:multiLevelType w:val="hybridMultilevel"/>
    <w:lvl w:ilvl="0">
      <w:lvlJc w:val="left"/>
      <w:lvlText w:val="-"/>
      <w:numFmt w:val="bullet"/>
      <w:start w:val="1"/>
    </w:lvl>
  </w:abstractNum>
  <w:abstractNum w:abstractNumId="375">
    <w:nsid w:val="5B1FBC2D"/>
    <w:multiLevelType w:val="hybridMultilevel"/>
    <w:lvl w:ilvl="0">
      <w:lvlJc w:val="left"/>
      <w:lvlText w:val="*"/>
      <w:numFmt w:val="bullet"/>
      <w:start w:val="1"/>
    </w:lvl>
    <w:lvl w:ilvl="1">
      <w:lvlJc w:val="left"/>
      <w:lvlText w:val="["/>
      <w:numFmt w:val="bullet"/>
      <w:start w:val="1"/>
    </w:lvl>
  </w:abstractNum>
  <w:abstractNum w:abstractNumId="376">
    <w:nsid w:val="33DFCCE8"/>
    <w:multiLevelType w:val="hybridMultilevel"/>
    <w:lvl w:ilvl="0">
      <w:lvlJc w:val="left"/>
      <w:lvlText w:val="-"/>
      <w:numFmt w:val="bullet"/>
      <w:start w:val="1"/>
    </w:lvl>
  </w:abstractNum>
  <w:abstractNum w:abstractNumId="377">
    <w:nsid w:val="18C45E15"/>
    <w:multiLevelType w:val="hybridMultilevel"/>
    <w:lvl w:ilvl="0">
      <w:lvlJc w:val="left"/>
      <w:lvlText w:val="-"/>
      <w:numFmt w:val="bullet"/>
      <w:start w:val="1"/>
    </w:lvl>
    <w:lvl w:ilvl="1">
      <w:lvlJc w:val="left"/>
      <w:lvlText w:val="%2"/>
      <w:numFmt w:val="decimal"/>
    </w:lvl>
  </w:abstractNum>
  <w:abstractNum w:abstractNumId="378">
    <w:nsid w:val="6B431F25"/>
    <w:multiLevelType w:val="hybridMultilevel"/>
    <w:lvl w:ilvl="0">
      <w:lvlJc w:val="left"/>
      <w:lvlText w:val="*"/>
      <w:numFmt w:val="bullet"/>
      <w:start w:val="1"/>
    </w:lvl>
    <w:lvl w:ilvl="1">
      <w:lvlJc w:val="left"/>
      <w:lvlText w:val="["/>
      <w:numFmt w:val="bullet"/>
      <w:start w:val="1"/>
    </w:lvl>
  </w:abstractNum>
  <w:abstractNum w:abstractNumId="379">
    <w:nsid w:val="13CD8DCB"/>
    <w:multiLevelType w:val="hybridMultilevel"/>
    <w:lvl w:ilvl="0">
      <w:lvlJc w:val="left"/>
      <w:lvlText w:val="*"/>
      <w:numFmt w:val="bullet"/>
      <w:start w:val="1"/>
    </w:lvl>
  </w:abstractNum>
  <w:abstractNum w:abstractNumId="380">
    <w:nsid w:val="563A1A5C"/>
    <w:multiLevelType w:val="hybridMultilevel"/>
    <w:lvl w:ilvl="0">
      <w:lvlJc w:val="left"/>
      <w:lvlText w:val="%1."/>
      <w:numFmt w:val="decimal"/>
      <w:start w:val="1"/>
    </w:lvl>
  </w:abstractNum>
  <w:abstractNum w:abstractNumId="381">
    <w:nsid w:val="2973F88F"/>
    <w:multiLevelType w:val="hybridMultilevel"/>
    <w:lvl w:ilvl="0">
      <w:lvlJc w:val="left"/>
      <w:lvlText w:val="%1."/>
      <w:numFmt w:val="decimal"/>
      <w:start w:val="2"/>
    </w:lvl>
  </w:abstractNum>
  <w:abstractNum w:abstractNumId="382">
    <w:nsid w:val="2C70EDAE"/>
    <w:multiLevelType w:val="hybridMultilevel"/>
    <w:lvl w:ilvl="0">
      <w:lvlJc w:val="left"/>
      <w:lvlText w:val="*"/>
      <w:numFmt w:val="bullet"/>
      <w:start w:val="1"/>
    </w:lvl>
  </w:abstractNum>
  <w:abstractNum w:abstractNumId="383">
    <w:nsid w:val="44296C6D"/>
    <w:multiLevelType w:val="hybridMultilevel"/>
    <w:lvl w:ilvl="0">
      <w:lvlJc w:val="left"/>
      <w:lvlText w:val="-"/>
      <w:numFmt w:val="bullet"/>
      <w:start w:val="1"/>
    </w:lvl>
  </w:abstractNum>
  <w:abstractNum w:abstractNumId="384">
    <w:nsid w:val="3A86D445"/>
    <w:multiLevelType w:val="hybridMultilevel"/>
    <w:lvl w:ilvl="0">
      <w:lvlJc w:val="left"/>
      <w:lvlText w:val="-"/>
      <w:numFmt w:val="bullet"/>
      <w:start w:val="1"/>
    </w:lvl>
  </w:abstractNum>
  <w:abstractNum w:abstractNumId="385">
    <w:nsid w:val="51F79246"/>
    <w:multiLevelType w:val="hybridMultilevel"/>
    <w:lvl w:ilvl="0">
      <w:lvlJc w:val="left"/>
      <w:lvlText w:val="*"/>
      <w:numFmt w:val="bullet"/>
      <w:start w:val="1"/>
    </w:lvl>
  </w:abstractNum>
  <w:abstractNum w:abstractNumId="386">
    <w:nsid w:val="5BC9A827"/>
    <w:multiLevelType w:val="hybridMultilevel"/>
    <w:lvl w:ilvl="0">
      <w:lvlJc w:val="left"/>
      <w:lvlText w:val="-"/>
      <w:numFmt w:val="bullet"/>
      <w:start w:val="1"/>
    </w:lvl>
  </w:abstractNum>
  <w:abstractNum w:abstractNumId="387">
    <w:nsid w:val="3AE37D86"/>
    <w:multiLevelType w:val="hybridMultilevel"/>
    <w:lvl w:ilvl="0">
      <w:lvlJc w:val="left"/>
      <w:lvlText w:val="[*]"/>
      <w:numFmt w:val="bullet"/>
      <w:start w:val="1"/>
    </w:lvl>
  </w:abstractNum>
  <w:abstractNum w:abstractNumId="388">
    <w:nsid w:val="45440FE5"/>
    <w:multiLevelType w:val="hybridMultilevel"/>
    <w:lvl w:ilvl="0">
      <w:lvlJc w:val="left"/>
      <w:lvlText w:val="%1."/>
      <w:numFmt w:val="decimal"/>
      <w:start w:val="4"/>
    </w:lvl>
  </w:abstractNum>
  <w:abstractNum w:abstractNumId="389">
    <w:nsid w:val="BF783F"/>
    <w:multiLevelType w:val="hybridMultilevel"/>
    <w:lvl w:ilvl="0">
      <w:lvlJc w:val="left"/>
      <w:lvlText w:val="%1."/>
      <w:numFmt w:val="decimal"/>
      <w:start w:val="5"/>
    </w:lvl>
  </w:abstractNum>
  <w:abstractNum w:abstractNumId="390">
    <w:nsid w:val="22643EA9"/>
    <w:multiLevelType w:val="hybridMultilevel"/>
    <w:lvl w:ilvl="0">
      <w:lvlJc w:val="left"/>
      <w:lvlText w:val="[*]"/>
      <w:numFmt w:val="bullet"/>
      <w:start w:val="1"/>
    </w:lvl>
  </w:abstractNum>
  <w:abstractNum w:abstractNumId="391">
    <w:nsid w:val="1887578D"/>
    <w:multiLevelType w:val="hybridMultilevel"/>
    <w:lvl w:ilvl="0">
      <w:lvlJc w:val="left"/>
      <w:lvlText w:val="*"/>
      <w:numFmt w:val="bullet"/>
      <w:start w:val="1"/>
    </w:lvl>
  </w:abstractNum>
  <w:abstractNum w:abstractNumId="392">
    <w:nsid w:val="58C05B8A"/>
    <w:multiLevelType w:val="hybridMultilevel"/>
    <w:lvl w:ilvl="0">
      <w:lvlJc w:val="left"/>
      <w:lvlText w:val="%1."/>
      <w:numFmt w:val="decimal"/>
      <w:start w:val="6"/>
    </w:lvl>
  </w:abstractNum>
  <w:abstractNum w:abstractNumId="393">
    <w:nsid w:val="38D82E71"/>
    <w:multiLevelType w:val="hybridMultilevel"/>
    <w:lvl w:ilvl="0">
      <w:lvlJc w:val="left"/>
      <w:lvlText w:val="-"/>
      <w:numFmt w:val="bullet"/>
      <w:start w:val="1"/>
    </w:lvl>
  </w:abstractNum>
  <w:abstractNum w:abstractNumId="394">
    <w:nsid w:val="1E41098A"/>
    <w:multiLevelType w:val="hybridMultilevel"/>
    <w:lvl w:ilvl="0">
      <w:lvlJc w:val="left"/>
      <w:lvlText w:val="%1."/>
      <w:numFmt w:val="decimal"/>
      <w:start w:val="6"/>
    </w:lvl>
    <w:lvl w:ilvl="1">
      <w:lvlJc w:val="left"/>
      <w:lvlText w:val="-"/>
      <w:numFmt w:val="bullet"/>
      <w:start w:val="1"/>
    </w:lvl>
  </w:abstractNum>
  <w:abstractNum w:abstractNumId="395">
    <w:nsid w:val="5398582C"/>
    <w:multiLevelType w:val="hybridMultilevel"/>
    <w:lvl w:ilvl="0">
      <w:lvlJc w:val="left"/>
      <w:lvlText w:val="[*]"/>
      <w:numFmt w:val="bullet"/>
      <w:start w:val="1"/>
    </w:lvl>
    <w:lvl w:ilvl="1">
      <w:lvlJc w:val="left"/>
      <w:lvlText w:val="%2."/>
      <w:numFmt w:val="decimal"/>
      <w:start w:val="1"/>
    </w:lvl>
  </w:abstractNum>
  <w:abstractNum w:abstractNumId="396">
    <w:nsid w:val="1C0D4475"/>
    <w:multiLevelType w:val="hybridMultilevel"/>
    <w:lvl w:ilvl="0">
      <w:lvlJc w:val="left"/>
      <w:lvlText w:val="*"/>
      <w:numFmt w:val="bullet"/>
      <w:start w:val="1"/>
    </w:lvl>
  </w:abstractNum>
  <w:abstractNum w:abstractNumId="397">
    <w:nsid w:val="2CB6A6A4"/>
    <w:multiLevelType w:val="hybridMultilevel"/>
    <w:lvl w:ilvl="0">
      <w:lvlJc w:val="left"/>
      <w:lvlText w:val="%1."/>
      <w:numFmt w:val="decimal"/>
      <w:start w:val="8"/>
    </w:lvl>
  </w:abstractNum>
  <w:abstractNum w:abstractNumId="398">
    <w:nsid w:val="41D646BC"/>
    <w:multiLevelType w:val="hybridMultilevel"/>
    <w:lvl w:ilvl="0">
      <w:lvlJc w:val="left"/>
      <w:lvlText w:val="*"/>
      <w:numFmt w:val="bullet"/>
      <w:start w:val="1"/>
    </w:lvl>
  </w:abstractNum>
  <w:abstractNum w:abstractNumId="399">
    <w:nsid w:val="3694A76A"/>
    <w:multiLevelType w:val="hybridMultilevel"/>
    <w:lvl w:ilvl="0">
      <w:lvlJc w:val="left"/>
      <w:lvlText w:val="*"/>
      <w:numFmt w:val="bullet"/>
      <w:start w:val="1"/>
    </w:lvl>
  </w:abstractNum>
  <w:abstractNum w:abstractNumId="400">
    <w:nsid w:val="2BF876EE"/>
    <w:multiLevelType w:val="hybridMultilevel"/>
    <w:lvl w:ilvl="0">
      <w:lvlJc w:val="left"/>
      <w:lvlText w:val="*"/>
      <w:numFmt w:val="bullet"/>
      <w:start w:val="1"/>
    </w:lvl>
  </w:abstractNum>
  <w:abstractNum w:abstractNumId="401">
    <w:nsid w:val="675ADBA"/>
    <w:multiLevelType w:val="hybridMultilevel"/>
    <w:lvl w:ilvl="0">
      <w:lvlJc w:val="left"/>
      <w:lvlText w:val="*"/>
      <w:numFmt w:val="bullet"/>
      <w:start w:val="1"/>
    </w:lvl>
  </w:abstractNum>
  <w:abstractNum w:abstractNumId="402">
    <w:nsid w:val="C12AC7F"/>
    <w:multiLevelType w:val="hybridMultilevel"/>
    <w:lvl w:ilvl="0">
      <w:lvlJc w:val="left"/>
      <w:lvlText w:val="*"/>
      <w:numFmt w:val="bullet"/>
      <w:start w:val="1"/>
    </w:lvl>
  </w:abstractNum>
  <w:abstractNum w:abstractNumId="403">
    <w:nsid w:val="6798F039"/>
    <w:multiLevelType w:val="hybridMultilevel"/>
    <w:lvl w:ilvl="0">
      <w:lvlJc w:val="left"/>
      <w:lvlText w:val="*"/>
      <w:numFmt w:val="bullet"/>
      <w:start w:val="1"/>
    </w:lvl>
  </w:abstractNum>
  <w:abstractNum w:abstractNumId="404">
    <w:nsid w:val="70837C02"/>
    <w:multiLevelType w:val="hybridMultilevel"/>
    <w:lvl w:ilvl="0">
      <w:lvlJc w:val="left"/>
      <w:lvlText w:val="*"/>
      <w:numFmt w:val="bullet"/>
      <w:start w:val="1"/>
    </w:lvl>
  </w:abstractNum>
  <w:abstractNum w:abstractNumId="405">
    <w:nsid w:val="7E4A5715"/>
    <w:multiLevelType w:val="hybridMultilevel"/>
    <w:lvl w:ilvl="0">
      <w:lvlJc w:val="left"/>
      <w:lvlText w:val="%1."/>
      <w:numFmt w:val="decimal"/>
      <w:start w:val="1"/>
    </w:lvl>
  </w:abstractNum>
  <w:abstractNum w:abstractNumId="406">
    <w:nsid w:val="42B8AC67"/>
    <w:multiLevelType w:val="hybridMultilevel"/>
    <w:lvl w:ilvl="0">
      <w:lvlJc w:val="left"/>
      <w:lvlText w:val="]"/>
      <w:numFmt w:val="bullet"/>
      <w:start w:val="1"/>
    </w:lvl>
  </w:abstractNum>
  <w:abstractNum w:abstractNumId="407">
    <w:nsid w:val="246348EA"/>
    <w:multiLevelType w:val="hybridMultilevel"/>
    <w:lvl w:ilvl="0">
      <w:lvlJc w:val="left"/>
      <w:lvlText w:val="*"/>
      <w:numFmt w:val="bullet"/>
      <w:start w:val="1"/>
    </w:lvl>
    <w:lvl w:ilvl="1">
      <w:lvlJc w:val="left"/>
      <w:lvlText w:val="["/>
      <w:numFmt w:val="bullet"/>
      <w:start w:val="1"/>
    </w:lvl>
  </w:abstractNum>
  <w:abstractNum w:abstractNumId="408">
    <w:nsid w:val="170EB52B"/>
    <w:multiLevelType w:val="hybridMultilevel"/>
    <w:lvl w:ilvl="0">
      <w:lvlJc w:val="left"/>
      <w:lvlText w:val="["/>
      <w:numFmt w:val="bullet"/>
      <w:start w:val="1"/>
    </w:lvl>
  </w:abstractNum>
  <w:abstractNum w:abstractNumId="409">
    <w:nsid w:val="2DFBCB8C"/>
    <w:multiLevelType w:val="hybridMultilevel"/>
    <w:lvl w:ilvl="0">
      <w:lvlJc w:val="left"/>
      <w:lvlText w:val="["/>
      <w:numFmt w:val="bullet"/>
      <w:start w:val="1"/>
    </w:lvl>
  </w:abstractNum>
  <w:abstractNum w:abstractNumId="410">
    <w:nsid w:val="3830D6B6"/>
    <w:multiLevelType w:val="hybridMultilevel"/>
    <w:lvl w:ilvl="0">
      <w:lvlJc w:val="left"/>
      <w:lvlText w:val="*"/>
      <w:numFmt w:val="bullet"/>
      <w:start w:val="1"/>
    </w:lvl>
    <w:lvl w:ilvl="1">
      <w:lvlJc w:val="left"/>
      <w:lvlText w:val="["/>
      <w:numFmt w:val="bullet"/>
      <w:start w:val="1"/>
    </w:lvl>
  </w:abstractNum>
  <w:abstractNum w:abstractNumId="411">
    <w:nsid w:val="6D48CF87"/>
    <w:multiLevelType w:val="hybridMultilevel"/>
    <w:lvl w:ilvl="0">
      <w:lvlJc w:val="left"/>
      <w:lvlText w:val="%1."/>
      <w:numFmt w:val="decimal"/>
      <w:start w:val="2"/>
    </w:lvl>
  </w:abstractNum>
  <w:abstractNum w:abstractNumId="412">
    <w:nsid w:val="576FC41B"/>
    <w:multiLevelType w:val="hybridMultilevel"/>
    <w:lvl w:ilvl="0">
      <w:lvlJc w:val="left"/>
      <w:lvlText w:val="["/>
      <w:numFmt w:val="bullet"/>
      <w:start w:val="1"/>
    </w:lvl>
  </w:abstractNum>
  <w:abstractNum w:abstractNumId="413">
    <w:nsid w:val="64A1C464"/>
    <w:multiLevelType w:val="hybridMultilevel"/>
    <w:lvl w:ilvl="0">
      <w:lvlJc w:val="left"/>
      <w:lvlText w:val="%1."/>
      <w:numFmt w:val="decimal"/>
      <w:start w:val="4"/>
    </w:lvl>
  </w:abstractNum>
  <w:abstractNum w:abstractNumId="414">
    <w:nsid w:val="31723BF5"/>
    <w:multiLevelType w:val="hybridMultilevel"/>
    <w:lvl w:ilvl="0">
      <w:lvlJc w:val="left"/>
      <w:lvlText w:val="*"/>
      <w:numFmt w:val="bullet"/>
      <w:start w:val="1"/>
    </w:lvl>
  </w:abstractNum>
  <w:abstractNum w:abstractNumId="415">
    <w:nsid w:val="11F69861"/>
    <w:multiLevelType w:val="hybridMultilevel"/>
    <w:lvl w:ilvl="0">
      <w:lvlJc w:val="left"/>
      <w:lvlText w:val="["/>
      <w:numFmt w:val="bullet"/>
      <w:start w:val="1"/>
    </w:lvl>
  </w:abstractNum>
  <w:abstractNum w:abstractNumId="416">
    <w:nsid w:val="369956AB"/>
    <w:multiLevelType w:val="hybridMultilevel"/>
    <w:lvl w:ilvl="0">
      <w:lvlJc w:val="left"/>
      <w:lvlText w:val="["/>
      <w:numFmt w:val="bullet"/>
      <w:start w:val="1"/>
    </w:lvl>
  </w:abstractNum>
  <w:abstractNum w:abstractNumId="417">
    <w:nsid w:val="D3BE41C"/>
    <w:multiLevelType w:val="hybridMultilevel"/>
    <w:lvl w:ilvl="0">
      <w:lvlJc w:val="left"/>
      <w:lvlText w:val="["/>
      <w:numFmt w:val="bullet"/>
      <w:start w:val="1"/>
    </w:lvl>
  </w:abstractNum>
  <w:abstractNum w:abstractNumId="418">
    <w:nsid w:val="4CDA15E7"/>
    <w:multiLevelType w:val="hybridMultilevel"/>
    <w:lvl w:ilvl="0">
      <w:lvlJc w:val="left"/>
      <w:lvlText w:val="["/>
      <w:numFmt w:val="bullet"/>
      <w:start w:val="1"/>
    </w:lvl>
  </w:abstractNum>
  <w:abstractNum w:abstractNumId="419">
    <w:nsid w:val="7BDD6690"/>
    <w:multiLevelType w:val="hybridMultilevel"/>
    <w:lvl w:ilvl="0">
      <w:lvlJc w:val="left"/>
      <w:lvlText w:val="*"/>
      <w:numFmt w:val="bullet"/>
      <w:start w:val="1"/>
    </w:lvl>
  </w:abstractNum>
  <w:abstractNum w:abstractNumId="420">
    <w:nsid w:val="DFB5C5B"/>
    <w:multiLevelType w:val="hybridMultilevel"/>
    <w:lvl w:ilvl="0">
      <w:lvlJc w:val="left"/>
      <w:lvlText w:val="*"/>
      <w:numFmt w:val="bullet"/>
      <w:start w:val="1"/>
    </w:lvl>
  </w:abstractNum>
  <w:abstractNum w:abstractNumId="421">
    <w:nsid w:val="6F3E5490"/>
    <w:multiLevelType w:val="hybridMultilevel"/>
    <w:lvl w:ilvl="0">
      <w:lvlJc w:val="left"/>
      <w:lvlText w:val="*"/>
      <w:numFmt w:val="bullet"/>
      <w:start w:val="1"/>
    </w:lvl>
  </w:abstractNum>
  <w:abstractNum w:abstractNumId="422">
    <w:nsid w:val="1464BE1E"/>
    <w:multiLevelType w:val="hybridMultilevel"/>
    <w:lvl w:ilvl="0">
      <w:lvlJc w:val="left"/>
      <w:lvlText w:val="-"/>
      <w:numFmt w:val="bullet"/>
      <w:start w:val="1"/>
    </w:lvl>
  </w:abstractNum>
  <w:abstractNum w:abstractNumId="423">
    <w:nsid w:val="66BBB7E5"/>
    <w:multiLevelType w:val="hybridMultilevel"/>
    <w:lvl w:ilvl="0">
      <w:lvlJc w:val="left"/>
      <w:lvlText w:val="%1."/>
      <w:numFmt w:val="decimal"/>
      <w:start w:val="2"/>
    </w:lvl>
  </w:abstractNum>
  <w:abstractNum w:abstractNumId="424">
    <w:nsid w:val="28168302"/>
    <w:multiLevelType w:val="hybridMultilevel"/>
    <w:lvl w:ilvl="0">
      <w:lvlJc w:val="left"/>
      <w:lvlText w:val="%1."/>
      <w:numFmt w:val="decimal"/>
      <w:start w:val="3"/>
    </w:lvl>
  </w:abstractNum>
  <w:abstractNum w:abstractNumId="425">
    <w:nsid w:val="32A5C7A8"/>
    <w:multiLevelType w:val="hybridMultilevel"/>
    <w:lvl w:ilvl="0">
      <w:lvlJc w:val="left"/>
      <w:lvlText w:val="-"/>
      <w:numFmt w:val="bullet"/>
      <w:start w:val="1"/>
    </w:lvl>
  </w:abstractNum>
  <w:abstractNum w:abstractNumId="426">
    <w:nsid w:val="3A541011"/>
    <w:multiLevelType w:val="hybridMultilevel"/>
    <w:lvl w:ilvl="0">
      <w:lvlJc w:val="left"/>
      <w:lvlText w:val="*"/>
      <w:numFmt w:val="bullet"/>
      <w:start w:val="1"/>
    </w:lvl>
  </w:abstractNum>
  <w:abstractNum w:abstractNumId="427">
    <w:nsid w:val="4423C777"/>
    <w:multiLevelType w:val="hybridMultilevel"/>
    <w:lvl w:ilvl="0">
      <w:lvlJc w:val="left"/>
      <w:lvlText w:val="*"/>
      <w:numFmt w:val="bullet"/>
      <w:start w:val="1"/>
    </w:lvl>
  </w:abstractNum>
  <w:abstractNum w:abstractNumId="428">
    <w:nsid w:val="5F5C6E4D"/>
    <w:multiLevelType w:val="hybridMultilevel"/>
    <w:lvl w:ilvl="0">
      <w:lvlJc w:val="left"/>
      <w:lvlText w:val="*"/>
      <w:numFmt w:val="bullet"/>
      <w:start w:val="1"/>
    </w:lvl>
  </w:abstractNum>
  <w:abstractNum w:abstractNumId="429">
    <w:nsid w:val="7C2A56CD"/>
    <w:multiLevelType w:val="hybridMultilevel"/>
    <w:lvl w:ilvl="0">
      <w:lvlJc w:val="left"/>
      <w:lvlText w:val="*"/>
      <w:numFmt w:val="bullet"/>
      <w:start w:val="1"/>
    </w:lvl>
    <w:lvl w:ilvl="1">
      <w:lvlJc w:val="left"/>
      <w:lvlText w:val="-"/>
      <w:numFmt w:val="bullet"/>
      <w:start w:val="1"/>
    </w:lvl>
  </w:abstractNum>
  <w:abstractNum w:abstractNumId="430">
    <w:nsid w:val="7AB86EE1"/>
    <w:multiLevelType w:val="hybridMultilevel"/>
    <w:lvl w:ilvl="0">
      <w:lvlJc w:val="left"/>
      <w:lvlText w:val="-"/>
      <w:numFmt w:val="bullet"/>
      <w:start w:val="1"/>
    </w:lvl>
  </w:abstractNum>
  <w:abstractNum w:abstractNumId="431">
    <w:nsid w:val="B54E53B"/>
    <w:multiLevelType w:val="hybridMultilevel"/>
    <w:lvl w:ilvl="0">
      <w:lvlJc w:val="left"/>
      <w:lvlText w:val="*"/>
      <w:numFmt w:val="bullet"/>
      <w:start w:val="1"/>
    </w:lvl>
  </w:abstractNum>
  <w:abstractNum w:abstractNumId="432">
    <w:nsid w:val="2A00487"/>
    <w:multiLevelType w:val="hybridMultilevel"/>
    <w:lvl w:ilvl="0">
      <w:lvlJc w:val="left"/>
      <w:lvlText w:val="["/>
      <w:numFmt w:val="bullet"/>
      <w:start w:val="1"/>
    </w:lvl>
  </w:abstractNum>
  <w:abstractNum w:abstractNumId="433">
    <w:nsid w:val="6CB1B60"/>
    <w:multiLevelType w:val="hybridMultilevel"/>
    <w:lvl w:ilvl="0">
      <w:lvlJc w:val="left"/>
      <w:lvlText w:val="*"/>
      <w:numFmt w:val="bullet"/>
      <w:start w:val="1"/>
    </w:lvl>
  </w:abstractNum>
  <w:abstractNum w:abstractNumId="434">
    <w:nsid w:val="72EDD574"/>
    <w:multiLevelType w:val="hybridMultilevel"/>
    <w:lvl w:ilvl="0">
      <w:lvlJc w:val="left"/>
      <w:lvlText w:val="*"/>
      <w:numFmt w:val="bullet"/>
      <w:start w:val="1"/>
    </w:lvl>
  </w:abstractNum>
  <w:abstractNum w:abstractNumId="435">
    <w:nsid w:val="7323808A"/>
    <w:multiLevelType w:val="hybridMultilevel"/>
    <w:lvl w:ilvl="0">
      <w:lvlJc w:val="left"/>
      <w:lvlText w:val="*"/>
      <w:numFmt w:val="bullet"/>
      <w:start w:val="1"/>
    </w:lvl>
    <w:lvl w:ilvl="1">
      <w:lvlJc w:val="left"/>
      <w:lvlText w:val="["/>
      <w:numFmt w:val="bullet"/>
      <w:start w:val="1"/>
    </w:lvl>
  </w:abstractNum>
  <w:abstractNum w:abstractNumId="436">
    <w:nsid w:val="5157276"/>
    <w:multiLevelType w:val="hybridMultilevel"/>
    <w:lvl w:ilvl="0">
      <w:lvlJc w:val="left"/>
      <w:lvlText w:val="*"/>
      <w:numFmt w:val="bullet"/>
      <w:start w:val="1"/>
    </w:lvl>
  </w:abstractNum>
  <w:abstractNum w:abstractNumId="437">
    <w:nsid w:val="35A681DB"/>
    <w:multiLevelType w:val="hybridMultilevel"/>
    <w:lvl w:ilvl="0">
      <w:lvlJc w:val="left"/>
      <w:lvlText w:val="*"/>
      <w:numFmt w:val="bullet"/>
      <w:start w:val="1"/>
    </w:lvl>
  </w:abstractNum>
  <w:abstractNum w:abstractNumId="438">
    <w:nsid w:val="1786C974"/>
    <w:multiLevelType w:val="hybridMultilevel"/>
    <w:lvl w:ilvl="0">
      <w:lvlJc w:val="left"/>
      <w:lvlText w:val="["/>
      <w:numFmt w:val="bullet"/>
      <w:start w:val="1"/>
    </w:lvl>
  </w:abstractNum>
  <w:abstractNum w:abstractNumId="439">
    <w:nsid w:val="1C2427A1"/>
    <w:multiLevelType w:val="hybridMultilevel"/>
    <w:lvl w:ilvl="0">
      <w:lvlJc w:val="left"/>
      <w:lvlText w:val="["/>
      <w:numFmt w:val="bullet"/>
      <w:start w:val="1"/>
    </w:lvl>
  </w:abstractNum>
  <w:abstractNum w:abstractNumId="440">
    <w:nsid w:val="63A24D68"/>
    <w:multiLevelType w:val="hybridMultilevel"/>
    <w:lvl w:ilvl="0">
      <w:lvlJc w:val="left"/>
      <w:lvlText w:val="["/>
      <w:numFmt w:val="bullet"/>
      <w:start w:val="1"/>
    </w:lvl>
  </w:abstractNum>
  <w:abstractNum w:abstractNumId="441">
    <w:nsid w:val="4FB7A02A"/>
    <w:multiLevelType w:val="hybridMultilevel"/>
    <w:lvl w:ilvl="0">
      <w:lvlJc w:val="left"/>
      <w:lvlText w:val="*"/>
      <w:numFmt w:val="bullet"/>
      <w:start w:val="1"/>
    </w:lvl>
    <w:lvl w:ilvl="1">
      <w:lvlJc w:val="left"/>
      <w:lvlText w:val="["/>
      <w:numFmt w:val="bullet"/>
      <w:start w:val="1"/>
    </w:lvl>
  </w:abstractNum>
  <w:abstractNum w:abstractNumId="442">
    <w:nsid w:val="96CF728"/>
    <w:multiLevelType w:val="hybridMultilevel"/>
    <w:lvl w:ilvl="0">
      <w:lvlJc w:val="left"/>
      <w:lvlText w:val="["/>
      <w:numFmt w:val="bullet"/>
      <w:start w:val="1"/>
    </w:lvl>
  </w:abstractNum>
  <w:abstractNum w:abstractNumId="443">
    <w:nsid w:val="3B121183"/>
    <w:multiLevelType w:val="hybridMultilevel"/>
    <w:lvl w:ilvl="0">
      <w:lvlJc w:val="left"/>
      <w:lvlText w:val="["/>
      <w:numFmt w:val="bullet"/>
      <w:start w:val="1"/>
    </w:lvl>
  </w:abstractNum>
  <w:abstractNum w:abstractNumId="444">
    <w:nsid w:val="3459648F"/>
    <w:multiLevelType w:val="hybridMultilevel"/>
    <w:lvl w:ilvl="0">
      <w:lvlJc w:val="left"/>
      <w:lvlText w:val="["/>
      <w:numFmt w:val="bullet"/>
      <w:start w:val="1"/>
    </w:lvl>
  </w:abstractNum>
  <w:abstractNum w:abstractNumId="445">
    <w:nsid w:val="3ADF331D"/>
    <w:multiLevelType w:val="hybridMultilevel"/>
    <w:lvl w:ilvl="0">
      <w:lvlJc w:val="left"/>
      <w:lvlText w:val="["/>
      <w:numFmt w:val="bullet"/>
      <w:start w:val="1"/>
    </w:lvl>
  </w:abstractNum>
  <w:abstractNum w:abstractNumId="446">
    <w:nsid w:val="4D08A9E4"/>
    <w:multiLevelType w:val="hybridMultilevel"/>
    <w:lvl w:ilvl="0">
      <w:lvlJc w:val="left"/>
      <w:lvlText w:val="["/>
      <w:numFmt w:val="bullet"/>
      <w:start w:val="1"/>
    </w:lvl>
  </w:abstractNum>
  <w:abstractNum w:abstractNumId="447">
    <w:nsid w:val="6AF2BB3A"/>
    <w:multiLevelType w:val="hybridMultilevel"/>
    <w:lvl w:ilvl="0">
      <w:lvlJc w:val="left"/>
      <w:lvlText w:val="["/>
      <w:numFmt w:val="bullet"/>
      <w:start w:val="1"/>
    </w:lvl>
  </w:abstractNum>
  <w:abstractNum w:abstractNumId="448">
    <w:nsid w:val="481B1739"/>
    <w:multiLevelType w:val="hybridMultilevel"/>
    <w:lvl w:ilvl="0">
      <w:lvlJc w:val="left"/>
      <w:lvlText w:val="%1)"/>
      <w:numFmt w:val="lowerLetter"/>
      <w:start w:val="1"/>
    </w:lvl>
  </w:abstractNum>
  <w:abstractNum w:abstractNumId="449">
    <w:nsid w:val="19E2BFCC"/>
    <w:multiLevelType w:val="hybridMultilevel"/>
    <w:lvl w:ilvl="0">
      <w:lvlJc w:val="left"/>
      <w:lvlText w:val="*"/>
      <w:numFmt w:val="bullet"/>
      <w:start w:val="1"/>
    </w:lvl>
  </w:abstractNum>
  <w:abstractNum w:abstractNumId="450">
    <w:nsid w:val="66D021CA"/>
    <w:multiLevelType w:val="hybridMultilevel"/>
    <w:lvl w:ilvl="0">
      <w:lvlJc w:val="left"/>
      <w:lvlText w:val="["/>
      <w:numFmt w:val="bullet"/>
      <w:start w:val="1"/>
    </w:lvl>
  </w:abstractNum>
  <w:abstractNum w:abstractNumId="451">
    <w:nsid w:val="56167394"/>
    <w:multiLevelType w:val="hybridMultilevel"/>
    <w:lvl w:ilvl="0">
      <w:lvlJc w:val="left"/>
      <w:lvlText w:val="["/>
      <w:numFmt w:val="bullet"/>
      <w:start w:val="1"/>
    </w:lvl>
  </w:abstractNum>
  <w:abstractNum w:abstractNumId="452">
    <w:nsid w:val="921145C"/>
    <w:multiLevelType w:val="hybridMultilevel"/>
    <w:lvl w:ilvl="0">
      <w:lvlJc w:val="left"/>
      <w:lvlText w:val="*"/>
      <w:numFmt w:val="bullet"/>
      <w:start w:val="1"/>
    </w:lvl>
  </w:abstractNum>
  <w:abstractNum w:abstractNumId="453">
    <w:nsid w:val="7B34DFE8"/>
    <w:multiLevelType w:val="hybridMultilevel"/>
    <w:lvl w:ilvl="0">
      <w:lvlJc w:val="left"/>
      <w:lvlText w:val="["/>
      <w:numFmt w:val="bullet"/>
      <w:start w:val="1"/>
    </w:lvl>
  </w:abstractNum>
  <w:abstractNum w:abstractNumId="454">
    <w:nsid w:val="3CD22B79"/>
    <w:multiLevelType w:val="hybridMultilevel"/>
    <w:lvl w:ilvl="0">
      <w:lvlJc w:val="left"/>
      <w:lvlText w:val="*"/>
      <w:numFmt w:val="bullet"/>
      <w:start w:val="1"/>
    </w:lvl>
  </w:abstractNum>
  <w:abstractNum w:abstractNumId="455">
    <w:nsid w:val="3137975E"/>
    <w:multiLevelType w:val="hybridMultilevel"/>
    <w:lvl w:ilvl="0">
      <w:lvlJc w:val="left"/>
      <w:lvlText w:val="["/>
      <w:numFmt w:val="bullet"/>
      <w:start w:val="1"/>
    </w:lvl>
  </w:abstractNum>
  <w:abstractNum w:abstractNumId="456">
    <w:nsid w:val="2DDAA791"/>
    <w:multiLevelType w:val="hybridMultilevel"/>
    <w:lvl w:ilvl="0">
      <w:lvlJc w:val="left"/>
      <w:lvlText w:val="["/>
      <w:numFmt w:val="bullet"/>
      <w:start w:val="1"/>
    </w:lvl>
  </w:abstractNum>
  <w:abstractNum w:abstractNumId="457">
    <w:nsid w:val="77263B8A"/>
    <w:multiLevelType w:val="hybridMultilevel"/>
    <w:lvl w:ilvl="0">
      <w:lvlJc w:val="left"/>
      <w:lvlText w:val="-"/>
      <w:numFmt w:val="bullet"/>
      <w:start w:val="1"/>
    </w:lvl>
  </w:abstractNum>
  <w:abstractNum w:abstractNumId="458">
    <w:nsid w:val="755B5ED6"/>
    <w:multiLevelType w:val="hybridMultilevel"/>
    <w:lvl w:ilvl="0">
      <w:lvlJc w:val="left"/>
      <w:lvlText w:val="["/>
      <w:numFmt w:val="bullet"/>
      <w:start w:val="1"/>
    </w:lvl>
  </w:abstractNum>
  <w:abstractNum w:abstractNumId="459">
    <w:nsid w:val="D3715DE"/>
    <w:multiLevelType w:val="hybridMultilevel"/>
    <w:lvl w:ilvl="0">
      <w:lvlJc w:val="left"/>
      <w:lvlText w:val="*"/>
      <w:numFmt w:val="bullet"/>
      <w:start w:val="1"/>
    </w:lvl>
    <w:lvl w:ilvl="1">
      <w:lvlJc w:val="left"/>
      <w:lvlText w:val="["/>
      <w:numFmt w:val="bullet"/>
      <w:start w:val="1"/>
    </w:lvl>
  </w:abstractNum>
  <w:abstractNum w:abstractNumId="460">
    <w:nsid w:val="73509257"/>
    <w:multiLevelType w:val="hybridMultilevel"/>
    <w:lvl w:ilvl="0">
      <w:lvlJc w:val="left"/>
      <w:lvlText w:val="-"/>
      <w:numFmt w:val="bullet"/>
      <w:start w:val="1"/>
    </w:lvl>
  </w:abstractNum>
  <w:abstractNum w:abstractNumId="461">
    <w:nsid w:val="7013CDB7"/>
    <w:multiLevelType w:val="hybridMultilevel"/>
    <w:lvl w:ilvl="0">
      <w:lvlJc w:val="left"/>
      <w:lvlText w:val="["/>
      <w:numFmt w:val="bullet"/>
      <w:start w:val="1"/>
    </w:lvl>
  </w:abstractNum>
  <w:abstractNum w:abstractNumId="462">
    <w:nsid w:val="188BFB19"/>
    <w:multiLevelType w:val="hybridMultilevel"/>
    <w:lvl w:ilvl="0">
      <w:lvlJc w:val="left"/>
      <w:lvlText w:val="%1."/>
      <w:numFmt w:val="decimal"/>
      <w:start w:val="1"/>
    </w:lvl>
  </w:abstractNum>
  <w:abstractNum w:abstractNumId="463">
    <w:nsid w:val="75F096DF"/>
    <w:multiLevelType w:val="hybridMultilevel"/>
    <w:lvl w:ilvl="0">
      <w:lvlJc w:val="left"/>
      <w:lvlText w:val="["/>
      <w:numFmt w:val="bullet"/>
      <w:start w:val="1"/>
    </w:lvl>
  </w:abstractNum>
  <w:abstractNum w:abstractNumId="464">
    <w:nsid w:val="76DEE918"/>
    <w:multiLevelType w:val="hybridMultilevel"/>
    <w:lvl w:ilvl="0">
      <w:lvlJc w:val="left"/>
      <w:lvlText w:val="*"/>
      <w:numFmt w:val="bullet"/>
      <w:start w:val="1"/>
    </w:lvl>
  </w:abstractNum>
  <w:abstractNum w:abstractNumId="465">
    <w:nsid w:val="B79D08D"/>
    <w:multiLevelType w:val="hybridMultilevel"/>
    <w:lvl w:ilvl="0">
      <w:lvlJc w:val="left"/>
      <w:lvlText w:val="*"/>
      <w:numFmt w:val="bullet"/>
      <w:start w:val="1"/>
    </w:lvl>
    <w:lvl w:ilvl="1">
      <w:lvlJc w:val="left"/>
      <w:lvlText w:val="%2."/>
      <w:numFmt w:val="upperLetter"/>
      <w:start w:val="1"/>
    </w:lvl>
  </w:abstractNum>
  <w:abstractNum w:abstractNumId="466">
    <w:nsid w:val="69141769"/>
    <w:multiLevelType w:val="hybridMultilevel"/>
    <w:lvl w:ilvl="0">
      <w:lvlJc w:val="left"/>
      <w:lvlText w:val="%1)"/>
      <w:numFmt w:val="decimal"/>
      <w:start w:val="1"/>
    </w:lvl>
  </w:abstractNum>
  <w:abstractNum w:abstractNumId="467">
    <w:nsid w:val="7BF45B8E"/>
    <w:multiLevelType w:val="hybridMultilevel"/>
    <w:lvl w:ilvl="0">
      <w:lvlJc w:val="left"/>
      <w:lvlText w:val="*"/>
      <w:numFmt w:val="bullet"/>
      <w:start w:val="1"/>
    </w:lvl>
    <w:lvl w:ilvl="1">
      <w:lvlJc w:val="left"/>
      <w:lvlText w:val="["/>
      <w:numFmt w:val="bullet"/>
      <w:start w:val="1"/>
    </w:lvl>
  </w:abstractNum>
  <w:abstractNum w:abstractNumId="468">
    <w:nsid w:val="41205269"/>
    <w:multiLevelType w:val="hybridMultilevel"/>
    <w:lvl w:ilvl="0">
      <w:lvlJc w:val="left"/>
      <w:lvlText w:val="*"/>
      <w:numFmt w:val="bullet"/>
      <w:start w:val="1"/>
    </w:lvl>
  </w:abstractNum>
  <w:abstractNum w:abstractNumId="469">
    <w:nsid w:val="9AE0DD"/>
    <w:multiLevelType w:val="hybridMultilevel"/>
    <w:lvl w:ilvl="0">
      <w:lvlJc w:val="left"/>
      <w:lvlText w:val="["/>
      <w:numFmt w:val="bullet"/>
      <w:start w:val="1"/>
    </w:lvl>
  </w:abstractNum>
  <w:abstractNum w:abstractNumId="470">
    <w:nsid w:val="1818832F"/>
    <w:multiLevelType w:val="hybridMultilevel"/>
    <w:lvl w:ilvl="0">
      <w:lvlJc w:val="left"/>
      <w:lvlText w:val="["/>
      <w:numFmt w:val="bullet"/>
      <w:start w:val="1"/>
    </w:lvl>
  </w:abstractNum>
  <w:abstractNum w:abstractNumId="471">
    <w:nsid w:val="24C29FD1"/>
    <w:multiLevelType w:val="hybridMultilevel"/>
    <w:lvl w:ilvl="0">
      <w:lvlJc w:val="left"/>
      <w:lvlText w:val="["/>
      <w:numFmt w:val="bullet"/>
      <w:start w:val="1"/>
    </w:lvl>
  </w:abstractNum>
  <w:abstractNum w:abstractNumId="472">
    <w:nsid w:val="50528108"/>
    <w:multiLevelType w:val="hybridMultilevel"/>
    <w:lvl w:ilvl="0">
      <w:lvlJc w:val="left"/>
      <w:lvlText w:val="["/>
      <w:numFmt w:val="bullet"/>
      <w:start w:val="1"/>
    </w:lvl>
  </w:abstractNum>
  <w:abstractNum w:abstractNumId="473">
    <w:nsid w:val="21857A57"/>
    <w:multiLevelType w:val="hybridMultilevel"/>
    <w:lvl w:ilvl="0">
      <w:lvlJc w:val="left"/>
      <w:lvlText w:val="*"/>
      <w:numFmt w:val="bullet"/>
      <w:start w:val="1"/>
    </w:lvl>
    <w:lvl w:ilvl="1">
      <w:lvlJc w:val="left"/>
      <w:lvlText w:val="["/>
      <w:numFmt w:val="bullet"/>
      <w:start w:val="1"/>
    </w:lvl>
  </w:abstractNum>
  <w:abstractNum w:abstractNumId="474">
    <w:nsid w:val="5FD4B154"/>
    <w:multiLevelType w:val="hybridMultilevel"/>
    <w:lvl w:ilvl="0">
      <w:lvlJc w:val="left"/>
      <w:lvlText w:val="["/>
      <w:numFmt w:val="bullet"/>
      <w:start w:val="1"/>
    </w:lvl>
  </w:abstractNum>
  <w:abstractNum w:abstractNumId="475">
    <w:nsid w:val="4ABE597"/>
    <w:multiLevelType w:val="hybridMultilevel"/>
    <w:lvl w:ilvl="0">
      <w:lvlJc w:val="left"/>
      <w:lvlText w:val="%1)"/>
      <w:numFmt w:val="decimal"/>
      <w:start w:val="1"/>
    </w:lvl>
    <w:lvl w:ilvl="1">
      <w:lvlJc w:val="left"/>
      <w:lvlText w:val="%2)"/>
      <w:numFmt w:val="lowerLetter"/>
      <w:start w:val="1"/>
    </w:lvl>
  </w:abstractNum>
  <w:abstractNum w:abstractNumId="476">
    <w:nsid w:val="5C64AD75"/>
    <w:multiLevelType w:val="hybridMultilevel"/>
    <w:lvl w:ilvl="0">
      <w:lvlJc w:val="left"/>
      <w:lvlText w:val="*"/>
      <w:numFmt w:val="bullet"/>
      <w:start w:val="1"/>
    </w:lvl>
  </w:abstractNum>
  <w:abstractNum w:abstractNumId="477">
    <w:nsid w:val="2CDD5B39"/>
    <w:multiLevelType w:val="hybridMultilevel"/>
    <w:lvl w:ilvl="0">
      <w:lvlJc w:val="left"/>
      <w:lvlText w:val="*"/>
      <w:numFmt w:val="bullet"/>
      <w:start w:val="1"/>
    </w:lvl>
  </w:abstractNum>
  <w:abstractNum w:abstractNumId="478">
    <w:nsid w:val="6F9EA0D1"/>
    <w:multiLevelType w:val="hybridMultilevel"/>
    <w:lvl w:ilvl="0">
      <w:lvlJc w:val="left"/>
      <w:lvlText w:val="*"/>
      <w:numFmt w:val="bullet"/>
      <w:start w:val="1"/>
    </w:lvl>
  </w:abstractNum>
  <w:abstractNum w:abstractNumId="479">
    <w:nsid w:val="247FC4AE"/>
    <w:multiLevelType w:val="hybridMultilevel"/>
    <w:lvl w:ilvl="0">
      <w:lvlJc w:val="left"/>
      <w:lvlText w:val="["/>
      <w:numFmt w:val="bullet"/>
      <w:start w:val="1"/>
    </w:lvl>
  </w:abstractNum>
  <w:abstractNum w:abstractNumId="480">
    <w:nsid w:val="46C01B05"/>
    <w:multiLevelType w:val="hybridMultilevel"/>
    <w:lvl w:ilvl="0">
      <w:lvlJc w:val="left"/>
      <w:lvlText w:val="*"/>
      <w:numFmt w:val="bullet"/>
      <w:start w:val="1"/>
    </w:lvl>
  </w:abstractNum>
  <w:abstractNum w:abstractNumId="481">
    <w:nsid w:val="566EC29B"/>
    <w:multiLevelType w:val="hybridMultilevel"/>
    <w:lvl w:ilvl="0">
      <w:lvlJc w:val="left"/>
      <w:lvlText w:val="*"/>
      <w:numFmt w:val="bullet"/>
      <w:start w:val="1"/>
    </w:lvl>
  </w:abstractNum>
  <w:abstractNum w:abstractNumId="482">
    <w:nsid w:val="7A963843"/>
    <w:multiLevelType w:val="hybridMultilevel"/>
    <w:lvl w:ilvl="0">
      <w:lvlJc w:val="left"/>
      <w:lvlText w:val="%1."/>
      <w:numFmt w:val="decimal"/>
      <w:start w:val="1"/>
    </w:lvl>
  </w:abstractNum>
  <w:abstractNum w:abstractNumId="483">
    <w:nsid w:val="4FE12F61"/>
    <w:multiLevelType w:val="hybridMultilevel"/>
    <w:lvl w:ilvl="0">
      <w:lvlJc w:val="left"/>
      <w:lvlText w:val="*"/>
      <w:numFmt w:val="bullet"/>
      <w:start w:val="1"/>
    </w:lvl>
  </w:abstractNum>
  <w:abstractNum w:abstractNumId="484">
    <w:nsid w:val="51A3A284"/>
    <w:multiLevelType w:val="hybridMultilevel"/>
    <w:lvl w:ilvl="0">
      <w:lvlJc w:val="left"/>
      <w:lvlText w:val="%1."/>
      <w:numFmt w:val="decimal"/>
      <w:start w:val="2"/>
    </w:lvl>
  </w:abstractNum>
  <w:abstractNum w:abstractNumId="485">
    <w:nsid w:val="376863BC"/>
    <w:multiLevelType w:val="hybridMultilevel"/>
    <w:lvl w:ilvl="0">
      <w:lvlJc w:val="left"/>
      <w:lvlText w:val="%1."/>
      <w:numFmt w:val="decimal"/>
      <w:start w:val="3"/>
    </w:lvl>
  </w:abstractNum>
  <w:abstractNum w:abstractNumId="486">
    <w:nsid w:val="118C6C0"/>
    <w:multiLevelType w:val="hybridMultilevel"/>
    <w:lvl w:ilvl="0">
      <w:lvlJc w:val="left"/>
      <w:lvlText w:val="*"/>
      <w:numFmt w:val="bullet"/>
      <w:start w:val="1"/>
    </w:lvl>
  </w:abstractNum>
  <w:abstractNum w:abstractNumId="487">
    <w:nsid w:val="7F7E4A15"/>
    <w:multiLevelType w:val="hybridMultilevel"/>
    <w:lvl w:ilvl="0">
      <w:lvlJc w:val="left"/>
      <w:lvlText w:val="%1."/>
      <w:numFmt w:val="decimal"/>
      <w:start w:val="4"/>
    </w:lvl>
  </w:abstractNum>
  <w:abstractNum w:abstractNumId="488">
    <w:nsid w:val="2E8E9F47"/>
    <w:multiLevelType w:val="hybridMultilevel"/>
    <w:lvl w:ilvl="0">
      <w:lvlJc w:val="left"/>
      <w:lvlText w:val="%1."/>
      <w:numFmt w:val="decimal"/>
      <w:start w:val="5"/>
    </w:lvl>
  </w:abstractNum>
  <w:abstractNum w:abstractNumId="489">
    <w:nsid w:val="76742596"/>
    <w:multiLevelType w:val="hybridMultilevel"/>
    <w:lvl w:ilvl="0">
      <w:lvlJc w:val="left"/>
      <w:lvlText w:val="*"/>
      <w:numFmt w:val="bullet"/>
      <w:start w:val="1"/>
    </w:lvl>
  </w:abstractNum>
  <w:abstractNum w:abstractNumId="490">
    <w:nsid w:val="CB55FF3"/>
    <w:multiLevelType w:val="hybridMultilevel"/>
    <w:lvl w:ilvl="0">
      <w:lvlJc w:val="left"/>
      <w:lvlText w:val="%1."/>
      <w:numFmt w:val="decimal"/>
      <w:start w:val="6"/>
    </w:lvl>
  </w:abstractNum>
  <w:abstractNum w:abstractNumId="491">
    <w:nsid w:val="21DF319E"/>
    <w:multiLevelType w:val="hybridMultilevel"/>
    <w:lvl w:ilvl="0">
      <w:lvlJc w:val="left"/>
      <w:lvlText w:val="%1."/>
      <w:numFmt w:val="decimal"/>
      <w:start w:val="7"/>
    </w:lvl>
  </w:abstractNum>
  <w:abstractNum w:abstractNumId="492">
    <w:nsid w:val="6687F34D"/>
    <w:multiLevelType w:val="hybridMultilevel"/>
    <w:lvl w:ilvl="0">
      <w:lvlJc w:val="left"/>
      <w:lvlText w:val="*"/>
      <w:numFmt w:val="bullet"/>
      <w:start w:val="1"/>
    </w:lvl>
  </w:abstractNum>
  <w:abstractNum w:abstractNumId="493">
    <w:nsid w:val="25415B0C"/>
    <w:multiLevelType w:val="hybridMultilevel"/>
    <w:lvl w:ilvl="0">
      <w:lvlJc w:val="left"/>
      <w:lvlText w:val="["/>
      <w:numFmt w:val="bullet"/>
      <w:start w:val="1"/>
    </w:lvl>
  </w:abstractNum>
  <w:abstractNum w:abstractNumId="494">
    <w:nsid w:val="17CFC87D"/>
    <w:multiLevelType w:val="hybridMultilevel"/>
    <w:lvl w:ilvl="0">
      <w:lvlJc w:val="left"/>
      <w:lvlText w:val="*"/>
      <w:numFmt w:val="bullet"/>
      <w:start w:val="1"/>
    </w:lvl>
  </w:abstractNum>
  <w:abstractNum w:abstractNumId="495">
    <w:nsid w:val="5D66DC65"/>
    <w:multiLevelType w:val="hybridMultilevel"/>
    <w:lvl w:ilvl="0">
      <w:lvlJc w:val="left"/>
      <w:lvlText w:val="*"/>
      <w:numFmt w:val="bullet"/>
      <w:start w:val="1"/>
    </w:lvl>
  </w:abstractNum>
  <w:abstractNum w:abstractNumId="496">
    <w:nsid w:val="30BB2B99"/>
    <w:multiLevelType w:val="hybridMultilevel"/>
    <w:lvl w:ilvl="0">
      <w:lvlJc w:val="left"/>
      <w:lvlText w:val="*"/>
      <w:numFmt w:val="bullet"/>
      <w:start w:val="1"/>
    </w:lvl>
  </w:abstractNum>
  <w:abstractNum w:abstractNumId="497">
    <w:nsid w:val="E3DFE6"/>
    <w:multiLevelType w:val="hybridMultilevel"/>
    <w:lvl w:ilvl="0">
      <w:lvlJc w:val="left"/>
      <w:lvlText w:val="*"/>
      <w:numFmt w:val="bullet"/>
      <w:start w:val="1"/>
    </w:lvl>
  </w:abstractNum>
  <w:abstractNum w:abstractNumId="498">
    <w:nsid w:val="595B37F3"/>
    <w:multiLevelType w:val="hybridMultilevel"/>
    <w:lvl w:ilvl="0">
      <w:lvlJc w:val="left"/>
      <w:lvlText w:val="*"/>
      <w:numFmt w:val="bullet"/>
      <w:start w:val="1"/>
    </w:lvl>
  </w:abstractNum>
  <w:abstractNum w:abstractNumId="499">
    <w:nsid w:val="71DB7E02"/>
    <w:multiLevelType w:val="hybridMultilevel"/>
    <w:lvl w:ilvl="0">
      <w:lvlJc w:val="left"/>
      <w:lvlText w:val="*"/>
      <w:numFmt w:val="bullet"/>
      <w:start w:val="1"/>
    </w:lvl>
  </w:abstractNum>
  <w:abstractNum w:abstractNumId="500">
    <w:nsid w:val="17EC0C4"/>
    <w:multiLevelType w:val="hybridMultilevel"/>
    <w:lvl w:ilvl="0">
      <w:lvlJc w:val="left"/>
      <w:lvlText w:val="%1."/>
      <w:numFmt w:val="decimal"/>
      <w:start w:val="1"/>
    </w:lvl>
  </w:abstractNum>
  <w:abstractNum w:abstractNumId="501">
    <w:nsid w:val="7173BB22"/>
    <w:multiLevelType w:val="hybridMultilevel"/>
    <w:lvl w:ilvl="0">
      <w:lvlJc w:val="left"/>
      <w:lvlText w:val="*"/>
      <w:numFmt w:val="bullet"/>
      <w:start w:val="1"/>
    </w:lvl>
  </w:abstractNum>
  <w:abstractNum w:abstractNumId="502">
    <w:nsid w:val="169E1DD3"/>
    <w:multiLevelType w:val="hybridMultilevel"/>
    <w:lvl w:ilvl="0">
      <w:lvlJc w:val="left"/>
      <w:lvlText w:val="%1."/>
      <w:numFmt w:val="decimal"/>
      <w:start w:val="2"/>
    </w:lvl>
  </w:abstractNum>
  <w:abstractNum w:abstractNumId="503">
    <w:nsid w:val="51D141CC"/>
    <w:multiLevelType w:val="hybridMultilevel"/>
    <w:lvl w:ilvl="0">
      <w:lvlJc w:val="left"/>
      <w:lvlText w:val="*"/>
      <w:numFmt w:val="bullet"/>
      <w:start w:val="1"/>
    </w:lvl>
  </w:abstractNum>
  <w:abstractNum w:abstractNumId="504">
    <w:nsid w:val="12F9357A"/>
    <w:multiLevelType w:val="hybridMultilevel"/>
    <w:lvl w:ilvl="0">
      <w:lvlJc w:val="left"/>
      <w:lvlText w:val="%1."/>
      <w:numFmt w:val="decimal"/>
      <w:start w:val="4"/>
    </w:lvl>
  </w:abstractNum>
  <w:abstractNum w:abstractNumId="505">
    <w:nsid w:val="7672CF28"/>
    <w:multiLevelType w:val="hybridMultilevel"/>
    <w:lvl w:ilvl="0">
      <w:lvlJc w:val="left"/>
      <w:lvlText w:val="%1."/>
      <w:numFmt w:val="decimal"/>
      <w:start w:val="5"/>
    </w:lvl>
  </w:abstractNum>
  <w:abstractNum w:abstractNumId="506">
    <w:nsid w:val="567D2763"/>
    <w:multiLevelType w:val="hybridMultilevel"/>
    <w:lvl w:ilvl="0">
      <w:lvlJc w:val="left"/>
      <w:lvlText w:val="*"/>
      <w:numFmt w:val="bullet"/>
      <w:start w:val="1"/>
    </w:lvl>
  </w:abstractNum>
  <w:abstractNum w:abstractNumId="507">
    <w:nsid w:val="6F5DE2EF"/>
    <w:multiLevelType w:val="hybridMultilevel"/>
    <w:lvl w:ilvl="0">
      <w:lvlJc w:val="left"/>
      <w:lvlText w:val="%1."/>
      <w:numFmt w:val="decimal"/>
      <w:start w:val="6"/>
    </w:lvl>
  </w:abstractNum>
  <w:abstractNum w:abstractNumId="508">
    <w:nsid w:val="23502A61"/>
    <w:multiLevelType w:val="hybridMultilevel"/>
    <w:lvl w:ilvl="0">
      <w:lvlJc w:val="left"/>
      <w:lvlText w:val="["/>
      <w:numFmt w:val="bullet"/>
      <w:start w:val="1"/>
    </w:lvl>
  </w:abstractNum>
  <w:abstractNum w:abstractNumId="509">
    <w:nsid w:val="461BC834"/>
    <w:multiLevelType w:val="hybridMultilevel"/>
    <w:lvl w:ilvl="0">
      <w:lvlJc w:val="left"/>
      <w:lvlText w:val="%1."/>
      <w:numFmt w:val="decimal"/>
      <w:start w:val="7"/>
    </w:lvl>
  </w:abstractNum>
  <w:abstractNum w:abstractNumId="510">
    <w:nsid w:val="13DDA79D"/>
    <w:multiLevelType w:val="hybridMultilevel"/>
    <w:lvl w:ilvl="0">
      <w:lvlJc w:val="left"/>
      <w:lvlText w:val="%1."/>
      <w:numFmt w:val="decimal"/>
      <w:start w:val="8"/>
    </w:lvl>
  </w:abstractNum>
  <w:abstractNum w:abstractNumId="511">
    <w:nsid w:val="6A104566"/>
    <w:multiLevelType w:val="hybridMultilevel"/>
    <w:lvl w:ilvl="0">
      <w:lvlJc w:val="left"/>
      <w:lvlText w:val="*"/>
      <w:numFmt w:val="bullet"/>
      <w:start w:val="1"/>
    </w:lvl>
  </w:abstractNum>
  <w:abstractNum w:abstractNumId="512">
    <w:nsid w:val="1C8A8ACF"/>
    <w:multiLevelType w:val="hybridMultilevel"/>
    <w:lvl w:ilvl="0">
      <w:lvlJc w:val="left"/>
      <w:lvlText w:val="["/>
      <w:numFmt w:val="bullet"/>
      <w:start w:val="1"/>
    </w:lvl>
  </w:abstractNum>
  <w:abstractNum w:abstractNumId="513">
    <w:nsid w:val="E73DFE0"/>
    <w:multiLevelType w:val="hybridMultilevel"/>
    <w:lvl w:ilvl="0">
      <w:lvlJc w:val="left"/>
      <w:lvlText w:val="%1."/>
      <w:numFmt w:val="decimal"/>
      <w:start w:val="1"/>
    </w:lvl>
  </w:abstractNum>
  <w:abstractNum w:abstractNumId="514">
    <w:nsid w:val="39F174C7"/>
    <w:multiLevelType w:val="hybridMultilevel"/>
    <w:lvl w:ilvl="0">
      <w:lvlJc w:val="left"/>
      <w:lvlText w:val="%1."/>
      <w:numFmt w:val="decimal"/>
      <w:start w:val="1"/>
    </w:lvl>
  </w:abstractNum>
  <w:abstractNum w:abstractNumId="515">
    <w:nsid w:val="6E2E2D53"/>
    <w:multiLevelType w:val="hybridMultilevel"/>
    <w:lvl w:ilvl="0">
      <w:lvlJc w:val="left"/>
      <w:lvlText w:val="%1."/>
      <w:numFmt w:val="decimal"/>
      <w:start w:val="1"/>
    </w:lvl>
  </w:abstractNum>
  <w:abstractNum w:abstractNumId="516">
    <w:nsid w:val="45DC439D"/>
    <w:multiLevelType w:val="hybridMultilevel"/>
    <w:lvl w:ilvl="0">
      <w:lvlJc w:val="left"/>
      <w:lvlText w:val="*"/>
      <w:numFmt w:val="bullet"/>
      <w:start w:val="1"/>
    </w:lvl>
    <w:lvl w:ilvl="1">
      <w:lvlJc w:val="left"/>
      <w:lvlText w:val="%2."/>
      <w:numFmt w:val="decimal"/>
      <w:start w:val="1"/>
    </w:lvl>
  </w:abstractNum>
  <w:abstractNum w:abstractNumId="517">
    <w:nsid w:val="3B0A3B87"/>
    <w:multiLevelType w:val="hybridMultilevel"/>
    <w:lvl w:ilvl="0">
      <w:lvlJc w:val="left"/>
      <w:lvlText w:val="*"/>
      <w:numFmt w:val="bullet"/>
      <w:start w:val="1"/>
    </w:lvl>
  </w:abstractNum>
  <w:abstractNum w:abstractNumId="518">
    <w:nsid w:val="6DAC7768"/>
    <w:multiLevelType w:val="hybridMultilevel"/>
    <w:lvl w:ilvl="0">
      <w:lvlJc w:val="left"/>
      <w:lvlText w:val="*"/>
      <w:numFmt w:val="bullet"/>
      <w:start w:val="1"/>
    </w:lvl>
  </w:abstractNum>
  <w:abstractNum w:abstractNumId="519">
    <w:nsid w:val="746AE2E4"/>
    <w:multiLevelType w:val="hybridMultilevel"/>
    <w:lvl w:ilvl="0">
      <w:lvlJc w:val="left"/>
      <w:lvlText w:val="*"/>
      <w:numFmt w:val="bullet"/>
      <w:start w:val="1"/>
    </w:lvl>
  </w:abstractNum>
  <w:abstractNum w:abstractNumId="520">
    <w:nsid w:val="317E611D"/>
    <w:multiLevelType w:val="hybridMultilevel"/>
    <w:lvl w:ilvl="0">
      <w:lvlJc w:val="left"/>
      <w:lvlText w:val="["/>
      <w:numFmt w:val="bullet"/>
      <w:start w:val="1"/>
    </w:lvl>
  </w:abstractNum>
  <w:abstractNum w:abstractNumId="521">
    <w:nsid w:val="7A61D75B"/>
    <w:multiLevelType w:val="hybridMultilevel"/>
    <w:lvl w:ilvl="0">
      <w:lvlJc w:val="left"/>
      <w:lvlText w:val="["/>
      <w:numFmt w:val="bullet"/>
      <w:start w:val="1"/>
    </w:lvl>
  </w:abstractNum>
  <w:abstractNum w:abstractNumId="522">
    <w:nsid w:val="164A148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23">
    <w:nsid w:val="1806546B"/>
    <w:multiLevelType w:val="hybridMultilevel"/>
    <w:lvl w:ilvl="0">
      <w:lvlJc w:val="left"/>
      <w:lvlText w:val="-"/>
      <w:numFmt w:val="bullet"/>
      <w:start w:val="1"/>
    </w:lvl>
  </w:abstractNum>
  <w:abstractNum w:abstractNumId="524">
    <w:nsid w:val="1FA33267"/>
    <w:multiLevelType w:val="hybridMultilevel"/>
    <w:lvl w:ilvl="0">
      <w:lvlJc w:val="left"/>
      <w:lvlText w:val="["/>
      <w:numFmt w:val="bullet"/>
      <w:start w:val="1"/>
    </w:lvl>
  </w:abstractNum>
  <w:abstractNum w:abstractNumId="525">
    <w:nsid w:val="2E19DD00"/>
    <w:multiLevelType w:val="hybridMultilevel"/>
    <w:lvl w:ilvl="0">
      <w:lvlJc w:val="left"/>
      <w:lvlText w:val="-"/>
      <w:numFmt w:val="bullet"/>
      <w:start w:val="1"/>
    </w:lvl>
  </w:abstractNum>
  <w:abstractNum w:abstractNumId="526">
    <w:nsid w:val="756D30D0"/>
    <w:multiLevelType w:val="hybridMultilevel"/>
    <w:lvl w:ilvl="0">
      <w:lvlJc w:val="left"/>
      <w:lvlText w:val="["/>
      <w:numFmt w:val="bullet"/>
      <w:start w:val="1"/>
    </w:lvl>
  </w:abstractNum>
  <w:abstractNum w:abstractNumId="527">
    <w:nsid w:val="505E5E01"/>
    <w:multiLevelType w:val="hybridMultilevel"/>
    <w:lvl w:ilvl="0">
      <w:lvlJc w:val="left"/>
      <w:lvlText w:val="*"/>
      <w:numFmt w:val="bullet"/>
      <w:start w:val="1"/>
    </w:lvl>
  </w:abstractNum>
  <w:abstractNum w:abstractNumId="528">
    <w:nsid w:val="2EFDBCE6"/>
    <w:multiLevelType w:val="hybridMultilevel"/>
    <w:lvl w:ilvl="0">
      <w:lvlJc w:val="left"/>
      <w:lvlText w:val="*"/>
      <w:numFmt w:val="bullet"/>
      <w:start w:val="1"/>
    </w:lvl>
  </w:abstractNum>
  <w:abstractNum w:abstractNumId="529">
    <w:nsid w:val="4EC868C4"/>
    <w:multiLevelType w:val="hybridMultilevel"/>
    <w:lvl w:ilvl="0">
      <w:lvlJc w:val="left"/>
      <w:lvlText w:val="%1."/>
      <w:numFmt w:val="decimal"/>
      <w:start w:val="2"/>
    </w:lvl>
  </w:abstractNum>
  <w:abstractNum w:abstractNumId="530">
    <w:nsid w:val="4239DC03"/>
    <w:multiLevelType w:val="hybridMultilevel"/>
    <w:lvl w:ilvl="0">
      <w:lvlJc w:val="left"/>
      <w:lvlText w:val="*"/>
      <w:numFmt w:val="bullet"/>
      <w:start w:val="1"/>
    </w:lvl>
  </w:abstractNum>
  <w:abstractNum w:abstractNumId="531">
    <w:nsid w:val="307C7DAA"/>
    <w:multiLevelType w:val="hybridMultilevel"/>
    <w:lvl w:ilvl="0">
      <w:lvlJc w:val="left"/>
      <w:lvlText w:val="%1."/>
      <w:numFmt w:val="decimal"/>
      <w:start w:val="3"/>
    </w:lvl>
  </w:abstractNum>
  <w:abstractNum w:abstractNumId="532">
    <w:nsid w:val="403C23E6"/>
    <w:multiLevelType w:val="hybridMultilevel"/>
    <w:lvl w:ilvl="0">
      <w:lvlJc w:val="left"/>
      <w:lvlText w:val="5"/>
      <w:numFmt w:val="bullet"/>
      <w:start w:val="1"/>
    </w:lvl>
  </w:abstractNum>
  <w:abstractNum w:abstractNumId="533">
    <w:nsid w:val="58D7F9D7"/>
    <w:multiLevelType w:val="hybridMultilevel"/>
    <w:lvl w:ilvl="0">
      <w:lvlJc w:val="left"/>
      <w:lvlText w:val="[*]"/>
      <w:numFmt w:val="bullet"/>
      <w:start w:val="1"/>
    </w:lvl>
  </w:abstractNum>
  <w:abstractNum w:abstractNumId="534">
    <w:nsid w:val="24DBF76"/>
    <w:multiLevelType w:val="hybridMultilevel"/>
    <w:lvl w:ilvl="0">
      <w:lvlJc w:val="left"/>
      <w:lvlText w:val="6"/>
      <w:numFmt w:val="bullet"/>
      <w:start w:val="1"/>
    </w:lvl>
  </w:abstractNum>
  <w:abstractNum w:abstractNumId="535">
    <w:nsid w:val="53355960"/>
    <w:multiLevelType w:val="hybridMultilevel"/>
    <w:lvl w:ilvl="0">
      <w:lvlJc w:val="left"/>
      <w:lvlText w:val="*"/>
      <w:numFmt w:val="bullet"/>
      <w:start w:val="1"/>
    </w:lvl>
  </w:abstractNum>
  <w:abstractNum w:abstractNumId="536">
    <w:nsid w:val="4F4AC8FF"/>
    <w:multiLevelType w:val="hybridMultilevel"/>
    <w:lvl w:ilvl="0">
      <w:lvlJc w:val="left"/>
      <w:lvlText w:val="-"/>
      <w:numFmt w:val="bullet"/>
      <w:start w:val="1"/>
    </w:lvl>
  </w:abstractNum>
  <w:abstractNum w:abstractNumId="537">
    <w:nsid w:val="58CAE6D9"/>
    <w:multiLevelType w:val="hybridMultilevel"/>
    <w:lvl w:ilvl="0">
      <w:lvlJc w:val="left"/>
      <w:lvlText w:val="-"/>
      <w:numFmt w:val="bullet"/>
      <w:start w:val="1"/>
    </w:lvl>
  </w:abstractNum>
  <w:abstractNum w:abstractNumId="538">
    <w:nsid w:val="42933C4F"/>
    <w:multiLevelType w:val="hybridMultilevel"/>
    <w:lvl w:ilvl="0">
      <w:lvlJc w:val="left"/>
      <w:lvlText w:val="-"/>
      <w:numFmt w:val="bullet"/>
      <w:start w:val="1"/>
    </w:lvl>
  </w:abstractNum>
  <w:abstractNum w:abstractNumId="539">
    <w:nsid w:val="729AF360"/>
    <w:multiLevelType w:val="hybridMultilevel"/>
    <w:lvl w:ilvl="0">
      <w:lvlJc w:val="left"/>
      <w:lvlText w:val="-"/>
      <w:numFmt w:val="bullet"/>
      <w:start w:val="1"/>
    </w:lvl>
  </w:abstractNum>
  <w:abstractNum w:abstractNumId="540">
    <w:nsid w:val="1EE6AF0D"/>
    <w:multiLevelType w:val="hybridMultilevel"/>
    <w:lvl w:ilvl="0">
      <w:lvlJc w:val="left"/>
      <w:lvlText w:val="*"/>
      <w:numFmt w:val="bullet"/>
      <w:start w:val="1"/>
    </w:lvl>
  </w:abstractNum>
  <w:abstractNum w:abstractNumId="541">
    <w:nsid w:val="5670E3ED"/>
    <w:multiLevelType w:val="hybridMultilevel"/>
    <w:lvl w:ilvl="0">
      <w:lvlJc w:val="left"/>
      <w:lvlText w:val="[*]"/>
      <w:numFmt w:val="bullet"/>
      <w:start w:val="1"/>
    </w:lvl>
  </w:abstractNum>
  <w:abstractNum w:abstractNumId="542">
    <w:nsid w:val="5CAB38C6"/>
    <w:multiLevelType w:val="hybridMultilevel"/>
    <w:lvl w:ilvl="0">
      <w:lvlJc w:val="left"/>
      <w:lvlText w:val="[*]"/>
      <w:numFmt w:val="bullet"/>
      <w:start w:val="1"/>
    </w:lvl>
  </w:abstractNum>
  <w:abstractNum w:abstractNumId="543">
    <w:nsid w:val="3B7139DD"/>
    <w:multiLevelType w:val="hybridMultilevel"/>
    <w:lvl w:ilvl="0">
      <w:lvlJc w:val="left"/>
      <w:lvlText w:val="*"/>
      <w:numFmt w:val="bullet"/>
      <w:start w:val="1"/>
    </w:lvl>
  </w:abstractNum>
  <w:abstractNum w:abstractNumId="544">
    <w:nsid w:val="64E4C3CD"/>
    <w:multiLevelType w:val="hybridMultilevel"/>
    <w:lvl w:ilvl="0">
      <w:lvlJc w:val="left"/>
      <w:lvlText w:val="*"/>
      <w:numFmt w:val="bullet"/>
      <w:start w:val="1"/>
    </w:lvl>
  </w:abstractNum>
  <w:abstractNum w:abstractNumId="545">
    <w:nsid w:val="169CAD8D"/>
    <w:multiLevelType w:val="hybridMultilevel"/>
    <w:lvl w:ilvl="0">
      <w:lvlJc w:val="left"/>
      <w:lvlText w:val="*"/>
      <w:numFmt w:val="bullet"/>
      <w:start w:val="1"/>
    </w:lvl>
  </w:abstractNum>
  <w:abstractNum w:abstractNumId="546">
    <w:nsid w:val="299F6730"/>
    <w:multiLevelType w:val="hybridMultilevel"/>
    <w:lvl w:ilvl="0">
      <w:lvlJc w:val="left"/>
      <w:lvlText w:val="%1."/>
      <w:numFmt w:val="decimal"/>
      <w:start w:val="1"/>
    </w:lvl>
  </w:abstractNum>
  <w:abstractNum w:abstractNumId="547">
    <w:nsid w:val="2AC1076A"/>
    <w:multiLevelType w:val="hybridMultilevel"/>
    <w:lvl w:ilvl="0">
      <w:lvlJc w:val="left"/>
      <w:lvlText w:val="-"/>
      <w:numFmt w:val="bullet"/>
      <w:start w:val="1"/>
    </w:lvl>
  </w:abstractNum>
  <w:abstractNum w:abstractNumId="548">
    <w:nsid w:val="51A6E915"/>
    <w:multiLevelType w:val="hybridMultilevel"/>
    <w:lvl w:ilvl="0">
      <w:lvlJc w:val="left"/>
      <w:lvlText w:val="%1."/>
      <w:numFmt w:val="decimal"/>
      <w:start w:val="2"/>
    </w:lvl>
  </w:abstractNum>
  <w:abstractNum w:abstractNumId="549">
    <w:nsid w:val="174BDE99"/>
    <w:multiLevelType w:val="hybridMultilevel"/>
    <w:lvl w:ilvl="0">
      <w:lvlJc w:val="left"/>
      <w:lvlText w:val="-"/>
      <w:numFmt w:val="bullet"/>
      <w:start w:val="1"/>
    </w:lvl>
  </w:abstractNum>
  <w:abstractNum w:abstractNumId="550">
    <w:nsid w:val="1F2BEA4E"/>
    <w:multiLevelType w:val="hybridMultilevel"/>
    <w:lvl w:ilvl="0">
      <w:lvlJc w:val="left"/>
      <w:lvlText w:val="*"/>
      <w:numFmt w:val="bullet"/>
      <w:start w:val="1"/>
    </w:lvl>
  </w:abstractNum>
  <w:abstractNum w:abstractNumId="551">
    <w:nsid w:val="3254A32"/>
    <w:multiLevelType w:val="hybridMultilevel"/>
    <w:lvl w:ilvl="0">
      <w:lvlJc w:val="left"/>
      <w:lvlText w:val="*"/>
      <w:numFmt w:val="bullet"/>
      <w:start w:val="1"/>
    </w:lvl>
  </w:abstractNum>
  <w:abstractNum w:abstractNumId="552">
    <w:nsid w:val="11ADB5F4"/>
    <w:multiLevelType w:val="hybridMultilevel"/>
    <w:lvl w:ilvl="0">
      <w:lvlJc w:val="left"/>
      <w:lvlText w:val="*"/>
      <w:numFmt w:val="bullet"/>
      <w:start w:val="1"/>
    </w:lvl>
  </w:abstractNum>
  <w:abstractNum w:abstractNumId="553">
    <w:nsid w:val="3575FED1"/>
    <w:multiLevelType w:val="hybridMultilevel"/>
    <w:lvl w:ilvl="0">
      <w:lvlJc w:val="left"/>
      <w:lvlText w:val="(*)"/>
      <w:numFmt w:val="bullet"/>
      <w:start w:val="1"/>
    </w:lvl>
  </w:abstractNum>
  <w:abstractNum w:abstractNumId="554">
    <w:nsid w:val="1B2B9E9D"/>
    <w:multiLevelType w:val="hybridMultilevel"/>
    <w:lvl w:ilvl="0">
      <w:lvlJc w:val="left"/>
      <w:lvlText w:val="*"/>
      <w:numFmt w:val="bullet"/>
      <w:start w:val="1"/>
    </w:lvl>
  </w:abstractNum>
  <w:abstractNum w:abstractNumId="555">
    <w:nsid w:val="3150E85C"/>
    <w:multiLevelType w:val="hybridMultilevel"/>
    <w:lvl w:ilvl="0">
      <w:lvlJc w:val="left"/>
      <w:lvlText w:val="*"/>
      <w:numFmt w:val="bullet"/>
      <w:start w:val="1"/>
    </w:lvl>
  </w:abstractNum>
  <w:abstractNum w:abstractNumId="556">
    <w:nsid w:val="638FDBD1"/>
    <w:multiLevelType w:val="hybridMultilevel"/>
    <w:lvl w:ilvl="0">
      <w:lvlJc w:val="left"/>
      <w:lvlText w:val="*"/>
      <w:numFmt w:val="bullet"/>
      <w:start w:val="1"/>
    </w:lvl>
  </w:abstractNum>
  <w:abstractNum w:abstractNumId="557">
    <w:nsid w:val="1098CF6E"/>
    <w:multiLevelType w:val="hybridMultilevel"/>
    <w:lvl w:ilvl="0">
      <w:lvlJc w:val="left"/>
      <w:lvlText w:val="0"/>
      <w:numFmt w:val="bullet"/>
      <w:start w:val="1"/>
    </w:lvl>
  </w:abstractNum>
  <w:abstractNum w:abstractNumId="558">
    <w:nsid w:val="1AF465D"/>
    <w:multiLevelType w:val="hybridMultilevel"/>
    <w:lvl w:ilvl="0">
      <w:lvlJc w:val="left"/>
      <w:lvlText w:val="*"/>
      <w:numFmt w:val="bullet"/>
      <w:start w:val="1"/>
    </w:lvl>
  </w:abstractNum>
  <w:abstractNum w:abstractNumId="559">
    <w:nsid w:val="128D98B7"/>
    <w:multiLevelType w:val="hybridMultilevel"/>
    <w:lvl w:ilvl="0">
      <w:lvlJc w:val="left"/>
      <w:lvlText w:val="*"/>
      <w:numFmt w:val="bullet"/>
      <w:start w:val="1"/>
    </w:lvl>
  </w:abstractNum>
  <w:abstractNum w:abstractNumId="560">
    <w:nsid w:val="5F613832"/>
    <w:multiLevelType w:val="hybridMultilevel"/>
    <w:lvl w:ilvl="0">
      <w:lvlJc w:val="left"/>
      <w:lvlText w:val="*"/>
      <w:numFmt w:val="bullet"/>
      <w:start w:val="1"/>
    </w:lvl>
  </w:abstractNum>
  <w:abstractNum w:abstractNumId="561">
    <w:nsid w:val="43E92260"/>
    <w:multiLevelType w:val="hybridMultilevel"/>
    <w:lvl w:ilvl="0">
      <w:lvlJc w:val="left"/>
      <w:lvlText w:val="*"/>
      <w:numFmt w:val="bullet"/>
      <w:start w:val="1"/>
    </w:lvl>
  </w:abstractNum>
  <w:abstractNum w:abstractNumId="562">
    <w:nsid w:val="430A1662"/>
    <w:multiLevelType w:val="hybridMultilevel"/>
    <w:lvl w:ilvl="0">
      <w:lvlJc w:val="left"/>
      <w:lvlText w:val="*"/>
      <w:numFmt w:val="bullet"/>
      <w:start w:val="1"/>
    </w:lvl>
  </w:abstractNum>
  <w:abstractNum w:abstractNumId="563">
    <w:nsid w:val="1F9D5C18"/>
    <w:multiLevelType w:val="hybridMultilevel"/>
    <w:lvl w:ilvl="0">
      <w:lvlJc w:val="left"/>
      <w:lvlText w:val="*"/>
      <w:numFmt w:val="bullet"/>
      <w:start w:val="1"/>
    </w:lvl>
  </w:abstractNum>
  <w:abstractNum w:abstractNumId="564">
    <w:nsid w:val="1CC11C37"/>
    <w:multiLevelType w:val="hybridMultilevel"/>
    <w:lvl w:ilvl="0">
      <w:lvlJc w:val="left"/>
      <w:lvlText w:val="*"/>
      <w:numFmt w:val="bullet"/>
      <w:start w:val="1"/>
    </w:lvl>
  </w:abstractNum>
  <w:abstractNum w:abstractNumId="565">
    <w:nsid w:val="4557D5D8"/>
    <w:multiLevelType w:val="hybridMultilevel"/>
    <w:lvl w:ilvl="0">
      <w:lvlJc w:val="left"/>
      <w:lvlText w:val="*"/>
      <w:numFmt w:val="bullet"/>
      <w:start w:val="1"/>
    </w:lvl>
  </w:abstractNum>
  <w:abstractNum w:abstractNumId="566">
    <w:nsid w:val="72D2B579"/>
    <w:multiLevelType w:val="hybridMultilevel"/>
    <w:lvl w:ilvl="0">
      <w:lvlJc w:val="left"/>
      <w:lvlText w:val="*"/>
      <w:numFmt w:val="bullet"/>
      <w:start w:val="1"/>
    </w:lvl>
  </w:abstractNum>
  <w:abstractNum w:abstractNumId="567">
    <w:nsid w:val="6C0BE536"/>
    <w:multiLevelType w:val="hybridMultilevel"/>
    <w:lvl w:ilvl="0">
      <w:lvlJc w:val="left"/>
      <w:lvlText w:val="*"/>
      <w:numFmt w:val="bullet"/>
      <w:start w:val="1"/>
    </w:lvl>
  </w:abstractNum>
  <w:abstractNum w:abstractNumId="568">
    <w:nsid w:val="1E22BCB2"/>
    <w:multiLevelType w:val="hybridMultilevel"/>
    <w:lvl w:ilvl="0">
      <w:lvlJc w:val="left"/>
      <w:lvlText w:val="*"/>
      <w:numFmt w:val="bullet"/>
      <w:start w:val="1"/>
    </w:lvl>
  </w:abstractNum>
  <w:abstractNum w:abstractNumId="569">
    <w:nsid w:val="3565F1C8"/>
    <w:multiLevelType w:val="hybridMultilevel"/>
    <w:lvl w:ilvl="0">
      <w:lvlJc w:val="left"/>
      <w:lvlText w:val="*"/>
      <w:numFmt w:val="bullet"/>
      <w:start w:val="1"/>
    </w:lvl>
  </w:abstractNum>
  <w:abstractNum w:abstractNumId="570">
    <w:nsid w:val="5EA6D896"/>
    <w:multiLevelType w:val="hybridMultilevel"/>
    <w:lvl w:ilvl="0">
      <w:lvlJc w:val="left"/>
      <w:lvlText w:val="*"/>
      <w:numFmt w:val="bullet"/>
      <w:start w:val="1"/>
    </w:lvl>
  </w:abstractNum>
  <w:abstractNum w:abstractNumId="571">
    <w:nsid w:val="3D096BBF"/>
    <w:multiLevelType w:val="hybridMultilevel"/>
    <w:lvl w:ilvl="0">
      <w:lvlJc w:val="left"/>
      <w:lvlText w:val="*"/>
      <w:numFmt w:val="bullet"/>
      <w:start w:val="1"/>
    </w:lvl>
  </w:abstractNum>
  <w:abstractNum w:abstractNumId="572">
    <w:nsid w:val="BD6D5B5"/>
    <w:multiLevelType w:val="hybridMultilevel"/>
    <w:lvl w:ilvl="0">
      <w:lvlJc w:val="left"/>
      <w:lvlText w:val="*"/>
      <w:numFmt w:val="bullet"/>
      <w:start w:val="1"/>
    </w:lvl>
  </w:abstractNum>
  <w:abstractNum w:abstractNumId="573">
    <w:nsid w:val="3B52115C"/>
    <w:multiLevelType w:val="hybridMultilevel"/>
    <w:lvl w:ilvl="0">
      <w:lvlJc w:val="left"/>
      <w:lvlText w:val="*"/>
      <w:numFmt w:val="bullet"/>
      <w:start w:val="1"/>
    </w:lvl>
  </w:abstractNum>
  <w:abstractNum w:abstractNumId="574">
    <w:nsid w:val="787AA59C"/>
    <w:multiLevelType w:val="hybridMultilevel"/>
    <w:lvl w:ilvl="0">
      <w:lvlJc w:val="left"/>
      <w:lvlText w:val="-"/>
      <w:numFmt w:val="bullet"/>
      <w:start w:val="1"/>
    </w:lvl>
  </w:abstractNum>
  <w:abstractNum w:abstractNumId="575">
    <w:nsid w:val="70BB9983"/>
    <w:multiLevelType w:val="hybridMultilevel"/>
    <w:lvl w:ilvl="0">
      <w:lvlJc w:val="left"/>
      <w:lvlText w:val="*"/>
      <w:numFmt w:val="bullet"/>
      <w:start w:val="1"/>
    </w:lvl>
  </w:abstractNum>
  <w:abstractNum w:abstractNumId="576">
    <w:nsid w:val="51EEBEEA"/>
    <w:multiLevelType w:val="hybridMultilevel"/>
    <w:lvl w:ilvl="0">
      <w:lvlJc w:val="left"/>
      <w:lvlText w:val="-"/>
      <w:numFmt w:val="bullet"/>
      <w:start w:val="1"/>
    </w:lvl>
  </w:abstractNum>
  <w:abstractNum w:abstractNumId="577">
    <w:nsid w:val="221A0CCD"/>
    <w:multiLevelType w:val="hybridMultilevel"/>
    <w:lvl w:ilvl="0">
      <w:lvlJc w:val="left"/>
      <w:lvlText w:val="*"/>
      <w:numFmt w:val="bullet"/>
      <w:start w:val="1"/>
    </w:lvl>
  </w:abstractNum>
  <w:abstractNum w:abstractNumId="578">
    <w:nsid w:val="1B7CA0ED"/>
    <w:multiLevelType w:val="hybridMultilevel"/>
    <w:lvl w:ilvl="0">
      <w:lvlJc w:val="left"/>
      <w:lvlText w:val="*"/>
      <w:numFmt w:val="bullet"/>
      <w:start w:val="1"/>
    </w:lvl>
  </w:abstractNum>
  <w:abstractNum w:abstractNumId="579">
    <w:nsid w:val="2395A7FF"/>
    <w:multiLevelType w:val="hybridMultilevel"/>
    <w:lvl w:ilvl="0">
      <w:lvlJc w:val="left"/>
      <w:lvlText w:val="%1."/>
      <w:numFmt w:val="decimal"/>
      <w:start w:val="1"/>
    </w:lvl>
  </w:abstractNum>
  <w:abstractNum w:abstractNumId="580">
    <w:nsid w:val="3965EB66"/>
    <w:multiLevelType w:val="hybridMultilevel"/>
    <w:lvl w:ilvl="0">
      <w:lvlJc w:val="left"/>
      <w:lvlText w:val="%1."/>
      <w:numFmt w:val="decimal"/>
      <w:start w:val="2"/>
    </w:lvl>
  </w:abstractNum>
  <w:abstractNum w:abstractNumId="581">
    <w:nsid w:val="3AA88B3C"/>
    <w:multiLevelType w:val="hybridMultilevel"/>
    <w:lvl w:ilvl="0">
      <w:lvlJc w:val="left"/>
      <w:lvlText w:val="*"/>
      <w:numFmt w:val="bullet"/>
      <w:start w:val="1"/>
    </w:lvl>
  </w:abstractNum>
  <w:abstractNum w:abstractNumId="582">
    <w:nsid w:val="26BAF231"/>
    <w:multiLevelType w:val="hybridMultilevel"/>
    <w:lvl w:ilvl="0">
      <w:lvlJc w:val="left"/>
      <w:lvlText w:val="*"/>
      <w:numFmt w:val="bullet"/>
      <w:start w:val="1"/>
    </w:lvl>
  </w:abstractNum>
  <w:abstractNum w:abstractNumId="583">
    <w:nsid w:val="4B13A15A"/>
    <w:multiLevelType w:val="hybridMultilevel"/>
    <w:lvl w:ilvl="0">
      <w:lvlJc w:val="left"/>
      <w:lvlText w:val="[*]"/>
      <w:numFmt w:val="bullet"/>
      <w:start w:val="1"/>
    </w:lvl>
  </w:abstractNum>
  <w:abstractNum w:abstractNumId="584">
    <w:nsid w:val="701E8A0D"/>
    <w:multiLevelType w:val="hybridMultilevel"/>
    <w:lvl w:ilvl="0">
      <w:lvlJc w:val="left"/>
      <w:lvlText w:val="%1."/>
      <w:numFmt w:val="decimal"/>
      <w:start w:val="4"/>
    </w:lvl>
  </w:abstractNum>
  <w:abstractNum w:abstractNumId="585">
    <w:nsid w:val="41E690CF"/>
    <w:multiLevelType w:val="hybridMultilevel"/>
    <w:lvl w:ilvl="0">
      <w:lvlJc w:val="left"/>
      <w:lvlText w:val="%1."/>
      <w:numFmt w:val="decimal"/>
      <w:start w:val="5"/>
    </w:lvl>
  </w:abstractNum>
  <w:abstractNum w:abstractNumId="586">
    <w:nsid w:val="7C6489B6"/>
    <w:multiLevelType w:val="hybridMultilevel"/>
    <w:lvl w:ilvl="0">
      <w:lvlJc w:val="left"/>
      <w:lvlText w:val="*"/>
      <w:numFmt w:val="bullet"/>
      <w:start w:val="1"/>
    </w:lvl>
  </w:abstractNum>
  <w:abstractNum w:abstractNumId="587">
    <w:nsid w:val="53AE65DE"/>
    <w:multiLevelType w:val="hybridMultilevel"/>
    <w:lvl w:ilvl="0">
      <w:lvlJc w:val="left"/>
      <w:lvlText w:val="%1."/>
      <w:numFmt w:val="decimal"/>
      <w:start w:val="6"/>
    </w:lvl>
  </w:abstractNum>
  <w:abstractNum w:abstractNumId="588">
    <w:nsid w:val="527F603D"/>
    <w:multiLevelType w:val="hybridMultilevel"/>
    <w:lvl w:ilvl="0">
      <w:lvlJc w:val="left"/>
      <w:lvlText w:val="*"/>
      <w:numFmt w:val="bullet"/>
      <w:start w:val="1"/>
    </w:lvl>
    <w:lvl w:ilvl="1">
      <w:lvlJc w:val="left"/>
      <w:lvlText w:val="-"/>
      <w:numFmt w:val="bullet"/>
      <w:start w:val="1"/>
    </w:lvl>
  </w:abstractNum>
  <w:abstractNum w:abstractNumId="589">
    <w:nsid w:val="7E13D013"/>
    <w:multiLevelType w:val="hybridMultilevel"/>
    <w:lvl w:ilvl="0">
      <w:lvlJc w:val="left"/>
      <w:lvlText w:val="%1."/>
      <w:numFmt w:val="decimal"/>
      <w:start w:val="6"/>
    </w:lvl>
    <w:lvl w:ilvl="1">
      <w:lvlJc w:val="left"/>
      <w:lvlText w:val="-"/>
      <w:numFmt w:val="bullet"/>
      <w:start w:val="1"/>
    </w:lvl>
  </w:abstractNum>
  <w:abstractNum w:abstractNumId="590">
    <w:nsid w:val="663BFE95"/>
    <w:multiLevelType w:val="hybridMultilevel"/>
    <w:lvl w:ilvl="0">
      <w:lvlJc w:val="left"/>
      <w:lvlText w:val="%1."/>
      <w:numFmt w:val="decimal"/>
      <w:start w:val="1"/>
    </w:lvl>
  </w:abstractNum>
  <w:abstractNum w:abstractNumId="591">
    <w:nsid w:val="31E0986F"/>
    <w:multiLevelType w:val="hybridMultilevel"/>
    <w:lvl w:ilvl="0">
      <w:lvlJc w:val="left"/>
      <w:lvlText w:val="*"/>
      <w:numFmt w:val="bullet"/>
      <w:start w:val="1"/>
    </w:lvl>
    <w:lvl w:ilvl="1">
      <w:lvlJc w:val="left"/>
      <w:lvlText w:val="%2."/>
      <w:numFmt w:val="decimal"/>
      <w:start w:val="1"/>
    </w:lvl>
  </w:abstractNum>
  <w:abstractNum w:abstractNumId="592">
    <w:nsid w:val="41FCF274"/>
    <w:multiLevelType w:val="hybridMultilevel"/>
    <w:lvl w:ilvl="0">
      <w:lvlJc w:val="left"/>
      <w:lvlText w:val="*"/>
      <w:numFmt w:val="bullet"/>
      <w:start w:val="1"/>
    </w:lvl>
    <w:lvl w:ilvl="1">
      <w:lvlJc w:val="left"/>
      <w:lvlText w:val="%2."/>
      <w:numFmt w:val="upperLetter"/>
      <w:start w:val="1"/>
    </w:lvl>
  </w:abstractNum>
  <w:abstractNum w:abstractNumId="593">
    <w:nsid w:val="294614F7"/>
    <w:multiLevelType w:val="hybridMultilevel"/>
    <w:lvl w:ilvl="0">
      <w:lvlJc w:val="left"/>
      <w:lvlText w:val="%1."/>
      <w:numFmt w:val="decimal"/>
      <w:start w:val="1"/>
    </w:lvl>
  </w:abstractNum>
  <w:abstractNum w:abstractNumId="594">
    <w:nsid w:val="517DF487"/>
    <w:multiLevelType w:val="hybridMultilevel"/>
    <w:lvl w:ilvl="0">
      <w:lvlJc w:val="left"/>
      <w:lvlText w:val="-"/>
      <w:numFmt w:val="bullet"/>
      <w:start w:val="1"/>
    </w:lvl>
    <w:lvl w:ilvl="1">
      <w:lvlJc w:val="left"/>
      <w:lvlText w:val="*"/>
      <w:numFmt w:val="bullet"/>
      <w:start w:val="1"/>
    </w:lvl>
  </w:abstractNum>
  <w:abstractNum w:abstractNumId="595">
    <w:nsid w:val="5EBE0EAB"/>
    <w:multiLevelType w:val="hybridMultilevel"/>
    <w:lvl w:ilvl="0">
      <w:lvlJc w:val="left"/>
      <w:lvlText w:val="%1."/>
      <w:numFmt w:val="decimal"/>
      <w:start w:val="2"/>
    </w:lvl>
  </w:abstractNum>
  <w:abstractNum w:abstractNumId="596">
    <w:nsid w:val="6E9DEAD0"/>
    <w:multiLevelType w:val="hybridMultilevel"/>
    <w:lvl w:ilvl="0">
      <w:lvlJc w:val="left"/>
      <w:lvlText w:val="%1."/>
      <w:numFmt w:val="decimal"/>
      <w:start w:val="3"/>
    </w:lvl>
  </w:abstractNum>
  <w:abstractNum w:abstractNumId="597">
    <w:nsid w:val="4450AA00"/>
    <w:multiLevelType w:val="hybridMultilevel"/>
    <w:lvl w:ilvl="0">
      <w:lvlJc w:val="left"/>
      <w:lvlText w:val="*"/>
      <w:numFmt w:val="bullet"/>
      <w:start w:val="1"/>
    </w:lvl>
  </w:abstractNum>
  <w:abstractNum w:abstractNumId="598">
    <w:nsid w:val="4AC9F3E2"/>
    <w:multiLevelType w:val="hybridMultilevel"/>
    <w:lvl w:ilvl="0">
      <w:lvlJc w:val="left"/>
      <w:lvlText w:val="%1."/>
      <w:numFmt w:val="decimal"/>
      <w:start w:val="4"/>
    </w:lvl>
  </w:abstractNum>
  <w:abstractNum w:abstractNumId="599">
    <w:nsid w:val="CC0A782"/>
    <w:multiLevelType w:val="hybridMultilevel"/>
    <w:lvl w:ilvl="0">
      <w:lvlJc w:val="left"/>
      <w:lvlText w:val="%1."/>
      <w:numFmt w:val="decimal"/>
      <w:start w:val="5"/>
    </w:lvl>
  </w:abstractNum>
  <w:abstractNum w:abstractNumId="600">
    <w:nsid w:val="79B69BC9"/>
    <w:multiLevelType w:val="hybridMultilevel"/>
    <w:lvl w:ilvl="0">
      <w:lvlJc w:val="left"/>
      <w:lvlText w:val="*"/>
      <w:numFmt w:val="bullet"/>
      <w:start w:val="1"/>
    </w:lvl>
  </w:abstractNum>
  <w:abstractNum w:abstractNumId="601">
    <w:nsid w:val="2970CC78"/>
    <w:multiLevelType w:val="hybridMultilevel"/>
    <w:lvl w:ilvl="0">
      <w:lvlJc w:val="left"/>
      <w:lvlText w:val="%1."/>
      <w:numFmt w:val="decimal"/>
      <w:start w:val="6"/>
    </w:lvl>
  </w:abstractNum>
  <w:abstractNum w:abstractNumId="602">
    <w:nsid w:val="49CA1341"/>
    <w:multiLevelType w:val="hybridMultilevel"/>
    <w:lvl w:ilvl="0">
      <w:lvlJc w:val="left"/>
      <w:lvlText w:val="%1."/>
      <w:numFmt w:val="decimal"/>
      <w:start w:val="7"/>
    </w:lvl>
  </w:abstractNum>
  <w:abstractNum w:abstractNumId="603">
    <w:nsid w:val="58D717E"/>
    <w:multiLevelType w:val="hybridMultilevel"/>
    <w:lvl w:ilvl="0">
      <w:lvlJc w:val="left"/>
      <w:lvlText w:val="[*]"/>
      <w:numFmt w:val="bullet"/>
      <w:start w:val="1"/>
    </w:lvl>
  </w:abstractNum>
  <w:abstractNum w:abstractNumId="604">
    <w:nsid w:val="64C2DDD5"/>
    <w:multiLevelType w:val="hybridMultilevel"/>
    <w:lvl w:ilvl="0">
      <w:lvlJc w:val="left"/>
      <w:lvlText w:val="*"/>
      <w:numFmt w:val="bullet"/>
      <w:start w:val="1"/>
    </w:lvl>
  </w:abstractNum>
  <w:abstractNum w:abstractNumId="605">
    <w:nsid w:val="4244B8DE"/>
    <w:multiLevelType w:val="hybridMultilevel"/>
    <w:lvl w:ilvl="0">
      <w:lvlJc w:val="left"/>
      <w:lvlText w:val="*"/>
      <w:numFmt w:val="bullet"/>
      <w:start w:val="1"/>
    </w:lvl>
  </w:abstractNum>
  <w:abstractNum w:abstractNumId="606">
    <w:nsid w:val="76490B01"/>
    <w:multiLevelType w:val="hybridMultilevel"/>
    <w:lvl w:ilvl="0">
      <w:lvlJc w:val="left"/>
      <w:lvlText w:val="*"/>
      <w:numFmt w:val="bullet"/>
      <w:start w:val="1"/>
    </w:lvl>
  </w:abstractNum>
  <w:abstractNum w:abstractNumId="607">
    <w:nsid w:val="36B19CBF"/>
    <w:multiLevelType w:val="hybridMultilevel"/>
    <w:lvl w:ilvl="0">
      <w:lvlJc w:val="left"/>
      <w:lvlText w:val="*"/>
      <w:numFmt w:val="bullet"/>
      <w:start w:val="1"/>
    </w:lvl>
  </w:abstractNum>
  <w:abstractNum w:abstractNumId="608">
    <w:nsid w:val="645EC5AB"/>
    <w:multiLevelType w:val="hybridMultilevel"/>
    <w:lvl w:ilvl="0">
      <w:lvlJc w:val="left"/>
      <w:lvlText w:val="*"/>
      <w:numFmt w:val="bullet"/>
      <w:start w:val="1"/>
    </w:lvl>
  </w:abstractNum>
  <w:abstractNum w:abstractNumId="609">
    <w:nsid w:val="11C5ABEF"/>
    <w:multiLevelType w:val="hybridMultilevel"/>
    <w:lvl w:ilvl="0">
      <w:lvlJc w:val="left"/>
      <w:lvlText w:val="[*]"/>
      <w:numFmt w:val="bullet"/>
      <w:start w:val="1"/>
    </w:lvl>
  </w:abstractNum>
  <w:abstractNum w:abstractNumId="610">
    <w:nsid w:val="5A4744BE"/>
    <w:multiLevelType w:val="hybridMultilevel"/>
    <w:lvl w:ilvl="0">
      <w:lvlJc w:val="left"/>
      <w:lvlText w:val="*"/>
      <w:numFmt w:val="bullet"/>
      <w:start w:val="1"/>
    </w:lvl>
  </w:abstractNum>
  <w:abstractNum w:abstractNumId="611">
    <w:nsid w:val="1DC4B111"/>
    <w:multiLevelType w:val="hybridMultilevel"/>
    <w:lvl w:ilvl="0">
      <w:lvlJc w:val="left"/>
      <w:lvlText w:val="-"/>
      <w:numFmt w:val="bullet"/>
      <w:start w:val="1"/>
    </w:lvl>
  </w:abstractNum>
  <w:abstractNum w:abstractNumId="612">
    <w:nsid w:val="4C6E372B"/>
    <w:multiLevelType w:val="hybridMultilevel"/>
    <w:lvl w:ilvl="0">
      <w:lvlJc w:val="left"/>
      <w:lvlText w:val="-"/>
      <w:numFmt w:val="bullet"/>
      <w:start w:val="1"/>
    </w:lvl>
  </w:abstractNum>
  <w:abstractNum w:abstractNumId="613">
    <w:nsid w:val="10236EF"/>
    <w:multiLevelType w:val="hybridMultilevel"/>
    <w:lvl w:ilvl="0">
      <w:lvlJc w:val="left"/>
      <w:lvlText w:val="*"/>
      <w:numFmt w:val="bullet"/>
      <w:start w:val="1"/>
    </w:lvl>
  </w:abstractNum>
  <w:abstractNum w:abstractNumId="614">
    <w:nsid w:val="68D8526B"/>
    <w:multiLevelType w:val="hybridMultilevel"/>
    <w:lvl w:ilvl="0">
      <w:lvlJc w:val="left"/>
      <w:lvlText w:val="*"/>
      <w:numFmt w:val="bullet"/>
      <w:start w:val="1"/>
    </w:lvl>
  </w:abstractNum>
  <w:abstractNum w:abstractNumId="615">
    <w:nsid w:val="3C8CC1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2019-12-14T07:25:06Z</dcterms:created>
  <dcterms:modified xsi:type="dcterms:W3CDTF">2019-12-14T07:25:06Z</dcterms:modified>
</cp:coreProperties>
</file>