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35-2617337</w:t>
      </w:r>
    </w:p>
    <w:p>
      <w:pPr>
        <w:spacing w:after="0" w:line="4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54" w:lineRule="exact"/>
        <w:rPr>
          <w:sz w:val="24"/>
          <w:szCs w:val="24"/>
          <w:color w:val="auto"/>
        </w:rPr>
      </w:pPr>
    </w:p>
    <w:p>
      <w:pPr>
        <w:sectPr>
          <w:pgSz w:w="11900" w:h="16838" w:orient="portrait"/>
          <w:cols w:equalWidth="0" w:num="3">
            <w:col w:w="4064" w:space="720"/>
            <w:col w:w="2640" w:space="720"/>
            <w:col w:w="288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3421 Hillview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427-6000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6, 2026, Broadcom Inc. (the “Company”) entered into an underwriting agreement (the “Underwriting Agreement”) with BofA Securities, Inc. and J.P. Morgan Securities LLC, acting for themselves and as representatives of the several underwriters named therein (collectively, the “Underwriters”), pursuant to which the Company agreed to issue and sell to the Underwriters $4,500,000,000 aggregate principal amount of its senior notes, consisting of $750,000,000 aggregate principal amount of its 4.300% senior notes due 2031 (the “2031 Notes”), $1,250,000,000 aggregate principal amount of its 4.600% senior notes due 2033 (the “2033 Notes”), $1,250,000,000 aggregate principal amount of its 4.950% senior notes due 2036 (the “2036 Notes”) and $1,250,000,000 aggregate principal amount of its 5.700% senior notes due 2056 (the “2056 Notes” and together with the 2031 Notes, the 2033 Notes and the 2036 Notes, the “Notes”).</w:t>
      </w:r>
    </w:p>
    <w:p>
      <w:pPr>
        <w:spacing w:after="0" w:line="18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The Notes were registered under the Securities Act of 1933, as amended (the “Act”), pursuant to the Company’s registration statement on Form S-3ASR (File No. 333-280715) (the “Registration Statement”), dated July 8, 2024. On January 8, 2026, the Company filed with the U.S. Securities and Exchange Commission (the “SEC”) a prospectus supplement (the “Prospectus Supplement”), containing the final terms of the Notes pursuant to Rule 424(b)(2) of the Act. The Notes were sold pursuant to the Underwriting Agreement and were issued pursuant to the Prospectus Supplement. The Notes are governed by the Indenture, dated July 12, 2024 (the “Base Indenture”), between the Company and Wilmington Trust, National Association, as trustee (the “Trustee”), as supplemented by the Supplemental Indenture No. 6, dated January 13, 2026 (the “Supplemental Indenture”), between the Company and the Trustee.</w:t>
      </w:r>
    </w:p>
    <w:p>
      <w:pPr>
        <w:spacing w:after="0" w:line="18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2031 Notes will mature on January 15, 2031, the 2033 Notes will mature on January 15, 2033, the 2036 Notes will mature on January 15, 2036 and the 2056 Notes will mature on January 15, 2056. The Notes are unsecured, unsubordinated obligations of the Company and will rank equally in right of payment with all of the Company’s existing and future unsecured, unsubordinated indebtedness, liabilities and other obligations. The Notes will not be guaranteed by any of the Company’s subsidiaries and will therefore be structurally subordinated to the indebtedness and other liabilities of the Company’s subsidiaries.</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Company expects to use the net proceeds from the sale of the Notes for general corporate purposes and for repayment of debt. In connection with such repayment, on January 7, 2026, (x) the Company provided notice to holders of (i) the outstanding 4.110% Senior Notes due 2028 (the “4.110% Notes”), issued pursuant to that certain Indenture, dated as of May 21, 2020 (as amended, supplemented or otherwise modified from time to time with respect to the 4.110% Notes, the “4.110% Indenture”), by and between the Company and Wilmington Trust, National Association, (ii) the outstanding 4.150% Senior Notes due 2028 (the “4.150% Notes”), issued pursuant to the Base Indenture (as amended, supplemented or otherwise modified from time to time with respect to the 4.150% Notes, the “4.150% Indenture”) and (iii) the outstanding 5.050% Senior Notes due 2027 (the “5.050% Notes”), issued pursuant to the Base Indenture (as amended, supplemented or otherwise modified from time to time with respect to the 5.050% Notes, the “5.050% Indenture”) and (y) the Company’s subsidiary VMware LLC (f/k/a VMware, Inc.) (“VMware”) gave notice to holders of its outstanding 3.900% Senior Notes due 2027 (the “3.900% Notes” and, together with the 4.110% Notes, the 4.150% Notes and the 5.050% Notes, collectively the “Redeemed Notes”) issued pursuant to that certain Indenture, dated as of August 21, 2017 (as amended, supplemented or otherwise modified from time to time with respect to the 3.900% Notes, the “3.900% Indenture” and, together with the 4.110% Indenture, the 4.150% Indenture and the 5.050% Indenture, each an “Indenture”), by and between VMware and The Bank of New York Mellon Trust Company, N.A., that, in the case of the 4.110% Notes, on January 22, 2026, in the case of the 4.150% Notes and the 5.050% Notes, on January 17, 2026, and in the case of the 3.900% Notes, on February 6, 2026 (each date, a “Redemption Date”), the Company or VMware, as applicable, will redeem an aggregate principal amount of $1,118,175,000 of 4.110% Notes outstanding, an aggregate principal amount of $875,000,000 of 4.150% Notes outstanding, an aggregate principal amount of $757,000,000 of 5.050% Notes outstanding and an aggregate principal amount of $1,250,000,000 of 3.900% Notes outstanding, which, in the case of the 4.110% Notes, the 4.150% Notes and the 3.900% Notes, comprises the full aggregate principal amount of Redeemed Notes outstanding under such series.</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Each series of Redeemed Notes will be redeemed at a redemption price equal to the greater of (x) 100% of the principal amount of the Redeemed Notes to be redeemed and (y) the sum of the present values of the remaining scheduled payments of principal and interest thereon assuming the Redeemed Notes matured on the respective Par Call Date (as defined in the respective Indenture), discounted to the respective Redemption Date on a semi-annual basis at the Treasury Rate (as defined in the respective Indenture) plus, in the case of the 4.110% Notes, 50 basis</w:t>
      </w:r>
    </w:p>
    <w:p>
      <w:pPr>
        <w:sectPr>
          <w:pgSz w:w="11900" w:h="16838" w:orient="portrait"/>
          <w:cols w:equalWidth="0" w:num="1">
            <w:col w:w="10980"/>
          </w:cols>
          <w:pgMar w:left="440" w:top="293" w:right="479" w:bottom="1440" w:gutter="0" w:footer="0" w:header="0"/>
        </w:sectPr>
      </w:pPr>
    </w:p>
    <w:bookmarkStart w:id="2" w:name="page3"/>
    <w:bookmarkEnd w:id="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points, in the case of the 4.150% Notes, 10 basis points, in the case of the 5.050% Notes, 10 basis points and, in the case of the 3.900% Notes, 25 basis points, plus accrued and unpaid interest to, but excluding, the applicable Redemption Date in accordance with the terms of the applicable Indenture for such series of Redeemed Notes.</w:t>
      </w:r>
    </w:p>
    <w:p>
      <w:pPr>
        <w:spacing w:after="0" w:line="176"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Please refer to the Prospectus Supplement dated January 6, 2026 for additional information regarding the Notes offering and the material terms and conditions of the Notes. The foregoing summary of the Notes does not purport to be complete and is qualified in its entirety by reference to the full text of (i) the Underwriting Agreement attached hereto as Exhibit 1.1; (ii) the Base Indenture, filed as Exhibit 4.1 to the Company’s Current Report on Form 8-K filed with the SEC on July 12, 2024, a copy of which is attached hereto as Exhibit 4.1; (iii) the Supplemental Indenture attached hereto as Exhibit 4.2; and (iv) the forms of Notes attached hereto as Exhibits 4.3 through 4.6, inclusive, each of which are incorporated by reference herein.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20" w:type="dxa"/>
            <w:vAlign w:val="bottom"/>
            <w:gridSpan w:val="11"/>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98"/>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80" w:type="dxa"/>
            <w:vAlign w:val="bottom"/>
            <w:gridSpan w:val="7"/>
          </w:tcPr>
          <w:p>
            <w:pPr>
              <w:ind w:left="3940"/>
              <w:spacing w:after="0"/>
              <w:rPr>
                <w:sz w:val="20"/>
                <w:szCs w:val="20"/>
                <w:color w:val="auto"/>
              </w:rPr>
            </w:pPr>
            <w:r>
              <w:rPr>
                <w:rFonts w:ascii="Times New Roman" w:cs="Times New Roman" w:eastAsia="Times New Roman" w:hAnsi="Times New Roman"/>
                <w:sz w:val="14"/>
                <w:szCs w:val="14"/>
                <w:color w:val="auto"/>
              </w:rPr>
              <w:t>Description</w:t>
            </w:r>
          </w:p>
        </w:tc>
      </w:tr>
      <w:tr>
        <w:trPr>
          <w:trHeight w:val="270"/>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0000EE"/>
              </w:rPr>
              <w:t>Underwriting Agreement, dated January 6, 2026, by and among Broadcom Inc. and BofA Securities, Inc. and J.P. Morgan Securities</w:t>
            </w:r>
          </w:p>
        </w:tc>
      </w:tr>
      <w:tr>
        <w:trPr>
          <w:trHeight w:val="196"/>
        </w:trPr>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LLC (acting for themselves and as representatives of the several underwriters named therein).</w:t>
            </w:r>
          </w:p>
        </w:tc>
        <w:tc>
          <w:tcPr>
            <w:tcW w:w="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8"/>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Indenture, dated July 12, 2024, between Broadcom Inc. and Wilmington Trust, National Association, as trustee (incorporated by</w:t>
              </w:r>
            </w:hyperlink>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reference to Exhibit 4.1 to Broadcom Inc. Current Report on Form 8-K (File No. 001-38449) filed with the SEC on July 12, 2024).</w:t>
              </w:r>
            </w:hyperlink>
          </w:p>
        </w:tc>
        <w:tc>
          <w:tcPr>
            <w:tcW w:w="180" w:type="dxa"/>
            <w:vAlign w:val="bottom"/>
            <w:gridSpan w:val="2"/>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Supplemental Indenture No. 6, dated January 13, 2026, between Broadcom Inc. and Wilmington Trust, National Association, as</w:t>
            </w:r>
          </w:p>
        </w:tc>
        <w:tc>
          <w:tcPr>
            <w:tcW w:w="38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trustee.</w:t>
            </w:r>
          </w:p>
        </w:tc>
        <w:tc>
          <w:tcPr>
            <w:tcW w:w="9080" w:type="dxa"/>
            <w:vAlign w:val="bottom"/>
            <w:gridSpan w:val="7"/>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4.300% Note due 2031 (included in Exhibit 4.2 to this Current Report on Form 8-K).</w:t>
            </w: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4.600% Note due 2033 (included in Exhibit 4.2 to this Current Report on Form 8-K).</w:t>
            </w: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4.950% Note due 2036 (included in Exhibit 4.2 to this Current Report on Form 8-K).</w:t>
            </w: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5.700% Note due 2056 (included in Exhibit 4.2 to this Current Report on Form 8-K).</w:t>
            </w: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Wachtell, Lipton, Rosen &amp; Katz, dated January 13, 2026, with respect to the Notes.</w:t>
            </w:r>
          </w:p>
        </w:tc>
        <w:tc>
          <w:tcPr>
            <w:tcW w:w="2780" w:type="dxa"/>
            <w:vAlign w:val="bottom"/>
            <w:gridSpan w:val="5"/>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Wachtell, Lipton, Rosen &amp; Katz (included in Exhibit 5.1 to this Current Report on Form 8-K).</w:t>
            </w:r>
          </w:p>
        </w:tc>
        <w:tc>
          <w:tcPr>
            <w:tcW w:w="2000" w:type="dxa"/>
            <w:vAlign w:val="bottom"/>
            <w:gridSpan w:val="4"/>
          </w:tcPr>
          <w:p>
            <w:pPr>
              <w:spacing w:after="0"/>
              <w:rPr>
                <w:sz w:val="24"/>
                <w:szCs w:val="24"/>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13,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Kirsten M. Spears</w:t>
      </w:r>
    </w:p>
    <w:p>
      <w:pPr>
        <w:spacing w:after="0" w:line="27" w:lineRule="exact"/>
        <w:rPr>
          <w:sz w:val="20"/>
          <w:szCs w:val="20"/>
          <w:color w:val="auto"/>
        </w:rPr>
      </w:pPr>
    </w:p>
    <w:p>
      <w:pPr>
        <w:jc w:val="right"/>
        <w:spacing w:after="0"/>
        <w:tabs>
          <w:tab w:leader="none" w:pos="3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Accounting Officer</w:t>
      </w:r>
    </w:p>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Broadcom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proposes to issue and sell, subject to the terms and conditions stated herein, to BofA Securities, Inc., J.P. Morgan Securities LLC and the other several Underwriters named in Schedule A (each,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acting severally and not jointly, the respective amounts set forth in such Schedule A of $750,000,000 aggregate principal amount of the 4.300% Senior Notes due 2031 (the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$1,250,000,000 aggregate principal amount of the 4.600% Senior Notes due 2033 (the “</w:t>
      </w:r>
      <w:r>
        <w:rPr>
          <w:rFonts w:ascii="Times New Roman" w:cs="Times New Roman" w:eastAsia="Times New Roman" w:hAnsi="Times New Roman"/>
          <w:sz w:val="18"/>
          <w:szCs w:val="18"/>
          <w:b w:val="1"/>
          <w:bCs w:val="1"/>
          <w:color w:val="auto"/>
        </w:rPr>
        <w:t>2033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$1,250,000,000 aggregate principal amount of the 4.950% Senior Notes due 2036 (the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 and $1,250,000,000 aggregate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the 5.700% Senior Notes due 2056 (the “</w:t>
      </w:r>
      <w:r>
        <w:rPr>
          <w:rFonts w:ascii="Times New Roman" w:cs="Times New Roman" w:eastAsia="Times New Roman" w:hAnsi="Times New Roman"/>
          <w:sz w:val="18"/>
          <w:szCs w:val="18"/>
          <w:b w:val="1"/>
          <w:bCs w:val="1"/>
          <w:color w:val="auto"/>
        </w:rPr>
        <w:t>2056 Notes</w:t>
      </w:r>
      <w:r>
        <w:rPr>
          <w:rFonts w:ascii="Times New Roman" w:cs="Times New Roman" w:eastAsia="Times New Roman" w:hAnsi="Times New Roman"/>
          <w:sz w:val="18"/>
          <w:szCs w:val="18"/>
          <w:color w:val="auto"/>
        </w:rPr>
        <w:t>” and, together with the 2031 Notes, the 2033 Notes and the 2036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each case, issued by the Issuer. BofA Securities, Inc. and J.P. Morgan Securities LLC have agreed to act as the representatives of the several Underwriters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in connection with the offering and sale of the Notes.</w:t>
      </w:r>
    </w:p>
    <w:p>
      <w:pPr>
        <w:spacing w:after="0" w:line="18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The Notes will be issued pursuant to an indenture, dated as of July 12, 2024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Issuer and Wilmington Trust,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Certain terms of the Notes will be established pursuant to a supplemental indenture to be dated as of January 13, 2026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to the Base Indenture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The Issuer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 “automatic shelf registration statement,” as defined under Rule 405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on Form S-3 (File No. 333-280715) covering the public offering and sale of certain securities of the Issuer, including the Notes, under the 1933 Act and the rules and regulations promulgated thereunder (the “</w:t>
      </w:r>
      <w:r>
        <w:rPr>
          <w:rFonts w:ascii="Times New Roman" w:cs="Times New Roman" w:eastAsia="Times New Roman" w:hAnsi="Times New Roman"/>
          <w:sz w:val="18"/>
          <w:szCs w:val="18"/>
          <w:b w:val="1"/>
          <w:bCs w:val="1"/>
          <w:color w:val="auto"/>
        </w:rPr>
        <w:t>1933 Act Regulations</w:t>
      </w:r>
      <w:r>
        <w:rPr>
          <w:rFonts w:ascii="Times New Roman" w:cs="Times New Roman" w:eastAsia="Times New Roman" w:hAnsi="Times New Roman"/>
          <w:sz w:val="18"/>
          <w:szCs w:val="18"/>
          <w:color w:val="auto"/>
        </w:rPr>
        <w:t>”), which automatic shelf registration statement became effective under Rule 462(e) of the 1933 Act Regulations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462(e)</w:t>
      </w:r>
      <w:r>
        <w:rPr>
          <w:rFonts w:ascii="Times New Roman" w:cs="Times New Roman" w:eastAsia="Times New Roman" w:hAnsi="Times New Roman"/>
          <w:sz w:val="18"/>
          <w:szCs w:val="18"/>
          <w:color w:val="auto"/>
        </w:rPr>
        <w:t>”). Such registration statement, as of any time, means such registration</w:t>
      </w:r>
    </w:p>
    <w:p>
      <w:pPr>
        <w:sectPr>
          <w:pgSz w:w="11900" w:h="16838" w:orient="portrait"/>
          <w:cols w:equalWidth="0" w:num="1">
            <w:col w:w="11020"/>
          </w:cols>
          <w:pgMar w:left="440" w:top="117" w:right="439" w:bottom="1440" w:gutter="0" w:footer="0" w:header="0"/>
        </w:sectPr>
      </w:pPr>
    </w:p>
    <w:bookmarkStart w:id="5" w:name="page6"/>
    <w:bookmarkEnd w:id="5"/>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of the 1933 Act Regulations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“Registration Statement” without reference to a time means such registration statement as amended by any post-effective amendments thereto as of the Applicable Time (as defined below). Each preliminary prospectus supplement and the base prospectus used in connection with the offering of the Notes, including the documents incorporated or deemed to be incorporated by reference therein pursuant to Item 12 of Form S-3 under the 1933 Act immediately prior to the Applicable Time, are collectively referred to herein as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Promptly after execution and delivery of this Agreement, the Issuer will prepare and file a final prospectus supplement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relating to the Notes in accordance with the provisions of Rule 424(b) of the 1933 Act Regulations (“</w:t>
      </w:r>
      <w:r>
        <w:rPr>
          <w:rFonts w:ascii="Times New Roman" w:cs="Times New Roman" w:eastAsia="Times New Roman" w:hAnsi="Times New Roman"/>
          <w:sz w:val="18"/>
          <w:szCs w:val="18"/>
          <w:b w:val="1"/>
          <w:bCs w:val="1"/>
          <w:color w:val="auto"/>
        </w:rPr>
        <w:t>Rule 424(b)</w:t>
      </w:r>
      <w:r>
        <w:rPr>
          <w:rFonts w:ascii="Times New Roman" w:cs="Times New Roman" w:eastAsia="Times New Roman" w:hAnsi="Times New Roman"/>
          <w:sz w:val="18"/>
          <w:szCs w:val="18"/>
          <w:color w:val="auto"/>
        </w:rPr>
        <w:t>”). The Final Prospectus and the base prospectus, including the documents incorporated or deemed to be incorporated by reference therein pursuant to Item 12 of Form S-3 under the 1933 Act immediately prior to the Applicable Time, are collectively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all references to the Registration Statement, the preliminary prospectus or the Prospectus or any amendment or supplement thereto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the Notes and the Indenture are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the preliminary prospectus or the Prospectus shall be deemed to include all such financial statements and schedules and other information incorporated or deemed to be incorporated by reference in the Registration Statement pursuant to the 1933 Act Regulations, the preliminary prospectus or the Prospectus, as the case may be, prior to the Applicable Time; and all references in this Agreement to amendments or supplements to the Registration Statement, the preliminary prospectus or the Prospectus shall be deemed to include the filing of any document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1934 Act Regulations</w:t>
      </w:r>
      <w:r>
        <w:rPr>
          <w:rFonts w:ascii="Times New Roman" w:cs="Times New Roman" w:eastAsia="Times New Roman" w:hAnsi="Times New Roman"/>
          <w:sz w:val="18"/>
          <w:szCs w:val="18"/>
          <w:color w:val="auto"/>
        </w:rPr>
        <w:t>”) incorporated or deemed to be incorporated by reference in the Registration Statement pursuant to the 1933 Act Regulations, such preliminary prospectus or the Prospectus, as the case may be, at or after the Applicable Time.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3:30 P.M., New York City time, on January 6, 2026.</w:t>
      </w:r>
    </w:p>
    <w:p>
      <w:pPr>
        <w:spacing w:after="0" w:line="225"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General Disclosure Package</w:t>
      </w:r>
      <w:r>
        <w:rPr>
          <w:rFonts w:ascii="Times New Roman" w:cs="Times New Roman" w:eastAsia="Times New Roman" w:hAnsi="Times New Roman"/>
          <w:sz w:val="17"/>
          <w:szCs w:val="17"/>
          <w:color w:val="auto"/>
        </w:rPr>
        <w:t>” means each Issuer General Use Free Writing Prospectus and the preliminary prospectus (including any documents incorporated therein by reference), all considered together, that have been made available to prospective investors prior to the Applicable Time.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1933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including, without limitation, any “free writing prospectus” (as defined in Rule 405) relating to the Notes that is (i) required to be filed with the Commission by the Issuer, (ii) a “road show that is a written communication” within the meaning of Rule 433(d)(8)(i), whether or not required to be filed with the Commission, or (iii) exempt from filing with the Commission pursuant to Rule 433(d)(5)(i) because it contains a description of the Notes or of the offering thereof that does not reflect the final terms, in each case in the form filed or required to be filed with the Commission or, if not required to be filed, in the form retained in the Issuer’s records pursuant to Rule 433(g).</w:t>
      </w:r>
    </w:p>
    <w:p>
      <w:pPr>
        <w:spacing w:after="0" w:line="18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investors, as evidenced by its being specified in Schedule B hereto.</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hereby confirms its agreement with the Underwriters as follows:</w:t>
      </w:r>
    </w:p>
    <w:p>
      <w:pPr>
        <w:spacing w:after="0" w:line="113"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Issuer hereby represents, warrants and covenants to each Underwriter that, as of the date hereof and as of the Closing Date:</w:t>
      </w:r>
    </w:p>
    <w:p>
      <w:pPr>
        <w:spacing w:after="0" w:line="47" w:lineRule="exact"/>
        <w:rPr>
          <w:sz w:val="20"/>
          <w:szCs w:val="20"/>
          <w:color w:val="auto"/>
        </w:rPr>
      </w:pPr>
    </w:p>
    <w:p>
      <w:pPr>
        <w:ind w:left="440" w:right="20" w:firstLine="419"/>
        <w:spacing w:after="0" w:line="254" w:lineRule="auto"/>
        <w:tabs>
          <w:tab w:leader="none" w:pos="11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of the Registration Statement, the Prospectus and Incorporated Documents. </w:t>
      </w:r>
      <w:r>
        <w:rPr>
          <w:rFonts w:ascii="Times New Roman" w:cs="Times New Roman" w:eastAsia="Times New Roman" w:hAnsi="Times New Roman"/>
          <w:sz w:val="18"/>
          <w:szCs w:val="18"/>
          <w:color w:val="auto"/>
        </w:rPr>
        <w:t>The Issuer meets the requirements for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Form S-3ASR under the 1933 Act Regulations. The Registration Statement is an automatic shelf registration statement under Rule 405. Each of the Registration Statement and any post-effective amendment thereto has become effective under the 1933 Act. No stop order suspending the effectiveness of the Registration Statement or any post-effective amendment thereto has been issued under the 1933 Act, no notice of objection of the Commission to the use of the Registration Statement or any post-effective amendment thereto pursuant to Rule 401(g)(2) of the 1933 Act Regulations (“</w:t>
      </w:r>
      <w:r>
        <w:rPr>
          <w:rFonts w:ascii="Times New Roman" w:cs="Times New Roman" w:eastAsia="Times New Roman" w:hAnsi="Times New Roman"/>
          <w:sz w:val="18"/>
          <w:szCs w:val="18"/>
          <w:b w:val="1"/>
          <w:bCs w:val="1"/>
          <w:color w:val="auto"/>
        </w:rPr>
        <w:t>Rule 401(g)(2)</w:t>
      </w:r>
      <w:r>
        <w:rPr>
          <w:rFonts w:ascii="Times New Roman" w:cs="Times New Roman" w:eastAsia="Times New Roman" w:hAnsi="Times New Roman"/>
          <w:sz w:val="18"/>
          <w:szCs w:val="18"/>
          <w:color w:val="auto"/>
        </w:rPr>
        <w:t>”) has been received by the Issuer, no order preventing or suspending the use of the preliminary prospectus or the Prospectus or any amendment or supplement thereto has been issued and no proceedings for any of those purposes have been instituted or are pending or, to the Issuer’s knowledge, contemplated. The Issuer has complied with each request (if any) from the Commission for additional information with respect to the Registration Statement or the Prospectus. In addition, the Indenture has been duly qualified under the Trust Indenture Act of 1939, as amended, and the rules and regulations promulgated thereunder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each deemed effective date with respect to the Underwriters pursuant to Rule 430B(f)(2), the Applicable Time and the Closing Date complied and will comply in all material respects with the requirements of the 1933 Act, the 1933 Act Regulations and the Trust Indenture Act. The preliminary prospectus and the Prospectus and any amendment or supplement thereto, at the time each was filed with the Commission, and, in each case, the Applicable Time and the Closing Date complied and will comply in all material respects with the applicable requirements of the 1933 Act, the 1933 Act Regulations and the Trust Indenture Act, and each preliminary prospectus and the Prospectus are identical to the electronically transmitted copies thereof filed with the Commission pursuant to EDGAR, except to the extent permitted by Regulation 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 w:name="page8"/>
    <w:bookmarkEnd w:id="7"/>
    <w:p>
      <w:pPr>
        <w:jc w:val="both"/>
        <w:ind w:right="1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incorporated or deemed to be incorporated by reference in the Registration Statement, the General Disclosure Package and the Prospectus pursuant to the 1933 Act Regulations, at the time they were or hereafter are filed with the Commission, complied and will comply in all material respects with the applicable requirements of the 1934 Act and the 1934 Act Regulations.</w:t>
      </w:r>
    </w:p>
    <w:p>
      <w:pPr>
        <w:spacing w:after="0" w:line="64" w:lineRule="exact"/>
        <w:rPr>
          <w:sz w:val="20"/>
          <w:szCs w:val="20"/>
          <w:color w:val="auto"/>
        </w:rPr>
      </w:pPr>
    </w:p>
    <w:p>
      <w:pPr>
        <w:ind w:firstLine="419"/>
        <w:spacing w:after="0" w:line="254" w:lineRule="auto"/>
        <w:tabs>
          <w:tab w:leader="none" w:pos="6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Accurate Disclosure. </w:t>
      </w:r>
      <w:r>
        <w:rPr>
          <w:rFonts w:ascii="Times New Roman" w:cs="Times New Roman" w:eastAsia="Times New Roman" w:hAnsi="Times New Roman"/>
          <w:sz w:val="18"/>
          <w:szCs w:val="18"/>
          <w:color w:val="auto"/>
        </w:rPr>
        <w:t>Neither the Registration Statement nor any amendment thereto, at its effective time, on the date hereof or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contained, contains or will contain an untrue statement of a material fact or omitted, omits or will omit to state a material fact required to be stated therein or necessary to make the statements therein not misleading. At the Applicable Time, neither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date, or on the Closing Date,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84" w:lineRule="exact"/>
        <w:rPr>
          <w:sz w:val="20"/>
          <w:szCs w:val="20"/>
          <w:color w:val="auto"/>
        </w:rPr>
      </w:pPr>
    </w:p>
    <w:p>
      <w:pPr>
        <w:ind w:right="220" w:firstLine="423"/>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or the General Disclosure Package or the Prospectus or any amendment or supplement thereto made in reliance upon and in conformity with written information furnished to the Issuer by any Underwriter through the Representatives expressly for use therein. For purposes of this Agreement, the only information so furnished shall be the first sentence of the fifth paragraph, the third sentence of the eighth paragraph and tenth through thirteenth paragraphs under the caption “Underwriting” in the preliminary prospectus and the Prospectus (collectively,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419"/>
        <w:spacing w:after="0" w:line="254" w:lineRule="auto"/>
        <w:tabs>
          <w:tab w:leader="none" w:pos="6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Issuer Free Writing Prospectuses. </w:t>
      </w:r>
      <w:r>
        <w:rPr>
          <w:rFonts w:ascii="Times New Roman" w:cs="Times New Roman" w:eastAsia="Times New Roman" w:hAnsi="Times New Roman"/>
          <w:sz w:val="18"/>
          <w:szCs w:val="18"/>
          <w:color w:val="auto"/>
        </w:rPr>
        <w:t>No Issuer Free Writing Prospectus conflicts or will conflict with the information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any preliminary prospectus or the Prospectus, including any document incorporated by reference therein, that has not been superseded or modified. If at any time following issuance of an Issuer Free Writing Prospectus there occurred or occurs an event or development as a result of which such Issuer Free Writing Prospectus conflicted or would conflict with the information contained in the Registration Statement, the General Disclosure Package or the Prospectus, the Issuer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written information furnished to the Issuer by any Underwriter through the Representatives specifically for use therein, it being understood and agreed that the only such information furnished by any Underwriter through the Representatives consists of the Underwriter Information.</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8" w:name="page9"/>
    <w:bookmarkEnd w:id="8"/>
    <w:p>
      <w:pPr>
        <w:ind w:left="680" w:hanging="26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3"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Additional Written Communications. </w:t>
      </w:r>
      <w:r>
        <w:rPr>
          <w:rFonts w:ascii="Times New Roman" w:cs="Times New Roman" w:eastAsia="Times New Roman" w:hAnsi="Times New Roman"/>
          <w:sz w:val="18"/>
          <w:szCs w:val="18"/>
          <w:color w:val="auto"/>
        </w:rPr>
        <w:t>The Issuer has not prepared, made, used, authorized, approved or distributed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prepare, make, use, authorize, approve or distribute any written communication that constitutes an offer to sell or solicitation of an offer to buy the Notes other than (i) the General Disclosure Package, (ii) the Prospectus and (iii) any electronic road show or other written communications, in each case used in accordance with Section 3(b). Each such communication by the Issuer or its agents and representatives pursuant to clause (iii) of the preceding sentence (each, a “</w:t>
      </w:r>
      <w:r>
        <w:rPr>
          <w:rFonts w:ascii="Times New Roman" w:cs="Times New Roman" w:eastAsia="Times New Roman" w:hAnsi="Times New Roman"/>
          <w:sz w:val="18"/>
          <w:szCs w:val="18"/>
          <w:b w:val="1"/>
          <w:bCs w:val="1"/>
          <w:color w:val="auto"/>
        </w:rPr>
        <w:t>Company Additional Written Communication</w:t>
      </w:r>
      <w:r>
        <w:rPr>
          <w:rFonts w:ascii="Times New Roman" w:cs="Times New Roman" w:eastAsia="Times New Roman" w:hAnsi="Times New Roman"/>
          <w:sz w:val="18"/>
          <w:szCs w:val="18"/>
          <w:color w:val="auto"/>
        </w:rPr>
        <w:t xml:space="preserve">”), when taken together with the General Disclosure Package, did not as of the Applicable Time,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representation, warranty and agreement shall not apply to statements in or omissions from each such Company Additional Written Communication made in reliance upon and in conformity with information furnished to the Issuer in writing by any Underwriter through the Representatives expressly for use in any Company Additional Written Communication.</w:t>
      </w:r>
    </w:p>
    <w:p>
      <w:pPr>
        <w:spacing w:after="0" w:line="77" w:lineRule="exact"/>
        <w:rPr>
          <w:rFonts w:ascii="Times New Roman" w:cs="Times New Roman" w:eastAsia="Times New Roman" w:hAnsi="Times New Roman"/>
          <w:sz w:val="18"/>
          <w:szCs w:val="18"/>
          <w:color w:val="auto"/>
        </w:rPr>
      </w:pPr>
    </w:p>
    <w:p>
      <w:pPr>
        <w:ind w:right="20" w:firstLine="419"/>
        <w:spacing w:after="0" w:line="259"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Issuer Not Ineligible Issuer. </w:t>
      </w:r>
      <w:r>
        <w:rPr>
          <w:rFonts w:ascii="Times New Roman" w:cs="Times New Roman" w:eastAsia="Times New Roman" w:hAnsi="Times New Roman"/>
          <w:sz w:val="18"/>
          <w:szCs w:val="18"/>
          <w:color w:val="auto"/>
        </w:rPr>
        <w:t>(A) At the time of filing the Registration Statement and any post-effective amendment thereto, (B)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earliest time thereafter that the Issuer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Notes, (C) at the date of this Agreement and (D) at the Applicable Time, the Issuer was not and is not an “ineligible issuer,” as defined in Rule 405, without taking account of any determination by the Commission pursuant to Rule 405 that it is not necessary that the Issuer be considered an ineligible issuer.</w:t>
      </w:r>
    </w:p>
    <w:p>
      <w:pPr>
        <w:spacing w:after="0" w:line="71" w:lineRule="exact"/>
        <w:rPr>
          <w:rFonts w:ascii="Times New Roman" w:cs="Times New Roman" w:eastAsia="Times New Roman" w:hAnsi="Times New Roman"/>
          <w:sz w:val="18"/>
          <w:szCs w:val="18"/>
          <w:color w:val="auto"/>
        </w:rPr>
      </w:pPr>
    </w:p>
    <w:p>
      <w:pPr>
        <w:ind w:firstLine="419"/>
        <w:spacing w:after="0" w:line="259"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Incorporated Documents. </w:t>
      </w:r>
      <w:r>
        <w:rPr>
          <w:rFonts w:ascii="Times New Roman" w:cs="Times New Roman" w:eastAsia="Times New Roman" w:hAnsi="Times New Roman"/>
          <w:sz w:val="18"/>
          <w:szCs w:val="18"/>
          <w:color w:val="auto"/>
        </w:rPr>
        <w:t>The documents incorporated or deemed to be incorporated by reference in the Prospectus at the time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or hereafter are filed with the Commission (collectively,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complied or will comply in all material respects with the requirements of the 1934 Act. Each such Incorporated Document, when taken together with the General Disclosure Package, did not as of the Applicable Time, and at the Closing Date will not, contain any untrue statement of a material fact or omit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Underwriting Agreement. </w:t>
      </w:r>
      <w:r>
        <w:rPr>
          <w:rFonts w:ascii="Times New Roman" w:cs="Times New Roman" w:eastAsia="Times New Roman" w:hAnsi="Times New Roman"/>
          <w:sz w:val="18"/>
          <w:szCs w:val="18"/>
          <w:color w:val="auto"/>
        </w:rPr>
        <w:t>This Agreement has been duly authorized, executed and delivered by the Issuer.</w:t>
      </w:r>
    </w:p>
    <w:p>
      <w:pPr>
        <w:spacing w:after="0" w:line="12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right="80" w:firstLine="419"/>
        <w:spacing w:after="0" w:line="256"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Authorization of the Notes. </w:t>
      </w:r>
      <w:r>
        <w:rPr>
          <w:rFonts w:ascii="Times New Roman" w:cs="Times New Roman" w:eastAsia="Times New Roman" w:hAnsi="Times New Roman"/>
          <w:sz w:val="18"/>
          <w:szCs w:val="18"/>
          <w:color w:val="auto"/>
        </w:rPr>
        <w:t>The Notes to be purchased by the Underwriters from the Issuer will on the Closing Date be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Indenture, have been duly authorized for issuance and sale pursuant to this Agreement and the Indenture and, at the Closing Date, will have been duly executed by the Issuer and, when authenticated in the manner provided for in the Indenture and delivered against payment of the purchase price therefor, will constitute valid and binding obligations of the Issuer, enforceable in accordance with their terms, except as the enforcement thereof may be limited by bankruptcy, insolvency, fraudulent transfer, reorganization, moratorium or other similar laws relating to or affecting the rights and remedies of creditors or by general equitable principles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will be entitled to the benefits of the Indenture.</w:t>
      </w:r>
    </w:p>
    <w:p>
      <w:pPr>
        <w:spacing w:after="0" w:line="74" w:lineRule="exact"/>
        <w:rPr>
          <w:rFonts w:ascii="Times New Roman" w:cs="Times New Roman" w:eastAsia="Times New Roman" w:hAnsi="Times New Roman"/>
          <w:sz w:val="18"/>
          <w:szCs w:val="18"/>
          <w:color w:val="auto"/>
        </w:rPr>
      </w:pPr>
    </w:p>
    <w:p>
      <w:pPr>
        <w:jc w:val="both"/>
        <w:ind w:right="120" w:firstLine="419"/>
        <w:spacing w:after="0" w:line="26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of the Indenture. </w:t>
      </w:r>
      <w:r>
        <w:rPr>
          <w:rFonts w:ascii="Times New Roman" w:cs="Times New Roman" w:eastAsia="Times New Roman" w:hAnsi="Times New Roman"/>
          <w:sz w:val="18"/>
          <w:szCs w:val="18"/>
          <w:color w:val="auto"/>
        </w:rPr>
        <w:t>The Indenture has been duly qualified under the Trust Indenture Act and has been duly authorized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and, at the Closing Date, will have been duly executed and delivered by the Issuer and will constitute a valid and binding agreement of the Issuer, enforceable against the Issuer in accordance with its terms, except as the enforcement thereof may be limited by the Enforceability Exceptions.</w:t>
      </w:r>
    </w:p>
    <w:p>
      <w:pPr>
        <w:spacing w:after="0" w:line="68" w:lineRule="exact"/>
        <w:rPr>
          <w:rFonts w:ascii="Times New Roman" w:cs="Times New Roman" w:eastAsia="Times New Roman" w:hAnsi="Times New Roman"/>
          <w:sz w:val="18"/>
          <w:szCs w:val="18"/>
          <w:color w:val="auto"/>
        </w:rPr>
      </w:pPr>
    </w:p>
    <w:p>
      <w:pPr>
        <w:ind w:right="700" w:firstLine="419"/>
        <w:spacing w:after="0" w:line="286"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Description of the Transaction Documents. </w:t>
      </w:r>
      <w:r>
        <w:rPr>
          <w:rFonts w:ascii="Times New Roman" w:cs="Times New Roman" w:eastAsia="Times New Roman" w:hAnsi="Times New Roman"/>
          <w:sz w:val="18"/>
          <w:szCs w:val="18"/>
          <w:color w:val="auto"/>
        </w:rPr>
        <w:t>The Transaction Documents will conform in all material respects to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relating thereto contained in the Prospectus.</w:t>
      </w:r>
    </w:p>
    <w:p>
      <w:pPr>
        <w:spacing w:after="0" w:line="46" w:lineRule="exact"/>
        <w:rPr>
          <w:rFonts w:ascii="Times New Roman" w:cs="Times New Roman" w:eastAsia="Times New Roman" w:hAnsi="Times New Roman"/>
          <w:sz w:val="18"/>
          <w:szCs w:val="18"/>
          <w:color w:val="auto"/>
        </w:rPr>
      </w:pPr>
    </w:p>
    <w:p>
      <w:pPr>
        <w:ind w:firstLine="419"/>
        <w:spacing w:after="0" w:line="259" w:lineRule="auto"/>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Accuracy of Statements</w:t>
      </w:r>
      <w:r>
        <w:rPr>
          <w:rFonts w:ascii="Times New Roman" w:cs="Times New Roman" w:eastAsia="Times New Roman" w:hAnsi="Times New Roman"/>
          <w:sz w:val="18"/>
          <w:szCs w:val="18"/>
          <w:color w:val="auto"/>
        </w:rPr>
        <w:t>. The statements in each of the Prospectus and the General Disclosure Package under the captions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“Description of Notes,” insofar as such statements purport to constitute a summary of the terms of the Indenture and the Notes, and (ii) “Certain U.S. Federal Income Tax Considerations,” insofar as such statements purport to describe the provisions of the laws and regulations referred to therein (and based on such facts and subject to the qualifications, assumptions and limitations set forth therein), accurately present and summarize, in all material respects, the matters referred to therein.</w:t>
      </w:r>
    </w:p>
    <w:p>
      <w:pPr>
        <w:spacing w:after="0" w:line="71" w:lineRule="exact"/>
        <w:rPr>
          <w:rFonts w:ascii="Times New Roman" w:cs="Times New Roman" w:eastAsia="Times New Roman" w:hAnsi="Times New Roman"/>
          <w:sz w:val="18"/>
          <w:szCs w:val="18"/>
          <w:color w:val="auto"/>
        </w:rPr>
      </w:pPr>
    </w:p>
    <w:p>
      <w:pPr>
        <w:ind w:firstLine="419"/>
        <w:spacing w:after="0" w:line="257"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Material Adverse Change. </w:t>
      </w:r>
      <w:r>
        <w:rPr>
          <w:rFonts w:ascii="Times New Roman" w:cs="Times New Roman" w:eastAsia="Times New Roman" w:hAnsi="Times New Roman"/>
          <w:sz w:val="18"/>
          <w:szCs w:val="18"/>
          <w:color w:val="auto"/>
        </w:rPr>
        <w:t>Except as otherwise disclosed in the Registration Statement, the General Disclosure Package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(exclusive of any amendment or supplement thereto), subsequent to the respective dates as of which information is given in the Registration Statement, the General Disclosure Package and the Prospectus (exclusive of any amendment or supplement thereto) there has been no material adverse change, or any development that could reasonably be expected to result in a material adverse change, in the financial condition or in the earnings, business or results of operations of the Issuer and its subsidiaries, considered as one entity (any such change is called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Change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right="160" w:firstLine="419"/>
        <w:spacing w:after="0" w:line="259"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Registered Public Accounting Firm. </w:t>
      </w:r>
      <w:r>
        <w:rPr>
          <w:rFonts w:ascii="Times New Roman" w:cs="Times New Roman" w:eastAsia="Times New Roman" w:hAnsi="Times New Roman"/>
          <w:sz w:val="18"/>
          <w:szCs w:val="18"/>
          <w:color w:val="auto"/>
        </w:rPr>
        <w:t>PricewaterhouseCoopers LLP, which expressed its opinion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audited financial statements (which term as used in this Agreement includes the related notes thereto) and supporting schedules of the Issuer and its subsidiaries filed with the Commission and incorporated by reference in the Registration Statement, the General Disclosure Package and the Prospectus, is an independent registered public accounting firm within the meaning of the 1933 Act, the 1934 Act and the rules of the Public Company Accounting Oversight Board.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10" w:name="page11"/>
    <w:bookmarkEnd w:id="10"/>
    <w:p>
      <w:pPr>
        <w:ind w:right="20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PricewaterhouseCoopers LLP, which expressed its opinion with respect to the audited financial statements (which term as used in this Agreement includes the related notes thereto) and supporting schedules of VMware, Inc. and its subsidiaries filed with the Commission and incorporated by reference in the Registration Statement, the General Disclosure Package and the Prospectus, is an independent registered public accounting firm within the meaning of the 1933 Act, the 1934 Act and the rules of the Public Company Accounting Oversight Board.</w:t>
      </w:r>
    </w:p>
    <w:p>
      <w:pPr>
        <w:spacing w:after="0" w:line="68" w:lineRule="exact"/>
        <w:rPr>
          <w:sz w:val="20"/>
          <w:szCs w:val="20"/>
          <w:color w:val="auto"/>
        </w:rPr>
      </w:pPr>
    </w:p>
    <w:p>
      <w:pPr>
        <w:ind w:firstLine="419"/>
        <w:spacing w:after="0" w:line="252"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Preparation of the Financial Statements. </w:t>
      </w:r>
      <w:r>
        <w:rPr>
          <w:rFonts w:ascii="Times New Roman" w:cs="Times New Roman" w:eastAsia="Times New Roman" w:hAnsi="Times New Roman"/>
          <w:sz w:val="18"/>
          <w:szCs w:val="18"/>
          <w:color w:val="auto"/>
        </w:rPr>
        <w:t>The financial statements of the Issuer, together with the related schedules and notes,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incorporated by reference in the Registration Statement, the General Disclosure Package and the Prospectus present fairly, in all material respects, the consolidated financial position of the Issuer and its consolidated subsidiaries as of and at the dates indicated and the results of their operations and cash flows for the periods specified, subject, in the case of unaudited interim statements, to normal year-end adjustments. Such financial statements comply as to form with the accounting requirements of the 1933 Act and have been prepared in conformity with generally accepted accounting principles as applied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The financial statements of the businesses or properties acquired or proposed to be acquired, if any, included or incorporated by reference in the Registration Statement, the General Disclosure Package and the Prospectus present fairly the information set forth therein as of the dates indicated and their consolidated financial position, the results of their respective operations and the changes in their respective cash flows as of and for the periods specified, have been prepared in conformity with GAAP applied on a consistent basis and otherwise have been prepared in accordance with the financial statement requirements of Rule 3-05 or Rule 3-14 of Regulation S-X, as applicable, in each case, in all material respects and except as may be expressly stated in the related notes thereto. The summary financial information included or incorporated by reference in the Registration Statement, the General Disclosure Package and the Prospectus present fairly, in all material respects, the information shown therein and have been compiled on a basis consistent with that of the audited financial statements included in the Registration Statement, the General Disclosure Package and the Prospectus. The pro forma financial statements and the related notes thereto included or incorporated by reference in the Registration Statement, the General Disclosure Package and the Prospectus present fairly the information shown therein and have been prepared in accordance with the Commission’s rules and guidelines with respect to pro forma financial information prepared in accordance with Regulation S-X in all material respects. Except as included or incorporated by reference therein, no historical or pro forma financial statements or related schedules and notes are required to be included or incorporated by reference in the Registration Statement, the General Disclosure Package or the Prospectus. The interactive data in eXtensible Business Reporting Language included or incorporated by reference in the Registration Statement, the Prospectus and the General Disclosure Package fairly present the information called for in all material respects and have been prepared in accordance with the Commission’s rules and guidelines applicable thereto.</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firstLine="419"/>
        <w:spacing w:after="0" w:line="253"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Incorporation and Good Standing. </w:t>
      </w:r>
      <w:r>
        <w:rPr>
          <w:rFonts w:ascii="Times New Roman" w:cs="Times New Roman" w:eastAsia="Times New Roman" w:hAnsi="Times New Roman"/>
          <w:sz w:val="18"/>
          <w:szCs w:val="18"/>
          <w:color w:val="auto"/>
        </w:rPr>
        <w:t>Each of the Issuer and the Issuer’s significant subsidiaries (as defined in Rule 1-02(w)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S-X) as of November 2, 2025 (collectively, the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has been duly incorporated or formed, as applicable, and is validly existing as a corporation, limited partnership, exempted company or exempted limited partnership or limited liability company, as applicable, in good standing under the laws of the jurisdiction of its incorporation or formation, as applicable, and has corporate, partnership or limited liability company, as applicable, power and authority to own or lease, as the case may be, and operate its properties and to conduct its business as described in the Registration Statement, the General Disclosure Package and Prospectus and, in the case of the Issuer, to enter into and perform its obligations under each of the Transaction Documents to which it is a party, except where the failure of a Significant Subsidiary (other than the Issuer) to be in good standing would not reasonably be expected to result in a Material Adverse Change. Each of the Issuer and its Significant Subsidiaries is duly qualified as a foreign corporation, limited partnership or limited liability company, as applicable, to transact business and is in good standing or equivalent status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reasonably be expected to result in a Material Adverse Change.</w:t>
      </w:r>
    </w:p>
    <w:p>
      <w:pPr>
        <w:spacing w:after="0" w:line="81" w:lineRule="exact"/>
        <w:rPr>
          <w:rFonts w:ascii="Times New Roman" w:cs="Times New Roman" w:eastAsia="Times New Roman" w:hAnsi="Times New Roman"/>
          <w:sz w:val="18"/>
          <w:szCs w:val="18"/>
          <w:color w:val="auto"/>
        </w:rPr>
      </w:pPr>
    </w:p>
    <w:p>
      <w:pPr>
        <w:ind w:firstLine="419"/>
        <w:spacing w:after="0" w:line="25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Non-Contravention of Existing Instruments; No Further Authorizations or Approvals Required. </w:t>
      </w:r>
      <w:r>
        <w:rPr>
          <w:rFonts w:ascii="Times New Roman" w:cs="Times New Roman" w:eastAsia="Times New Roman" w:hAnsi="Times New Roman"/>
          <w:sz w:val="18"/>
          <w:szCs w:val="18"/>
          <w:color w:val="auto"/>
        </w:rPr>
        <w:t>Neither the Issuer nor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Issuer’s Significant Subsidiaries is (i) in violation or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its charter or by-laws, or (ii) in Default under any indenture, mortgage, loan or credit agreement, deed of trust, note, contract, franchise, lease or other agreement, obligation, condition, covenant or instrument to which the Issuer or any of its subsidiaries is a party or by which it or any of them may be bound or to which any of the property or assets of the Issuer or any of its subsidiaries is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with respect to clause (ii) only, for such Defaults as would not, individually or in the aggregate, reasonably be expected to result in a Material Adverse Change.</w:t>
      </w:r>
    </w:p>
    <w:p>
      <w:pPr>
        <w:spacing w:after="0" w:line="79"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The execution, delivery and performance of the Transaction Documents by the Issuer, and the issuance and delivery of the Notes, and consummation of the transactions contemplated hereby and thereby, by the Registration Statement, the General Disclosure Package and by the Prospectus (A) have been duly authorized by all necessary corporate action and will not result in any Default under the charter or by-laws of the Issuer or any Significant Subsidiary of the Issuer, (B) will not conflict with or constitute a breach of, or Default or a Debt Repayment Triggering Event (as defined below) under, or result in the creation or imposition of any lien, charge or encumbrance upon any property or assets of the Issuer or any of its subsidiaries pursuant to, or require the consent of any other party to, any Existing Instrument and (C) will not result in any violation of any statute, law, rule, regulation, judgment, order or decree applicable to the Issuer or any of its subsidiaries of any court, regulatory body, administrative agency, governmental body, arbitrator or other authority having jurisdiction over the Issuer or any of its subsidiaries or any of its or their properties, except, with respect to clauses (B) and (C) only, for such conflicts, breaches, Defaults, Debt Repayment Triggering Events, liens, charges, encumbrances, consents or violations as would not, individually or in the aggregate, reasonably be expected to result in a Material Adverse Change.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66" w:right="459" w:bottom="1440" w:gutter="0" w:footer="0" w:header="0"/>
        </w:sectPr>
      </w:pPr>
    </w:p>
    <w:bookmarkStart w:id="12" w:name="page13"/>
    <w:bookmarkEnd w:id="12"/>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 approval, authorization or other order of, or registration or filing with, any court or other governmental or regulatory authority or agency is required for the execution, delivery and performance of the Transaction Documents by the Issuer, or the issuance and delivery of the Notes, or consummation of the transactions contemplated hereby or thereby and by the Registration Statement, the General Disclosure Package or by the Prospectus, except such as have been obtained (including any required under the 1933 Act, the 1933 Act Regulations and the Trust Indenture Act) or made and are in full force and effect or as may be required by applicable securities laws of the several states of the United States or provinces of Canada.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or both would give, the holder of any note, debenture or other evidence of indebtedness (or any person acting on such holder’s behalf) issued by the Issuer or any of its subsidiaries the right to require the repurchase, redemption or repayment of all or a portion of such indebtedness by the Issuer or any of its subsidiaries.</w:t>
      </w:r>
    </w:p>
    <w:p>
      <w:pPr>
        <w:spacing w:after="0" w:line="76" w:lineRule="exact"/>
        <w:rPr>
          <w:sz w:val="20"/>
          <w:szCs w:val="20"/>
          <w:color w:val="auto"/>
        </w:rPr>
      </w:pPr>
    </w:p>
    <w:p>
      <w:pPr>
        <w:ind w:firstLine="419"/>
        <w:spacing w:after="0" w:line="262" w:lineRule="auto"/>
        <w:tabs>
          <w:tab w:leader="none" w:pos="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Material Actions or Proceedings. </w:t>
      </w:r>
      <w:r>
        <w:rPr>
          <w:rFonts w:ascii="Times New Roman" w:cs="Times New Roman" w:eastAsia="Times New Roman" w:hAnsi="Times New Roman"/>
          <w:sz w:val="18"/>
          <w:szCs w:val="18"/>
          <w:color w:val="auto"/>
        </w:rPr>
        <w:t>Except as otherwise disclosed in the Registration Statement, the General Disclosure Package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Prospectus, there are no legal or governmental actions, suits or proceedings pending or, to the Issuer’s knowledge, threatened against the Issuer or any of its subsidiaries, which, if determined adversely, would reasonably be expected to, individually or in the aggregate, result in a Material Adverse Change or adversely affect the consummation of the transactions contemplated by this Agreement in any material respect.</w:t>
      </w:r>
    </w:p>
    <w:p>
      <w:pPr>
        <w:spacing w:after="0" w:line="68"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The Issuer and each of its subsidiaries own or possess adequate rights to use all material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including all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used or held for use in the conduct of their respective businesses and have no reason to believe that the conduct of their respective businesses will conflict with, and, except as otherwise disclosed in the Registration Statement, the General Disclosure Package and the Prospectus, have not received any notice of any claim of conflict with, any such rights of others that would, individually or in the aggregate, reasonably be expected to result in a Material Adverse Change. Except as otherwise disclosed in the Registration Statement, the General Disclosure Package and the Prospectus, the Issuer has not received notice and is not otherwise aware of any material pending or threatened claim to the contrary or any material pending or threatened challenge by any other person relating to the Intellectual Property rights of the Issuer and its subsidiaries.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ind w:right="240" w:firstLine="419"/>
        <w:spacing w:after="0" w:line="259"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Necessary Permits, etc. </w:t>
      </w:r>
      <w:r>
        <w:rPr>
          <w:rFonts w:ascii="Times New Roman" w:cs="Times New Roman" w:eastAsia="Times New Roman" w:hAnsi="Times New Roman"/>
          <w:sz w:val="18"/>
          <w:szCs w:val="18"/>
          <w:color w:val="auto"/>
        </w:rPr>
        <w:t>Except as otherwise disclosed in the Registration Statement, the General Disclosure Package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the Issuer and each Significant Subsidiary possess such valid and current certificates, authorizations, permits, licenses, approvals, consents and other authorizations issued by the appropriate state, federal or foreign regulatory agencies or bodies necessary to conduct their respective businesses, except where failure to possess would not, individually or in the aggregate, reasonably be expected to result in a Material Adverse Change.</w:t>
      </w:r>
    </w:p>
    <w:p>
      <w:pPr>
        <w:spacing w:after="0" w:line="71" w:lineRule="exact"/>
        <w:rPr>
          <w:rFonts w:ascii="Times New Roman" w:cs="Times New Roman" w:eastAsia="Times New Roman" w:hAnsi="Times New Roman"/>
          <w:sz w:val="18"/>
          <w:szCs w:val="18"/>
          <w:color w:val="auto"/>
        </w:rPr>
      </w:pPr>
    </w:p>
    <w:p>
      <w:pPr>
        <w:ind w:right="40" w:firstLine="419"/>
        <w:spacing w:after="0" w:line="257"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Law Compliance. </w:t>
      </w:r>
      <w:r>
        <w:rPr>
          <w:rFonts w:ascii="Times New Roman" w:cs="Times New Roman" w:eastAsia="Times New Roman" w:hAnsi="Times New Roman"/>
          <w:sz w:val="18"/>
          <w:szCs w:val="18"/>
          <w:color w:val="auto"/>
        </w:rPr>
        <w:t>Except as otherwise disclosed in the Registration Statement, the General Disclosure Package and the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and each Significant Subsidiary have filed all federal, state, local and foreign income and franchise tax returns required to be filed under applicable law through the date of this Agreement or have properly requested extensions thereof and have paid all taxes required to be paid, including, if due and payable, any related assessment, fine or penalty, except with respect to which adequate reserves have been established, or except where a failure to make such filings or payments would not, individually or in the aggregate, reasonably be expected to result in a Material Adverse Change.</w:t>
      </w:r>
    </w:p>
    <w:p>
      <w:pPr>
        <w:spacing w:after="0" w:line="74" w:lineRule="exact"/>
        <w:rPr>
          <w:rFonts w:ascii="Times New Roman" w:cs="Times New Roman" w:eastAsia="Times New Roman" w:hAnsi="Times New Roman"/>
          <w:sz w:val="18"/>
          <w:szCs w:val="18"/>
          <w:color w:val="auto"/>
        </w:rPr>
      </w:pPr>
    </w:p>
    <w:p>
      <w:pPr>
        <w:ind w:right="60" w:firstLine="419"/>
        <w:spacing w:after="0" w:line="291" w:lineRule="auto"/>
        <w:tabs>
          <w:tab w:leader="none" w:pos="71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Issuer is not an “Investment Company”</w:t>
      </w:r>
      <w:r>
        <w:rPr>
          <w:rFonts w:ascii="Times New Roman" w:cs="Times New Roman" w:eastAsia="Times New Roman" w:hAnsi="Times New Roman"/>
          <w:sz w:val="17"/>
          <w:szCs w:val="17"/>
          <w:color w:val="auto"/>
        </w:rPr>
        <w:t>. The Issuer is not, and after receipt of payment for the Notes and the application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proceeds thereof as contemplated under the caption “Use of Proceeds” in the Registration Statement, the General Disclosure Package and the Prospectus will not be, required to register as an “investment company” within the meaning of the Investment Company Act of 1940, as amended.</w:t>
      </w:r>
    </w:p>
    <w:p>
      <w:pPr>
        <w:spacing w:after="0" w:line="44" w:lineRule="exact"/>
        <w:rPr>
          <w:rFonts w:ascii="Times New Roman" w:cs="Times New Roman" w:eastAsia="Times New Roman" w:hAnsi="Times New Roman"/>
          <w:sz w:val="17"/>
          <w:szCs w:val="17"/>
          <w:color w:val="auto"/>
        </w:rPr>
      </w:pPr>
    </w:p>
    <w:p>
      <w:pPr>
        <w:ind w:right="60" w:firstLine="419"/>
        <w:spacing w:after="0" w:line="268"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Price Stabilization or Manipulation. </w:t>
      </w:r>
      <w:r>
        <w:rPr>
          <w:rFonts w:ascii="Times New Roman" w:cs="Times New Roman" w:eastAsia="Times New Roman" w:hAnsi="Times New Roman"/>
          <w:sz w:val="18"/>
          <w:szCs w:val="18"/>
          <w:color w:val="auto"/>
        </w:rPr>
        <w:t>The Issuer has not taken and will not take, directly or indirectly, any action designed to or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reasonably be expected to cause or result in stabilization or manipulation of the price of any security of the Issuer to facilitate the sale or resale of the Notes.</w:t>
      </w:r>
    </w:p>
    <w:p>
      <w:pPr>
        <w:spacing w:after="0" w:line="62" w:lineRule="exact"/>
        <w:rPr>
          <w:rFonts w:ascii="Times New Roman" w:cs="Times New Roman" w:eastAsia="Times New Roman" w:hAnsi="Times New Roman"/>
          <w:sz w:val="18"/>
          <w:szCs w:val="18"/>
          <w:color w:val="auto"/>
        </w:rPr>
      </w:pPr>
    </w:p>
    <w:p>
      <w:pPr>
        <w:ind w:right="20" w:firstLine="419"/>
        <w:spacing w:after="0" w:line="262"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Sarbanes-Oxley. </w:t>
      </w:r>
      <w:r>
        <w:rPr>
          <w:rFonts w:ascii="Times New Roman" w:cs="Times New Roman" w:eastAsia="Times New Roman" w:hAnsi="Times New Roman"/>
          <w:sz w:val="18"/>
          <w:szCs w:val="18"/>
          <w:color w:val="auto"/>
        </w:rPr>
        <w:t>Except as otherwise disclosed in the Registration Statement, the General Disclosure Package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there is no failure on the part of the Issuer or, to the Issuer’s knowledge, any of the Issuer’s directors or officers, in their capacities as such, to comply in all material respects with any applicable provision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which term, as used herein, includes the rules and regulations of the Commission promulgated thereunder).</w:t>
      </w:r>
    </w:p>
    <w:p>
      <w:pPr>
        <w:spacing w:after="0" w:line="68" w:lineRule="exact"/>
        <w:rPr>
          <w:rFonts w:ascii="Times New Roman" w:cs="Times New Roman" w:eastAsia="Times New Roman" w:hAnsi="Times New Roman"/>
          <w:sz w:val="18"/>
          <w:szCs w:val="18"/>
          <w:color w:val="auto"/>
        </w:rPr>
      </w:pPr>
    </w:p>
    <w:p>
      <w:pPr>
        <w:ind w:right="80" w:firstLine="419"/>
        <w:spacing w:after="0" w:line="268" w:lineRule="auto"/>
        <w:tabs>
          <w:tab w:leader="none" w:pos="6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Systems. </w:t>
      </w:r>
      <w:r>
        <w:rPr>
          <w:rFonts w:ascii="Times New Roman" w:cs="Times New Roman" w:eastAsia="Times New Roman" w:hAnsi="Times New Roman"/>
          <w:sz w:val="18"/>
          <w:szCs w:val="18"/>
          <w:color w:val="auto"/>
        </w:rPr>
        <w:t>Except as otherwise disclosed in the Registration Statement, the General Disclosure Package and the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and its subsidiaries maintain effective internal control over financial reporting, as such term is defined in Rule 13a-15(f) under the 1934 Act.</w:t>
      </w:r>
    </w:p>
    <w:p>
      <w:pPr>
        <w:spacing w:after="0" w:line="63" w:lineRule="exact"/>
        <w:rPr>
          <w:sz w:val="20"/>
          <w:szCs w:val="20"/>
          <w:color w:val="auto"/>
        </w:rPr>
      </w:pPr>
    </w:p>
    <w:p>
      <w:pPr>
        <w:ind w:firstLine="419"/>
        <w:spacing w:after="0" w:line="259" w:lineRule="auto"/>
        <w:tabs>
          <w:tab w:leader="none" w:pos="7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The Issuer and its subsidiaries have established and maintain disclosure controls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such term is defined in Rules 13a-15 under the 1934 Act); such disclosure controls and procedures are designed to ensure that material information relating to the Issuer and its subsidiaries is made known to the chief executive officer and chief financial officer of the Issuer by others within the Issuer or any of its subsidiaries, and such disclosure controls and procedures are reasonably effective to perform the functions for which they were established subject to the limitations of any such control system.</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66" w:right="439" w:bottom="1440" w:gutter="0" w:footer="0" w:header="0"/>
        </w:sectPr>
      </w:pPr>
    </w:p>
    <w:bookmarkStart w:id="14" w:name="page15"/>
    <w:bookmarkEnd w:id="14"/>
    <w:p>
      <w:pPr>
        <w:ind w:left="4" w:right="100" w:firstLine="419"/>
        <w:spacing w:after="0" w:line="278" w:lineRule="auto"/>
        <w:tabs>
          <w:tab w:leader="none" w:pos="77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Internal Controls and Procedures. </w:t>
      </w:r>
      <w:r>
        <w:rPr>
          <w:rFonts w:ascii="Times New Roman" w:cs="Times New Roman" w:eastAsia="Times New Roman" w:hAnsi="Times New Roman"/>
          <w:sz w:val="17"/>
          <w:szCs w:val="17"/>
          <w:color w:val="auto"/>
        </w:rPr>
        <w:t>Except as otherwise disclosed in the Registration Statement, the General Disclosure Package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Prospectus, the Issuer and its subsidiaries maintain a system of internal accounting controls sufficient to provide reasonable assurance that:</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76" w:lineRule="exact"/>
        <w:rPr>
          <w:rFonts w:ascii="Times New Roman" w:cs="Times New Roman" w:eastAsia="Times New Roman" w:hAnsi="Times New Roman"/>
          <w:sz w:val="18"/>
          <w:szCs w:val="18"/>
          <w:color w:val="auto"/>
        </w:rPr>
      </w:pPr>
    </w:p>
    <w:p>
      <w:pPr>
        <w:ind w:left="4" w:right="400" w:firstLine="419"/>
        <w:spacing w:after="0" w:line="259" w:lineRule="auto"/>
        <w:tabs>
          <w:tab w:leader="none" w:pos="7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Material Weakness in Internal Control. </w:t>
      </w:r>
      <w:r>
        <w:rPr>
          <w:rFonts w:ascii="Times New Roman" w:cs="Times New Roman" w:eastAsia="Times New Roman" w:hAnsi="Times New Roman"/>
          <w:sz w:val="18"/>
          <w:szCs w:val="18"/>
          <w:color w:val="auto"/>
        </w:rPr>
        <w:t>Except as otherwise disclosed in the Registration Statement, the General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Package and the Prospectus, since the end of the Issuer’s and its subsidiaries’ most recent audited fiscal year, there have not been (i) any significant changes in the Issuer’s internal control over financial reporting that have materially adversely affected or are reasonably likely to materially and adversely affect the Issuer’s internal control over financial reporting and (ii) identified any material weakness in the Issuer’s internal control over financial reporting (whether or not remediated).</w:t>
      </w:r>
    </w:p>
    <w:p>
      <w:pPr>
        <w:spacing w:after="0" w:line="71"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7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and Liability Under Environmental Laws. </w:t>
      </w:r>
      <w:r>
        <w:rPr>
          <w:rFonts w:ascii="Times New Roman" w:cs="Times New Roman" w:eastAsia="Times New Roman" w:hAnsi="Times New Roman"/>
          <w:sz w:val="18"/>
          <w:szCs w:val="18"/>
          <w:color w:val="auto"/>
        </w:rPr>
        <w:t>Except as otherwise disclosed in the Registration Statement,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Disclosure Package and the Prospectus or except as would not, individually or in the aggregate, reasonably be expected to result in a Material Adverse Change, (i) neither the Issuer nor any Significant Subsidiary is in violation of any federal, state, local or foreign law, regulation, order, permit or other requirement relating to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18"/>
          <w:szCs w:val="18"/>
          <w:b w:val="1"/>
          <w:bCs w:val="1"/>
          <w:color w:val="auto"/>
        </w:rPr>
        <w:t>Materials of Environmental Concern</w:t>
      </w:r>
      <w:r>
        <w:rPr>
          <w:rFonts w:ascii="Times New Roman" w:cs="Times New Roman" w:eastAsia="Times New Roman" w:hAnsi="Times New Roman"/>
          <w:sz w:val="18"/>
          <w:szCs w:val="18"/>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Issuer and any Significant Subsidiaries have all permits, authorizations and approvals required under any applicable Environmental Laws and are each in compliance with their requirements in all respects; (iii) there are no pending or, to the Issuer’s knowledge, threatened administrative, regulatory or judicial actions, suits, demands, demand letters, claims, liens, notices of noncompliance or violation, investigations or proceedings relating to any Environmental Laws against the Issuer or any Significant Subsidiary; and (iv) there are no events or circumstances that would reasonably be expected to form the basis of an order for clean-up or remediation, or an action, suit or proceeding by any private party or governmental body or agency, against or affecting the Issuer or any Significant Subsidiary relating to Materials of Environmental Concern or Environmental Laws.</w:t>
      </w:r>
    </w:p>
    <w:p>
      <w:pPr>
        <w:spacing w:after="0" w:line="12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4"/>
          </w:cols>
          <w:pgMar w:left="876" w:top="266" w:right="499" w:bottom="1440" w:gutter="0" w:footer="0" w:header="0"/>
        </w:sectPr>
      </w:pPr>
    </w:p>
    <w:bookmarkStart w:id="15" w:name="page16"/>
    <w:bookmarkEnd w:id="15"/>
    <w:p>
      <w:pPr>
        <w:ind w:left="4" w:right="40" w:firstLine="419"/>
        <w:spacing w:after="0" w:line="274" w:lineRule="auto"/>
        <w:tabs>
          <w:tab w:leader="none" w:pos="75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Unlawful Contributions or Other Payments. </w:t>
      </w:r>
      <w:r>
        <w:rPr>
          <w:rFonts w:ascii="Times New Roman" w:cs="Times New Roman" w:eastAsia="Times New Roman" w:hAnsi="Times New Roman"/>
          <w:sz w:val="17"/>
          <w:szCs w:val="17"/>
          <w:color w:val="auto"/>
        </w:rPr>
        <w:t>None of the Issuer, any of its subsidiaries or, to the Issuer’s knowledge, any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agent, employee or controlled affiliate of the Issuer or any of its subsidiaries is aware of, has taken any action directly or indirectly in the past five years, or any action directly or indirectly at any time for which the applicable statute of limitations has been tolled for whatever reason,</w:t>
      </w:r>
    </w:p>
    <w:p>
      <w:pPr>
        <w:ind w:left="4" w:hanging="4"/>
        <w:spacing w:after="0" w:line="251" w:lineRule="auto"/>
        <w:tabs>
          <w:tab w:leader="none" w:pos="2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unlawful offer, payment, promise to pay or authorization of the payment of any money, or other property, gift, promise to give, or authorization of the giving of anything of value to any government official including any officer or employee of a government or government-owned or controlled entity or of a public international organization, or any person acting in an official capacity for or on behalf of any of the foregoing or any political party or official thereof or any candidate for political office; (ii) in furtherance of an offer, payment, promise to pay or authorization or approval of the payment or giving of any unlawful bribe, rebate, payoff, influence payment, kickback or other unlawful payment or benefit; or (iii) in violation of any provision of, or rule or regulation instituted under, the Foreign Corrupt Practices Act of 1977, Bribery Act 2010 of the United Kingdom or any similar anti-bribery or anti-corruption law or rule or regulation applicable to the Issuer or any of its subsidiaries.</w:t>
      </w:r>
    </w:p>
    <w:p>
      <w:pPr>
        <w:spacing w:after="0" w:line="81" w:lineRule="exact"/>
        <w:rPr>
          <w:rFonts w:ascii="Times New Roman" w:cs="Times New Roman" w:eastAsia="Times New Roman" w:hAnsi="Times New Roman"/>
          <w:sz w:val="18"/>
          <w:szCs w:val="18"/>
          <w:color w:val="auto"/>
        </w:rPr>
      </w:pPr>
    </w:p>
    <w:p>
      <w:pPr>
        <w:ind w:left="4" w:firstLine="419"/>
        <w:spacing w:after="0" w:line="256" w:lineRule="auto"/>
        <w:tabs>
          <w:tab w:leader="none" w:pos="7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with Money Laundering Laws. </w:t>
      </w:r>
      <w:r>
        <w:rPr>
          <w:rFonts w:ascii="Times New Roman" w:cs="Times New Roman" w:eastAsia="Times New Roman" w:hAnsi="Times New Roman"/>
          <w:sz w:val="18"/>
          <w:szCs w:val="18"/>
          <w:color w:val="auto"/>
        </w:rPr>
        <w:t>The operations of the Issuer and its subsidiaries are and have been conducted at all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involving the Issuer or any of its subsidiaries with respect to the Money Laundering Laws is pending or, to the knowledge of the Issuer, threatened.</w:t>
      </w:r>
    </w:p>
    <w:p>
      <w:pPr>
        <w:spacing w:after="0" w:line="74"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7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with Sanctions Laws. </w:t>
      </w:r>
      <w:r>
        <w:rPr>
          <w:rFonts w:ascii="Times New Roman" w:cs="Times New Roman" w:eastAsia="Times New Roman" w:hAnsi="Times New Roman"/>
          <w:sz w:val="18"/>
          <w:szCs w:val="18"/>
          <w:color w:val="auto"/>
        </w:rPr>
        <w:t>Neither the Issuer nor any of its subsidiaries nor, to the Issuer’s knowledge, any director,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employee or affiliate of the Issuer or any of its subsidiaries is currently subject to or the target of any sanctions administered or enforced by the United States government, including, without limitation, by the Office of Foreign Assets Control of the U.S. Treasury Department, the United Nations Security Council, the European Union, His Majesty’s Treasury, or other relevant sanctions authority (collectively, the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Issuer or any of its subsidiaries located, organized or resident in a country or territory that is the subject or target of Sanctions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Issuer will not directly or indirectly use the proceeds of the offering, or lend, contribute or otherwise make available such proceeds, to any subsidiary, joint venture partner or other person or entity, (i) to fund, finance or facilitate any activities of or business with any person that, at the time of such funding or facilitation, is the subject or target of Sanctions, or in or with any Sanctioned Country or (ii) in any other manner that will result in a violation by any person (including any person participating in the transaction, whether as an underwriter, advisor, investor or otherwise) of Sanctions.</w:t>
      </w:r>
    </w:p>
    <w:p>
      <w:pPr>
        <w:spacing w:after="0" w:line="8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66" w:right="459" w:bottom="1440" w:gutter="0" w:footer="0" w:header="0"/>
        </w:sectPr>
      </w:pPr>
    </w:p>
    <w:bookmarkStart w:id="16" w:name="page17"/>
    <w:bookmarkEnd w:id="16"/>
    <w:p>
      <w:pPr>
        <w:ind w:left="440" w:right="40" w:firstLine="419"/>
        <w:spacing w:after="0" w:line="254" w:lineRule="auto"/>
        <w:tabs>
          <w:tab w:leader="none" w:pos="11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Cybersecurity</w:t>
      </w:r>
      <w:r>
        <w:rPr>
          <w:rFonts w:ascii="Times New Roman" w:cs="Times New Roman" w:eastAsia="Times New Roman" w:hAnsi="Times New Roman"/>
          <w:sz w:val="18"/>
          <w:szCs w:val="18"/>
          <w:color w:val="auto"/>
        </w:rPr>
        <w:t>. Except as disclosed in the Registration Statement, the General Disclosure Package and the Prospectus or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not, individually or in the aggregate, reasonably be expected to result in a Material Adverse Change, (A) to the Issuer’s knowledge, there has been no security breach or unauthorized access to any of the Issuer’s or its subsidiaries’ information technology and computer systems (“</w:t>
      </w:r>
      <w:r>
        <w:rPr>
          <w:rFonts w:ascii="Times New Roman" w:cs="Times New Roman" w:eastAsia="Times New Roman" w:hAnsi="Times New Roman"/>
          <w:sz w:val="18"/>
          <w:szCs w:val="18"/>
          <w:b w:val="1"/>
          <w:bCs w:val="1"/>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that has resulted in the unauthorized access, use, disclosure, misappropriation, or modification of any data or information stored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therein; (B) the Issuer and its subsidiaries are presently in compliance with all applicable laws or statutes and all judgments, orders, rules and regulations of any court or arbitrator or governmental or regulatory authority and contractual obligations relating to the privacy and security of the IT Systems and the data stored therein and to the protection of such IT Systems and data from unauthorized use, access, misappropriation or modification; and (C) the Issuer and its subsidiaries have implemented commercially reasonable controls, policies, procedures, and technological safeguards to maintain and protect the integrity and security of their IT Systems and the data stored therein consistent in all material respects with industry standards and practices and as required by applicable regulatory standards.</w:t>
      </w:r>
    </w:p>
    <w:p>
      <w:pPr>
        <w:spacing w:after="0" w:line="77" w:lineRule="exact"/>
        <w:rPr>
          <w:rFonts w:ascii="Times New Roman" w:cs="Times New Roman" w:eastAsia="Times New Roman" w:hAnsi="Times New Roman"/>
          <w:sz w:val="18"/>
          <w:szCs w:val="18"/>
          <w:color w:val="auto"/>
        </w:rPr>
      </w:pPr>
    </w:p>
    <w:p>
      <w:pPr>
        <w:ind w:left="440" w:right="220" w:firstLine="419"/>
        <w:spacing w:after="0" w:line="286" w:lineRule="auto"/>
        <w:tabs>
          <w:tab w:leader="none" w:pos="11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Applicable Registration Rights. </w:t>
      </w:r>
      <w:r>
        <w:rPr>
          <w:rFonts w:ascii="Times New Roman" w:cs="Times New Roman" w:eastAsia="Times New Roman" w:hAnsi="Times New Roman"/>
          <w:sz w:val="18"/>
          <w:szCs w:val="18"/>
          <w:color w:val="auto"/>
        </w:rPr>
        <w:t>There are no persons with registration rights to have any debt securities registered for sale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Statement or included in the offering contemplated by this Agreement, except for such rights as have been duly waived.</w:t>
      </w:r>
    </w:p>
    <w:p>
      <w:pPr>
        <w:spacing w:after="0" w:line="46" w:lineRule="exact"/>
        <w:rPr>
          <w:rFonts w:ascii="Times New Roman" w:cs="Times New Roman" w:eastAsia="Times New Roman" w:hAnsi="Times New Roman"/>
          <w:sz w:val="18"/>
          <w:szCs w:val="18"/>
          <w:color w:val="auto"/>
        </w:rPr>
      </w:pPr>
    </w:p>
    <w:p>
      <w:pPr>
        <w:ind w:left="440" w:right="160" w:firstLine="419"/>
        <w:spacing w:after="0" w:line="268" w:lineRule="auto"/>
        <w:tabs>
          <w:tab w:leader="none" w:pos="1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Filing of Exhibits. </w:t>
      </w:r>
      <w:r>
        <w:rPr>
          <w:rFonts w:ascii="Times New Roman" w:cs="Times New Roman" w:eastAsia="Times New Roman" w:hAnsi="Times New Roman"/>
          <w:sz w:val="18"/>
          <w:szCs w:val="18"/>
          <w:color w:val="auto"/>
        </w:rPr>
        <w:t>There are no contracts, instruments or other documents which are required to be described in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the preliminary prospectus or the Prospectus or to be filed as exhibits to the Registration Statement which have not been so described and filed as required with respect to Form S-3ASR.</w:t>
      </w:r>
    </w:p>
    <w:p>
      <w:pPr>
        <w:spacing w:after="0" w:line="62" w:lineRule="exact"/>
        <w:rPr>
          <w:rFonts w:ascii="Times New Roman" w:cs="Times New Roman" w:eastAsia="Times New Roman" w:hAnsi="Times New Roman"/>
          <w:sz w:val="18"/>
          <w:szCs w:val="18"/>
          <w:color w:val="auto"/>
        </w:rPr>
      </w:pPr>
    </w:p>
    <w:p>
      <w:pPr>
        <w:ind w:left="440" w:firstLine="419"/>
        <w:spacing w:after="0" w:line="257" w:lineRule="auto"/>
        <w:tabs>
          <w:tab w:leader="none" w:pos="11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Well-Known Seasoned Issuer. </w:t>
      </w:r>
      <w:r>
        <w:rPr>
          <w:rFonts w:ascii="Times New Roman" w:cs="Times New Roman" w:eastAsia="Times New Roman" w:hAnsi="Times New Roman"/>
          <w:sz w:val="18"/>
          <w:szCs w:val="18"/>
          <w:color w:val="auto"/>
        </w:rPr>
        <w:t>(A) At the original effectiveness of the Registration Statement, (B) at the time of the most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thereto for the purposes of complying with Section 10(a)(3) of the 1933 Act (whether such amendment was by post-effective amendment, incorporated report filed pursuant to Section 13 or 15(d) of the 1934 Act or form of prospectus), (C) at the time the Issuer or any person acting on its behalf (within the meaning, for this clause only, of Rule 163(c)) made any offer relating to the Notes in reliance on the exemption of Rule 163, (D) at the date of this Agreement and (E) at the Applicable Time, the Issuer was and is a “well-known seasoned issuer,” as defined in Rule 405.</w:t>
      </w:r>
    </w:p>
    <w:p>
      <w:pPr>
        <w:spacing w:after="0" w:line="18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Issuer and delivered to the Underwriters or to counsel for the Underwriters shall be deemed to be a representation and warranty by the Issuer to each Underwriter as to the matters set forth therein.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color w:val="auto"/>
        </w:rPr>
        <w:t>Purchase, Sale and Delivery of the Notes.</w:t>
      </w:r>
    </w:p>
    <w:p>
      <w:pPr>
        <w:spacing w:after="0" w:line="117" w:lineRule="exact"/>
        <w:rPr>
          <w:sz w:val="20"/>
          <w:szCs w:val="20"/>
          <w:color w:val="auto"/>
        </w:rPr>
      </w:pPr>
    </w:p>
    <w:p>
      <w:pPr>
        <w:ind w:left="660" w:hanging="24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Notes. </w:t>
      </w:r>
      <w:r>
        <w:rPr>
          <w:rFonts w:ascii="Times New Roman" w:cs="Times New Roman" w:eastAsia="Times New Roman" w:hAnsi="Times New Roman"/>
          <w:sz w:val="18"/>
          <w:szCs w:val="18"/>
          <w:color w:val="auto"/>
        </w:rPr>
        <w:t>The Issuer agrees to issue and sell to the Underwriters, severally and not jointly, all of the Notes, and subject to the</w:t>
      </w:r>
    </w:p>
    <w:p>
      <w:pPr>
        <w:spacing w:after="0" w:line="31" w:lineRule="exact"/>
        <w:rPr>
          <w:rFonts w:ascii="Times New Roman" w:cs="Times New Roman" w:eastAsia="Times New Roman" w:hAnsi="Times New Roman"/>
          <w:sz w:val="18"/>
          <w:szCs w:val="18"/>
          <w:color w:val="auto"/>
        </w:rPr>
      </w:pPr>
    </w:p>
    <w:p>
      <w:pPr>
        <w:ind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set forth herein, the Underwriters agree, severally and not jointly, to purchase from the Issuer the aggregate principal amount of Notes set forth opposite their names on Schedule A, at a purchase price of 99.702% of the principal amount thereof in the case of the 2031 Notes, at a purchase price of 99.457% of the principal amount thereof in the case of the 2033 Notes, at a purchase price of 99.564% of the principal amount thereof in the case of the 2036 Notes and at a purchase price of 98.881% of the principal amount thereof in the case of the 2056 Notes, in each case, payable on the Closing Date and on the basis of the representations, warranties and agreements herein contained, and upon the terms herein set forth.</w:t>
      </w:r>
    </w:p>
    <w:p>
      <w:pPr>
        <w:spacing w:after="0" w:line="77" w:lineRule="exact"/>
        <w:rPr>
          <w:rFonts w:ascii="Times New Roman" w:cs="Times New Roman" w:eastAsia="Times New Roman" w:hAnsi="Times New Roman"/>
          <w:sz w:val="18"/>
          <w:szCs w:val="18"/>
          <w:color w:val="auto"/>
        </w:rPr>
      </w:pPr>
    </w:p>
    <w:p>
      <w:pPr>
        <w:ind w:right="80" w:firstLine="419"/>
        <w:spacing w:after="0" w:line="26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Closing Date. </w:t>
      </w:r>
      <w:r>
        <w:rPr>
          <w:rFonts w:ascii="Times New Roman" w:cs="Times New Roman" w:eastAsia="Times New Roman" w:hAnsi="Times New Roman"/>
          <w:sz w:val="18"/>
          <w:szCs w:val="18"/>
          <w:color w:val="auto"/>
        </w:rPr>
        <w:t>Delivery of certificates for the Notes in definitive form to be purchased by the Underwriters and payment therefor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made at the offices of Simpson Thacher &amp; Bartlett LLP, 2475 Hanover Street, Palo Alto, California 94304 (or such other place as may be agreed to by the Issuer and the Representatives) at 9:00 a.m. New York City time, on January 13, 2026, or such other time and date as the Representatives and the Issuer shall mutually agree (the time and date of such closing are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60" w:firstLine="419"/>
        <w:spacing w:after="0" w:line="259" w:lineRule="auto"/>
        <w:tabs>
          <w:tab w:leader="none" w:pos="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of the Notes. </w:t>
      </w:r>
      <w:r>
        <w:rPr>
          <w:rFonts w:ascii="Times New Roman" w:cs="Times New Roman" w:eastAsia="Times New Roman" w:hAnsi="Times New Roman"/>
          <w:sz w:val="18"/>
          <w:szCs w:val="18"/>
          <w:color w:val="auto"/>
        </w:rPr>
        <w:t>The Issuer shall deliver, or cause to be delivered, to the Representatives for the accounts of the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certificates for the Notes at the Closing Date against the wire transfer of immediately available funds for the amount of the purchase price therefor. The certificates for the Notes shall be in such denominations and registered in the name of Cede &amp; Co., as nominee of the Depositary, and shall be made available for inspection on the business day preceding the Closing Date at a location in New York City, as the Representatives may designate.</w:t>
      </w:r>
    </w:p>
    <w:p>
      <w:pPr>
        <w:spacing w:after="0" w:line="71" w:lineRule="exact"/>
        <w:rPr>
          <w:rFonts w:ascii="Times New Roman" w:cs="Times New Roman" w:eastAsia="Times New Roman" w:hAnsi="Times New Roman"/>
          <w:sz w:val="18"/>
          <w:szCs w:val="18"/>
          <w:color w:val="auto"/>
        </w:rPr>
      </w:pPr>
    </w:p>
    <w:p>
      <w:pPr>
        <w:ind w:firstLine="419"/>
        <w:spacing w:after="0" w:line="268"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Public Offering of the Notes. </w:t>
      </w:r>
      <w:r>
        <w:rPr>
          <w:rFonts w:ascii="Times New Roman" w:cs="Times New Roman" w:eastAsia="Times New Roman" w:hAnsi="Times New Roman"/>
          <w:sz w:val="18"/>
          <w:szCs w:val="18"/>
          <w:color w:val="auto"/>
        </w:rPr>
        <w:t>The Representatives hereby advise the Issuer that the Underwriters intend to offer for sale to the public,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the General Disclosure Package and the Prospectus, their respective portions of the Notes as soon after the Applicable Time as the Representatives, in their sole judgment, have determined is advisable and practicable.</w:t>
      </w:r>
    </w:p>
    <w:p>
      <w:pPr>
        <w:spacing w:after="0" w:line="62" w:lineRule="exact"/>
        <w:rPr>
          <w:rFonts w:ascii="Times New Roman" w:cs="Times New Roman" w:eastAsia="Times New Roman" w:hAnsi="Times New Roman"/>
          <w:sz w:val="18"/>
          <w:szCs w:val="18"/>
          <w:color w:val="auto"/>
        </w:rPr>
      </w:pPr>
    </w:p>
    <w:p>
      <w:pPr>
        <w:ind w:firstLine="419"/>
        <w:spacing w:after="0" w:line="259" w:lineRule="auto"/>
        <w:tabs>
          <w:tab w:leader="none" w:pos="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for the Notes</w:t>
      </w:r>
      <w:r>
        <w:rPr>
          <w:rFonts w:ascii="Times New Roman" w:cs="Times New Roman" w:eastAsia="Times New Roman" w:hAnsi="Times New Roman"/>
          <w:sz w:val="18"/>
          <w:szCs w:val="18"/>
          <w:color w:val="auto"/>
        </w:rPr>
        <w:t>. Payment for the Notes shall be made to the Issuer on the Closing Date by wire transfer of immediately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to an account designated by the Issuer. It is understood that each Underwriter has authorized the Representatives, for its account, to accept delivery of, receipt for, and make payment of the purchase price for, the Notes which it has agreed to purchase. The Representatives may (but shall not be obligated to) make payment of the purchase price for the Notes to be purchased by any Underwriter whose funds have not been received by the Closing Date, but such payment shall not relieve such Underwriter from its obligations 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color w:val="auto"/>
        </w:rPr>
        <w:t>Additional Covenants.</w:t>
      </w:r>
      <w:r>
        <w:rPr>
          <w:rFonts w:ascii="Times New Roman" w:cs="Times New Roman" w:eastAsia="Times New Roman" w:hAnsi="Times New Roman"/>
          <w:sz w:val="18"/>
          <w:szCs w:val="18"/>
          <w:color w:val="auto"/>
        </w:rPr>
        <w:t xml:space="preserve"> The Issuer further covenants and agrees with each Underwriter as follows:</w:t>
      </w:r>
    </w:p>
    <w:p>
      <w:pPr>
        <w:spacing w:after="0" w:line="117" w:lineRule="exact"/>
        <w:rPr>
          <w:sz w:val="20"/>
          <w:szCs w:val="20"/>
          <w:color w:val="auto"/>
        </w:rPr>
      </w:pPr>
    </w:p>
    <w:p>
      <w:pPr>
        <w:ind w:right="180" w:firstLine="419"/>
        <w:spacing w:after="0" w:line="262" w:lineRule="auto"/>
        <w:tabs>
          <w:tab w:leader="none" w:pos="6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Commission Requests. </w:t>
      </w:r>
      <w:r>
        <w:rPr>
          <w:rFonts w:ascii="Times New Roman" w:cs="Times New Roman" w:eastAsia="Times New Roman" w:hAnsi="Times New Roman"/>
          <w:sz w:val="18"/>
          <w:szCs w:val="18"/>
          <w:color w:val="auto"/>
        </w:rPr>
        <w:t>The Issuer, subject to Section 3(k) hereof, will comply with the requirements of Rule 430B,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notify the Representatives immediately, and confirm the notice in writing, (i) when any post-effective amendment to the Registration Statement or any new registration statement relating to the Notes shall become effective or any amendment or supplement to the General Disclosure Package or the Prospectus shall have been used or filed, as the case may be, including any</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66" w:right="459" w:bottom="1440" w:gutter="0" w:footer="0" w:header="0"/>
        </w:sectPr>
      </w:pPr>
    </w:p>
    <w:bookmarkStart w:id="18" w:name="page19"/>
    <w:bookmarkEnd w:id="18"/>
    <w:p>
      <w:pPr>
        <w:ind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incorporated by reference therein, in each case only as permitted by this Section 3, (ii) of the receipt of any comments from the Commission to the Registration Statement, General Disclosure Package or the Prospectus, (iii) of any request by the Commission for any amendment to the Registration Statement or any amendment or supplement to the General Disclosure Package or the Prospectus, including any document incorporated by reference therein, or for additional information, (iv) of the issuance by the Commission of any stop order suspending the effectiveness of the Registration Statement or any post-effective amendment thereto or any notice of objection to the use of the Registration Statement or any post-effective amendment thereto pursuant to Rule 401(g)(2) or of the issuance of any order preventing or suspending the use of any preliminary prospectus or the Prospectus or any amendment or supplement thereto, or of the suspension of the qualification of the Notes for offering or sale in any jurisdiction, or of the initiation or threatening of any proceedings for any of such purposes or of any examination pursuant to Section 8(d) or 8(e) of the 1933 Act concerning the Registration Statement and (v) if the Issuer becomes the subject of a proceeding under Section 8A of the 1933 Act in connection with the offering of the Notes. The Issuer will effect all filings required under Rule 424(b), in the manner and within the time period required by Rule 424(b) (without reliance on Rule 424(b)(8)). The Issuer will use its reasonable best efforts to prevent the issuance of such stop order or the suspension of any such qualification and, if issued, to obtain as soon as possible the withdrawal thereof. The Issuer shall pay the required Commission filing fees relating to the Notes within the time required by Rule 456(b)(1)(i) of the 1933 Act Regulations without regard to the proviso therein and otherwise in accordance with Rules 456(b) and 457(r) of the 1933 Act Regulations.</w:t>
      </w:r>
    </w:p>
    <w:p>
      <w:pPr>
        <w:spacing w:after="0" w:line="72" w:lineRule="exact"/>
        <w:rPr>
          <w:sz w:val="20"/>
          <w:szCs w:val="20"/>
          <w:color w:val="auto"/>
        </w:rPr>
      </w:pPr>
    </w:p>
    <w:p>
      <w:pPr>
        <w:ind w:right="40" w:firstLine="419"/>
        <w:spacing w:after="0" w:line="254"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Preparation of Prospectus; Underwriters’ Review of Proposed Amendments and Supplements and Company Additional Written Communications. </w:t>
      </w:r>
      <w:r>
        <w:rPr>
          <w:rFonts w:ascii="Times New Roman" w:cs="Times New Roman" w:eastAsia="Times New Roman" w:hAnsi="Times New Roman"/>
          <w:sz w:val="18"/>
          <w:szCs w:val="18"/>
          <w:color w:val="auto"/>
        </w:rPr>
        <w:t>As promptly as practicable following the Applicable Time and in any event not later than the second business day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hereof, the Issuer will prepare and deliver to the Underwriters the Prospectus, which shall consist of the preliminary prospectus as modified only by the information contained in the General Disclosure Package. The Issuer will not amend or supplement the preliminary prospectus or the General Disclosure Package. The Issuer will not amend or supplement the Final Prospectus prior to the Closing Date unless the Representatives shall previously have been furnished a copy of the proposed amendment or supplement at least two business days prior to the proposed use or filing, and shall not have objected to such amendment or supplement. Before making, preparing, using, authorizing, approving or distributing any Company Additional Written Communication, the Issuer will furnish to the Representatives a copy of such written communication for review and will not make, prepare, use, authorize, approve or distribute any such written communication to which the Representatives reasonably object.</w:t>
      </w:r>
    </w:p>
    <w:p>
      <w:pPr>
        <w:spacing w:after="0" w:line="77" w:lineRule="exact"/>
        <w:rPr>
          <w:rFonts w:ascii="Times New Roman" w:cs="Times New Roman" w:eastAsia="Times New Roman" w:hAnsi="Times New Roman"/>
          <w:sz w:val="18"/>
          <w:szCs w:val="18"/>
          <w:color w:val="auto"/>
        </w:rPr>
      </w:pPr>
    </w:p>
    <w:p>
      <w:pPr>
        <w:ind w:firstLine="419"/>
        <w:spacing w:after="0" w:line="259" w:lineRule="auto"/>
        <w:tabs>
          <w:tab w:leader="none" w:pos="6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Filing or Use of Amendments or Supplements. </w:t>
      </w:r>
      <w:r>
        <w:rPr>
          <w:rFonts w:ascii="Times New Roman" w:cs="Times New Roman" w:eastAsia="Times New Roman" w:hAnsi="Times New Roman"/>
          <w:sz w:val="18"/>
          <w:szCs w:val="18"/>
          <w:color w:val="auto"/>
        </w:rPr>
        <w:t>The Issuer will give the Representatives written notice of its intention to file or use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the Registration Statement or any amendment or supplement to the General Disclosure Package or the Prospectus, whether pursuant to the 1933 Act, the 1933 Act Regulations, the 1934 Act or the 1934 Act Regulations or otherwise, from the Applicable Time to the later of (i) the time when a prospectus relating to the Notes is no longer required by the 1933 Act (without giving effect to Rule 172) to be delivered in connection with sales of</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and (ii) the Closing Date, and will furnish the Representatives with copies of any such amendment or supplement a reasonable amount of time prior to such proposed filing or use, as the case may be, and will not file or use any such amendment or supplement to which the Representatives or counsel for the Underwriters shall reasonably object. The Issuer hereby expressly acknowledges that the indemnification and contribution provisions of Sections 7 and 8 hereof are specifically applicable and relate to each prospectus, amendment or supplement referred to in this Section 3.</w:t>
      </w:r>
    </w:p>
    <w:p>
      <w:pPr>
        <w:spacing w:after="0" w:line="75" w:lineRule="exact"/>
        <w:rPr>
          <w:sz w:val="20"/>
          <w:szCs w:val="20"/>
          <w:color w:val="auto"/>
        </w:rPr>
      </w:pPr>
    </w:p>
    <w:p>
      <w:pPr>
        <w:ind w:left="680" w:hanging="26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Blue Sky Compliance. </w:t>
      </w:r>
      <w:r>
        <w:rPr>
          <w:rFonts w:ascii="Times New Roman" w:cs="Times New Roman" w:eastAsia="Times New Roman" w:hAnsi="Times New Roman"/>
          <w:sz w:val="18"/>
          <w:szCs w:val="18"/>
          <w:color w:val="auto"/>
        </w:rPr>
        <w:t>The Issuer shall cooperate with the Representatives and counsel for the Underwriters as the Underwriters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 from time to time to qualify or register (or to obtain exemptions from qualifying or registering) all or any part of the Notes for offer and sale under the securities laws of the several states of the United States, the provinces of Canada or any other jurisdictions reasonably designated by the Representatives, shall comply with such laws and shall continue such qualifications, registrations and exemptions in effect so long as required for the distribution of the Notes. The Issuer shall not be required to qualify as a foreign corporation or to take any action that would subject it to general service of process in any such jurisdiction where it is not presently qualified or where it would thereby become subject to taxation. The Issuer will advise the Representatives promptly of the suspension of the qualification or registration of (or any such exemption relating to) the Notes for offering, sale or trading in any jurisdiction or, if known to the Issuer, any initiation or threat of any proceeding for any such purpose, and in the event of the issuance of any order suspending such qualification, registration or exemption, the Issuer shall use its reasonable best efforts to obtain the withdrawal thereof at the earliest possible moment.</w:t>
      </w:r>
    </w:p>
    <w:p>
      <w:pPr>
        <w:spacing w:after="0" w:line="77" w:lineRule="exact"/>
        <w:rPr>
          <w:rFonts w:ascii="Times New Roman" w:cs="Times New Roman" w:eastAsia="Times New Roman" w:hAnsi="Times New Roman"/>
          <w:sz w:val="18"/>
          <w:szCs w:val="18"/>
          <w:color w:val="auto"/>
        </w:rPr>
      </w:pPr>
    </w:p>
    <w:p>
      <w:pPr>
        <w:ind w:right="380" w:firstLine="419"/>
        <w:spacing w:after="0" w:line="28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The Issuer shall apply the net proceeds from the sale of the Notes sold by them in the manner described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 “Use of Proceeds” in the General Disclosure Package.</w:t>
      </w:r>
    </w:p>
    <w:p>
      <w:pPr>
        <w:spacing w:after="0" w:line="46" w:lineRule="exact"/>
        <w:rPr>
          <w:rFonts w:ascii="Times New Roman" w:cs="Times New Roman" w:eastAsia="Times New Roman" w:hAnsi="Times New Roman"/>
          <w:sz w:val="18"/>
          <w:szCs w:val="18"/>
          <w:color w:val="auto"/>
        </w:rPr>
      </w:pPr>
    </w:p>
    <w:p>
      <w:pPr>
        <w:ind w:right="40" w:firstLine="419"/>
        <w:spacing w:after="0" w:line="286"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Depositary</w:t>
      </w:r>
      <w:r>
        <w:rPr>
          <w:rFonts w:ascii="Times New Roman" w:cs="Times New Roman" w:eastAsia="Times New Roman" w:hAnsi="Times New Roman"/>
          <w:sz w:val="18"/>
          <w:szCs w:val="18"/>
          <w:color w:val="auto"/>
        </w:rPr>
        <w:t>. The Issuer will cooperate with the Underwriters and use their reasonable best efforts to permit the Notes to be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clearance and settlement through the facilities of the Depositary.</w:t>
      </w:r>
    </w:p>
    <w:p>
      <w:pPr>
        <w:spacing w:after="0" w:line="5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right="40" w:firstLine="419"/>
        <w:spacing w:after="0" w:line="256" w:lineRule="auto"/>
        <w:tabs>
          <w:tab w:leader="none" w:pos="6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Not To Offer or Sell Additional Securities. </w:t>
      </w:r>
      <w:r>
        <w:rPr>
          <w:rFonts w:ascii="Times New Roman" w:cs="Times New Roman" w:eastAsia="Times New Roman" w:hAnsi="Times New Roman"/>
          <w:sz w:val="18"/>
          <w:szCs w:val="18"/>
          <w:color w:val="auto"/>
        </w:rPr>
        <w:t>During the period commencing on the date hereof and ending on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Issuer will not, without the prior written consent of the Representatives (which consent may be withheld at the sole discretion of the Representatives), directly or indirectly, sell, offer, contract or grant any option to sell, pledge, transfer or establish an open “put equivalent position” within the meaning of Rule 16a-1 under the 1934 Act, or otherwise dispose of or transfer, or announce the offering of, or file any registration statement under the 1933 Act in respect of, any debt securities of the Issuer or securities exchangeable for or convertible into debt securities of the Issuer (other than as contemplated by this Agreement or issuances under the Issuer’s commercial paper issuing and paying agent agreement).</w:t>
      </w:r>
    </w:p>
    <w:p>
      <w:pPr>
        <w:spacing w:after="0" w:line="1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0"/>
          </w:cols>
          <w:pgMar w:left="880" w:top="270" w:right="539" w:bottom="1440" w:gutter="0" w:footer="0" w:header="0"/>
        </w:sectPr>
      </w:pPr>
    </w:p>
    <w:bookmarkStart w:id="20" w:name="page21"/>
    <w:bookmarkEnd w:id="20"/>
    <w:p>
      <w:pPr>
        <w:ind w:left="644" w:hanging="221"/>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3" w:lineRule="exact"/>
        <w:rPr>
          <w:rFonts w:ascii="Times New Roman" w:cs="Times New Roman" w:eastAsia="Times New Roman" w:hAnsi="Times New Roman"/>
          <w:sz w:val="18"/>
          <w:szCs w:val="18"/>
          <w:color w:val="auto"/>
        </w:rPr>
      </w:pPr>
    </w:p>
    <w:p>
      <w:pPr>
        <w:ind w:left="4" w:firstLine="419"/>
        <w:spacing w:after="0" w:line="270" w:lineRule="auto"/>
        <w:tabs>
          <w:tab w:leader="none" w:pos="68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Continued Compliance with Securities Law. </w:t>
      </w:r>
      <w:r>
        <w:rPr>
          <w:rFonts w:ascii="Times New Roman" w:cs="Times New Roman" w:eastAsia="Times New Roman" w:hAnsi="Times New Roman"/>
          <w:sz w:val="17"/>
          <w:szCs w:val="17"/>
          <w:color w:val="auto"/>
        </w:rPr>
        <w:t>If at any time when a prospectus relating to the Notes is (or, but for the exception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afforded by Rule 172 of the 1933 Act Regulations (“</w:t>
      </w:r>
      <w:r>
        <w:rPr>
          <w:rFonts w:ascii="Times New Roman" w:cs="Times New Roman" w:eastAsia="Times New Roman" w:hAnsi="Times New Roman"/>
          <w:sz w:val="17"/>
          <w:szCs w:val="17"/>
          <w:b w:val="1"/>
          <w:bCs w:val="1"/>
          <w:color w:val="auto"/>
        </w:rPr>
        <w:t>Rule 172</w:t>
      </w:r>
      <w:r>
        <w:rPr>
          <w:rFonts w:ascii="Times New Roman" w:cs="Times New Roman" w:eastAsia="Times New Roman" w:hAnsi="Times New Roman"/>
          <w:sz w:val="17"/>
          <w:szCs w:val="17"/>
          <w:color w:val="auto"/>
        </w:rPr>
        <w:t>”), would be) required by the 1933 Act to be delivered by an Underwriter in connection with sales of the Notes any event shall occur or condition shall exist as a result of which it is necessary, in the opinion of counsel for the Underwriters or for the Issuer,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including, without limitation, any document incorporated therein by reference, in order to comply with the applicable requirements of the 1933 Act, the 1933 Act Regulations, the 1934 Act or the 1934 Act Regulations, the Issuer will promptly (A) give the Representatives written notice of such event or condition,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and use its commercially reasonable efforts to have any amendment to the Registration Statement declared effective by the Commission as soon as possible if the Issuer is no longer eligible to file an automatic shelf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Issuer shall not file or use any such amendment or supplement to which the Representatives or counsel for the Underwriters shall reasonably object.</w:t>
      </w:r>
    </w:p>
    <w:p>
      <w:pPr>
        <w:spacing w:after="0" w:line="80" w:lineRule="exact"/>
        <w:rPr>
          <w:rFonts w:ascii="Times New Roman" w:cs="Times New Roman" w:eastAsia="Times New Roman" w:hAnsi="Times New Roman"/>
          <w:sz w:val="18"/>
          <w:szCs w:val="18"/>
          <w:color w:val="auto"/>
        </w:rPr>
      </w:pPr>
    </w:p>
    <w:p>
      <w:pPr>
        <w:ind w:left="4" w:right="100" w:firstLine="419"/>
        <w:spacing w:after="0" w:line="259" w:lineRule="auto"/>
        <w:tabs>
          <w:tab w:leader="none" w:pos="6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of Prospectuses. </w:t>
      </w:r>
      <w:r>
        <w:rPr>
          <w:rFonts w:ascii="Times New Roman" w:cs="Times New Roman" w:eastAsia="Times New Roman" w:hAnsi="Times New Roman"/>
          <w:sz w:val="18"/>
          <w:szCs w:val="18"/>
          <w:color w:val="auto"/>
        </w:rPr>
        <w:t>The Issuer has delivered to each Underwriter, without charge, as many copies of each preliminary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such Underwriter reasonably requested. The Issuer will furnish to each Underwriter, without charge, during the period when a prospectus relating to the Notes is (or, but for the exception afforded by Rule 172, would be) required by the 1933 Act to be delivered to Underwriters in connection with sales of the Notes, such number of copies of the Prospectus (as amended or supplemented) as such Underwriter may reasonably request.</w:t>
      </w:r>
    </w:p>
    <w:p>
      <w:pPr>
        <w:spacing w:after="0" w:line="71" w:lineRule="exact"/>
        <w:rPr>
          <w:rFonts w:ascii="Times New Roman" w:cs="Times New Roman" w:eastAsia="Times New Roman" w:hAnsi="Times New Roman"/>
          <w:sz w:val="18"/>
          <w:szCs w:val="18"/>
          <w:color w:val="auto"/>
        </w:rPr>
      </w:pPr>
    </w:p>
    <w:p>
      <w:pPr>
        <w:ind w:left="4" w:right="360" w:firstLine="419"/>
        <w:spacing w:after="0" w:line="268" w:lineRule="auto"/>
        <w:tabs>
          <w:tab w:leader="none" w:pos="73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 Statements. </w:t>
      </w:r>
      <w:r>
        <w:rPr>
          <w:rFonts w:ascii="Times New Roman" w:cs="Times New Roman" w:eastAsia="Times New Roman" w:hAnsi="Times New Roman"/>
          <w:sz w:val="18"/>
          <w:szCs w:val="18"/>
          <w:color w:val="auto"/>
        </w:rPr>
        <w:t>The Issuer will timely file such reports pursuant to the 1934 Act as are necessary in order to make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its securityholders as soon as practicable an earning statement for the purposes of, and to provide to the Underwriters the benefits contemplated by, the last paragraph of Section 11(a) of the 1933 Act.</w:t>
      </w:r>
    </w:p>
    <w:p>
      <w:pPr>
        <w:spacing w:after="0" w:line="10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4"/>
          </w:cols>
          <w:pgMar w:left="876" w:top="270" w:right="479" w:bottom="1440" w:gutter="0" w:footer="0" w:header="0"/>
        </w:sectPr>
      </w:pPr>
    </w:p>
    <w:bookmarkStart w:id="21" w:name="page22"/>
    <w:bookmarkEnd w:id="21"/>
    <w:p>
      <w:pPr>
        <w:ind w:right="20" w:firstLine="419"/>
        <w:spacing w:after="0" w:line="262"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Reporting Requirements. </w:t>
      </w:r>
      <w:r>
        <w:rPr>
          <w:rFonts w:ascii="Times New Roman" w:cs="Times New Roman" w:eastAsia="Times New Roman" w:hAnsi="Times New Roman"/>
          <w:sz w:val="18"/>
          <w:szCs w:val="18"/>
          <w:color w:val="auto"/>
        </w:rPr>
        <w:t>The Issuer, during the period when a prospectus relating to the Notes is (or, but for the exception afforded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172, would be) required by the 1933 Act to be delivered in connection with sales of the Notes, will file all documents required to be filed with the Commission pursuant to the 1934 Act within the time periods required by, and each such document will meet the requirements of, the 1934 Act and 1934 Act Regulations.</w:t>
      </w:r>
    </w:p>
    <w:p>
      <w:pPr>
        <w:spacing w:after="0" w:line="68" w:lineRule="exact"/>
        <w:rPr>
          <w:rFonts w:ascii="Times New Roman" w:cs="Times New Roman" w:eastAsia="Times New Roman" w:hAnsi="Times New Roman"/>
          <w:sz w:val="18"/>
          <w:szCs w:val="18"/>
          <w:color w:val="auto"/>
        </w:rPr>
      </w:pPr>
    </w:p>
    <w:p>
      <w:pPr>
        <w:ind w:right="100" w:firstLine="419"/>
        <w:spacing w:after="0" w:line="259"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Final Term Sheet</w:t>
      </w:r>
      <w:r>
        <w:rPr>
          <w:rFonts w:ascii="Times New Roman" w:cs="Times New Roman" w:eastAsia="Times New Roman" w:hAnsi="Times New Roman"/>
          <w:sz w:val="18"/>
          <w:szCs w:val="18"/>
          <w:color w:val="auto"/>
        </w:rPr>
        <w:t>. The Issuer will prepare a final term sheet (a “</w:t>
      </w:r>
      <w:r>
        <w:rPr>
          <w:rFonts w:ascii="Times New Roman" w:cs="Times New Roman" w:eastAsia="Times New Roman" w:hAnsi="Times New Roman"/>
          <w:sz w:val="18"/>
          <w:szCs w:val="18"/>
          <w:b w:val="1"/>
          <w:bCs w:val="1"/>
          <w:color w:val="auto"/>
        </w:rPr>
        <w:t>Final Term Sheet</w:t>
      </w:r>
      <w:r>
        <w:rPr>
          <w:rFonts w:ascii="Times New Roman" w:cs="Times New Roman" w:eastAsia="Times New Roman" w:hAnsi="Times New Roman"/>
          <w:sz w:val="18"/>
          <w:szCs w:val="18"/>
          <w:color w:val="auto"/>
        </w:rPr>
        <w:t>”) containing only a description of the final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and their offering, in a form approved by the Underwriters and attached as Schedule C hereto, and acknowledges that the Final Term Sheet is an Issuer Free Writing Prospectus and will comply with its related obligations set forth in Section 3(p) hereof. The Issuer will furnish to each Underwriter, without charge, a copy of the Final Term Sheet promptly upon its completion, which requirement may be satisfied by delivery of the Final Term Sheet by telecopier, facsimile or other electronic transmission (i.e., a “pdf” or “tif”).</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Issuer Free Writing Prospectuses. </w:t>
      </w:r>
      <w:r>
        <w:rPr>
          <w:rFonts w:ascii="Times New Roman" w:cs="Times New Roman" w:eastAsia="Times New Roman" w:hAnsi="Times New Roman"/>
          <w:sz w:val="18"/>
          <w:szCs w:val="18"/>
          <w:color w:val="auto"/>
        </w:rPr>
        <w:t>Prior to the Closing Date, the Issuer agrees that, unless it obtains the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Representatives it will not make any offer relating to the Notes that would constitute an Issuer Free Writing Prospectus or that would otherwise constitute a “free writing prospectus,” or a portion thereof, required to be filed by the Issuer with the Commission or retained by the Issuer under Rule 433;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Representatives will be deemed to have consented to the Issuer General Use Free Writing Prospectuses listed on Schedule B hereto and any “road show that is a written communication” within the meaning of Rule 433(d)(8)(i) that has been reviewed by the Representatives.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the Representatives in writing and will promptly amend or supplement, at its own expense, such Issuer Free Writing Prospectus to eliminate or correct such conflict, untrue statement or omission.</w:t>
      </w:r>
    </w:p>
    <w:p>
      <w:pPr>
        <w:spacing w:after="0" w:line="74"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Eligibility of Automatic Shelf Registration Statement Form. </w:t>
      </w:r>
      <w:r>
        <w:rPr>
          <w:rFonts w:ascii="Times New Roman" w:cs="Times New Roman" w:eastAsia="Times New Roman" w:hAnsi="Times New Roman"/>
          <w:sz w:val="18"/>
          <w:szCs w:val="18"/>
          <w:color w:val="auto"/>
        </w:rPr>
        <w:t>If at any time when Notes remain unsold by the Underwriters the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receives a notice from the Commission pursuant to Rule 401(g)(2) or otherwise ceases to be eligible to use the automatic shelf registration statement form, the Issuer will (i) promptly notify the Representatives in writing, (ii) use its reasonable best efforts to promptly file a new registration statement or post-effective amendment on the proper form relating to such Notes, in a form and substance satisfactory to the Underwriters, (iii) use its reasonable best efforts to cause such registration statement or post-effective amendment to be declared effective as soon as practicable and (iv) promptly notify the Representatives in writing of such effectiveness. The Issuer will use its reasonable best efforts to take all other action necessary or appropriate to permit the public offering and sale of the Notes to continue as contemplated in the Registration Statement that was the subject of the Rule 401(g)(2) notice or for which the Issuer has otherwise become ineligible. References herein to the “Registration Statement” shall include such new registration statement or post-effective amendment, as the case may be.</w:t>
      </w:r>
    </w:p>
    <w:p>
      <w:pPr>
        <w:spacing w:after="0" w:line="1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20"/>
          </w:cols>
          <w:pgMar w:left="880" w:top="266" w:right="499" w:bottom="1440" w:gutter="0" w:footer="0" w:header="0"/>
        </w:sectPr>
      </w:pPr>
    </w:p>
    <w:bookmarkStart w:id="22" w:name="page23"/>
    <w:bookmarkEnd w:id="22"/>
    <w:p>
      <w:pPr>
        <w:ind w:left="444" w:right="540" w:firstLine="419"/>
        <w:spacing w:after="0" w:line="268"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Manipulation of Price. </w:t>
      </w:r>
      <w:r>
        <w:rPr>
          <w:rFonts w:ascii="Times New Roman" w:cs="Times New Roman" w:eastAsia="Times New Roman" w:hAnsi="Times New Roman"/>
          <w:sz w:val="18"/>
          <w:szCs w:val="18"/>
          <w:color w:val="auto"/>
        </w:rPr>
        <w:t>In connection with the offering of the Notes, the Issuer will not take, directly or indirectly,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cause or result in, or that has constituted or might reasonably be expected to constitute, under the 1934 Act or otherwise, the stabilization or manipulation of the price of any securities of the Issuer to facilitate the sale or resale of the Notes.</w:t>
      </w:r>
    </w:p>
    <w:p>
      <w:pPr>
        <w:spacing w:after="0" w:line="17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Representatives on behalf of the several Underwriters may, in their sole discretion, waive in writing the performance by the Issuer of any one or more of the foregoing covenants or extend the time for their performance.</w:t>
      </w:r>
    </w:p>
    <w:p>
      <w:pPr>
        <w:spacing w:after="0" w:line="15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Payment of Expenses.</w:t>
      </w:r>
      <w:r>
        <w:rPr>
          <w:rFonts w:ascii="Times New Roman" w:cs="Times New Roman" w:eastAsia="Times New Roman" w:hAnsi="Times New Roman"/>
          <w:sz w:val="18"/>
          <w:szCs w:val="18"/>
          <w:color w:val="auto"/>
        </w:rPr>
        <w:t xml:space="preserve"> The Issuer agrees to pay all costs, fees and expenses incurred in connection with the performance of its obligations hereunder and in connection with the transactions contemplated hereby, including, without limitation, (i) all expenses incident to the issuance and delivery of the Notes (including all printing and engraving costs), (ii) all necessary issue, transfer and other stamp taxes in connection with the issuance and sale of the Notes to the Underwriters, (iii) all fees and expenses of the Issuer’s counsel, independent public or certified public accountants and other advisors to the Issuer, (iv) all costs and expenses incurred in connection with the preparation, printing, filing, shipping and distribution (including any form of electronic distribution) of the preliminary prospectus, each Issuer Free Writing Prospectus and the Prospectus and any amendments or supplements thereto and any costs associated with electronic delivery of any of the foregoing by the Underwriters to investors,</w:t>
      </w:r>
    </w:p>
    <w:p>
      <w:pPr>
        <w:spacing w:after="0" w:line="1" w:lineRule="exact"/>
        <w:rPr>
          <w:sz w:val="20"/>
          <w:szCs w:val="20"/>
          <w:color w:val="auto"/>
        </w:rPr>
      </w:pPr>
    </w:p>
    <w:p>
      <w:pPr>
        <w:ind w:left="4" w:right="40" w:hanging="4"/>
        <w:spacing w:after="0" w:line="251"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fees, attorneys’ fees and expenses incurred by the Issuer in connection with qualifying or registering (or obtaining exemptions from the qualification or registration of) all or any part of the Notes for offer and sale under the securities laws of the several states of the United States, the provinces of Canada or other jurisdictions designated by the Underwriters (including, without limitation, the cost of preparing, printing and mailing preliminary and final “blue sky” or legal investment memoranda and any related supplements to each Issuer Free Writing Prospectus and the Prospectus), (vi) the fees and expenses of the Trustee, including the fees and disbursements of counsel for the Trustee in connection with the Indenture and the Notes, (vii) any fees payable in connection with the rating of the Notes with the ratings agencies, (viii) all fees and expenses (including reasonable fees and expenses of counsel) of the Issuer in connection with approval of the Notes by the Depositary for “book-entry” transfer, (ix) the filing fees incident to, and the reasonable and documented fees and disbursements of one counsel to the Underwriters in connection with, the review by FINRA, if required, of the terms of the sale of the Notes, and (x) all other fees, costs and expenses in connection with the performance by the Issuer of its other obligations under this Agreement. Except as provided in this Section 4 and Sections 6, 7 and 8 hereof, the Underwriters shall pay their own expenses, including the fees and disbursements of their counsel and any stamp or transfer taxes in connection with the transfer of the Notes by them.</w:t>
      </w:r>
    </w:p>
    <w:p>
      <w:pPr>
        <w:spacing w:after="0" w:line="1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4"/>
          </w:cols>
          <w:pgMar w:left="436" w:top="266" w:right="519" w:bottom="1440" w:gutter="0" w:footer="0" w:header="0"/>
        </w:sectPr>
      </w:pPr>
    </w:p>
    <w:bookmarkStart w:id="23" w:name="page24"/>
    <w:bookmarkEnd w:id="23"/>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b w:val="1"/>
          <w:bCs w:val="1"/>
          <w:color w:val="auto"/>
        </w:rPr>
        <w:t>Conditions of the Obligations of the Underwriters.</w:t>
      </w:r>
      <w:r>
        <w:rPr>
          <w:rFonts w:ascii="Times New Roman" w:cs="Times New Roman" w:eastAsia="Times New Roman" w:hAnsi="Times New Roman"/>
          <w:sz w:val="18"/>
          <w:szCs w:val="18"/>
          <w:color w:val="auto"/>
        </w:rPr>
        <w:t xml:space="preserve"> The obligations of the several Underwriters to purchase and pay for the Notes as provided herein on the Closing Date shall be subject to the accuracy of the representations and warranties on the part of the Issuer set forth in Section 1 hereof as of the date hereof and as of the Closing Date as though then made and to the timely performance by the Issuer of their covenants and other obligations hereunder, and to each of the following additional conditions:</w:t>
      </w:r>
    </w:p>
    <w:p>
      <w:pPr>
        <w:spacing w:after="0" w:line="68" w:lineRule="exact"/>
        <w:rPr>
          <w:sz w:val="20"/>
          <w:szCs w:val="20"/>
          <w:color w:val="auto"/>
        </w:rPr>
      </w:pPr>
    </w:p>
    <w:p>
      <w:pPr>
        <w:ind w:left="440" w:right="320" w:firstLine="419"/>
        <w:spacing w:after="0" w:line="259" w:lineRule="auto"/>
        <w:tabs>
          <w:tab w:leader="none" w:pos="11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Accountant’s Comfort Letter. </w:t>
      </w:r>
      <w:r>
        <w:rPr>
          <w:rFonts w:ascii="Times New Roman" w:cs="Times New Roman" w:eastAsia="Times New Roman" w:hAnsi="Times New Roman"/>
          <w:sz w:val="18"/>
          <w:szCs w:val="18"/>
          <w:color w:val="auto"/>
        </w:rPr>
        <w:t>On the date hereof, the Underwriters shall have received from PricewaterhouseCoopers LLP,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Issuer and its subsidiaries, a “comfort letter” dated the date hereof addressed to the Underwriters, in form and substance satisfactory to the Representatives, covering the financial information of the Issuer and its subsidiaries included or incorporated by reference in the Registration Statement, the General Disclosure Package and the Prospectus (the “</w:t>
      </w:r>
      <w:r>
        <w:rPr>
          <w:rFonts w:ascii="Times New Roman" w:cs="Times New Roman" w:eastAsia="Times New Roman" w:hAnsi="Times New Roman"/>
          <w:sz w:val="18"/>
          <w:szCs w:val="18"/>
          <w:b w:val="1"/>
          <w:bCs w:val="1"/>
          <w:color w:val="auto"/>
        </w:rPr>
        <w:t>Issuer Comfort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firstLine="419"/>
        <w:spacing w:after="0" w:line="259"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Bring-down Comfort Letter. </w:t>
      </w:r>
      <w:r>
        <w:rPr>
          <w:rFonts w:ascii="Times New Roman" w:cs="Times New Roman" w:eastAsia="Times New Roman" w:hAnsi="Times New Roman"/>
          <w:sz w:val="18"/>
          <w:szCs w:val="18"/>
          <w:color w:val="auto"/>
        </w:rPr>
        <w:t>On the Closing Date, the Underwriters shall have received from PricewaterhouseCoopers LLP a “bring-down comfort letter” dated the Closing Date addressed to the Underwriters, in form and substance satisfactory to the Representatives, in the form of the Issuer Comfort Letter, except that (i) the Issuer Comfort Letter shall cover the financial information included or incorporated by reference in the Final Prospectus and any amendment or supplement thereto and (ii) procedures shall be brought down to a date no more than 3 business days prior to the Closing Date.</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86" w:lineRule="auto"/>
        <w:tabs>
          <w:tab w:leader="none" w:pos="11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Material Adverse Change or Ratings Agency Change. </w:t>
      </w:r>
      <w:r>
        <w:rPr>
          <w:rFonts w:ascii="Times New Roman" w:cs="Times New Roman" w:eastAsia="Times New Roman" w:hAnsi="Times New Roman"/>
          <w:sz w:val="18"/>
          <w:szCs w:val="18"/>
          <w:color w:val="auto"/>
        </w:rPr>
        <w:t>For the period from and after the date of this Agreement and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w:t>
      </w:r>
    </w:p>
    <w:p>
      <w:pPr>
        <w:spacing w:after="0" w:line="50"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Representatives there shall not have occurred any Material Adverse Change; and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Notes of the Issuer or any of its subsidiaries by any “nationally recognized statistical rating organization” as such term is defined for the purposes of Section 3(a)(62) of the 1934 Act.</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8"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 of U.S. Counsel for the Issuer. </w:t>
      </w:r>
      <w:r>
        <w:rPr>
          <w:rFonts w:ascii="Times New Roman" w:cs="Times New Roman" w:eastAsia="Times New Roman" w:hAnsi="Times New Roman"/>
          <w:sz w:val="18"/>
          <w:szCs w:val="18"/>
          <w:color w:val="auto"/>
        </w:rPr>
        <w:t>On the Closing Date the Underwriters shall have received the opinions of Wachtell, Lipton,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Rosen &amp; Katz, U.S. counsel for the Issuer, dated as of such Closing Date, substantially in the forms agreed to between U.S. counsel for the Issuer and Simpson Thacher &amp; Bartlett LLP, counsel for the Underwriters, on or prior to the date hereof.</w:t>
      </w:r>
    </w:p>
    <w:p>
      <w:pPr>
        <w:spacing w:after="0" w:line="66"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 of Counsel for the Underwriters. </w:t>
      </w:r>
      <w:r>
        <w:rPr>
          <w:rFonts w:ascii="Times New Roman" w:cs="Times New Roman" w:eastAsia="Times New Roman" w:hAnsi="Times New Roman"/>
          <w:sz w:val="18"/>
          <w:szCs w:val="18"/>
          <w:color w:val="auto"/>
        </w:rPr>
        <w:t>On the Closing Date the Underwriters shall have received the opinion of Simpson</w:t>
      </w:r>
    </w:p>
    <w:p>
      <w:pPr>
        <w:spacing w:after="0" w:line="31" w:lineRule="exact"/>
        <w:rPr>
          <w:sz w:val="20"/>
          <w:szCs w:val="20"/>
          <w:color w:val="auto"/>
        </w:rPr>
      </w:pPr>
    </w:p>
    <w:p>
      <w:pPr>
        <w:ind w:left="440" w:right="60"/>
        <w:spacing w:after="0" w:line="260" w:lineRule="auto"/>
        <w:rPr>
          <w:sz w:val="20"/>
          <w:szCs w:val="20"/>
          <w:color w:val="auto"/>
        </w:rPr>
      </w:pPr>
      <w:r>
        <w:rPr>
          <w:rFonts w:ascii="Times New Roman" w:cs="Times New Roman" w:eastAsia="Times New Roman" w:hAnsi="Times New Roman"/>
          <w:sz w:val="18"/>
          <w:szCs w:val="18"/>
          <w:color w:val="auto"/>
        </w:rPr>
        <w:t>Thacher &amp; Bartlett LLP, counsel for the Underwriters, dated as of such Closing Date, with respect to such matters as may be reasonably requested by the Underwriters.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4" w:name="page25"/>
    <w:bookmarkEnd w:id="24"/>
    <w:p>
      <w:pPr>
        <w:jc w:val="both"/>
        <w:ind w:right="220" w:firstLine="419"/>
        <w:spacing w:after="0" w:line="268" w:lineRule="auto"/>
        <w:tabs>
          <w:tab w:leader="none" w:pos="6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Officers’ Certificate. </w:t>
      </w:r>
      <w:r>
        <w:rPr>
          <w:rFonts w:ascii="Times New Roman" w:cs="Times New Roman" w:eastAsia="Times New Roman" w:hAnsi="Times New Roman"/>
          <w:sz w:val="18"/>
          <w:szCs w:val="18"/>
          <w:color w:val="auto"/>
        </w:rPr>
        <w:t>On the Closing Date, the Underwriters shall have received a written certificate executed by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Chief Financial Officer of the Issuer and an authorized officer of the Issuer reasonably satisfactory to the Representatives, dated as of the Closing Date, to the effect set forth in Section 5(c)(ii) hereof, and further to the effect that:</w:t>
      </w:r>
    </w:p>
    <w:p>
      <w:pPr>
        <w:spacing w:after="0" w:line="66"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after the date of this Agreement and prior to the Closing Date there has not occurred any Material Adverse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w:t>
      </w:r>
    </w:p>
    <w:p>
      <w:pPr>
        <w:spacing w:after="0" w:line="98" w:lineRule="exact"/>
        <w:rPr>
          <w:rFonts w:ascii="Times New Roman" w:cs="Times New Roman" w:eastAsia="Times New Roman" w:hAnsi="Times New Roman"/>
          <w:sz w:val="18"/>
          <w:szCs w:val="18"/>
          <w:color w:val="auto"/>
        </w:rPr>
      </w:pPr>
    </w:p>
    <w:p>
      <w:pPr>
        <w:ind w:left="540" w:right="140" w:firstLine="408"/>
        <w:spacing w:after="0" w:line="289" w:lineRule="auto"/>
        <w:tabs>
          <w:tab w:leader="none" w:pos="120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Issuer set forth in Section 1 hereof are true and correct in all material respects (except for any such representations and warranties that are qualified as to materiality, which representations and warranties shall be true and correct in all respects) as of the Closing Date with the same force and effect as though expressly made on and as of the Closing Date; and</w:t>
      </w:r>
    </w:p>
    <w:p>
      <w:pPr>
        <w:spacing w:after="0" w:line="49" w:lineRule="exact"/>
        <w:rPr>
          <w:rFonts w:ascii="Times New Roman" w:cs="Times New Roman" w:eastAsia="Times New Roman" w:hAnsi="Times New Roman"/>
          <w:sz w:val="17"/>
          <w:szCs w:val="17"/>
          <w:color w:val="auto"/>
        </w:rPr>
      </w:pPr>
    </w:p>
    <w:p>
      <w:pPr>
        <w:ind w:left="540" w:right="340" w:firstLine="408"/>
        <w:spacing w:after="0" w:line="282" w:lineRule="auto"/>
        <w:tabs>
          <w:tab w:leader="none" w:pos="12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complied in all material respects with all the agreements hereunder and satisfied in all material respects all the conditions on its part to be performed or satisfied hereunder at or prior to the Closing Date.</w:t>
      </w:r>
    </w:p>
    <w:p>
      <w:pPr>
        <w:spacing w:after="0" w:line="54" w:lineRule="exact"/>
        <w:rPr>
          <w:sz w:val="20"/>
          <w:szCs w:val="20"/>
          <w:color w:val="auto"/>
        </w:rPr>
      </w:pPr>
    </w:p>
    <w:p>
      <w:pPr>
        <w:ind w:left="640" w:hanging="2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right="220" w:firstLine="419"/>
        <w:spacing w:after="0" w:line="286"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The Issuer shall have executed and delivered the Supplemental Indenture, in form and substance reasonably satisfactory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Underwriters, and the Underwriters shall have received executed copies thereof.</w:t>
      </w:r>
    </w:p>
    <w:p>
      <w:pPr>
        <w:spacing w:after="0" w:line="50"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right="180" w:firstLine="419"/>
        <w:spacing w:after="0" w:line="262" w:lineRule="auto"/>
        <w:tabs>
          <w:tab w:leader="none" w:pos="7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Documents. </w:t>
      </w:r>
      <w:r>
        <w:rPr>
          <w:rFonts w:ascii="Times New Roman" w:cs="Times New Roman" w:eastAsia="Times New Roman" w:hAnsi="Times New Roman"/>
          <w:sz w:val="18"/>
          <w:szCs w:val="18"/>
          <w:color w:val="auto"/>
        </w:rPr>
        <w:t>On or before the Closing Date, the Underwriters and counsel for the Underwriters shall have received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documents and opinions as they may reasonably require for the purposes of enabling them to pass upon the issuance and sale of the Notes as contemplated herein, or in order to evidence the accuracy of any of the representations and warranties, or the satisfaction of any of the conditions or agreements, herein contained.</w:t>
      </w:r>
    </w:p>
    <w:p>
      <w:pPr>
        <w:spacing w:after="0" w:line="68" w:lineRule="exact"/>
        <w:rPr>
          <w:rFonts w:ascii="Times New Roman" w:cs="Times New Roman" w:eastAsia="Times New Roman" w:hAnsi="Times New Roman"/>
          <w:sz w:val="18"/>
          <w:szCs w:val="18"/>
          <w:color w:val="auto"/>
        </w:rPr>
      </w:pPr>
    </w:p>
    <w:p>
      <w:pPr>
        <w:ind w:firstLine="419"/>
        <w:spacing w:after="0" w:line="272" w:lineRule="auto"/>
        <w:tabs>
          <w:tab w:leader="none" w:pos="67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Effectiveness of Registration Statement</w:t>
      </w:r>
      <w:r>
        <w:rPr>
          <w:rFonts w:ascii="Times New Roman" w:cs="Times New Roman" w:eastAsia="Times New Roman" w:hAnsi="Times New Roman"/>
          <w:sz w:val="17"/>
          <w:szCs w:val="17"/>
          <w:color w:val="auto"/>
        </w:rPr>
        <w:t>. The Registration Statement was filed by the Issuer with the Commission not earlier than three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years prior to the date hereof and became effective upon filing in accordance with Rule 462(e). Each preliminary prospectus, each Issuer Free Writing Prospectus and the Prospectus have been filed as required by Rule 424(b) (without reliance on Rule 424(b)(8)) and Rule 433, as applicable, within the time period prescribed by, and in compliance with, the 1933 Act Regulations. No stop order suspending the effectiveness of the Registration Statement or any post-effective amendment thereto has been issued under the 1933 Act, no notice of objection to the use of the Registration Statement or any post-effective amendment thereto pursuant to Rule 401(g)(2) has been received by the Issuer, no order preventing or suspending the use of any preliminary prospectus or the Prospectus or any amendment or supplement thereto has been issued and no proceedings for any of those purposes have been instituted or are pending or, to the Issuer’s knowledge, contemplated. The Issuer has complied with each</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66" w:right="459" w:bottom="1440" w:gutter="0" w:footer="0" w:header="0"/>
        </w:sectPr>
      </w:pPr>
    </w:p>
    <w:bookmarkStart w:id="25" w:name="page26"/>
    <w:bookmarkEnd w:id="25"/>
    <w:p>
      <w:pPr>
        <w:ind w:left="44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 (if any) from the Commission for additional information. The Issuer shall have paid the required Commission filing fees relating to the Notes within the time period required by Rule 456(b)(1)(i) of the 1933 Act Regulations without regard to the proviso therein and otherwise in accordance with Rules 456(b) and 457(r) of the 1933 Act Regulations and, if applicable, shall have updated the “Calculation of Registration Fee” table in accordance with Rule 456(b)(1)(ii) in a post-effective amendment to the Registration Statement.</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Representatives by notice to the Issuer at any time on or prior to the Closing Date, which termination shall be without liability on the part of any party to any other party, except that Sections 4, 6, 7, 8 and 15 hereof shall at all times be effective and shall survive such termination.</w:t>
      </w:r>
    </w:p>
    <w:p>
      <w:pPr>
        <w:spacing w:after="0" w:line="172"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color w:val="auto"/>
        </w:rPr>
        <w:t>Reimbursement of Underwriters’ Expenses.</w:t>
      </w:r>
      <w:r>
        <w:rPr>
          <w:rFonts w:ascii="Times New Roman" w:cs="Times New Roman" w:eastAsia="Times New Roman" w:hAnsi="Times New Roman"/>
          <w:sz w:val="18"/>
          <w:szCs w:val="18"/>
          <w:color w:val="auto"/>
        </w:rPr>
        <w:t xml:space="preserve"> If this Agreement is terminated by the Representatives pursuant to Section 5 or 9 hereof, including if the sale to the Underwriters of the Notes on the Closing Date is not consummated because of any refusal, inability or failure on the part of the Issuer to perform any agreement herein or to comply with any provision hereof other than by reason of a default by any of the Underwriters, the Issuer agrees to reimburse the Underwriters, severally, upon demand for all documented out-of-pocket expenses that shall have been reasonably incurred by the Underwriters in connection with the proposed purchase and the offering and sale of the Notes, including, without limitation, fees and disbursements of counsel, printing expenses, travel expenses, postage, facsimile and telephone charges.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color w:val="auto"/>
        </w:rPr>
        <w:t>Indemnification.</w:t>
      </w:r>
    </w:p>
    <w:p>
      <w:pPr>
        <w:spacing w:after="0" w:line="117" w:lineRule="exact"/>
        <w:rPr>
          <w:sz w:val="20"/>
          <w:szCs w:val="20"/>
          <w:color w:val="auto"/>
        </w:rPr>
      </w:pPr>
    </w:p>
    <w:p>
      <w:pPr>
        <w:ind w:left="440" w:firstLine="419"/>
        <w:spacing w:after="0" w:line="253" w:lineRule="auto"/>
        <w:tabs>
          <w:tab w:leader="none" w:pos="11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of the Underwriters. </w:t>
      </w:r>
      <w:r>
        <w:rPr>
          <w:rFonts w:ascii="Times New Roman" w:cs="Times New Roman" w:eastAsia="Times New Roman" w:hAnsi="Times New Roman"/>
          <w:sz w:val="18"/>
          <w:szCs w:val="18"/>
          <w:color w:val="auto"/>
        </w:rPr>
        <w:t>The Issuer agrees to indemnify and hold harmless each Underwriter, its affiliates,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employees, and each person, if any, who controls any Underwriter within the meaning of Section 15 of the 1933 Act and Section 20 of the 1934 Act against any loss, claim, damage, liability or expense, as incurred, to which such Underwriter, affiliate, director, officer, employee or controlling person may become subject, under the 1933 Act, the 1934 Act or other federal or state statutory law or regulation, or at common law or otherwise (including in settlement of any litigation, if such settlement is effected with the written consent of the Issuer), insofar as such loss, claim, damage, liability or expense (or actions in respect thereof as contemplated below) arises out of or is based upon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material fact included in any preliminary prospectus, any Issuer Free Writing Prospectus, the General Disclosure Package, the Prospectus (or any amendment or supplement thereto) or any Company Additional Written Communication, or the omission or alleged omission therefrom of a material fact necessary in order to make the statements therein, in the light of the circumstances under which they were made, not misleading, and to reimburse each Underwriter and each such affiliate, director, officer, employee or controlling person for any and all expenses (including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reasonable fees and disbursements of one counsel chosen by the Representatives) as such expenses are reasonably incurred by such Underwriter or such affiliate, director, officer, employee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Issuer by an Underwriter through the Representatives expressly for use in the Registration Statement, in any preliminary prospectus, any Issuer Free Writing Prospectus, the General Disclosure Package, the Prospectus (or any amendment or supplement thereto) or any Company Additional Written Communication. The indemnity agreement set forth in this Section 7(a) shall be in addition to any liabilities that the Issuer may otherwise have.</w:t>
      </w:r>
    </w:p>
    <w:p>
      <w:pPr>
        <w:spacing w:after="0" w:line="80" w:lineRule="exact"/>
        <w:rPr>
          <w:sz w:val="20"/>
          <w:szCs w:val="20"/>
          <w:color w:val="auto"/>
        </w:rPr>
      </w:pPr>
    </w:p>
    <w:p>
      <w:pPr>
        <w:ind w:right="60" w:firstLine="419"/>
        <w:spacing w:after="0" w:line="252"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of the Issuer. </w:t>
      </w:r>
      <w:r>
        <w:rPr>
          <w:rFonts w:ascii="Times New Roman" w:cs="Times New Roman" w:eastAsia="Times New Roman" w:hAnsi="Times New Roman"/>
          <w:sz w:val="18"/>
          <w:szCs w:val="18"/>
          <w:color w:val="auto"/>
        </w:rPr>
        <w:t>Each Underwriter agrees, severally and not jointly, to indemnify and hold harmless the Issuer,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its directors, each of its officers, and each person, if any, who controls the Issuer within the meaning of Section 15 of the 1933 Act or Section 20 of the 1934 Act, against any loss, claim, damage, liability or expense, as incurred, to which the Issuer or any such director, officer or controlling person may become subject, under the 1933 Act, the 1934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any untrue statement or alleged untrue statement of a material fact contained in the Registration Statement (or any amendment thereto), including any information deemed to be a part thereof pursuant to Rule 430B or in any preliminary prospectus, any Issuer Free Writing Prospectus, the General Disclosure Package, the Prospectus (or any amendment or supplement thereto) or any Company Additional Written Communication, or the omission or alleged omission therefrom of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(or any amendment thereto), including any information deemed to be a part thereof pursuant to Rule 430B or in any preliminary prospectus, any Issuer Free Writing Prospectus, the General Disclosure Package, the Prospectus (or any amendment or supplement thereto) or any Company Additional Written Communication, in reliance upon and in conformity with written information furnished to the Issuer by such Underwriter through the Representatives expressly for use therein; and to reimburse the Issuer and each such director, officer or controlling person for any and all expenses (including the reasonable fees and disbursements of one counsel selected by the Issuer) as such expenses are reasonably incurred by the Issuer or such director, officer or controlling person in connection with investigating, defending, settling, compromising or paying any such loss, claim, damage, liability, expense or action. The Issuer hereby acknowledges that the only information that the Underwriters through the Representatives have furnished to the Issuer expressly for use in the Registration Statement, any preliminary prospectus, any Issuer Free Writing Prospectus, the General Disclosure Package, the Prospectus (or any amendment or supplement thereto) or any Company Additional Written Communication are the statements set forth in the Underwriter Information. The indemnity agreement set forth in this Section 7(b) shall be in addition to any liabilities that each Underwriter may otherwise have.</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7" w:name="page28"/>
    <w:bookmarkEnd w:id="27"/>
    <w:p>
      <w:pPr>
        <w:ind w:firstLine="419"/>
        <w:spacing w:after="0" w:line="252" w:lineRule="auto"/>
        <w:tabs>
          <w:tab w:leader="none" w:pos="6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Notifications and Other Indemnification Procedures</w:t>
      </w:r>
      <w:r>
        <w:rPr>
          <w:rFonts w:ascii="Times New Roman" w:cs="Times New Roman" w:eastAsia="Times New Roman" w:hAnsi="Times New Roman"/>
          <w:sz w:val="18"/>
          <w:szCs w:val="18"/>
          <w:color w:val="auto"/>
        </w:rPr>
        <w:t>. Promptly after receipt by an indemnified party under this Section 7 of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commencement of any action, such indemnified party will, if a claim in respect thereof is to be made against an indemnifying party under this Section 7, notify the indemnifying party in writing of the commencement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so notify the indemnifying party will not relieve it from any liability which it may have to any indemnified party under this Section 7 except to the extent that it has been prejudiced by such failure and shall not relieve the indemnifying party from any liability that the indemnifying party may have to an indemnified party other than under this Section 7.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defendants in any such action include both the indemnified party and the indemnifying party and the indemnified party shall have reasonably concluded upon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one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separate counsel in accordance with the proviso to the immediately preceding sentence (it being understood, however, that the indemnifying party shall not be liable for the expenses of more than one separate counsel (together with local counsel (in each jurisdiction)), which shall be selected by the Representatives (in the case of counsel representing the Underwriters or their related persons), representing the indemnified parties who are parties to such action) or (ii) the indemnifying party shall not have employed counsel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80" w:top="266" w:right="479" w:bottom="1440" w:gutter="0" w:footer="0" w:header="0"/>
        </w:sectPr>
      </w:pPr>
    </w:p>
    <w:bookmarkStart w:id="28" w:name="page29"/>
    <w:bookmarkEnd w:id="28"/>
    <w:p>
      <w:pPr>
        <w:ind w:left="444" w:firstLine="419"/>
        <w:spacing w:after="0" w:line="254" w:lineRule="auto"/>
        <w:tabs>
          <w:tab w:leader="none" w:pos="112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Settlements. </w:t>
      </w:r>
      <w:r>
        <w:rPr>
          <w:rFonts w:ascii="Times New Roman" w:cs="Times New Roman" w:eastAsia="Times New Roman" w:hAnsi="Times New Roman"/>
          <w:sz w:val="18"/>
          <w:szCs w:val="18"/>
          <w:color w:val="auto"/>
        </w:rPr>
        <w:t>The indemnifying party under this Section 7 shall not be liable for any settlement of any proceeding effected without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which will not be unreasonably withheld,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w:t>
      </w:r>
    </w:p>
    <w:p>
      <w:pPr>
        <w:spacing w:after="0" w:line="3" w:lineRule="exact"/>
        <w:rPr>
          <w:rFonts w:ascii="Times New Roman" w:cs="Times New Roman" w:eastAsia="Times New Roman" w:hAnsi="Times New Roman"/>
          <w:sz w:val="18"/>
          <w:szCs w:val="18"/>
          <w:color w:val="auto"/>
        </w:rPr>
      </w:pPr>
    </w:p>
    <w:p>
      <w:pPr>
        <w:ind w:left="444" w:right="220" w:hanging="4"/>
        <w:spacing w:after="0" w:line="255" w:lineRule="auto"/>
        <w:tabs>
          <w:tab w:leader="none" w:pos="6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such indemnified party from all liability on claims that are the subject matter of such action, suit or proceeding and (ii) does not include any statements as to or any findings of fault, culpability or failure to act by or on behalf of any indemnified party.</w:t>
      </w:r>
    </w:p>
    <w:p>
      <w:pPr>
        <w:spacing w:after="0" w:line="182"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b w:val="1"/>
          <w:bCs w:val="1"/>
          <w:color w:val="auto"/>
        </w:rPr>
        <w:t>Contribution.</w:t>
      </w:r>
      <w:r>
        <w:rPr>
          <w:rFonts w:ascii="Times New Roman" w:cs="Times New Roman" w:eastAsia="Times New Roman" w:hAnsi="Times New Roman"/>
          <w:sz w:val="17"/>
          <w:szCs w:val="17"/>
          <w:color w:val="auto"/>
        </w:rPr>
        <w:t xml:space="preserve"> If the indemnification provided for in Section 7 hereof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Issuer, on the one hand, and the Underwriters, on the other hand, from the offering of the Notes pursuant to this Agreement or (ii) if the allocation provided by clause</w:t>
      </w:r>
    </w:p>
    <w:p>
      <w:pPr>
        <w:spacing w:after="0" w:line="3" w:lineRule="exact"/>
        <w:rPr>
          <w:sz w:val="20"/>
          <w:szCs w:val="20"/>
          <w:color w:val="auto"/>
        </w:rPr>
      </w:pPr>
    </w:p>
    <w:p>
      <w:pPr>
        <w:ind w:left="4" w:right="20" w:hanging="4"/>
        <w:spacing w:after="0" w:line="251"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not permitted by applicable law, in such proportion as is appropriate to reflect not only the relative benefits referred to in clause (i) above but also the relative fault of the Issuer, on the one hand, and the Underwriters, on the other hand, in connection with the statements or omissions which resulted in such losses, claims, damages, liabilities or expenses, as well as any other relevant equitable considerations. The relative benefits received by the Issuer, on the one hand, and the Underwriters, on the other hand, in connection with the offering of the Notes pursuant to this Agreement shall be deemed to be in the same respective proportions as the total net proceeds from the offering of the Notes pursuant to this Agreement (after deducting the Underwriters’ discounts and commissions but before deducting expenses) received by the Issuer, and the total discounts and commissions received by the Underwriters bear to the aggregate initial offering price of the Notes. The relative fault of the Issuer,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Issuer, on the one hand, or the Underwriters, on the other hand, and the parties’ relative intent, knowledge, access to information and opportunity to correct or prevent such statement or omission.</w:t>
      </w:r>
    </w:p>
    <w:p>
      <w:pPr>
        <w:spacing w:after="0" w:line="193"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7 hereof, any reasonable legal or other fees or expenses reasonably incurred by such party in connection with investigating or defending any action or claim. The provisions set forth in Section 7 hereof with respect to notice of commencement of any action shall apply if a claim for contribution is to be made under this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additional notice shall be required with respect to any action for which notice has been given under Section 7 hereof for purposes of indemnification.</w:t>
      </w:r>
    </w:p>
    <w:p>
      <w:pPr>
        <w:spacing w:after="0" w:line="183"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in this Section 8.</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29" w:name="page30"/>
    <w:bookmarkEnd w:id="29"/>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provisions of this Section 8, no Underwriter shall be required to contribute any amount in excess of the discount received by such Underwriter in connection with the Notes purchased by it and distributed by it to the public. No person guilty of fraudulent misrepresentation (within the meaning of Section 11 of the 1933 Act) shall be entitled to contribution from any person who was not guilty of such fraudulent misrepresentation. The Underwriters’ obligations to contribute pursuant to this Section 8 are several, and not joint, in proportion to their respective commitments as set forth opposite their names in Schedule A. For purposes of this Section 8, each director, officer and employee of an Underwriter and each person, if any, who controls an Underwriter within the meaning of Section 15 of the 1933 Act or Section 20 of the 1934 Act shall have the same rights to contribution as such Underwriter, and each director and officer of the Issuer, and each person, if any, who controls the Issuer within the meaning of Section 15 of the 1933 Act or Section 20 of the 1934 Act shall have the same rights to contribution as the Issuer.</w:t>
      </w:r>
    </w:p>
    <w:p>
      <w:pPr>
        <w:spacing w:after="0" w:line="188"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b w:val="1"/>
          <w:bCs w:val="1"/>
          <w:color w:val="auto"/>
        </w:rPr>
        <w:t>Termination of this Agreement.</w:t>
      </w:r>
      <w:r>
        <w:rPr>
          <w:rFonts w:ascii="Times New Roman" w:cs="Times New Roman" w:eastAsia="Times New Roman" w:hAnsi="Times New Roman"/>
          <w:sz w:val="17"/>
          <w:szCs w:val="17"/>
          <w:color w:val="auto"/>
        </w:rPr>
        <w:t xml:space="preserve"> Prior to the Closing Date, this Agreement may be terminated by the Representatives by notice given to the Issuer if at any time: (i) (A) trading or quotation in any of the Issuer’s securities shall have been suspended or limited by the Commission or by the Nasdaq Global Select Market, or (B) trading in securities generally on either the Nasdaq Global Select Market or the New York Stock Exchange shall have been suspended or limited, or minimum or maximum prices shall have been generally established on any of such quotation system or stock exchange by the Commission or FINRA; (ii) a general banking moratorium shall have been declared by any of U.S. federal or New York authorities;</w:t>
      </w:r>
    </w:p>
    <w:p>
      <w:pPr>
        <w:spacing w:after="0" w:line="3" w:lineRule="exact"/>
        <w:rPr>
          <w:sz w:val="20"/>
          <w:szCs w:val="20"/>
          <w:color w:val="auto"/>
        </w:rPr>
      </w:pPr>
    </w:p>
    <w:p>
      <w:pPr>
        <w:ind w:left="4" w:hanging="4"/>
        <w:spacing w:after="0" w:line="252" w:lineRule="auto"/>
        <w:tabs>
          <w:tab w:leader="none" w:pos="3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outbreak or escalation of national or international hostilities or any crisis or calamity involving the United States,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or inadvisable to proceed with the offering, sale or delivery of the Notes in the manner and on the terms described in the General Disclosure Package or to enforce contracts for the sale of securities; (iv) in the judgment of the Representatives there shall have occurred any Material Adverse Change; or (v) there shall have occurred a material disruption in commercial banking or securities settlement or clearance services.</w:t>
      </w:r>
    </w:p>
    <w:p>
      <w:pPr>
        <w:spacing w:after="0" w:line="18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b w:val="1"/>
          <w:bCs w:val="1"/>
          <w:color w:val="auto"/>
        </w:rPr>
        <w:t>Representations and Indemnities to Survive Delivery.</w:t>
      </w:r>
      <w:r>
        <w:rPr>
          <w:rFonts w:ascii="Times New Roman" w:cs="Times New Roman" w:eastAsia="Times New Roman" w:hAnsi="Times New Roman"/>
          <w:sz w:val="17"/>
          <w:szCs w:val="17"/>
          <w:color w:val="auto"/>
        </w:rPr>
        <w:t xml:space="preserve"> The respective indemnities, agreements, representations, warranties and other statements of the Issuer, its officers and the Underwriters set forth in or made pursuant to this Agreement (i) will remain in full force and effect, regardless of any investigation made by or on behalf of any Underwriter, the Issuer, or any of their partners, officers or directors or any controlling person, as the case may be and (ii) will survive delivery of and payment for the Notes sold hereunder and any termination of this Agreement.</w:t>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0" w:name="page31"/>
    <w:bookmarkEnd w:id="30"/>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and communications hereunder shall be in writing and shall be deemed to have been duly given if mailed or transmitted by any standard form of telecommunication or electronic transmission to the parties hereto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Underwriters: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114 West 47th Street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NY8-114-07-01</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High Grade Debt Capital Markets Transaction Management/Legal</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Phone: (646) 855-0724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Facsimile: (212) 901-7881</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Investment Grade Syndicate Desk</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2475 Hanover Street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Facsimile: 650-251-5002</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Dan Webb</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Issuer: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 Broadcom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3421 Hillview Avenue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Kirsten M. Spears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Mark Brazeal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 hereunder):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Wachtell, Lipton, Rosen &amp; Katz</w:t>
      </w:r>
    </w:p>
    <w:p>
      <w:pPr>
        <w:ind w:left="860"/>
        <w:spacing w:after="0" w:line="196"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Facsimile: 212-403-2000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David C. Karp, Ronald C. Chen and Kyle M. Diamond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hereto may change the address or facsimile number for receipt of communications by giving written notice to the others.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40"/>
          </w:cols>
          <w:pgMar w:left="440" w:top="266" w:right="719" w:bottom="1440" w:gutter="0" w:footer="0" w:header="0"/>
        </w:sectPr>
      </w:pPr>
    </w:p>
    <w:bookmarkStart w:id="31" w:name="page32"/>
    <w:bookmarkEnd w:id="31"/>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xml:space="preserve"> This Agreement will inure to the benefit of and be binding upon the parties hereto, and to the benefit of the indemnified parties referred to in Sections 7 and 8 hereof, and in each case their respective successors, and no other person will have any right or obligation hereunder. The term “successors” shall not include any purchaser of the Notes as such from any of the Underwriters merely by reason of such purchase.</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color w:val="auto"/>
        </w:rPr>
        <w:t>Authority of the Representatives.</w:t>
      </w:r>
      <w:r>
        <w:rPr>
          <w:rFonts w:ascii="Times New Roman" w:cs="Times New Roman" w:eastAsia="Times New Roman" w:hAnsi="Times New Roman"/>
          <w:sz w:val="18"/>
          <w:szCs w:val="18"/>
          <w:color w:val="auto"/>
        </w:rPr>
        <w:t xml:space="preserve"> Any action by the Underwriters hereunder may be taken by the Representatives on behalf of the Underwriters, and any such action taken by the Representatives shall be binding upon the Underwriters.</w:t>
      </w:r>
    </w:p>
    <w:p>
      <w:pPr>
        <w:spacing w:after="0" w:line="15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color w:val="auto"/>
        </w:rPr>
        <w:t>Partial Unenforceability.</w:t>
      </w:r>
      <w:r>
        <w:rPr>
          <w:rFonts w:ascii="Times New Roman" w:cs="Times New Roman" w:eastAsia="Times New Roman" w:hAnsi="Times New Roman"/>
          <w:sz w:val="18"/>
          <w:szCs w:val="18"/>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color w:val="auto"/>
        </w:rPr>
        <w:t>Governing Law Provisions.</w:t>
      </w:r>
      <w:r>
        <w:rPr>
          <w:rFonts w:ascii="Times New Roman" w:cs="Times New Roman" w:eastAsia="Times New Roman" w:hAnsi="Times New Roman"/>
          <w:sz w:val="18"/>
          <w:szCs w:val="18"/>
          <w:color w:val="auto"/>
        </w:rPr>
        <w:t xml:space="preserve"> THIS AGREEMENT AND ANY CLAIM, CONTROVERSY OR DISPUTE ARISING UNDER OR RELATED TO THIS AGREEMENT SHALL BE GOVERNED BY AND CONSTRUED IN ACCORDANCE WITH THE INTERNAL LAWS OF THE STATE OF NEW YORK.</w:t>
      </w:r>
    </w:p>
    <w:p>
      <w:pPr>
        <w:spacing w:after="0" w:line="63" w:lineRule="exact"/>
        <w:rPr>
          <w:sz w:val="20"/>
          <w:szCs w:val="20"/>
          <w:color w:val="auto"/>
        </w:rPr>
      </w:pPr>
    </w:p>
    <w:p>
      <w:pPr>
        <w:ind w:left="440" w:right="40" w:firstLine="419"/>
        <w:spacing w:after="0" w:line="254" w:lineRule="auto"/>
        <w:tabs>
          <w:tab w:leader="none" w:pos="11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Consent to Jurisdiction. </w:t>
      </w:r>
      <w:r>
        <w:rPr>
          <w:rFonts w:ascii="Times New Roman" w:cs="Times New Roman" w:eastAsia="Times New Roman" w:hAnsi="Times New Roman"/>
          <w:sz w:val="18"/>
          <w:szCs w:val="18"/>
          <w:color w:val="auto"/>
        </w:rPr>
        <w:t>Any legal suit, action or proceeding arising out of or based upon this Agreement or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or the courts of the State of New York, in each case located in the City and County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suits, actions, or proceedings instituted in regard to the enforcement of a judgment of any Specified Court in a Related Proceeding,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w:t>
      </w:r>
    </w:p>
    <w:p>
      <w:pPr>
        <w:spacing w:after="0" w:line="188"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color w:val="auto"/>
        </w:rPr>
        <w:t>Waiver of Jury Trial. Each of the parties hereto hereby waives any right to trial by jury in any suit or proceeding arising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 of or relating to this Agreement.</w:t>
      </w:r>
    </w:p>
    <w:p>
      <w:pPr>
        <w:spacing w:after="0" w:line="15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b w:val="1"/>
          <w:bCs w:val="1"/>
          <w:color w:val="auto"/>
        </w:rPr>
        <w:t>Default of One or More of the Several Underwriters.</w:t>
      </w:r>
      <w:r>
        <w:rPr>
          <w:rFonts w:ascii="Times New Roman" w:cs="Times New Roman" w:eastAsia="Times New Roman" w:hAnsi="Times New Roman"/>
          <w:sz w:val="18"/>
          <w:szCs w:val="18"/>
          <w:color w:val="auto"/>
        </w:rPr>
        <w:t xml:space="preserve"> If any one or more of the several Underwriters shall fail or refuse to purchase Notes that it or they have agreed to purchase hereunder on the Closing Date, and the aggregate principal amount of Notes which such defaulting Underwriter or Underwriters agreed but failed or refused to purchase does not exceed 10% of the aggregate principal amount of the Notes to be purchased on such date, the other Underwriters shall be obligated, severally, in the proportions that the principal amount of Notes set forth opposite their respective names on Schedule A bears to the aggregate principal amount of Notes set forth opposite the names of all such non-defaulting Underwriters, or in such other proportions as may be specified by the Underwriters with the consent of the non-defaulting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to purchase the Notes which such defaulting Underwriter or Underwriters agreed but failed or refused to purchase on the Closing Date. If any one or more of the Underwriters shall fail or refuse to purchase Notes and the aggregate principal amount of Notes with respect to which such default occurs equals or exceeds 10% of the aggregate principal amount of Notes to be purchased on the Closing Date, and arrangements satisfactory to the Underwriters and the Issuer for the purchase of such Notes are not made within 48 hours after such default, this Agreement shall terminate without liability of any party to any other party except that the provisions of Sections 4, 6, 7, 8 and 15 hereof shall at all times be effective and shall survive such termination. In any such case the Underwriters, the Issuer shall have the right to postpone the Closing Date, as the case may be, but in no event for longer than seven days in order that the required changes, if any, to the Prospectus or any other documents or arrangements may be effected.</w:t>
      </w:r>
    </w:p>
    <w:p>
      <w:pPr>
        <w:spacing w:after="0" w:line="18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17. Any action taken under this Section 17 shall not relieve any defaulting Underwriter from liability in respect of any default of such Underwriter under this Agreement.</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color w:val="auto"/>
        </w:rPr>
        <w:t>No Advisory or Fiduciary Responsibility.</w:t>
      </w:r>
      <w:r>
        <w:rPr>
          <w:rFonts w:ascii="Times New Roman" w:cs="Times New Roman" w:eastAsia="Times New Roman" w:hAnsi="Times New Roman"/>
          <w:sz w:val="18"/>
          <w:szCs w:val="18"/>
          <w:color w:val="auto"/>
        </w:rPr>
        <w:t xml:space="preserve"> The Issuer acknowledges and agrees that: (i) the purchase and sale of the Notes pursuant to this Agreement, including the determination of the offering price of the Notes and any related discounts and commissions, is an arm’s-length commercial transaction between the Issuer, on the one hand, and the several Underwriters, on the other hand, and the Issuer is capable of evaluating and understanding and understands and accepts the terms, risks and conditions of the transactions contemplated by this Agreement; (ii) in connection with each transaction contemplated hereby and the process leading to such transaction each Underwriter is and has been acting solely as a principal and is not the agent or fiduciary of the Issuer or its affiliates, stockholders, creditors or employees or any other party; (iii) no Underwriter has assumed or will assume an advisory or fiduciary responsibility in favor of the Issuer with respect to any of the transactions contemplated hereby or the process leading thereto (irrespective of whether such Underwriter has advised or is currently advising the Issuer on other matters) or any other obligation to the Issuer except the obligations expressly set forth in this Agreement; (iv) the several Underwriters and their respective affiliates may be engaged in a broad range of transactions that involve interests that differ from those of the Issuer, and the several Underwriters have no obligation to disclose any of such interests by virtue of any fiduciary or advisory relationship; and (v) the Underwriters have not provided any legal, accounting, regulatory or tax advice with respect to the offering contemplated hereby, and the Issuer has consulted its own legal, accounting, regulatory and tax advisors to the extent it deemed appropriate.</w:t>
      </w:r>
    </w:p>
    <w:p>
      <w:pPr>
        <w:spacing w:after="0" w:line="191"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Issuer and the several Underwriters, or any of them, with respect to the subject matter hereof. The Issuer hereby waives and releases, to the fullest extent permitted by law, any claims that the Issuer may have against the several Underwriters with respect to any breach or alleged breach of fiduciary duty.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3" w:name="page34"/>
    <w:bookmarkEnd w:id="33"/>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 </w:t>
      </w:r>
      <w:r>
        <w:rPr>
          <w:rFonts w:ascii="Times New Roman" w:cs="Times New Roman" w:eastAsia="Times New Roman" w:hAnsi="Times New Roman"/>
          <w:sz w:val="18"/>
          <w:szCs w:val="18"/>
          <w:b w:val="1"/>
          <w:bCs w:val="1"/>
          <w:color w:val="auto"/>
        </w:rPr>
        <w:t>Recognition of the U.S. Special Resolution Regimes.</w:t>
      </w:r>
      <w:r>
        <w:rPr>
          <w:rFonts w:ascii="Times New Roman" w:cs="Times New Roman" w:eastAsia="Times New Roman" w:hAnsi="Times New Roman"/>
          <w:sz w:val="18"/>
          <w:szCs w:val="18"/>
          <w:color w:val="auto"/>
        </w:rPr>
        <w:t xml:space="preserve">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5" w:lineRule="exact"/>
        <w:rPr>
          <w:sz w:val="20"/>
          <w:szCs w:val="20"/>
          <w:color w:val="auto"/>
        </w:rPr>
      </w:pPr>
    </w:p>
    <w:p>
      <w:pPr>
        <w:ind w:right="160" w:firstLine="440"/>
        <w:spacing w:after="0" w:line="274" w:lineRule="auto"/>
        <w:rPr>
          <w:sz w:val="20"/>
          <w:szCs w:val="20"/>
          <w:color w:val="auto"/>
        </w:rPr>
      </w:pPr>
      <w:r>
        <w:rPr>
          <w:rFonts w:ascii="Times New Roman" w:cs="Times New Roman" w:eastAsia="Times New Roman" w:hAnsi="Times New Roman"/>
          <w:sz w:val="17"/>
          <w:szCs w:val="17"/>
          <w:color w:val="auto"/>
        </w:rPr>
        <w:t>For purposes of this provision, (a) the term “</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(b) the term “</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47.3(b); or (iii) a “covered FSI” as that term is defined in, and interpreted in accordance with, 12 C.F.R. § 382.2(b); (c) the term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the term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Dodd-Frank Wall Street Reform and Consumer Protection Act and the regulations promulgated thereunder.</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b w:val="1"/>
          <w:bCs w:val="1"/>
          <w:color w:val="auto"/>
        </w:rPr>
        <w:t>Compliance with USA PATRIOT Act.</w:t>
      </w:r>
      <w:r>
        <w:rPr>
          <w:rFonts w:ascii="Times New Roman" w:cs="Times New Roman" w:eastAsia="Times New Roman" w:hAnsi="Times New Roman"/>
          <w:sz w:val="18"/>
          <w:szCs w:val="18"/>
          <w:color w:val="auto"/>
        </w:rPr>
        <w:t xml:space="preserve"> In accordance with the requirements of the USA PATRIOT Act (Title III of Pub. L. 107-56 (signed into law October 26, 2001)), the Underwriters are required to obtain, verify and record information that identifies their respective clients, including the Issuer, which information may include the name and address of their respective clients, as well as other information that will allow the Underwriters to properly identify their respective clients.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4" w:name="page35"/>
    <w:bookmarkEnd w:id="3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kindly sign and return to the Issuer the enclosed copies hereof, whereupon this instrument, along with all counterparts hereof, shall become a binding agreement in accordance with its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Kirsten M. Spears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40"/>
          </w:cols>
          <w:pgMar w:left="440" w:top="270" w:right="101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Underwriting Agreement is hereby confirmed and accepted by the Underwriters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Acting on behalf of themselves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and as the Representatives of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Morgan Securities LLC</w:t>
      </w:r>
    </w:p>
    <w:p>
      <w:pPr>
        <w:spacing w:after="0" w:line="225" w:lineRule="exact"/>
        <w:rPr>
          <w:sz w:val="20"/>
          <w:szCs w:val="20"/>
          <w:color w:val="auto"/>
        </w:rPr>
      </w:pPr>
    </w:p>
    <w:p>
      <w:pPr>
        <w:jc w:val="right"/>
        <w:ind w:right="8079"/>
        <w:spacing w:after="0"/>
        <w:rPr>
          <w:sz w:val="20"/>
          <w:szCs w:val="20"/>
          <w:color w:val="auto"/>
        </w:rPr>
      </w:pPr>
      <w:r>
        <w:rPr>
          <w:rFonts w:ascii="Times New Roman" w:cs="Times New Roman" w:eastAsia="Times New Roman" w:hAnsi="Times New Roman"/>
          <w:sz w:val="18"/>
          <w:szCs w:val="18"/>
          <w:color w:val="auto"/>
        </w:rPr>
        <w:t>By: /s/ Stephen L. Sheiner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809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019"/>
          </w:cols>
          <w:pgMar w:left="440" w:top="270" w:right="1440"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2031 Notes to</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2033 Notes to</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2036 Notes to</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2056 Notes to</w:t>
            </w: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240,000,000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400,000,000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400,000,000</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93,750,000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93,750,000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93,750,000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93,750,000</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93,750,000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93,750,000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93,750,000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33,750,000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56,250,000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56,250,000</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33,750,000</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56,250,000</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56,250,000</w:t>
            </w:r>
          </w:p>
        </w:tc>
        <w:tc>
          <w:tcPr>
            <w:tcW w:w="0" w:type="dxa"/>
            <w:vAlign w:val="bottom"/>
          </w:tcPr>
          <w:p>
            <w:pPr>
              <w:spacing w:after="0"/>
              <w:rPr>
                <w:sz w:val="1"/>
                <w:szCs w:val="1"/>
                <w:color w:val="auto"/>
              </w:rPr>
            </w:pPr>
          </w:p>
        </w:tc>
      </w:tr>
      <w:tr>
        <w:trPr>
          <w:trHeight w:val="20"/>
        </w:trPr>
        <w:tc>
          <w:tcPr>
            <w:tcW w:w="5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$750,000,000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1,250,000,000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1,250,000,000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1,250,000,000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7" w:name="page38"/>
    <w:bookmarkEnd w:id="37"/>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121"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7"/>
          <w:szCs w:val="17"/>
          <w:color w:val="auto"/>
        </w:rPr>
        <w:t>Issuer Free Writing Prospectuses</w:t>
      </w:r>
    </w:p>
    <w:p>
      <w:pPr>
        <w:spacing w:after="0" w:line="264"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Term Sheet for the Notes</w:t>
      </w:r>
    </w:p>
    <w:p>
      <w:pPr>
        <w:sectPr>
          <w:pgSz w:w="11900" w:h="16838" w:orient="portrait"/>
          <w:cols w:equalWidth="0" w:num="1">
            <w:col w:w="10023"/>
          </w:cols>
          <w:pgMar w:left="436" w:top="266"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Final Term Sheet</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Filed Pursuant to Rule 433</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Registration No. 333-280715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Issuer Free Writing Prospectus dated January 6,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Relating to Preliminary Prospectus Supplement dated January 6,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JANUARY 6,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$750,000,000 4.300% SENIOR NOTES DUE 2031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$1,250,000,000 4.600% SENIOR NOTES DUE 2033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$1,250,000,000 4.950% SENIOR NOTES DUE 2036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$1,250,000,000 5.700% SENIOR NOTES DUE 2056</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pricing term sheet supplements Broadcom Inc.’s (“Broadcom”) preliminary prospectus supplement, dated January 6, 2026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Broadcom Inc. (Nasdaq: AVGO)</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$750,000,000 aggregate principal amount of 4.300% Senior Notes due 2031 (the “2031 Notes”)</w:t>
            </w:r>
          </w:p>
        </w:tc>
      </w:tr>
      <w:tr>
        <w:trPr>
          <w:trHeight w:val="338"/>
        </w:trPr>
        <w:tc>
          <w:tcPr>
            <w:tcW w:w="2380" w:type="dxa"/>
            <w:vAlign w:val="bottom"/>
          </w:tcPr>
          <w:p>
            <w:pPr>
              <w:spacing w:after="0"/>
              <w:rPr>
                <w:sz w:val="24"/>
                <w:szCs w:val="24"/>
                <w:color w:val="auto"/>
              </w:rPr>
            </w:pP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$1,250,000,000 aggregate principal amount of 4.600% Senior Notes due 2033 (the “2033 Notes”)</w:t>
            </w:r>
          </w:p>
        </w:tc>
      </w:tr>
      <w:tr>
        <w:trPr>
          <w:trHeight w:val="338"/>
        </w:trPr>
        <w:tc>
          <w:tcPr>
            <w:tcW w:w="2380" w:type="dxa"/>
            <w:vAlign w:val="bottom"/>
          </w:tcPr>
          <w:p>
            <w:pPr>
              <w:spacing w:after="0"/>
              <w:rPr>
                <w:sz w:val="24"/>
                <w:szCs w:val="24"/>
                <w:color w:val="auto"/>
              </w:rPr>
            </w:pP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$1,250,000,000 aggregate principal amount of 4.950% Senior Notes due 2036 (the “2036 Notes”)</w:t>
            </w:r>
          </w:p>
        </w:tc>
      </w:tr>
      <w:tr>
        <w:trPr>
          <w:trHeight w:val="319"/>
        </w:trPr>
        <w:tc>
          <w:tcPr>
            <w:tcW w:w="2380" w:type="dxa"/>
            <w:vAlign w:val="bottom"/>
          </w:tcPr>
          <w:p>
            <w:pPr>
              <w:spacing w:after="0"/>
              <w:rPr>
                <w:sz w:val="24"/>
                <w:szCs w:val="24"/>
                <w:color w:val="auto"/>
              </w:rPr>
            </w:pP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$1,250,000,000 aggregate principal amount of 5.700% Senior Notes due 2056 (the “2056 Notes” and,</w:t>
            </w:r>
          </w:p>
        </w:tc>
      </w:tr>
      <w:tr>
        <w:trPr>
          <w:trHeight w:val="234"/>
        </w:trPr>
        <w:tc>
          <w:tcPr>
            <w:tcW w:w="2380" w:type="dxa"/>
            <w:vAlign w:val="bottom"/>
          </w:tcPr>
          <w:p>
            <w:pPr>
              <w:spacing w:after="0"/>
              <w:rPr>
                <w:sz w:val="20"/>
                <w:szCs w:val="20"/>
                <w:color w:val="auto"/>
              </w:rPr>
            </w:pP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together with the 2031 Notes, the 2033 Notes and the 2036 Notes, the “Notes”)</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Pricing Date:</w:t>
            </w: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January 6, 2026</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January 13, 2026 (T+5)</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Broadcom estimates that the net proceeds from this offering, after deducting the underwriting discounts,</w:t>
            </w:r>
          </w:p>
        </w:tc>
      </w:tr>
      <w:tr>
        <w:trPr>
          <w:trHeight w:val="216"/>
        </w:trPr>
        <w:tc>
          <w:tcPr>
            <w:tcW w:w="2380" w:type="dxa"/>
            <w:vAlign w:val="bottom"/>
          </w:tcPr>
          <w:p>
            <w:pPr>
              <w:spacing w:after="0"/>
              <w:rPr>
                <w:sz w:val="18"/>
                <w:szCs w:val="18"/>
                <w:color w:val="auto"/>
              </w:rPr>
            </w:pP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will be approximately $4,471,540,000. Broadcom intends to use the net proceeds from the sale of the</w:t>
            </w:r>
          </w:p>
        </w:tc>
      </w:tr>
      <w:tr>
        <w:trPr>
          <w:trHeight w:val="234"/>
        </w:trPr>
        <w:tc>
          <w:tcPr>
            <w:tcW w:w="2380" w:type="dxa"/>
            <w:vAlign w:val="bottom"/>
          </w:tcPr>
          <w:p>
            <w:pPr>
              <w:spacing w:after="0"/>
              <w:rPr>
                <w:sz w:val="20"/>
                <w:szCs w:val="20"/>
                <w:color w:val="auto"/>
              </w:rPr>
            </w:pP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Notes for general corporate purposes and for repayment of debt.</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8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31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2031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January 15, 2031</w:t>
            </w:r>
          </w:p>
        </w:tc>
      </w:tr>
      <w:tr>
        <w:trPr>
          <w:trHeight w:val="216"/>
        </w:trPr>
        <w:tc>
          <w:tcPr>
            <w:tcW w:w="238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2033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January 15, 2033</w:t>
            </w:r>
          </w:p>
        </w:tc>
      </w:tr>
      <w:tr>
        <w:trPr>
          <w:trHeight w:val="216"/>
        </w:trPr>
        <w:tc>
          <w:tcPr>
            <w:tcW w:w="238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2036</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January 15, 2036</w:t>
            </w:r>
          </w:p>
        </w:tc>
      </w:tr>
      <w:tr>
        <w:trPr>
          <w:trHeight w:val="234"/>
        </w:trPr>
        <w:tc>
          <w:tcPr>
            <w:tcW w:w="2380" w:type="dxa"/>
            <w:vAlign w:val="bottom"/>
          </w:tcPr>
          <w:p>
            <w:pPr>
              <w:spacing w:after="0"/>
              <w:rPr>
                <w:sz w:val="20"/>
                <w:szCs w:val="20"/>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2056</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January 15, 2056</w:t>
            </w:r>
          </w:p>
        </w:tc>
      </w:tr>
      <w:tr>
        <w:trPr>
          <w:trHeight w:val="31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2031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4.300% per year on the principal amount of the 2031 Notes</w:t>
            </w:r>
          </w:p>
        </w:tc>
      </w:tr>
      <w:tr>
        <w:trPr>
          <w:trHeight w:val="216"/>
        </w:trPr>
        <w:tc>
          <w:tcPr>
            <w:tcW w:w="238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2033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4.600% per year on the principal amount of the 2033 Notes</w:t>
            </w:r>
          </w:p>
        </w:tc>
      </w:tr>
      <w:tr>
        <w:trPr>
          <w:trHeight w:val="216"/>
        </w:trPr>
        <w:tc>
          <w:tcPr>
            <w:tcW w:w="238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2036</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4.950% per year on the principal amount of the 2036 Notes</w:t>
            </w:r>
          </w:p>
        </w:tc>
      </w:tr>
      <w:tr>
        <w:trPr>
          <w:trHeight w:val="234"/>
        </w:trPr>
        <w:tc>
          <w:tcPr>
            <w:tcW w:w="2380" w:type="dxa"/>
            <w:vAlign w:val="bottom"/>
          </w:tcPr>
          <w:p>
            <w:pPr>
              <w:spacing w:after="0"/>
              <w:rPr>
                <w:sz w:val="20"/>
                <w:szCs w:val="20"/>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2056</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5.700% per year on the principal amount of the 2056 Notes</w:t>
            </w:r>
          </w:p>
        </w:tc>
      </w:tr>
    </w:tbl>
    <w:p>
      <w:pPr>
        <w:sectPr>
          <w:pgSz w:w="11900" w:h="16838" w:orient="portrait"/>
          <w:cols w:equalWidth="0" w:num="1">
            <w:col w:w="11020"/>
          </w:cols>
          <w:pgMar w:left="440" w:top="266"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ISIN Number:</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January 15 and July 15, beginning July 15, 2026, and accruing from January 13, 2026, in respect of the 2031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-391160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January 15 and July 15, beginning July 15, 2026, and accruing from January 13, 2026, in respect of the 2033 Notes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January 15 and July 15, beginning July 15, 2026, and accruing from January 13, 2026, in respect of the 2036 Notes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January 15 and July 15, beginning July 15, 2026, and accruing from January 13, 2026, in respect of the 2056 Notes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and July 1, in respect of the 2031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and July 1, in respect of the 2033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and July 1, in respect of the 2036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and July 1, in respect of the 2056 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99.902% of the principal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Notes: 99.757% of the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99.914% of the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2056 Notes: 99.331% of the principal amount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UST 3.625% due December 31,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Notes: UST 3.875% due December 31, 2032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UST 4.000% due November 15, 2035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2056 Notes: UST 4.750% due August 15, 2055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99-18 / 3.722%</w:t>
      </w:r>
    </w:p>
    <w:p>
      <w:pPr>
        <w:spacing w:after="0" w:line="182" w:lineRule="auto"/>
        <w:rPr>
          <w:sz w:val="20"/>
          <w:szCs w:val="20"/>
          <w:color w:val="auto"/>
        </w:rPr>
      </w:pPr>
      <w:r>
        <w:rPr>
          <w:rFonts w:ascii="Times New Roman" w:cs="Times New Roman" w:eastAsia="Times New Roman" w:hAnsi="Times New Roman"/>
          <w:sz w:val="17"/>
          <w:szCs w:val="17"/>
          <w:color w:val="auto"/>
        </w:rPr>
        <w:t xml:space="preserve">2033 Notes: 99-19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4</w:t>
      </w:r>
      <w:r>
        <w:rPr>
          <w:rFonts w:ascii="Times New Roman" w:cs="Times New Roman" w:eastAsia="Times New Roman" w:hAnsi="Times New Roman"/>
          <w:sz w:val="17"/>
          <w:szCs w:val="17"/>
          <w:color w:val="auto"/>
        </w:rPr>
        <w:t xml:space="preserve"> / 3.941%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98-17+ / 4.181%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2056 Notes: 98-05+ / 4.867%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+60 basis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Notes: +70 basis 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+78 basis 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2056 Notes: +88 basis points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4.322%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Notes: 4.641%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4.961%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2056 Notes: 5.747%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11135F CZ2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Notes: 11135F DA6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11135F DB4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2056 Notes: 11135F DD0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US11135FCZ27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Notes: US11135FDA66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US11135FDB40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2056 Notes: US11135FDD06</w:t>
      </w:r>
    </w:p>
    <w:p>
      <w:pPr>
        <w:spacing w:after="0" w:line="15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680" w:space="620"/>
            <w:col w:w="7420"/>
          </w:cols>
          <w:pgMar w:left="440" w:top="266" w:right="739" w:bottom="1440" w:gutter="0" w:footer="0" w:header="0"/>
        </w:sectPr>
      </w:pPr>
    </w:p>
    <w:bookmarkStart w:id="40" w:name="page41"/>
    <w:bookmarkEnd w:id="40"/>
    <w:p>
      <w:pPr>
        <w:ind w:left="4"/>
        <w:spacing w:after="0"/>
        <w:rPr>
          <w:sz w:val="20"/>
          <w:szCs w:val="20"/>
          <w:color w:val="auto"/>
        </w:rPr>
      </w:pPr>
      <w:r>
        <w:rPr>
          <w:rFonts w:ascii="Times New Roman" w:cs="Times New Roman" w:eastAsia="Times New Roman" w:hAnsi="Times New Roman"/>
          <w:sz w:val="17"/>
          <w:szCs w:val="17"/>
          <w:b w:val="1"/>
          <w:bCs w:val="1"/>
          <w:color w:val="auto"/>
        </w:rPr>
        <w:t>Redemption at Broadcom’s Option:</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Prior to December 15, 2030 (one month prior to their maturity date) (the “2031 Par Call Date”), in the case of the 2031 Notes, prior to November 15, 2032 (two months prior to their maturity date) (the “2033 Par Call Date”), in the case of the 2033 Notes, prior to October 15, 2035 (three months prior to their maturity date) (the “2036 Par Call Date”), in the case of the 2036 Notes and prior to July 15, 2055 (six months prior to their maturity date) (the “2056 Par Call Date” and each of the 2031 Par Call Date, the 2033 Par Call Date, the 2036 Par Call Date and the 2056 Par Call Date, a “Par Call Date”), in the case of the 2056 Notes, Broadcom may redeem the Notes of the applicable series at its option, in whole or in part, at any time and from time to time, at a redemption price calculated by Broadcom (expressed as a percentage of principal amount and rounded to three decimal places)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-1334135</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2744" w:space="560"/>
            <w:col w:w="7700"/>
          </w:cols>
          <w:pgMar w:left="436" w:top="266" w:right="459" w:bottom="1440" w:gutter="0" w:footer="0" w:header="0"/>
        </w:sectPr>
      </w:pPr>
    </w:p>
    <w:p>
      <w:pPr>
        <w:ind w:left="3304" w:right="20"/>
        <w:spacing w:after="0" w:line="256"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10 basis points (in the case of the 2031 Notes), 15 basis points (in the case of the 2033 Notes), 15 basis points (in the case of the 2036 Notes) or 15 basis points (in the case of the 2056 Notes) less (b) interest accrued to the date of redemption, and</w:t>
      </w:r>
    </w:p>
    <w:p>
      <w:pPr>
        <w:spacing w:after="0" w:line="93"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131"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thereon to, but excluding, the redemption date.</w:t>
      </w:r>
    </w:p>
    <w:p>
      <w:pPr>
        <w:spacing w:after="0" w:line="131" w:lineRule="exact"/>
        <w:rPr>
          <w:sz w:val="20"/>
          <w:szCs w:val="20"/>
          <w:color w:val="auto"/>
        </w:rPr>
      </w:pPr>
    </w:p>
    <w:p>
      <w:pPr>
        <w:ind w:left="3304" w:right="160"/>
        <w:spacing w:after="0" w:line="261" w:lineRule="auto"/>
        <w:rPr>
          <w:sz w:val="20"/>
          <w:szCs w:val="20"/>
          <w:color w:val="auto"/>
        </w:rPr>
      </w:pPr>
      <w:r>
        <w:rPr>
          <w:rFonts w:ascii="Times New Roman" w:cs="Times New Roman" w:eastAsia="Times New Roman" w:hAnsi="Times New Roman"/>
          <w:sz w:val="18"/>
          <w:szCs w:val="18"/>
          <w:color w:val="auto"/>
        </w:rPr>
        <w:t>On or after the applicable Par Call Date, Broadcom may redeem the Notes of the applicable series at its option, in whole or in part, at any time and from time to time, at a redemption price equal to 100% of the principal amount of the Notes being redeemed plus accrued and unpaid interest, if any, thereon to, but excluding, the applicable redemption date.</w:t>
      </w:r>
    </w:p>
    <w:p>
      <w:pPr>
        <w:sectPr>
          <w:pgSz w:w="11900" w:h="16838" w:orient="portrait"/>
          <w:cols w:equalWidth="0" w:num="1">
            <w:col w:w="11004"/>
          </w:cols>
          <w:pgMar w:left="436" w:top="266" w:right="459" w:bottom="1440" w:gutter="0" w:footer="0" w:header="0"/>
          <w:type w:val="continuous"/>
        </w:sectPr>
      </w:pP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24" w:lineRule="exact"/>
        <w:rPr>
          <w:sz w:val="20"/>
          <w:szCs w:val="20"/>
          <w:color w:val="auto"/>
        </w:rPr>
      </w:pPr>
    </w:p>
    <w:p>
      <w:pPr>
        <w:sectPr>
          <w:pgSz w:w="11900" w:h="16838" w:orient="portrait"/>
          <w:cols w:equalWidth="0" w:num="2">
            <w:col w:w="2584" w:space="720"/>
            <w:col w:w="7700"/>
          </w:cols>
          <w:pgMar w:left="436" w:top="266" w:right="459" w:bottom="1440" w:gutter="0" w:footer="0" w:header="0"/>
          <w:type w:val="continuous"/>
        </w:sectPr>
      </w:pPr>
    </w:p>
    <w:p>
      <w:pPr>
        <w:ind w:left="3304"/>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21"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type w:val="continuous"/>
        </w:sectPr>
      </w:pPr>
    </w:p>
    <w:p>
      <w:pPr>
        <w:spacing w:after="0" w:line="311"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Note: A securities rating is not a recommendation to buy, sell or hold securities and may be subject to revision or withdrawal at any time.</w:t>
      </w:r>
    </w:p>
    <w:p>
      <w:pPr>
        <w:spacing w:after="0" w:line="237" w:lineRule="exact"/>
        <w:rPr>
          <w:sz w:val="20"/>
          <w:szCs w:val="20"/>
          <w:color w:val="auto"/>
        </w:rPr>
      </w:pPr>
    </w:p>
    <w:p>
      <w:pPr>
        <w:ind w:left="4" w:right="120"/>
        <w:spacing w:after="0" w:line="257"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to investors on or about January 13, 2026, which will be the fifth business day following the date of this pricing term sheet (such settlement being referred to as “T+5”). Under Rule 15c6-1 under the Securities Exchange Act of 1934, as amended, trades in the secondary market are required to settle in one business day, unless the parties to any such trade expressly agree otherwise. Accordingly, purchasers who wish to trade the Notes prior to closing may be required, by virtue of the fact that the Notes initially will settle in T+5, to specify an alternative settlement cycle at the time of any such trade to prevent failed settlement and should consult their own advisors.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type w:val="continuous"/>
        </w:sectPr>
      </w:pPr>
    </w:p>
    <w:bookmarkStart w:id="41" w:name="page42"/>
    <w:bookmarkEnd w:id="41"/>
    <w:p>
      <w:pPr>
        <w:spacing w:after="0" w:line="275"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has filed a registration statement (including a prospectus) and a prospectus supplement with the U.S.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prospectus supplement if you request it by calling BofA Securities, Inc. at 1-800-294-1322 (toll free) or J.P. Morgan Securities LLC collect at 1-212-834-4533.</w:t>
      </w:r>
    </w:p>
    <w:p>
      <w:pPr>
        <w:spacing w:after="0" w:line="1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INDENTURE NO. 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January 13,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July 12, 2024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4.300% Senior Notes due 2031</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4.600% Senior Notes due 2033</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4.950% Senior Notes due 2036</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5.700% Senior Notes due 2056</w:t>
      </w:r>
    </w:p>
    <w:p>
      <w:pPr>
        <w:sectPr>
          <w:pgSz w:w="11900" w:h="16838" w:orient="portrait"/>
          <w:cols w:equalWidth="0" w:num="1">
            <w:col w:w="10020"/>
          </w:cols>
          <w:pgMar w:left="1440" w:top="117"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95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80" w:type="dxa"/>
            <w:vAlign w:val="bottom"/>
          </w:tcPr>
          <w:p>
            <w:pPr>
              <w:spacing w:after="0"/>
              <w:rPr>
                <w:sz w:val="20"/>
                <w:szCs w:val="20"/>
                <w:color w:val="auto"/>
              </w:rPr>
            </w:pPr>
          </w:p>
        </w:tc>
      </w:tr>
      <w:tr>
        <w:trPr>
          <w:trHeight w:val="392"/>
        </w:trPr>
        <w:tc>
          <w:tcPr>
            <w:tcW w:w="11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ARTICLE ONE</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DEFINITIONS AND OTHER PROVISIONS OF GENERAL APPLICATION</w:t>
            </w:r>
          </w:p>
        </w:tc>
        <w:tc>
          <w:tcPr>
            <w:tcW w:w="280" w:type="dxa"/>
            <w:vAlign w:val="bottom"/>
          </w:tcPr>
          <w:p>
            <w:pPr>
              <w:spacing w:after="0"/>
              <w:rPr>
                <w:sz w:val="24"/>
                <w:szCs w:val="24"/>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References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ARTICLE TWO</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GENERAL TERMS AND CONDITIONS OF THE NOTES</w:t>
            </w:r>
          </w:p>
        </w:tc>
        <w:tc>
          <w:tcPr>
            <w:tcW w:w="280" w:type="dxa"/>
            <w:vAlign w:val="bottom"/>
          </w:tcPr>
          <w:p>
            <w:pPr>
              <w:spacing w:after="0"/>
              <w:rPr>
                <w:sz w:val="24"/>
                <w:szCs w:val="24"/>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Designation and Principal 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Terms and Conditions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ARTICLE THREE</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REDEMPTION</w:t>
            </w:r>
          </w:p>
        </w:tc>
        <w:tc>
          <w:tcPr>
            <w:tcW w:w="280" w:type="dxa"/>
            <w:vAlign w:val="bottom"/>
          </w:tcPr>
          <w:p>
            <w:pPr>
              <w:spacing w:after="0"/>
              <w:rPr>
                <w:sz w:val="24"/>
                <w:szCs w:val="24"/>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 of the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3.02 </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Redemption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ARTICLE FOUR</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[RESERVED]</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ARTICLE FIVE</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[RESERVED]</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ARTICLE SIX</w:t>
            </w:r>
          </w:p>
        </w:tc>
        <w:tc>
          <w:tcPr>
            <w:tcW w:w="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95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MISCELLANEOUS</w:t>
            </w:r>
          </w:p>
        </w:tc>
        <w:tc>
          <w:tcPr>
            <w:tcW w:w="280" w:type="dxa"/>
            <w:vAlign w:val="bottom"/>
          </w:tcPr>
          <w:p>
            <w:pPr>
              <w:spacing w:after="0"/>
              <w:rPr>
                <w:sz w:val="24"/>
                <w:szCs w:val="24"/>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Sixth Supplemental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with Base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Waiver of Trial by Jury; Submission to Jurisdiction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Disclaimer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4" w:name="page45"/>
    <w:bookmarkEnd w:id="44"/>
    <w:p>
      <w:pPr>
        <w:spacing w:after="0"/>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w:t>
      </w:r>
      <w:r>
        <w:rPr>
          <w:sz w:val="20"/>
          <w:szCs w:val="20"/>
          <w:color w:val="auto"/>
        </w:rPr>
        <w:tab/>
      </w:r>
      <w:r>
        <w:rPr>
          <w:rFonts w:ascii="Times New Roman" w:cs="Times New Roman" w:eastAsia="Times New Roman" w:hAnsi="Times New Roman"/>
          <w:sz w:val="17"/>
          <w:szCs w:val="17"/>
          <w:color w:val="auto"/>
        </w:rPr>
        <w:t>Form of Note</w:t>
      </w:r>
    </w:p>
    <w:p>
      <w:pPr>
        <w:spacing w:after="0" w:line="158"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019"/>
          </w:cols>
          <w:pgMar w:left="440" w:top="270"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INDENTURE NO. 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SUPPLEMENTAL INDENTURE NO. 6</w:t>
      </w:r>
      <w:r>
        <w:rPr>
          <w:rFonts w:ascii="Times New Roman" w:cs="Times New Roman" w:eastAsia="Times New Roman" w:hAnsi="Times New Roman"/>
          <w:sz w:val="18"/>
          <w:szCs w:val="18"/>
          <w:color w:val="auto"/>
        </w:rPr>
        <w:t>, dated as of January 13, 2026 (this “</w:t>
      </w:r>
      <w:r>
        <w:rPr>
          <w:rFonts w:ascii="Times New Roman" w:cs="Times New Roman" w:eastAsia="Times New Roman" w:hAnsi="Times New Roman"/>
          <w:sz w:val="18"/>
          <w:szCs w:val="18"/>
          <w:u w:val="single" w:color="auto"/>
          <w:color w:val="auto"/>
        </w:rPr>
        <w:t>Sixth Supplemental Indenture</w:t>
      </w:r>
      <w:r>
        <w:rPr>
          <w:rFonts w:ascii="Times New Roman" w:cs="Times New Roman" w:eastAsia="Times New Roman" w:hAnsi="Times New Roman"/>
          <w:sz w:val="18"/>
          <w:szCs w:val="18"/>
          <w:color w:val="auto"/>
        </w:rPr>
        <w:t>”), between Broadcom Inc.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and Wilmington Trust,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to the Base Indenture (as defined below).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heretofore executed and delivered to the Trustee an indenture, dated as of July 12, 2024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this Sixth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from time to time of its notes and other evidences of debt securities, to be issued in one or more series as therein provided;</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Base Indenture, on the date hereof, the Company desires to provide for the establishment of four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notes to be known as its 4.300% Senior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4.600% Senior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4.950% Senior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and 5.700% Senior Notes due 2056 (the “</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and, together with the 2031 Notes, the 2033 Notes and the 2036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form and substance of such notes and the terms, provisions and conditions thereof to be set forth as provided in the Base Indenture and herein;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conditions set forth in the Base Indenture for the execution and delivery of this Sixth Supplemental Indenture have been met;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hereby requests that the Trustee join with it in the execution and delivery of this Sixth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 all acts and requirements necessary to make this Sixth Supplemental Indenture a legal, valid and binding agreement of the parties, in accordance with its terms, and a valid supplement to, the Base Indenture with respect to the Notes have been done and performed.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premises contained herein, each party agrees for the benefit of each other party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and ratable benefit of the Holders of the Notes,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Other Provisions of General Application</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Capitalized terms used but not defined in this Sixth Supplemental Indenture shall have the meanings ascribed to them in the Base Indenture. References in this Sixth Supplemental Indenture to article and section numbers shall be deemed to be references to article and section numbers of this Sixth Supplemental Indenture unless otherwise specified.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Sixth Supplemental Indenture, the following terms have the meanings ascribed to them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means any additional Notes that may be issued from time to time pursuant to Section 301 of the Base Indenture.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payment, tender, redemption, transfer, or exchange of or for beneficial interests in any Global Note, the rules and procedures of the Depositary that apply to such payment, tender, redemption, transfer or exchange.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provided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the Trustee, as custodian with respect to the Global Notes, or any successor entity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w:t>
      </w:r>
      <w:r>
        <w:rPr>
          <w:rFonts w:ascii="Times New Roman" w:cs="Times New Roman" w:eastAsia="Times New Roman" w:hAnsi="Times New Roman"/>
          <w:sz w:val="18"/>
          <w:szCs w:val="18"/>
          <w:color w:val="auto"/>
        </w:rPr>
        <w:t>” means a certificated Note issued pursuant to the Indenture that does not include the Global Notes legend.</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Depository Trust Company, its nominees and their respective successors and assigns, or such other depository institution hereinafter appointed by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means one or more Notes that are Global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provided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has the meaning provided in Section 2.06.</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provided in the Recitals. For the avoidance of doubt, “Notes” shall include any Additional Notes issued pursuant to Section 301 of the Base Indenture, unless the context provides otherwise.</w:t>
      </w:r>
    </w:p>
    <w:p>
      <w:pPr>
        <w:spacing w:after="0" w:line="162" w:lineRule="exact"/>
        <w:rPr>
          <w:sz w:val="20"/>
          <w:szCs w:val="20"/>
          <w:color w:val="auto"/>
        </w:rPr>
      </w:pPr>
    </w:p>
    <w:p>
      <w:pPr>
        <w:ind w:right="10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(i) December 15, 2030, in the case of the 2031 Notes, (ii) November 15, 2032, in the case of the 2033 Notes, (iii) October 15, 2035, in the case of the 2036 Notes and (iv) July 15, 2055, in the case of the 2056 Notes.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Sixth Supplemental Indenture</w:t>
      </w:r>
      <w:r>
        <w:rPr>
          <w:rFonts w:ascii="Times New Roman" w:cs="Times New Roman" w:eastAsia="Times New Roman" w:hAnsi="Times New Roman"/>
          <w:sz w:val="18"/>
          <w:szCs w:val="18"/>
          <w:color w:val="auto"/>
        </w:rPr>
        <w:t>” has the meaning provided in the Preamble.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47" w:name="page48"/>
    <w:bookmarkEnd w:id="47"/>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pursuant to Section 3.01, the yield determined by the Company in accordance with the following two clauses:</w:t>
      </w:r>
    </w:p>
    <w:p>
      <w:pPr>
        <w:spacing w:after="0" w:line="162" w:lineRule="exact"/>
        <w:rPr>
          <w:sz w:val="20"/>
          <w:szCs w:val="20"/>
          <w:color w:val="auto"/>
        </w:rPr>
      </w:pPr>
    </w:p>
    <w:p>
      <w:pPr>
        <w:ind w:left="4" w:right="40" w:firstLine="987"/>
        <w:spacing w:after="0" w:line="253" w:lineRule="auto"/>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applicable to a series of Notes shall be determined by the Company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applicable Treasury Rate, the Company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w:t>
      </w:r>
    </w:p>
    <w:p>
      <w:pPr>
        <w:spacing w:after="0" w:line="2" w:lineRule="exact"/>
        <w:rPr>
          <w:rFonts w:ascii="Times New Roman" w:cs="Times New Roman" w:eastAsia="Times New Roman" w:hAnsi="Times New Roman"/>
          <w:sz w:val="18"/>
          <w:szCs w:val="18"/>
          <w:color w:val="auto"/>
        </w:rPr>
      </w:pPr>
    </w:p>
    <w:p>
      <w:pPr>
        <w:ind w:left="4" w:right="100" w:hanging="4"/>
        <w:spacing w:after="0" w:line="252"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clause (a), the applicable Treasury constant maturity or maturities on H.15 shall be deemed to have a maturity date equal to the relevant number of months or years, as applicable, of such Treasury constant maturity from such Redemption Date.</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such Redemption Date H.15 TCM or any successor designation or publication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clause (b),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has the meaning provided in the Preamble.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of the Notes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Principal Amount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6"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hereby authorized and designated four series of Notes: the 2031 Notes, the 2033 Notes, the 2036 Notes and the 2056 Notes. The Notes may be authenticated and delivered under the Indenture in an unlimited aggregate principal amount. The Notes issued on the date hereof pursuant to the terms of the Indenture shall be in an aggregate principal amount of $750,000,000 2031 Notes, $1,250,000,000 2033 Notes, $1,250,000,000 2036 Notes and $1,250,000,000 2056 Notes. The amount shall be set forth in the written order of the Company for the authentication and delivery of the Notes pursuant to Section 303 of the Base Indenture. The Notes are unsecured and shall rank equally with the Company’s other unsecured and unsubordinated indebtedness.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Unless an earlier redemption has occurred, the principal amount of the Notes shall mature and be due and payable on January 15, 2031 (in the case of the 2031 Notes), January 15, 2033 (in the case of the 2033 Notes), January 15, 2036 (in the case of the 2036 Notes) and January 15, 2056 (in the case of the 2056 Notes). Such maturity dates for the applicable series of Notes are the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for such series of Notes.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and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issued initially in the form of one or more Global Notes in fully registered, book-entry form, in minimum denominations of $2,000 and integral multiples of $1,000 in excess thereof.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(other than, with respect to any Additional Notes, changes relating to the issue date, the public offering price, the payment of interest accruing prior to the issue date or the first Interest Payment Date of such Additional Notes) and the Trustee’s Certificate of Authentication to be endorsed thereon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form is hereby incorporated in and made a part of this Sixth Supplemental Indenture.</w:t>
      </w:r>
    </w:p>
    <w:p>
      <w:pPr>
        <w:spacing w:after="0" w:line="179" w:lineRule="exact"/>
        <w:rPr>
          <w:rFonts w:ascii="Times New Roman" w:cs="Times New Roman" w:eastAsia="Times New Roman" w:hAnsi="Times New Roman"/>
          <w:sz w:val="18"/>
          <w:szCs w:val="18"/>
          <w:color w:val="auto"/>
        </w:rPr>
      </w:pPr>
    </w:p>
    <w:p>
      <w:pPr>
        <w:ind w:right="80" w:firstLine="987"/>
        <w:spacing w:after="0" w:line="289" w:lineRule="auto"/>
        <w:tabs>
          <w:tab w:leader="none" w:pos="12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provisions contained in the Notes shall constitute, and are hereby expressly made, a part of this Sixth Supplemental Indenture, and the Company and the Trustee, by their execution and delivery of this Sixth Supplemental Indenture, expressly agree to such terms and provisions and to be bound thereby. Payments of principal, premium, if any, and/or interest, if any, on the Global Notes shall be made to the Depositary.</w:t>
      </w:r>
    </w:p>
    <w:p>
      <w:pPr>
        <w:spacing w:after="0" w:line="157" w:lineRule="exact"/>
        <w:rPr>
          <w:rFonts w:ascii="Times New Roman" w:cs="Times New Roman" w:eastAsia="Times New Roman" w:hAnsi="Times New Roman"/>
          <w:sz w:val="17"/>
          <w:szCs w:val="17"/>
          <w:color w:val="auto"/>
        </w:rPr>
      </w:pPr>
    </w:p>
    <w:p>
      <w:pPr>
        <w:ind w:right="20" w:firstLine="987"/>
        <w:spacing w:after="0" w:line="25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Note shall represent such of the Outstanding Notes as shall be specified in the “Schedule of Exchanges of Notes” attached thereto and shall provide that it shall represent the aggregate principal amount of Notes from time to time endorsed thereon and that the aggregate principal amount of Outstanding Notes represented thereby may from time to time be reduced or increased to reflect redemptions, repurchases, transfers or exchanges permitted hereby. Any endorsement of the Global Note to reflect the amount of any increase or decrease in the aggregate principal amount of Outstanding Notes represented thereby shall be made by the Trustee or the Custodian, at the direction of the Trustee, in accordance with instructions given by the Holder of such Notes in accordance with the Indenture.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2.04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5"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Note deposited with the Depositary or with the Custodian may be transferred to the beneficial owners thereof in the form of Definitive Notes in an aggregate principal amount equal to the principal amount of such Global Note, in exchange for such Global Note, only if such transfer complies with Section 2.05 below and (i) the Depositary (A) has notified the Company that it is unwilling or unable to continue as Depositary for such Global Note, (B) defaults in the performance of its duties as Depositary, or (C) has ceased to be a clearing agency registered under the Exchange Act at a time when the Depositary is required to be so registered to act as depositary, in each case, unless the Company has approved a successor Depositary within 90 days after receipt of such notice or after it has become aware of such default or cessation or (ii) the Company in its sole discretion determines, subject to the procedures of the Depositary, that such Global Note will be so exchangeable or transferable.</w:t>
      </w:r>
    </w:p>
    <w:p>
      <w:pPr>
        <w:spacing w:after="0" w:line="188"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Global Note that is transferable to the beneficial owners thereof pursuant to this Section 2.04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2.04 shall be executed, authenticated and delivered only in minimum denominations of $2,000 and integral multiples of $1,000 in excess thereof and registered in such names as the Depositary shall direct.</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all beneficial interests in a Global Note have either been exchanged for 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appropriately reduced or increased, and an adjustment shall be made on the books and records of the Trustee (if it is then the Custodian for such Global Note) with respect to such Global Note, by the Trustee or the Custodian, to reflect such reduction or increase.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Definitive Notes for Definitive Notes</w:t>
      </w:r>
      <w:r>
        <w:rPr>
          <w:rFonts w:ascii="Times New Roman" w:cs="Times New Roman" w:eastAsia="Times New Roman" w:hAnsi="Times New Roman"/>
          <w:sz w:val="18"/>
          <w:szCs w:val="18"/>
          <w:color w:val="auto"/>
        </w:rPr>
        <w:t>. When Definitive Notes are presented to the Security Registrar with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request:</w:t>
      </w:r>
    </w:p>
    <w:p>
      <w:pPr>
        <w:spacing w:after="0" w:line="98"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such Definitive Notes; or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such Definitive Notes for an equal principal amount of Definitive Notes of other authorized denominations,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Security Registrar shall register the transfer or make the exchange as requested if its reasonable requirements for such transaction are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Definitive Notes surrendered for transfer or exchange shall be duly endorsed or accompanied by a written instrument of transfer in form satisfactory to the Company and the Security Registrar, duly executed by the Holder thereof or his attorney duly authorized in writing.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50" w:name="page51"/>
    <w:bookmarkEnd w:id="50"/>
    <w:p>
      <w:pPr>
        <w:jc w:val="both"/>
        <w:ind w:right="100" w:firstLine="987"/>
        <w:spacing w:after="0" w:line="266"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Transfer of a Definitive Note for a Beneficial Interest in a Global Note</w:t>
      </w:r>
      <w:r>
        <w:rPr>
          <w:rFonts w:ascii="Times New Roman" w:cs="Times New Roman" w:eastAsia="Times New Roman" w:hAnsi="Times New Roman"/>
          <w:sz w:val="18"/>
          <w:szCs w:val="18"/>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satisfactory to the Security Registrar, together with:</w:t>
      </w:r>
    </w:p>
    <w:p>
      <w:pPr>
        <w:spacing w:after="0" w:line="67"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0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certification from the transferor in the form provided on the reverse side of the Form of Note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Sixth Supplemental Indenture for exchange or registration of transfers and, as applicable, delivery of such legal opinions, certifications and other information as may be requested pursuant thereto; and</w:t>
      </w:r>
    </w:p>
    <w:p>
      <w:pPr>
        <w:spacing w:after="0" w:line="67" w:lineRule="exact"/>
        <w:rPr>
          <w:rFonts w:ascii="Times New Roman" w:cs="Times New Roman" w:eastAsia="Times New Roman" w:hAnsi="Times New Roman"/>
          <w:sz w:val="18"/>
          <w:szCs w:val="18"/>
          <w:color w:val="auto"/>
        </w:rPr>
      </w:pPr>
    </w:p>
    <w:p>
      <w:pPr>
        <w:jc w:val="both"/>
        <w:ind w:left="440" w:firstLine="948"/>
        <w:spacing w:after="0" w:line="266" w:lineRule="auto"/>
        <w:tabs>
          <w:tab w:leader="none" w:pos="165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Company shall issue and the Trustee shall authenticate, upon written order of the Company, a new applicable Global Note in the appropriate principal amount.</w:t>
      </w:r>
    </w:p>
    <w:p>
      <w:pPr>
        <w:spacing w:after="0" w:line="187" w:lineRule="exact"/>
        <w:rPr>
          <w:sz w:val="20"/>
          <w:szCs w:val="20"/>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0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exchange of Global Notes or beneficial interests therein shall be effected through the Depositary, in accordance with the Indenture and the procedures of the Depositary therefor. A transferor of a beneficial interest in a Global Note shall deliver to the Security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51" w:name="page52"/>
    <w:bookmarkEnd w:id="51"/>
    <w:p>
      <w:pPr>
        <w:ind w:left="440" w:right="60" w:firstLine="948"/>
        <w:spacing w:after="0" w:line="281" w:lineRule="auto"/>
        <w:tabs>
          <w:tab w:leader="none" w:pos="165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spacing w:after="0" w:line="56" w:lineRule="exact"/>
        <w:rPr>
          <w:rFonts w:ascii="Times New Roman" w:cs="Times New Roman" w:eastAsia="Times New Roman" w:hAnsi="Times New Roman"/>
          <w:sz w:val="17"/>
          <w:szCs w:val="17"/>
          <w:color w:val="auto"/>
        </w:rPr>
      </w:pPr>
    </w:p>
    <w:p>
      <w:pPr>
        <w:ind w:left="440" w:right="80" w:firstLine="948"/>
        <w:spacing w:after="0" w:line="266" w:lineRule="auto"/>
        <w:tabs>
          <w:tab w:leader="none" w:pos="170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2.05,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2031 Notes in arrears on January 15 and July 15 of each year, with the first payment on July 15, 2026, to the Persons in whose names such 2031 Notes are registered at the close of business on January 1 and July 1, as the case may be (in each case, whether or not a Business Day), immediately preceding the related Interest Payment Date. The Company shall pay interest on the 2033 Notes in arrears on January 15 and July 15 of each year, with the first payment on July 15, 2026, to the Persons in whose names such 2033 Notes are registered at the close of business on January 1 and July 1, as the case may be (in each case, whether or not a Business Day), immediately preceding the related Interest Payment Date. The Company shall pay interest on the 2036 Notes in arrears on January 15 and July 15 of each year, with the first payment on July 15, 2026, to the Persons in whose names such 2036 Notes are registered at the close of business on January 1 and July 1, as the case may be (in each case, whether or not a Business Day), immediately preceding the related Interest Payment Date. The Company shall pay interest on the 2056 Notes in arrears on January 15 and July 15 of each year, with the first payment on July 15, 2026, to the Persons in whose names such 2056 Notes are registered at the close of business on January 1 and July 1, as the case may be (in each case, whether or not a Business Day), immediately preceding the related Interest Payment Date. Such interest payment dates and record dates for the applicable series of Notes are the “</w:t>
      </w: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Regular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Dates</w:t>
      </w:r>
      <w:r>
        <w:rPr>
          <w:rFonts w:ascii="Times New Roman" w:cs="Times New Roman" w:eastAsia="Times New Roman" w:hAnsi="Times New Roman"/>
          <w:sz w:val="18"/>
          <w:szCs w:val="18"/>
          <w:color w:val="auto"/>
        </w:rPr>
        <w:t>,” respectively, for such series of Notes.</w:t>
      </w:r>
    </w:p>
    <w:p>
      <w:pPr>
        <w:spacing w:after="0" w:line="19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 each case, interest payable on the Stated Maturity of the Notes or any Redemption Date of the Notes shall be payable to the Person to whom the principal of such Notes shall be payable. Interest on the Notes shall be computed on the basis of a 360-day year of twelve 30-day months. The Company shall make payments of principal, premium, if any, interest and Additional Amounts, if any, through the Trustee to the Depositary.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Interest payable on any Interest Payment Date, Redemption Date or the Stated Maturity shall be the amount of interest accrued from, and including, the next preceding Interest Payment Date in respect of which interest has been paid or duly provided for (or from and including the original issue date, if no interest has been paid or duly provided for with respect to the applicable series of Notes) to, but excluding, such Interest Payment Date, Redemption Date or the Stated Maturity, as the case may be. If any Interest Payment Date falls on a day that is not a Business Day, the interest payment will be made on the next succeeding day that is a Business Day, but no additional interest will accrue as a result of the delay in payment. If the Stated Maturity or any Redemption Date of the Notes falls on a day that is not a Business Day, the related payment of principal, premium, if any, interest and Additional Amounts, if any, will be made on the next succeeding Business Day as if it were made on the date such payment was due, and no interest will accrue on the amounts so payable for the period from and after such date to the next succeeding Business Day.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Other Terms and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not subject to or entitled to the benefit of any sinking fund.</w:t>
      </w:r>
    </w:p>
    <w:p>
      <w:pPr>
        <w:spacing w:after="0" w:line="225" w:lineRule="exact"/>
        <w:rPr>
          <w:rFonts w:ascii="Times New Roman" w:cs="Times New Roman" w:eastAsia="Times New Roman" w:hAnsi="Times New Roman"/>
          <w:sz w:val="18"/>
          <w:szCs w:val="18"/>
          <w:color w:val="auto"/>
        </w:rPr>
      </w:pPr>
    </w:p>
    <w:p>
      <w:pPr>
        <w:ind w:right="320" w:firstLine="987"/>
        <w:spacing w:after="0" w:line="26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and Covenant Defeasance provisions of Article Fourteen of the Base Indenture will apply to the Notes and the covenants set forth in Article Four of this Sixth Supplemental Indenture shall be subject to the provisions of Section 1403 of the Base Indenture. The provisions of Article Four of the Base Indenture will apply to the Notes.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the Events of Default provided in Section 501 of the Base Indenture.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initially be the Security Registrar and Paying Agent for the Notes.</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the covenants provided in Article Ten of the Base Indenture, as supplemented by Article Four of this Sixth Supplemental Indenture.</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Place of Payment for the Notes, and the place where notices and demand to or upon the Company in respect of the Notes and the Indenture may be served, shall be the Corporate Trust Office of the Trustee, which office at the date hereof is located at Wilmington Trust, National Association, 50 South Sixth Street, Suite 1290, Minneapolis, MN 55402, Attention: Broadcom Inc.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office of the Trustee shall be an office or agency of the Company for purposes of service of legal process on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Optional Redemption of the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6"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applicable to a series of Notes, the Company may redeem the Notes of such series at its option, in whole or in part, at any time and from time to time, at a Redemption Price calculated by the Company (expressed as a percentage of principal amount and rounded to three decimal places) equal to the greater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53" w:name="page54"/>
    <w:bookmarkEnd w:id="53"/>
    <w:p>
      <w:pPr>
        <w:ind w:left="440" w:right="200" w:firstLine="948"/>
        <w:spacing w:after="0" w:line="258" w:lineRule="auto"/>
        <w:tabs>
          <w:tab w:leader="none" w:pos="16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 10 basis points (in the case of the 2031 Notes), (2) 15 basis points (in the case of the 2033 Notes), (3) 15 basis points (in the case of the 2036 Notes) or (4) 15 basis points (in the case of the 2056 Notes) less (B) interest accrued to the Redemption Date, and</w:t>
      </w:r>
    </w:p>
    <w:p>
      <w:pPr>
        <w:spacing w:after="0" w:line="7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if any, thereon to, but excluding, the Redemption Date.</w:t>
      </w:r>
    </w:p>
    <w:p>
      <w:pPr>
        <w:spacing w:after="0" w:line="225" w:lineRule="exact"/>
        <w:rPr>
          <w:sz w:val="20"/>
          <w:szCs w:val="20"/>
          <w:color w:val="auto"/>
        </w:rPr>
      </w:pPr>
    </w:p>
    <w:p>
      <w:pPr>
        <w:ind w:right="80" w:firstLine="987"/>
        <w:spacing w:after="0" w:line="266"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Par Call Date applicable to a series of Notes, the Company may redeem the Notes of such series at its option, in whole or in part, at any time and from time to time, at a Redemption Price equal to 100% of the principal amount of the Notes being redeemed plus accrued and unpaid interest, if any, thereon to, but excluding, the applicable Redemption Date.</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partial redemption, selection of the Notes for redemption will be made by lot or by such other method the Trustee considers fair and appropriate (and, for book-entry Notes subject to redemption, in accordance with the Applicable Procedures).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Applicable Procedures.</w:t>
      </w:r>
    </w:p>
    <w:p>
      <w:pPr>
        <w:spacing w:after="0" w:line="187"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shall have no duty to determine, or verify the calculation of, the Redemption Price.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Additional Redemption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82"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6.03 of this Sixth Supplemental Indenture, the provisions of Article Eleven of the Base Indenture, as supplemented by the provisions of this Sixth Supplemental Indenture, shall apply to the Notes.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Four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Application of Sixth Supplemental Indenture</w:t>
      </w:r>
      <w:r>
        <w:rPr>
          <w:rFonts w:ascii="Times New Roman" w:cs="Times New Roman" w:eastAsia="Times New Roman" w:hAnsi="Times New Roman"/>
          <w:sz w:val="18"/>
          <w:szCs w:val="18"/>
          <w:color w:val="auto"/>
        </w:rPr>
        <w:t>. The Base Indenture, as supplemented by this Sixth Supplemental Indenture, is in all respects ratified and confirmed and all of the provisions contained in the Base Indenture in respect of the rights, privileges, immunities, powers and duties of the Trustee shall be applicable in respect of this Sixth Supplemental Indenture as fully and with like effect as if set forth herein in full. This Sixth Supplemental Indenture shall be deemed part of the Base Indenture in the manner and to the extent herein and therein provided.</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To the extent the Trust Indenture Act applies to the Indenture or any Notes, if any provision of the Indenture limits, qualifies or conflicts with a provision of the Trust Indenture Act which is required thereunder to be a part of and govern the Indenture, the latter provision shall control. To the extent the Trust Indenture Act applies to the Indenture or any Notes, if any provision of the Indenture modifies or excludes any provision of the Trust Indenture Act which may be so modified or excluded, the latter provision shall be deemed to apply to the Indenture as so modified or to be excluded, as the case may be.</w:t>
      </w:r>
    </w:p>
    <w:p>
      <w:pPr>
        <w:spacing w:after="0" w:line="183"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Conflict with Base Indenture</w:t>
      </w:r>
      <w:r>
        <w:rPr>
          <w:rFonts w:ascii="Times New Roman" w:cs="Times New Roman" w:eastAsia="Times New Roman" w:hAnsi="Times New Roman"/>
          <w:sz w:val="18"/>
          <w:szCs w:val="18"/>
          <w:color w:val="auto"/>
        </w:rPr>
        <w:t>. To the extent not expressly amended or modified by this Sixth Supplemental Indenture, the Base Indenture shall remain in full force and effect. If any provision of this Sixth Supplemental Indenture relating to the Notes is inconsistent with any provision of the Base Indenture, the provision of this Sixth Supplemental Indenture shall control.</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Governing Law; Waiver of Trial by Jury; Submission to Jurisdiction</w:t>
      </w:r>
      <w:r>
        <w:rPr>
          <w:rFonts w:ascii="Times New Roman" w:cs="Times New Roman" w:eastAsia="Times New Roman" w:hAnsi="Times New Roman"/>
          <w:sz w:val="18"/>
          <w:szCs w:val="18"/>
          <w:color w:val="auto"/>
        </w:rPr>
        <w:t>. THIS SIXTH SUPPLEMENTAL INDENTURE AND THE NOTES SHALL BE GOVERNED BY AND CONSTRUED IN ACCORDANCE WITH THE LAWS OF THE STATE OF NEW YORK.</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Each of the Company, the Trustee and the Holders by its acceptance of the Notes irrevocably waives, to the fullest extent permitted by applicable law, any and all right to trial by jury in any legal proceeding arising out of or relating to this Sixth Supplemental Indenture or the transactions contemplated hereby.</w:t>
      </w:r>
    </w:p>
    <w:p>
      <w:pPr>
        <w:spacing w:after="0" w:line="17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Each of the Company, the Holders and the Trustee hereby irrevocably submits to the exclusive jurisdiction of any New York State court sitting in the Borough of Manhattan in the City of New York or any federal court sitting in the Southern District in the Borough of Manhattan in the City of New York in respect of any suit, action or proceeding arising out of or relating to this Sixth Supplemental Indenture and the Notes, and irrevocably accepts for itself and in respect of its property, generally and unconditionally, jurisdiction of the aforesaid courts, and waives any objection it may have under law to such courts and jurisdiction as proper venue in connection with any such suit, action or proceeding.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55" w:name="page56"/>
    <w:bookmarkEnd w:id="55"/>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Company in the Base Indenture, this Sixth Supplemental Indenture and the Notes shall bind its successors. All agreements of the Trustee in the Base Indenture and this Sixth Supplemental Indenture shall bind its successors.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instrument may be executed in any number of counterparts, each of which so executed shall be deemed to be an original, but all such counterparts shall together constitute but one and the same instrument. The exchange of copies of this Sixth Supplemental Indenture and of signature pages by PDF transmission will constitute effective execution and delivery of this Sixth Supplemental Indenture as to the parties hereto and may be used in lieu of the original Sixth Supplemental Indenture for all purposes. Signatures of the parties hereto transmitted by email transmission with PDF attachment will be deemed to be their original signatures for all purposes. The words “execution,” “signed,” “signature,” and words of like import in this Sixth Supplemental Indenture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the Trustee is not under any obligation to agree to accept electronic signature in any form or in any format unless expressly agreed to by the Trustee pursuant to procedures approved by the Trustee.</w:t>
      </w:r>
    </w:p>
    <w:p>
      <w:pPr>
        <w:spacing w:after="0" w:line="197"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Trustee Disclaimer</w:t>
      </w:r>
      <w:r>
        <w:rPr>
          <w:rFonts w:ascii="Times New Roman" w:cs="Times New Roman" w:eastAsia="Times New Roman" w:hAnsi="Times New Roman"/>
          <w:sz w:val="18"/>
          <w:szCs w:val="18"/>
          <w:color w:val="auto"/>
        </w:rPr>
        <w:t>. The Trustee makes no representation as to the validity, adequacy or sufficiency of this Sixth Supplemental Indenture and the Notes other than as to the validity of the execution and delivery of the Sixth Supplemental Indenture by the Trustee and the authentication of the Notes by the Trustee or any Authenticating Agent. The recitals and statements herein and in the Notes are deemed to be those of the Company and not of the Trustee and the Trustee assumes no responsibility for the same and the Trustee does not make any representation with respect to such matters. The Trustee or any Authenticating Agent shall not be accountable for the use or application by the Company of Notes or the proceeds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6" w:name="page57"/>
    <w:bookmarkEnd w:id="56"/>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to this Sixth Supplemental Indenture have caused it to be duly executed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BROADCOM INC.</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Kirsten M. Spears</w:t>
      </w:r>
    </w:p>
    <w:p>
      <w:pPr>
        <w:spacing w:after="0" w:line="27"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Accounting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Sixth Supplemental Indenture]</w:t>
      </w:r>
    </w:p>
    <w:p>
      <w:pPr>
        <w:sectPr>
          <w:pgSz w:w="11900" w:h="16838" w:orient="portrait"/>
          <w:cols w:equalWidth="0" w:num="1">
            <w:col w:w="11020"/>
          </w:cols>
          <w:pgMar w:left="440" w:top="270" w:right="439" w:bottom="1440" w:gutter="0" w:footer="0" w:header="0"/>
        </w:sectPr>
      </w:pPr>
    </w:p>
    <w:bookmarkStart w:id="57" w:name="page58"/>
    <w:bookmarkEnd w:id="5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Emilia Gazzuolo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Emilia Gazzuolo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Vice President</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[Signature Page to Sixth Supplemental Indenture]</w:t>
      </w:r>
    </w:p>
    <w:p>
      <w:pPr>
        <w:sectPr>
          <w:pgSz w:w="11900" w:h="16838" w:orient="portrait"/>
          <w:cols w:equalWidth="0" w:num="1">
            <w:col w:w="9860"/>
          </w:cols>
          <w:pgMar w:left="1440" w:top="270" w:right="5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ectPr>
          <w:pgSz w:w="11900" w:h="16838" w:orient="portrait"/>
          <w:cols w:equalWidth="0" w:num="1">
            <w:col w:w="11020"/>
          </w:cols>
          <w:pgMar w:left="440" w:top="266" w:right="43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4.300% Senior Notes due 2031</w:t>
      </w:r>
    </w:p>
    <w:p>
      <w:pPr>
        <w:sectPr>
          <w:pgSz w:w="11900" w:h="16838" w:orient="portrait"/>
          <w:cols w:equalWidth="0" w:num="1">
            <w:col w:w="11020"/>
          </w:cols>
          <w:pgMar w:left="440" w:top="270" w:right="4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11135F CZ2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US11135FCZ27</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8360" w:space="720"/>
            <w:col w:w="1940"/>
          </w:cols>
          <w:pgMar w:left="440" w:top="270" w:right="439" w:bottom="1440" w:gutter="0" w:footer="0" w:header="0"/>
          <w:type w:val="continuous"/>
        </w:sectPr>
      </w:pP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BROADCOM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value received promises to pay to _________ or registered assigns,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sum of _________ DOLLARS on January 15, 2031 (the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Payment Dates: January 15 and July 15 (each, 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commencing on July 15, 2026, and upon the Stated Maturity.</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1 and July 1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2031 Note contained herein, which will for all purposes have the same effect as if set forth at this place.</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2031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BROADCOM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2031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2031 Note</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4.300% Senior Notes due 2031</w:t>
      </w:r>
    </w:p>
    <w:p>
      <w:pPr>
        <w:spacing w:after="0" w:line="207" w:lineRule="exact"/>
        <w:rPr>
          <w:sz w:val="20"/>
          <w:szCs w:val="20"/>
          <w:color w:val="auto"/>
        </w:rPr>
      </w:pPr>
    </w:p>
    <w:p>
      <w:pPr>
        <w:ind w:left="620" w:hanging="184"/>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2031 Note at the rate per annum set forth above. The Company shall pay interest on the 2031 Notes in arrears on January 15 and July 15 of each year, with the first payment on July 15, 2026, to the Persons in whose names such 2031 Note is registered at the close of business on January 1 and July 1, as the case may be (in each case, whether or not a Business Day), immediately preceding the related Interest Payment Date. In each case, interest payable on the Stated Maturity of the 2031 Notes or any Redemption Date of the 2031 Notes shall be payable to the Person to whom the principal of such 2031 Note shall be payable. Interest on the 2031 Notes shall be computed on the basis of a 360-day year of twelve 30-day months. The Company shall make payments of principal, premium, if any, interest and Additional Amounts, if any, through the Trustee to the Depositary.</w:t>
      </w:r>
    </w:p>
    <w:p>
      <w:pPr>
        <w:spacing w:after="0" w:line="18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2031 Notes and at the same rate on overdue installments of interest (without regard to any applicable grace periods) to the extent lawful from the dates such amounts are due until such amounts are paid or made available for payment.</w:t>
      </w:r>
    </w:p>
    <w:p>
      <w:pPr>
        <w:spacing w:after="0" w:line="176" w:lineRule="exact"/>
        <w:rPr>
          <w:sz w:val="20"/>
          <w:szCs w:val="20"/>
          <w:color w:val="auto"/>
        </w:rPr>
      </w:pPr>
    </w:p>
    <w:p>
      <w:pPr>
        <w:ind w:left="620" w:hanging="184"/>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Initially,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The Company may at any time designate additional Paying Agents or rescind the designation of any Paying Agent.</w:t>
      </w:r>
    </w:p>
    <w:p>
      <w:pPr>
        <w:spacing w:after="0" w:line="162" w:lineRule="exact"/>
        <w:rPr>
          <w:sz w:val="20"/>
          <w:szCs w:val="20"/>
          <w:color w:val="auto"/>
        </w:rPr>
      </w:pPr>
    </w:p>
    <w:p>
      <w:pPr>
        <w:ind w:left="620" w:hanging="184"/>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2031 Note is one of the 4.300% Senior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issued under the Indenture, dated as of July 12, 2024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Supplemental Indenture No. 6, dated as of January 13,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Trustee, as trustee. This 2031 Note is a “Security” and the 2031 Notes are “Securities” under the Indenture.</w:t>
      </w:r>
    </w:p>
    <w:p>
      <w:pPr>
        <w:spacing w:after="0" w:line="180"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For purposes of this 2031 Note, unless otherwise defined herein, capitalized terms herein are used as defined in the Indenture. The terms of the 2031 Notes include those stated in the Indenture and those made part of the Indenture by reference to the Trust Indenture Act. Notwithstanding anything to the contrary herein, the 2031 Notes are subject to all such terms, and Holders of 2031 Notes are referred to the Indenture and the Trust Indenture Act for a statement of them. To the extent the terms of the Indenture and this 2031 Note are inconsistent, the terms of the Indenture shall govern.</w:t>
      </w:r>
    </w:p>
    <w:p>
      <w:pPr>
        <w:sectPr>
          <w:pgSz w:w="11900" w:h="16838" w:orient="portrait"/>
          <w:cols w:equalWidth="0" w:num="1">
            <w:col w:w="10980"/>
          </w:cols>
          <w:pgMar w:left="440" w:top="270" w:right="479" w:bottom="1440" w:gutter="0" w:footer="0" w:header="0"/>
        </w:sectPr>
      </w:pPr>
    </w:p>
    <w:bookmarkStart w:id="63" w:name="page64"/>
    <w:bookmarkEnd w:id="63"/>
    <w:p>
      <w:pPr>
        <w:ind w:left="620" w:hanging="184"/>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2031 Notes are in registered form, without coupons, in minimum denominations of $2,000 and integral multiples of $1,000 in excess thereof. A Holder shall register the transfer or exchange of 2031 Notes in accordance with the Indenture. The Company or the Securities Registrar may require a Holder, among other things, to furnish appropriate endorsements and transfer documents and to pay certain transfer taxes or similar governmental charges payable in connection therewith as permitted by the Indenture.</w:t>
      </w:r>
    </w:p>
    <w:p>
      <w:pPr>
        <w:spacing w:after="0" w:line="207" w:lineRule="exact"/>
        <w:rPr>
          <w:sz w:val="20"/>
          <w:szCs w:val="20"/>
          <w:color w:val="auto"/>
        </w:rPr>
      </w:pPr>
    </w:p>
    <w:p>
      <w:pPr>
        <w:ind w:left="960" w:hanging="532"/>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with the consent of the Holders of not less than a majority in principal amount of the Outstanding Securities of all series affected by such supplemental indenture or amendment (treated as one class), by Act of said Holders delivered to the Company and the Trustee, the Company, when authorized by a Board Resolution, and the Trustee may enter into an indenture or indentures supplemental to the Indenture and/or amendments to any related guarantee agreement for the purpose of adding any provisions to or changing in any manner or eliminating any of the provisions of the Indenture or any such guarantee agreement or of modifying in any manner the rights of the Holders of Securities of such series under the Indenture or any such guarantee agreement or of modifying in any manner the rights of the Holders of Securities of such series under this Indenture or any such guarantee agreement. Without the consent of any Holders, when authorized by a Board Resolution, the Company and the Trustee, at any time and from time to time, may supplement the Indenture or the 2031 Notes to, among other things, cure any ambiguity, or correct or supplement any provision therein which may be defective or inconsistent with any other provision therein.</w:t>
      </w:r>
    </w:p>
    <w:p>
      <w:pPr>
        <w:spacing w:after="0" w:line="188" w:lineRule="exact"/>
        <w:rPr>
          <w:sz w:val="20"/>
          <w:szCs w:val="20"/>
          <w:color w:val="auto"/>
        </w:rPr>
      </w:pPr>
    </w:p>
    <w:p>
      <w:pPr>
        <w:ind w:left="620" w:hanging="184"/>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2031 Notes are subject to optional redemption as further described in the Indenture. There is no sinking fund applicable to the 2031 Notes.</w:t>
      </w:r>
    </w:p>
    <w:p>
      <w:pPr>
        <w:spacing w:after="0" w:line="225" w:lineRule="exact"/>
        <w:rPr>
          <w:sz w:val="20"/>
          <w:szCs w:val="20"/>
          <w:color w:val="auto"/>
        </w:rPr>
      </w:pPr>
    </w:p>
    <w:p>
      <w:pPr>
        <w:ind w:left="620" w:hanging="184"/>
        <w:spacing w:after="0"/>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Taxation Reasons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the 2031 Notes are subject to optional redemption as further described in the Indenture.</w:t>
      </w:r>
    </w:p>
    <w:p>
      <w:pPr>
        <w:spacing w:after="0" w:line="225" w:lineRule="exact"/>
        <w:rPr>
          <w:sz w:val="20"/>
          <w:szCs w:val="20"/>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certain Events of Default with respect to the 2031 Notes occur and are continuing, then in every such case the Trustee or the Holders of not less than 25% in principal amount of the Outstanding 2031 Notes may declare the principal amount of all the 2031 Notes to be due and immediately payable, by a notice in writing to the Company (and to the Trustee if given by Holders), and upon any such declaration such principal amount (or specified amount) shall become immediately due and payable.</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Indenture permits, subject to certain limitations therein provided, Holders of not less than a majority in principal amount of the Outstanding 2031 Notes to direct the time, method and place of conducting any proceeding for any remedy available to the Trustee or exercising any trust or power conferred on the Trustee, with respect to the 2031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4" w:name="page65"/>
    <w:bookmarkEnd w:id="64"/>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2031 Note shall not be valid until the Trustee executes the certificate of authentication on this 2031 Note by the manual signature of one of its authorized signatories.</w:t>
      </w:r>
    </w:p>
    <w:p>
      <w:pPr>
        <w:spacing w:after="0" w:line="162" w:lineRule="exact"/>
        <w:rPr>
          <w:sz w:val="20"/>
          <w:szCs w:val="20"/>
          <w:color w:val="auto"/>
        </w:rPr>
      </w:pPr>
    </w:p>
    <w:p>
      <w:pPr>
        <w:ind w:left="700" w:hanging="264"/>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2031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representation is made as to the accuracy of CUSIP or ISIN numbers as printed on the 2031 Notes.</w:t>
      </w:r>
    </w:p>
    <w:p>
      <w:pPr>
        <w:spacing w:after="0" w:line="225" w:lineRule="exact"/>
        <w:rPr>
          <w:sz w:val="20"/>
          <w:szCs w:val="20"/>
          <w:color w:val="auto"/>
        </w:rPr>
      </w:pPr>
    </w:p>
    <w:p>
      <w:pPr>
        <w:ind w:left="700" w:hanging="264"/>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2031 Note shall be governed by and construed in accordance with the laws of the State of New York.</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2031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2031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2031 Note on the books of the Company. The agent may substitute another to act for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Your Signature:  </w:t>
            </w:r>
          </w:p>
        </w:tc>
        <w:tc>
          <w:tcPr>
            <w:tcW w:w="83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90"/>
        </w:trPr>
        <w:tc>
          <w:tcPr>
            <w:tcW w:w="4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37"/>
        </w:trPr>
        <w:tc>
          <w:tcPr>
            <w:tcW w:w="11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2031 Note.</w:t>
            </w:r>
          </w:p>
        </w:tc>
      </w:tr>
      <w:tr>
        <w:trPr>
          <w:trHeight w:val="270"/>
        </w:trPr>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80" w:type="dxa"/>
            <w:vAlign w:val="bottom"/>
            <w:tcBorders>
              <w:bottom w:val="single" w:sz="8" w:color="auto"/>
            </w:tcBorders>
          </w:tcPr>
          <w:p>
            <w:pPr>
              <w:spacing w:after="0"/>
              <w:rPr>
                <w:sz w:val="23"/>
                <w:szCs w:val="23"/>
                <w:color w:val="auto"/>
              </w:rPr>
            </w:pPr>
          </w:p>
        </w:tc>
      </w:tr>
      <w:tr>
        <w:trPr>
          <w:trHeight w:val="237"/>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Signature</w:t>
            </w:r>
          </w:p>
        </w:tc>
      </w:tr>
      <w:tr>
        <w:trPr>
          <w:trHeight w:val="446"/>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83"/>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37"/>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Signature</w:t>
            </w:r>
          </w:p>
        </w:tc>
      </w:tr>
    </w:tbl>
    <w:p>
      <w:pPr>
        <w:spacing w:after="0" w:line="21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2031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2031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4.600% Senior Notes due 2033</w:t>
      </w:r>
    </w:p>
    <w:p>
      <w:pPr>
        <w:sectPr>
          <w:pgSz w:w="11900" w:h="16838" w:orient="portrait"/>
          <w:cols w:equalWidth="0" w:num="1">
            <w:col w:w="11020"/>
          </w:cols>
          <w:pgMar w:left="440" w:top="270" w:right="4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11135F DA6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US11135FDA66</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8340" w:space="720"/>
            <w:col w:w="1960"/>
          </w:cols>
          <w:pgMar w:left="440" w:top="270" w:right="439" w:bottom="1440" w:gutter="0" w:footer="0" w:header="0"/>
          <w:type w:val="continuous"/>
        </w:sectPr>
      </w:pP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BROADCOM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value received promises to pay to _________ or registered assigns,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sum of _________ DOLLARS on January 15, 2033 (the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Payment Dates: January 15 and July 15 (each, 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commencing on July 15, 2026, and upon the Stated Maturity.</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1 and July 1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2033 Note contained herein, which will for all purposes have the same effect as if set forth at this place.</w:t>
      </w:r>
    </w:p>
    <w:p>
      <w:pPr>
        <w:sectPr>
          <w:pgSz w:w="11900" w:h="16838" w:orient="portrait"/>
          <w:cols w:equalWidth="0" w:num="1">
            <w:col w:w="11020"/>
          </w:cols>
          <w:pgMar w:left="440" w:top="270" w:right="4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2033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BROADCOM INC.</w:t>
      </w:r>
    </w:p>
    <w:p>
      <w:pPr>
        <w:spacing w:after="0" w:line="241"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2033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2033 Note</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4.600% Senior Notes due 2033</w:t>
      </w:r>
    </w:p>
    <w:p>
      <w:pPr>
        <w:spacing w:after="0" w:line="207" w:lineRule="exact"/>
        <w:rPr>
          <w:sz w:val="20"/>
          <w:szCs w:val="20"/>
          <w:color w:val="auto"/>
        </w:rPr>
      </w:pPr>
    </w:p>
    <w:p>
      <w:pPr>
        <w:ind w:left="620" w:hanging="184"/>
        <w:spacing w:after="0"/>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2033 Note at the rate per annum set forth above. The Company shall pay interest on the 2033 Notes in arrears on January 15 and July 15 of each year, with the first payment on July 15, 2026, to the Persons in whose names such 2033 Note is registered at the close of business on January 1 and July 1, as the case may be (in each case, whether or not a Business Day), immediately preceding the related Interest Payment Date. In each case, interest payable on the Stated Maturity of the 2033 Notes or any Redemption Date of the 2033 Notes shall be payable to the Person to whom the principal of such 2033 Note shall be payable. Interest on the 2033 Notes shall be computed on the basis of a 360-day year of twelve 30-day months. The Company shall make payments of principal, premium, if any, interest and Additional Amounts, if any, through the Trustee to the Depositary.</w:t>
      </w:r>
    </w:p>
    <w:p>
      <w:pPr>
        <w:spacing w:after="0" w:line="18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2033 Notes and at the same rate on overdue installments of interest (without regard to any applicable grace periods) to the extent lawful from the dates such amounts are due until such amounts are paid or made available for payment.</w:t>
      </w:r>
    </w:p>
    <w:p>
      <w:pPr>
        <w:spacing w:after="0" w:line="176" w:lineRule="exact"/>
        <w:rPr>
          <w:sz w:val="20"/>
          <w:szCs w:val="20"/>
          <w:color w:val="auto"/>
        </w:rPr>
      </w:pPr>
    </w:p>
    <w:p>
      <w:pPr>
        <w:ind w:left="620" w:hanging="184"/>
        <w:spacing w:after="0"/>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Initially,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The Company may at any time designate additional Paying Agents or rescind the designation of any Paying Agent.</w:t>
      </w:r>
    </w:p>
    <w:p>
      <w:pPr>
        <w:spacing w:after="0" w:line="162" w:lineRule="exact"/>
        <w:rPr>
          <w:sz w:val="20"/>
          <w:szCs w:val="20"/>
          <w:color w:val="auto"/>
        </w:rPr>
      </w:pPr>
    </w:p>
    <w:p>
      <w:pPr>
        <w:ind w:left="620" w:hanging="184"/>
        <w:spacing w:after="0"/>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2033 Note is one of the 4.600% Senior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issued under the Indenture, dated as of July 12, 2024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Supplemental Indenture No. 6, dated as of January 13,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Trustee, as trustee. This 2033 Note is a “Security” and the 2033 Notes are “Securities” under the Indenture.</w:t>
      </w:r>
    </w:p>
    <w:p>
      <w:pPr>
        <w:spacing w:after="0" w:line="180"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For purposes of this 2033 Note, unless otherwise defined herein, capitalized terms herein are used as defined in the Indenture. The terms of the 2033 Notes include those stated in the Indenture and those made part of the Indenture by reference to the Trust Indenture Act. Notwithstanding anything to the contrary herein, the 2033 Notes are subject to all such terms, and Holders of 2033 Notes are referred to the Indenture and the Trust Indenture Act for a statement of them. To the extent the terms of the Indenture and this 2033 Note are inconsistent, the terms of the Indenture shall govern.</w:t>
      </w:r>
    </w:p>
    <w:p>
      <w:pPr>
        <w:sectPr>
          <w:pgSz w:w="11900" w:h="16838" w:orient="portrait"/>
          <w:cols w:equalWidth="0" w:num="1">
            <w:col w:w="10980"/>
          </w:cols>
          <w:pgMar w:left="440" w:top="270" w:right="479" w:bottom="1440" w:gutter="0" w:footer="0" w:header="0"/>
        </w:sectPr>
      </w:pPr>
    </w:p>
    <w:bookmarkStart w:id="71" w:name="page72"/>
    <w:bookmarkEnd w:id="71"/>
    <w:p>
      <w:pPr>
        <w:ind w:left="620" w:hanging="184"/>
        <w:spacing w:after="0"/>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2033 Notes are in registered form, without coupons, in minimum denominations of $2,000 and integral multiples of $1,000 in excess thereof. A Holder shall register the transfer or exchange of 2033 Notes in accordance with the Indenture. The Company or the Securities Registrar may require a Holder, among other things, to furnish appropriate endorsements and transfer documents and to pay certain transfer taxes or similar governmental charges payable in connection therewith as permitted by the Indenture.</w:t>
      </w:r>
    </w:p>
    <w:p>
      <w:pPr>
        <w:spacing w:after="0" w:line="180" w:lineRule="exact"/>
        <w:rPr>
          <w:sz w:val="20"/>
          <w:szCs w:val="20"/>
          <w:color w:val="auto"/>
        </w:rPr>
      </w:pPr>
    </w:p>
    <w:p>
      <w:pPr>
        <w:ind w:left="620" w:hanging="184"/>
        <w:spacing w:after="0"/>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with the consent of the Holders of not less than a majority in principal amount of the Outstanding Securities of all series affected by such supplemental indenture or amendment (treated as one class), by Act of said Holders delivered to the Company and the Trustee, the Company, when authorized by a Board Resolution, and the Trustee may enter into an indenture or indentures supplemental to the Indenture and/or amendments to any related guarantee agreement for the purpose of adding any provisions to or changing in any manner or eliminating any of the provisions of the Indenture or any such guarantee agreement or of modifying in any manner the rights of the Holders of Securities of such series under the Indenture or any such guarantee agreement or of modifying in any manner the rights of the Holders of Securities of such series under this Indenture or any such guarantee agreement. Without the consent of any Holders, when authorized by a Board Resolution, the Company and the Trustee, at any time and from time to time, may supplement the Indenture or the 2033 Notes to, among other things, cure any ambiguity, or correct or supplement any provision therein which may be defective or inconsistent with any other provision therein.</w:t>
      </w:r>
    </w:p>
    <w:p>
      <w:pPr>
        <w:spacing w:after="0" w:line="188" w:lineRule="exact"/>
        <w:rPr>
          <w:sz w:val="20"/>
          <w:szCs w:val="20"/>
          <w:color w:val="auto"/>
        </w:rPr>
      </w:pPr>
    </w:p>
    <w:p>
      <w:pPr>
        <w:ind w:left="620" w:hanging="184"/>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2033 Notes are subject to optional redemption as further described in the Indenture. There is no sinking fund applicable to the 2033 Notes.</w:t>
      </w:r>
    </w:p>
    <w:p>
      <w:pPr>
        <w:spacing w:after="0" w:line="225" w:lineRule="exact"/>
        <w:rPr>
          <w:sz w:val="20"/>
          <w:szCs w:val="20"/>
          <w:color w:val="auto"/>
        </w:rPr>
      </w:pPr>
    </w:p>
    <w:p>
      <w:pPr>
        <w:ind w:left="620" w:hanging="184"/>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Taxation Reasons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the 2033 Notes are subject to optional redemption as further described in the Indenture.</w:t>
      </w:r>
    </w:p>
    <w:p>
      <w:pPr>
        <w:spacing w:after="0" w:line="225" w:lineRule="exact"/>
        <w:rPr>
          <w:sz w:val="20"/>
          <w:szCs w:val="20"/>
          <w:color w:val="auto"/>
        </w:rPr>
      </w:pPr>
    </w:p>
    <w:p>
      <w:pPr>
        <w:ind w:left="620" w:hanging="184"/>
        <w:spacing w:after="0"/>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certain Events of Default with respect to the 2033 Notes occur and are continuing, then in every such case the Trustee or the Holders of not less than 25% in principal amount of the Outstanding 2033 Notes may declare the principal amount of all the 2033 Notes to be due and immediately payable, by a notice in writing to the Company (and to the Trustee if given by Holders), and upon any such declaration such principal amount (or specified amount) shall become immediately due and payable.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2" w:name="page73"/>
    <w:bookmarkEnd w:id="72"/>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subject to certain limitations therein provided, Holders of not less than a majority in principal amount of the Outstanding 2033 Notes to direct the time, method and place of conducting any proceeding for any remedy available to the Trustee or exercising any trust or power conferred on the Trustee, with respect to the 2033 Notes.</w:t>
      </w:r>
    </w:p>
    <w:p>
      <w:pPr>
        <w:spacing w:after="0" w:line="176" w:lineRule="exact"/>
        <w:rPr>
          <w:sz w:val="20"/>
          <w:szCs w:val="20"/>
          <w:color w:val="auto"/>
        </w:rPr>
      </w:pPr>
    </w:p>
    <w:p>
      <w:pPr>
        <w:ind w:left="700" w:hanging="264"/>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2033 Note shall not be valid until the Trustee executes the certificate of authentication on this 2033 Note by the manual signature of one of its authorized signatories.</w:t>
      </w:r>
    </w:p>
    <w:p>
      <w:pPr>
        <w:spacing w:after="0" w:line="162" w:lineRule="exact"/>
        <w:rPr>
          <w:sz w:val="20"/>
          <w:szCs w:val="20"/>
          <w:color w:val="auto"/>
        </w:rPr>
      </w:pPr>
    </w:p>
    <w:p>
      <w:pPr>
        <w:ind w:left="700" w:hanging="264"/>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2033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700" w:hanging="264"/>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representation is made as to the accuracy of CUSIP or ISIN numbers as printed on the 2033 Notes.</w:t>
      </w:r>
    </w:p>
    <w:p>
      <w:pPr>
        <w:spacing w:after="0" w:line="225" w:lineRule="exact"/>
        <w:rPr>
          <w:sz w:val="20"/>
          <w:szCs w:val="20"/>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2033 Note shall be governed by and construed in accordance with the laws of the State of New York.</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2033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2033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2033 Note on the books of the Company. The agent may substitute another to act for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Your Signature:  </w:t>
            </w:r>
          </w:p>
        </w:tc>
        <w:tc>
          <w:tcPr>
            <w:tcW w:w="83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91"/>
        </w:trPr>
        <w:tc>
          <w:tcPr>
            <w:tcW w:w="4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37"/>
        </w:trPr>
        <w:tc>
          <w:tcPr>
            <w:tcW w:w="11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2033 Note.</w:t>
            </w:r>
          </w:p>
        </w:tc>
      </w:tr>
      <w:tr>
        <w:trPr>
          <w:trHeight w:val="270"/>
        </w:trPr>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80" w:type="dxa"/>
            <w:vAlign w:val="bottom"/>
            <w:tcBorders>
              <w:bottom w:val="single" w:sz="8" w:color="auto"/>
            </w:tcBorders>
          </w:tcPr>
          <w:p>
            <w:pPr>
              <w:spacing w:after="0"/>
              <w:rPr>
                <w:sz w:val="23"/>
                <w:szCs w:val="23"/>
                <w:color w:val="auto"/>
              </w:rPr>
            </w:pPr>
          </w:p>
        </w:tc>
      </w:tr>
      <w:tr>
        <w:trPr>
          <w:trHeight w:val="237"/>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Signature</w:t>
            </w:r>
          </w:p>
        </w:tc>
      </w:tr>
      <w:tr>
        <w:trPr>
          <w:trHeight w:val="445"/>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83"/>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37"/>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Signature</w:t>
            </w:r>
          </w:p>
        </w:tc>
      </w:tr>
    </w:tbl>
    <w:p>
      <w:pPr>
        <w:spacing w:after="0" w:line="21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2033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2033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BROADCOM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4.950% Senior Notes due 2036</w:t>
      </w:r>
    </w:p>
    <w:p>
      <w:pPr>
        <w:sectPr>
          <w:pgSz w:w="11900" w:h="16838" w:orient="portrait"/>
          <w:cols w:equalWidth="0" w:num="1">
            <w:col w:w="11020"/>
          </w:cols>
          <w:pgMar w:left="440" w:top="270" w:right="4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11135F DB4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US11135FDB40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8340" w:space="720"/>
            <w:col w:w="1960"/>
          </w:cols>
          <w:pgMar w:left="440" w:top="270" w:right="439" w:bottom="1440" w:gutter="0" w:footer="0" w:header="0"/>
          <w:type w:val="continuous"/>
        </w:sectPr>
      </w:pP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BROADCOM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value received promises to pay to _________ or registered assigns,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sum of _________ DOLLARS on January 15, 2036 (the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Payment Dates: January 15 and July 15 (each, 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commencing on July 15, 2026, and upon the Stated Maturity.</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1 and July 1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2036 Note contained herein, which will for all purposes have the same effect as if set forth at this place.</w:t>
      </w:r>
    </w:p>
    <w:p>
      <w:pPr>
        <w:sectPr>
          <w:pgSz w:w="11900" w:h="16838" w:orient="portrait"/>
          <w:cols w:equalWidth="0" w:num="1">
            <w:col w:w="11020"/>
          </w:cols>
          <w:pgMar w:left="440" w:top="270" w:right="4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2036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BROADCOM INC.</w:t>
      </w:r>
    </w:p>
    <w:p>
      <w:pPr>
        <w:spacing w:after="0" w:line="241"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2036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2036 Note</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4.950% Senior Notes due 2036</w:t>
      </w:r>
    </w:p>
    <w:p>
      <w:pPr>
        <w:spacing w:after="0" w:line="207" w:lineRule="exact"/>
        <w:rPr>
          <w:sz w:val="20"/>
          <w:szCs w:val="20"/>
          <w:color w:val="auto"/>
        </w:rPr>
      </w:pPr>
    </w:p>
    <w:p>
      <w:pPr>
        <w:ind w:left="620" w:hanging="184"/>
        <w:spacing w:after="0"/>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2036 Note at the rate per annum set forth above. The Company shall pay interest on the 2036 Notes in arrears on January 15 and July 15 of each year, with the first payment on July 15, 2026, to the Persons in whose names such 2036 Note is registered at the close of business on January 1 and July 1, as the case may be (in each case, whether or not a Business Day), immediately preceding the related Interest Payment Date. In each case, interest payable on the Stated Maturity of the 2036 Notes or any Redemption Date of the 2036 Notes shall be payable to the Person to whom the principal of such 2036 Note shall be payable. Interest on the 2036 Notes shall be computed on the basis of a 360-day year of twelve 30-day months. The Company shall make payments of principal, premium, if any, interest and Additional Amounts, if any, through the Trustee to the Depositary.</w:t>
      </w:r>
    </w:p>
    <w:p>
      <w:pPr>
        <w:spacing w:after="0" w:line="18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2036 Notes and at the same rate on overdue installments of interest (without regard to any applicable grace periods) to the extent lawful from the dates such amounts are due until such amounts are paid or made available for payment.</w:t>
      </w:r>
    </w:p>
    <w:p>
      <w:pPr>
        <w:spacing w:after="0" w:line="176" w:lineRule="exact"/>
        <w:rPr>
          <w:sz w:val="20"/>
          <w:szCs w:val="20"/>
          <w:color w:val="auto"/>
        </w:rPr>
      </w:pPr>
    </w:p>
    <w:p>
      <w:pPr>
        <w:ind w:left="620" w:hanging="184"/>
        <w:spacing w:after="0"/>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Initially,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The Company may at any time designate additional Paying Agents or rescind the designation of any Paying Agent.</w:t>
      </w:r>
    </w:p>
    <w:p>
      <w:pPr>
        <w:spacing w:after="0" w:line="162" w:lineRule="exact"/>
        <w:rPr>
          <w:sz w:val="20"/>
          <w:szCs w:val="20"/>
          <w:color w:val="auto"/>
        </w:rPr>
      </w:pPr>
    </w:p>
    <w:p>
      <w:pPr>
        <w:ind w:left="620" w:hanging="184"/>
        <w:spacing w:after="0"/>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2036 Note is one of the 4.950% Senior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issued under the Indenture, dated as of July 12, 2024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Supplemental Indenture No. 6, dated as of January 13,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Trustee, as trustee. This 2036 Note is a “Security” and the 2036 Notes are “Securities” under the Indenture.</w:t>
      </w:r>
    </w:p>
    <w:p>
      <w:pPr>
        <w:spacing w:after="0" w:line="180"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For purposes of this 2036 Note, unless otherwise defined herein, capitalized terms herein are used as defined in the Indenture. The terms of the 2036 Notes include those stated in the Indenture and those made part of the Indenture by reference to the Trust Indenture Act. Notwithstanding anything to the contrary herein, the 2036 Notes are subject to all such terms, and Holders of 2036 Notes are referred to the Indenture and the Trust Indenture Act for a statement of them. To the extent the terms of the Indenture and this 2036 Note are inconsistent, the terms of the Indenture shall govern.</w:t>
      </w:r>
    </w:p>
    <w:p>
      <w:pPr>
        <w:sectPr>
          <w:pgSz w:w="11900" w:h="16838" w:orient="portrait"/>
          <w:cols w:equalWidth="0" w:num="1">
            <w:col w:w="10980"/>
          </w:cols>
          <w:pgMar w:left="440" w:top="270" w:right="479" w:bottom="1440" w:gutter="0" w:footer="0" w:header="0"/>
        </w:sectPr>
      </w:pPr>
    </w:p>
    <w:bookmarkStart w:id="79" w:name="page80"/>
    <w:bookmarkEnd w:id="79"/>
    <w:p>
      <w:pPr>
        <w:ind w:left="620" w:hanging="184"/>
        <w:spacing w:after="0"/>
        <w:tabs>
          <w:tab w:leader="none" w:pos="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2036 Notes are in registered form, without coupons, in minimum denominations of $2,000 and integral multiples of $1,000 in excess thereof. A Holder shall register the transfer or exchange of 2036 Notes in accordance with the Indenture. The Company or the Securities Registrar may require a Holder, among other things, to furnish appropriate endorsements and transfer documents and to pay certain transfer taxes or similar governmental charges payable in connection therewith as permitted by the Indenture.</w:t>
      </w:r>
    </w:p>
    <w:p>
      <w:pPr>
        <w:spacing w:after="0" w:line="72" w:lineRule="exact"/>
        <w:rPr>
          <w:sz w:val="20"/>
          <w:szCs w:val="20"/>
          <w:color w:val="auto"/>
        </w:rPr>
      </w:pPr>
    </w:p>
    <w:p>
      <w:pPr>
        <w:ind w:left="620" w:hanging="184"/>
        <w:spacing w:after="0"/>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with the consent of the Holders of not less than a majority in principal amount of the Outstanding Securities of all series affected by such supplemental indenture or amendment (treated as one class), by Act of said Holders delivered to the Company and the Trustee, the Company, when authorized by a Board Resolution, and the Trustee may enter into an indenture or indentures supplemental to the Indenture and/or amendments to any related guarantee agreement for the purpose of adding any provisions to or changing in any manner or eliminating any of the provisions of the Indenture or any such guarantee agreement or of modifying in any manner the rights of the Holders of Securities of such series under the Indenture or any such guarantee agreement or of modifying in any manner the rights of the Holders of Securities of such series under this Indenture or any such guarantee agreement. Without the consent of any Holders, when authorized by a Board Resolution, the Company and the Trustee, at any time and from time to time, may supplement the Indenture or the 2036 Notes to, among other things, cure any ambiguity, or correct or supplement any provision therein which may be defective or inconsistent with any other provision therein.</w:t>
      </w:r>
    </w:p>
    <w:p>
      <w:pPr>
        <w:spacing w:after="0" w:line="80" w:lineRule="exact"/>
        <w:rPr>
          <w:sz w:val="20"/>
          <w:szCs w:val="20"/>
          <w:color w:val="auto"/>
        </w:rPr>
      </w:pPr>
    </w:p>
    <w:p>
      <w:pPr>
        <w:ind w:left="620" w:hanging="184"/>
        <w:spacing w:after="0"/>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2036 Notes are subject to optional redemption as further described in the Indenture. There is no sinking fund applicable to the 2036 Notes.</w:t>
      </w:r>
    </w:p>
    <w:p>
      <w:pPr>
        <w:spacing w:after="0" w:line="117" w:lineRule="exact"/>
        <w:rPr>
          <w:sz w:val="20"/>
          <w:szCs w:val="20"/>
          <w:color w:val="auto"/>
        </w:rPr>
      </w:pPr>
    </w:p>
    <w:p>
      <w:pPr>
        <w:ind w:left="620" w:hanging="184"/>
        <w:spacing w:after="0"/>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Taxation Reasons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the 2036 Notes are subject to optional redemption as further described in the Indenture.</w:t>
      </w:r>
    </w:p>
    <w:p>
      <w:pPr>
        <w:spacing w:after="0" w:line="117" w:lineRule="exact"/>
        <w:rPr>
          <w:sz w:val="20"/>
          <w:szCs w:val="20"/>
          <w:color w:val="auto"/>
        </w:rPr>
      </w:pPr>
    </w:p>
    <w:p>
      <w:pPr>
        <w:ind w:left="620" w:hanging="184"/>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certain Events of Default with respect to the 2036 Notes occur and are continuing, then in every such case the Trustee or the Holders of not less than 25% in principal amount of the Outstanding 2036 Notes may declare the principal amount of all the 2036 Notes to be due and immediately payable, by a notice in writing to the Company (and to the Trustee if given by Holders), and upon any such declaration such principal amount (or specified amount) shall become immediately due and payable.</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Indenture permits, subject to certain limitations therein provided, Holders of not less than a majority in principal amount of the Outstanding 2036 Notes to direct the time, method and place of conducting any proceeding for any remedy available to the Trustee or exercising any trust or power conferred on the Trustee, with respect to the 2036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0" w:name="page81"/>
    <w:bookmarkEnd w:id="80"/>
    <w:p>
      <w:pPr>
        <w:ind w:left="700" w:hanging="264"/>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2036 Note shall not be valid until the Trustee executes the certificate of authentication on this 2036 Note by the manual signature of one of its authorized signatories.</w:t>
      </w:r>
    </w:p>
    <w:p>
      <w:pPr>
        <w:spacing w:after="0" w:line="54" w:lineRule="exact"/>
        <w:rPr>
          <w:sz w:val="20"/>
          <w:szCs w:val="20"/>
          <w:color w:val="auto"/>
        </w:rPr>
      </w:pPr>
    </w:p>
    <w:p>
      <w:pPr>
        <w:ind w:left="700" w:hanging="264"/>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2036 Note or an assignee, such as: TEN COM (= tenants in common), TEN ENT (= tenants by the entireties), JT TEN (= joint tenants with right of survivorship and not as tenants in common), CUST (= Custodian), and U/G/M/A (= Uniform Gifts to Minors Act).</w:t>
      </w:r>
    </w:p>
    <w:p>
      <w:pPr>
        <w:spacing w:after="0" w:line="68" w:lineRule="exact"/>
        <w:rPr>
          <w:sz w:val="20"/>
          <w:szCs w:val="20"/>
          <w:color w:val="auto"/>
        </w:rPr>
      </w:pPr>
    </w:p>
    <w:p>
      <w:pPr>
        <w:ind w:left="700" w:hanging="264"/>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representation is made as to the accuracy of CUSIP or ISIN numbers as printed on the 2036 Notes.</w:t>
      </w:r>
    </w:p>
    <w:p>
      <w:pPr>
        <w:spacing w:after="0" w:line="117" w:lineRule="exact"/>
        <w:rPr>
          <w:sz w:val="20"/>
          <w:szCs w:val="20"/>
          <w:color w:val="auto"/>
        </w:rPr>
      </w:pPr>
    </w:p>
    <w:p>
      <w:pPr>
        <w:ind w:left="700" w:hanging="264"/>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2036 Note shall be governed by and construed in accordance with the laws of the State of New York.</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2036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2036 Note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2036 Note on the books of the Company. The agent may substitute another to act for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_________________Your Signature: 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2036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188595</wp:posOffset>
            </wp:positionV>
            <wp:extent cx="31457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Signature</w:t>
            </w:r>
          </w:p>
        </w:tc>
      </w:tr>
      <w:tr>
        <w:trPr>
          <w:trHeight w:val="44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43"/>
        </w:trPr>
        <w:tc>
          <w:tcPr>
            <w:tcW w:w="4860" w:type="dxa"/>
            <w:vAlign w:val="bottom"/>
            <w:tcBorders>
              <w:bottom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4960" w:type="dxa"/>
            <w:vAlign w:val="bottom"/>
            <w:tcBorders>
              <w:bottom w:val="single" w:sz="8" w:color="auto"/>
            </w:tcBorders>
          </w:tcPr>
          <w:p>
            <w:pPr>
              <w:spacing w:after="0"/>
              <w:rPr>
                <w:sz w:val="21"/>
                <w:szCs w:val="21"/>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Signature</w:t>
            </w:r>
          </w:p>
        </w:tc>
      </w:tr>
    </w:tbl>
    <w:p>
      <w:pPr>
        <w:spacing w:after="0" w:line="21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2036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2036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5.700% Senior Notes due 2056</w:t>
      </w:r>
    </w:p>
    <w:p>
      <w:pPr>
        <w:sectPr>
          <w:pgSz w:w="11900" w:h="16838" w:orient="portrait"/>
          <w:cols w:equalWidth="0" w:num="1">
            <w:col w:w="11020"/>
          </w:cols>
          <w:pgMar w:left="440" w:top="270" w:right="4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11135F DD0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US11135FDD06</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8340" w:space="720"/>
            <w:col w:w="1960"/>
          </w:cols>
          <w:pgMar w:left="440" w:top="270" w:right="439" w:bottom="1440" w:gutter="0" w:footer="0" w:header="0"/>
          <w:type w:val="continuous"/>
        </w:sectPr>
      </w:pP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BROADCOM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value received promises to pay to _________ or registered assigns,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sum of _________ DOLLARS on January 15, 2056 (the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Payment Dates: January 15 and July 15 (each, 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commencing on July 15, 2026, and upon the Stated Maturity.</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1 and July 1 (each, a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2056 Note contained herein, which will for all purposes have the same effect as if set forth at this place.</w:t>
      </w:r>
    </w:p>
    <w:p>
      <w:pPr>
        <w:sectPr>
          <w:pgSz w:w="11900" w:h="16838" w:orient="portrait"/>
          <w:cols w:equalWidth="0" w:num="1">
            <w:col w:w="11020"/>
          </w:cols>
          <w:pgMar w:left="440" w:top="270" w:right="4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2056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BROADCOM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2056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2056 Note</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5.700% Senior Notes due 2056</w:t>
      </w:r>
    </w:p>
    <w:p>
      <w:pPr>
        <w:spacing w:after="0" w:line="207" w:lineRule="exact"/>
        <w:rPr>
          <w:sz w:val="20"/>
          <w:szCs w:val="20"/>
          <w:color w:val="auto"/>
        </w:rPr>
      </w:pPr>
    </w:p>
    <w:p>
      <w:pPr>
        <w:ind w:left="620" w:hanging="184"/>
        <w:spacing w:after="0"/>
        <w:tabs>
          <w:tab w:leader="none" w:pos="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2056 Note at the rate per annum set forth above. The Company shall pay interest on the 2056 Notes in arrears on January 15 and July 15 of each year, with the first payment on July 15, 2026, to the Persons in whose names such 2056 Note is registered at the close of business on January 1 and July 1, as the case may be (in each case, whether or not a Business Day), immediately preceding the related Interest Payment Date. In each case, interest payable on the Stated Maturity of the 2056 Notes or any Redemption Date of the 2056 Notes shall be payable to the Person to whom the principal of such 2056 Note shall be payable. Interest on the 2056 Notes shall be computed on the basis of a 360-day year of twelve 30-day months. The Company shall make payments of principal, premium, if any, interest and Additional Amounts, if any, through the Trustee to the Depositary.</w:t>
      </w:r>
    </w:p>
    <w:p>
      <w:pPr>
        <w:spacing w:after="0" w:line="18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pay interest on overdue principal from time to time on demand at the rate borne by the 2056 Notes and at the same rate on overdue installments of interest (without regard to any applicable grace periods) to the extent lawful from the dates such amounts are due until such amounts are paid or made available for payment.</w:t>
      </w:r>
    </w:p>
    <w:p>
      <w:pPr>
        <w:spacing w:after="0" w:line="68" w:lineRule="exact"/>
        <w:rPr>
          <w:sz w:val="20"/>
          <w:szCs w:val="20"/>
          <w:color w:val="auto"/>
        </w:rPr>
      </w:pPr>
    </w:p>
    <w:p>
      <w:pPr>
        <w:ind w:left="620" w:hanging="184"/>
        <w:spacing w:after="0"/>
        <w:tabs>
          <w:tab w:leader="none" w:pos="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Initially,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The Company may at any time designate additional Paying Agents or rescind the designation of any Paying Agent.</w:t>
      </w:r>
    </w:p>
    <w:p>
      <w:pPr>
        <w:spacing w:after="0" w:line="54" w:lineRule="exact"/>
        <w:rPr>
          <w:sz w:val="20"/>
          <w:szCs w:val="20"/>
          <w:color w:val="auto"/>
        </w:rPr>
      </w:pPr>
    </w:p>
    <w:p>
      <w:pPr>
        <w:ind w:left="620" w:hanging="184"/>
        <w:spacing w:after="0"/>
        <w:tabs>
          <w:tab w:leader="none" w:pos="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2056 Note is one of the 5.700% Senior Notes due 2056 (the “</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issued under the Indenture, dated as of July 12, 2024 (as amended, modified or supplemented from time to time in accordance therewith,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the Supplemental Indenture No. 6, dated as of January 13,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Trustee, as trustee. This 2056 Note is a “Security” and the 2056 Notes are “Securities” under the Indenture.</w:t>
      </w:r>
    </w:p>
    <w:p>
      <w:pPr>
        <w:spacing w:after="0" w:line="180"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For purposes of this 2056 Note, unless otherwise defined herein, capitalized terms herein are used as defined in the Indenture. The terms of the 2056 Notes include those stated in the Indenture and those made part of the Indenture by reference to the Trust Indenture Act. Notwithstanding anything to the contrary herein, the 2056 Notes are subject to all such terms, and Holders of 2056 Notes are referred to the Indenture and the Trust Indenture Act for a statement of them. To the extent the terms of the Indenture and this 2056 Note are inconsistent, the terms of the Indenture shall govern.</w:t>
      </w:r>
    </w:p>
    <w:p>
      <w:pPr>
        <w:sectPr>
          <w:pgSz w:w="11900" w:h="16838" w:orient="portrait"/>
          <w:cols w:equalWidth="0" w:num="1">
            <w:col w:w="10980"/>
          </w:cols>
          <w:pgMar w:left="440" w:top="270" w:right="479" w:bottom="1440" w:gutter="0" w:footer="0" w:header="0"/>
        </w:sectPr>
      </w:pPr>
    </w:p>
    <w:bookmarkStart w:id="87" w:name="page88"/>
    <w:bookmarkEnd w:id="87"/>
    <w:p>
      <w:pPr>
        <w:ind w:left="620" w:hanging="184"/>
        <w:spacing w:after="0"/>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2056 Notes are in registered form, without coupons, in minimum denominations of $2,000 and integral multiples of $1,000 in excess thereof. A Holder shall register the transfer or exchange of 2056 Notes in accordance with the Indenture. The Company or the Securities Registrar may require a Holder, among other things, to furnish appropriate endorsements and transfer documents and to pay certain transfer taxes or similar governmental charges payable in connection therewith as permitted by the Indenture.</w:t>
      </w:r>
    </w:p>
    <w:p>
      <w:pPr>
        <w:spacing w:after="0" w:line="72" w:lineRule="exact"/>
        <w:rPr>
          <w:sz w:val="20"/>
          <w:szCs w:val="20"/>
          <w:color w:val="auto"/>
        </w:rPr>
      </w:pPr>
    </w:p>
    <w:p>
      <w:pPr>
        <w:ind w:left="620" w:hanging="184"/>
        <w:spacing w:after="0"/>
        <w:tabs>
          <w:tab w:leader="none" w:pos="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with the consent of the Holders of not less than a majority in principal amount of the Outstanding Securities of all series affected by such supplemental indenture or amendment (treated as one class), by Act of said Holders delivered to the Company and the Trustee, the Company, when authorized by a Board Resolution, and the Trustee may enter into an indenture or indentures supplemental to the Indenture and/or amendments to any related guarantee agreement for the purpose of adding any provisions to or changing in any manner or eliminating any of the provisions of the Indenture or any such guarantee agreement or of modifying in any manner the rights of the Holders of Securities of such series under the Indenture or any such guarantee agreement or of modifying in any manner the rights of the Holders of Securities of such series under this Indenture or any such guarantee agreement. Without the consent of any Holders, when authorized by a Board Resolution, the Company and the Trustee, at any time and from time to time, may supplement the Indenture or the 2056 Notes to, among other things, cure any ambiguity, or correct or supplement any provision therein which may be defective or inconsistent with any other provision therein.</w:t>
      </w:r>
    </w:p>
    <w:p>
      <w:pPr>
        <w:spacing w:after="0" w:line="80" w:lineRule="exact"/>
        <w:rPr>
          <w:sz w:val="20"/>
          <w:szCs w:val="20"/>
          <w:color w:val="auto"/>
        </w:rPr>
      </w:pPr>
    </w:p>
    <w:p>
      <w:pPr>
        <w:ind w:left="620" w:hanging="184"/>
        <w:spacing w:after="0"/>
        <w:tabs>
          <w:tab w:leader="none" w:pos="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2056 Notes are subject to optional redemption as further described in the Indenture. There is no sinking fund applicable to the 2056 Notes.</w:t>
      </w:r>
    </w:p>
    <w:p>
      <w:pPr>
        <w:spacing w:after="0" w:line="117" w:lineRule="exact"/>
        <w:rPr>
          <w:sz w:val="20"/>
          <w:szCs w:val="20"/>
          <w:color w:val="auto"/>
        </w:rPr>
      </w:pPr>
    </w:p>
    <w:p>
      <w:pPr>
        <w:ind w:left="620" w:hanging="184"/>
        <w:spacing w:after="0"/>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Taxation Reasons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the 2056 Notes are subject to optional redemption as further described in the Indenture.</w:t>
      </w:r>
    </w:p>
    <w:p>
      <w:pPr>
        <w:spacing w:after="0" w:line="117" w:lineRule="exact"/>
        <w:rPr>
          <w:sz w:val="20"/>
          <w:szCs w:val="20"/>
          <w:color w:val="auto"/>
        </w:rPr>
      </w:pPr>
    </w:p>
    <w:p>
      <w:pPr>
        <w:ind w:left="620" w:hanging="184"/>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certain Events of Default with respect to the 2056 Notes occur and are continuing, then in every such case the Trustee or the Holders of not less than 25% in principal amount of the Outstanding 2056 Notes may declare the principal amount of all the 2056 Notes to be due and immediately payable, by a notice in writing to the Company (and to the Trustee if given by Holders), and upon any such declaration such principal amount (or specified amount) shall become immediately due and payable.</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Indenture permits, subject to certain limitations therein provided, Holders of not less than a majority in principal amount of the Outstanding 2056 Notes to direct the time, method and place of conducting any proceeding for any remedy available to the Trustee or exercising any trust or power conferred on the Trustee, with respect to the 2056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8" w:name="page89"/>
    <w:bookmarkEnd w:id="88"/>
    <w:p>
      <w:pPr>
        <w:ind w:left="700" w:hanging="264"/>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2056 Note shall not be valid until the Trustee executes the certificate of authentication on this 2056 Note by the manual signature of one of its authorized signatories.</w:t>
      </w:r>
    </w:p>
    <w:p>
      <w:pPr>
        <w:spacing w:after="0" w:line="54" w:lineRule="exact"/>
        <w:rPr>
          <w:sz w:val="20"/>
          <w:szCs w:val="20"/>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 and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2056 Note or an assignee, such as: TEN COM (= tenants in common), TEN ENT (= tenants by the entireties), JT TEN (= joint tenants with right of survivorship and not as tenants in common), CUST (= Custodian), and U/G/M/A (= Uniform Gifts to Minors Act).</w:t>
      </w:r>
    </w:p>
    <w:p>
      <w:pPr>
        <w:spacing w:after="0" w:line="68" w:lineRule="exact"/>
        <w:rPr>
          <w:sz w:val="20"/>
          <w:szCs w:val="20"/>
          <w:color w:val="auto"/>
        </w:rPr>
      </w:pPr>
    </w:p>
    <w:p>
      <w:pPr>
        <w:ind w:left="700" w:hanging="264"/>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representation is made as to the accuracy of CUSIP or ISIN numbers as printed on the 2056 Notes.</w:t>
      </w:r>
    </w:p>
    <w:p>
      <w:pPr>
        <w:spacing w:after="0" w:line="117" w:lineRule="exact"/>
        <w:rPr>
          <w:sz w:val="20"/>
          <w:szCs w:val="20"/>
          <w:color w:val="auto"/>
        </w:rPr>
      </w:pPr>
    </w:p>
    <w:p>
      <w:pPr>
        <w:ind w:left="700" w:hanging="264"/>
        <w:spacing w:after="0"/>
        <w:tabs>
          <w:tab w:leader="none" w:pos="7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2056 Note shall be governed by and construed in accordance with the laws of the State of New York.</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2056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2056 Note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2056 Note on the books of the Company. The agent may substitute another to act for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_________________Your Signature: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2056 Note.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45"/>
        </w:trPr>
        <w:tc>
          <w:tcPr>
            <w:tcW w:w="4860" w:type="dxa"/>
            <w:vAlign w:val="bottom"/>
          </w:tcPr>
          <w:p>
            <w:pPr>
              <w:spacing w:after="0"/>
              <w:rPr>
                <w:sz w:val="3"/>
                <w:szCs w:val="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1040" w:type="dxa"/>
            <w:vAlign w:val="bottom"/>
          </w:tcPr>
          <w:p>
            <w:pPr>
              <w:spacing w:after="0"/>
              <w:rPr>
                <w:sz w:val="20"/>
                <w:szCs w:val="20"/>
                <w:color w:val="auto"/>
              </w:rPr>
            </w:pPr>
          </w:p>
        </w:tc>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2056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certificated 2056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Letterhead of Wachtell, Lipton, Rosen &amp; Katz</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3421 Hillview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Broadcom Inc., a Delaware corporation (the “Company”), in connection with the issuance and sale by the Company of $750 million in aggregate principal amount of its 4.300% senior notes due 2031 (the “2031 Notes”), $1,250 million in aggregate principal amount of its 4.600% senior notes due 2033 (the “2033 Notes”), $1,250 million in aggregate principal amount of its 4.950% senior notes due 2036 (the “2036 Notes”) and $1,250 million in aggregate principal amount of its 5.700% senior notes due 2056 (the “2056 Notes,” and together with the 2031 Notes, the 2033 Notes and the 2036 Notes, the “Notes”). The Notes were sold pursuant to an underwriting agreement, dated January 6, 2026 (the “Underwriting Agreement”), by and among the Company and BofA Securities, Inc. and J.P. Morgan Securities LLC, acting for themselves and as representatives of the several underwriters named therein (collectively, the “Underwriters”). The Notes are to be issued under the indenture, dated July 12, 2024, between the Company and Wilmington Trust, National Association, as trustee (the “Trustee”), as supplemented by that certain Supplemental Indenture No. 6, between the Company and the Trustee, dated January 13, 2026 (collectively, the “Indenture”).</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have examined and relied on originals or copies certified or otherwise identified to our satisfaction of such documents, corporate records, certificates of the Company and public officials and other instruments as we have deemed necessary or appropriate for the purposes of this letter, including (a) the registration statement on Form S-3ASR (File No. 333-280715), filed with the Securities and Exchange Commission (the “Commission”) on July 8, 2024 (the “Registration Statement”); (b) the base prospectus, dated July 8, 2024, included in the Registration Statement, but excluding the documents incorporated by reference therein; (c) the preliminary prospectus supplement, dated January 6, 2026, as filed with the Commission pursuant to Rule 424(b)(5) under the Securities Act of 1933, as amended (the “Act”), but excluding the documents incorporated by reference therein; (d) the final term sheet, dated January 6, 2026, as filed with the Commission pursuant to Rule 433 under the Act; (e) the final prospectus supplement (the “Prospectus Supplement”), dated January 6, 2026, as filed with the Commission pursuant to Rule 424(b)(2) under the Act, but excluding the documents incorporated by reference therein; (f) a copy of the Amended and Restated Certificate of Incorporation of the Company, as amended, and a copy of the Amended and Restated Bylaws of the Company, each as set forth in the certificate of the Secretary of the Company, dated January 13, 2026; (g) the Indenture; (h) a copy of the Global Notes for each series of the Notes, each dated January 13, 2026; (i) an executed copy of the Underwriting Agreement; (j) resolutions of the Board of Directors of the Company relating to the issuance of the Notes; and (k) such other</w:t>
      </w:r>
    </w:p>
    <w:p>
      <w:pPr>
        <w:sectPr>
          <w:pgSz w:w="11900" w:h="16838" w:orient="portrait"/>
          <w:cols w:equalWidth="0" w:num="1">
            <w:col w:w="11020"/>
          </w:cols>
          <w:pgMar w:left="440" w:top="117"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corporate records, certificates and other documents and such matters of law, in each case, as we have deemed necessary or appropriate.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agreements, records, documents, instruments and certificates we have reviewed; (iv) all Notes will be issued and sold in compliance with applicable federal and state securities laws and in the manner stated in the Registration Statement and the Prospectus Supplement; and (v) the Underwriting Agreement has been duly authorized and validly executed and delivered by the Underwriters. We have assumed that the terms of the Notes have been established so as not to, and that the execution and delivery by the parties thereto and the performance of such parties’ obligations under the Notes will not, breach, contravene, violate, conflict with or constitute a default under (1) any law, rule or regulation to which any party thereto is subject (excepting the laws of the State of New York, the General Corporation Law of the State of Delaware (the “DGCL”) and the federal securities laws of the United States of America as such laws apply to the Company); (2) any judicial or regulatory order or decree of any governmental authority; or (3) any consent, approval, license, authorization or validation of, or filing, recording or registration with any governmental authority. We also have assumed that the Indenture and the Notes are the valid and legally binding obligation of the Trustee. As to any facts material to the opinion expressed herein that we did not independently establish or verify, we have relied upon statements and representations of officers and other representatives of the Company and others. We have further assumed the legal capacity of all natural persons, the genuineness of all signatures, the authenticity of all documents submitted to us as originals, the conformity to original documents of all documents submitted to us as certified, facsimile, conformed, electronic or photostatic copies, and the authenticity of the originals of such copies.</w:t>
      </w:r>
    </w:p>
    <w:p>
      <w:pPr>
        <w:spacing w:after="0" w:line="195"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We are members of the Bar of the State of New York, and we have not considered, and we express no opinion as to, the laws of any jurisdiction other than the laws of the State of New York, the DGCL (including the statutory provisions and all applicable provisions of the Delaware Constitution and reported judicial decisions interpreting these laws) and the federal securities laws of the United States of America, in each case as in effect on the date hereof.</w:t>
      </w:r>
    </w:p>
    <w:p>
      <w:pPr>
        <w:spacing w:after="0" w:line="180" w:lineRule="exact"/>
        <w:rPr>
          <w:sz w:val="20"/>
          <w:szCs w:val="20"/>
          <w:color w:val="auto"/>
        </w:rPr>
      </w:pPr>
    </w:p>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t>Based upon the foregoing, and subject to the assumptions, limitations, qualifications, exceptions and comments set forth in this letter, we advise you that, in our opinion, the Notes, when duly executed, authenticated, issued, delivered and paid for in accordance with the terms of the Indenture and the Underwriting Agreement, will be valid and binding obligations of the Company, enforceable against the Company in accordance with their terms.</w:t>
      </w:r>
    </w:p>
    <w:p>
      <w:pPr>
        <w:sectPr>
          <w:pgSz w:w="11900" w:h="16838" w:orient="portrait"/>
          <w:cols w:equalWidth="0" w:num="1">
            <w:col w:w="10980"/>
          </w:cols>
          <w:pgMar w:left="440" w:top="270" w:right="479" w:bottom="1440" w:gutter="0" w:footer="0" w:header="0"/>
        </w:sectPr>
      </w:pPr>
    </w:p>
    <w:bookmarkStart w:id="93" w:name="page94"/>
    <w:bookmarkEnd w:id="9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Broadcom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13,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7"/>
          <w:szCs w:val="17"/>
          <w:color w:val="auto"/>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w:t>
      </w:r>
    </w:p>
    <w:p>
      <w:pPr>
        <w:spacing w:after="0" w:line="5" w:lineRule="exact"/>
        <w:rPr>
          <w:sz w:val="20"/>
          <w:szCs w:val="20"/>
          <w:color w:val="auto"/>
        </w:rPr>
      </w:pPr>
    </w:p>
    <w:p>
      <w:pPr>
        <w:ind w:left="4" w:hanging="4"/>
        <w:spacing w:after="0" w:line="251"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agreed-upon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 of 2010, as amended.</w:t>
      </w:r>
    </w:p>
    <w:p>
      <w:pPr>
        <w:spacing w:after="0" w:line="193"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We express no opinion as to whether, or the extent to which, the laws of any particular jurisdiction apply to the subject matter hereof, including, without limitation, the enforceability of the governing law provisions contained in the Notes and the Indenture. We express no opinion as to the ability of another court, federal or state, to accept jurisdiction and/or venue in the event the chosen court is unavailable for any reason, including, without limitation, natural disaster, act of God, human health or safety reasons or otherwise (including a pandemic).</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This letter speaks only as of its date and is delivered in accordance with the requirements of Item 601(b)(5) of Regulation S-K under the Act. We hereby consent to the filing of a copy of this letter as an exhibit to the Company’s Current Report on Form 8-K, filed on January 13, 2026, and to the use of our name in the prospectus forming a part of the Registration Statement under the caption “Legal Matters.” In giving this consent, we do not thereby admit that we are within the category of persons whose consent is required under Section 7 of the Act.</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Wachtell, Lipton, Rosen &amp; Katz</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Letter"/>
      <w:start w:val="1"/>
    </w:lvl>
  </w:abstractNum>
  <w:abstractNum w:abstractNumId="2">
    <w:nsid w:val="75C6C33A"/>
    <w:multiLevelType w:val="hybridMultilevel"/>
    <w:lvl w:ilvl="0">
      <w:lvlJc w:val="left"/>
      <w:lvlText w:val="(%1)"/>
      <w:numFmt w:val="lowerLetter"/>
      <w:start w:val="2"/>
    </w:lvl>
  </w:abstractNum>
  <w:abstractNum w:abstractNumId="3">
    <w:nsid w:val="12E685FB"/>
    <w:multiLevelType w:val="hybridMultilevel"/>
    <w:lvl w:ilvl="0">
      <w:lvlJc w:val="left"/>
      <w:lvlText w:val="(%1)"/>
      <w:numFmt w:val="lowerLetter"/>
      <w:start w:val="3"/>
    </w:lvl>
  </w:abstractNum>
  <w:abstractNum w:abstractNumId="4">
    <w:nsid w:val="70C6A529"/>
    <w:multiLevelType w:val="hybridMultilevel"/>
    <w:lvl w:ilvl="0">
      <w:lvlJc w:val="left"/>
      <w:lvlText w:val="(%1)"/>
      <w:numFmt w:val="lowerLetter"/>
      <w:start w:val="4"/>
    </w:lvl>
  </w:abstractNum>
  <w:abstractNum w:abstractNumId="5">
    <w:nsid w:val="520EEDD1"/>
    <w:multiLevelType w:val="hybridMultilevel"/>
    <w:lvl w:ilvl="0">
      <w:lvlJc w:val="left"/>
      <w:lvlText w:val="(%1)"/>
      <w:numFmt w:val="lowerLetter"/>
      <w:start w:val="10"/>
    </w:lvl>
  </w:abstractNum>
  <w:abstractNum w:abstractNumId="6">
    <w:nsid w:val="374A3FE6"/>
    <w:multiLevelType w:val="hybridMultilevel"/>
    <w:lvl w:ilvl="0">
      <w:lvlJc w:val="left"/>
      <w:lvlText w:val="(%1)"/>
      <w:numFmt w:val="lowerLetter"/>
      <w:start w:val="16"/>
    </w:lvl>
  </w:abstractNum>
  <w:abstractNum w:abstractNumId="7">
    <w:nsid w:val="4F4EF005"/>
    <w:multiLevelType w:val="hybridMultilevel"/>
    <w:lvl w:ilvl="0">
      <w:lvlJc w:val="left"/>
      <w:lvlText w:val="(%1)"/>
      <w:numFmt w:val="lowerLetter"/>
      <w:start w:val="17"/>
    </w:lvl>
  </w:abstractNum>
  <w:abstractNum w:abstractNumId="8">
    <w:nsid w:val="23F9C13C"/>
    <w:multiLevelType w:val="hybridMultilevel"/>
    <w:lvl w:ilvl="0">
      <w:lvlJc w:val="left"/>
      <w:lvlText w:val="(%1)"/>
      <w:numFmt w:val="lowerLetter"/>
      <w:start w:val="19"/>
    </w:lvl>
  </w:abstractNum>
  <w:abstractNum w:abstractNumId="9">
    <w:nsid w:val="649BB77C"/>
    <w:multiLevelType w:val="hybridMultilevel"/>
    <w:lvl w:ilvl="0">
      <w:lvlJc w:val="left"/>
      <w:lvlText w:val="(%1)"/>
      <w:numFmt w:val="lowerLetter"/>
      <w:start w:val="21"/>
    </w:lvl>
  </w:abstractNum>
  <w:abstractNum w:abstractNumId="10">
    <w:nsid w:val="275AC794"/>
    <w:multiLevelType w:val="hybridMultilevel"/>
    <w:lvl w:ilvl="0">
      <w:lvlJc w:val="left"/>
      <w:lvlText w:val="(%1)"/>
      <w:numFmt w:val="lowerLetter"/>
      <w:start w:val="27"/>
    </w:lvl>
  </w:abstractNum>
  <w:abstractNum w:abstractNumId="11">
    <w:nsid w:val="39386575"/>
    <w:multiLevelType w:val="hybridMultilevel"/>
    <w:lvl w:ilvl="0">
      <w:lvlJc w:val="left"/>
      <w:lvlText w:val="%1"/>
      <w:numFmt w:val="lowerLetter"/>
      <w:start w:val="1"/>
    </w:lvl>
    <w:lvl w:ilvl="1">
      <w:lvlJc w:val="left"/>
      <w:lvlText w:val="(%2)"/>
      <w:numFmt w:val="lowerLetter"/>
      <w:start w:val="28"/>
    </w:lvl>
  </w:abstractNum>
  <w:abstractNum w:abstractNumId="12">
    <w:nsid w:val="1CF10FD8"/>
    <w:multiLevelType w:val="hybridMultilevel"/>
    <w:lvl w:ilvl="0">
      <w:lvlJc w:val="left"/>
      <w:lvlText w:val="(%1)"/>
      <w:numFmt w:val="lowerLetter"/>
      <w:start w:val="9"/>
    </w:lvl>
    <w:lvl w:ilvl="1">
      <w:lvlJc w:val="left"/>
      <w:lvlText w:val="(%2)"/>
      <w:numFmt w:val="lowerLetter"/>
      <w:start w:val="29"/>
    </w:lvl>
  </w:abstractNum>
  <w:abstractNum w:abstractNumId="13">
    <w:nsid w:val="180115BE"/>
    <w:multiLevelType w:val="hybridMultilevel"/>
    <w:lvl w:ilvl="0">
      <w:lvlJc w:val="left"/>
      <w:lvlText w:val="%1"/>
      <w:numFmt w:val="lowerLetter"/>
      <w:start w:val="1"/>
    </w:lvl>
    <w:lvl w:ilvl="1">
      <w:lvlJc w:val="left"/>
      <w:lvlText w:val="(%2)"/>
      <w:numFmt w:val="lowerLetter"/>
      <w:start w:val="31"/>
    </w:lvl>
  </w:abstractNum>
  <w:abstractNum w:abstractNumId="14">
    <w:nsid w:val="235BA861"/>
    <w:multiLevelType w:val="hybridMultilevel"/>
    <w:lvl w:ilvl="0">
      <w:lvlJc w:val="left"/>
      <w:lvlText w:val="(%1)"/>
      <w:numFmt w:val="lowerLetter"/>
      <w:start w:val="9"/>
    </w:lvl>
    <w:lvl w:ilvl="1">
      <w:lvlJc w:val="left"/>
      <w:lvlText w:val="(%2)"/>
      <w:numFmt w:val="lowerLetter"/>
      <w:start w:val="32"/>
    </w:lvl>
  </w:abstractNum>
  <w:abstractNum w:abstractNumId="15">
    <w:nsid w:val="47398C89"/>
    <w:multiLevelType w:val="hybridMultilevel"/>
    <w:lvl w:ilvl="0">
      <w:lvlJc w:val="left"/>
      <w:lvlText w:val="(%1)"/>
      <w:numFmt w:val="lowerLetter"/>
      <w:start w:val="35"/>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1)"/>
      <w:numFmt w:val="lowerLetter"/>
      <w:start w:val="1"/>
    </w:lvl>
  </w:abstractNum>
  <w:abstractNum w:abstractNumId="18">
    <w:nsid w:val="741226BB"/>
    <w:multiLevelType w:val="hybridMultilevel"/>
    <w:lvl w:ilvl="0">
      <w:lvlJc w:val="left"/>
      <w:lvlText w:val="(%1)"/>
      <w:numFmt w:val="lowerLetter"/>
      <w:start w:val="2"/>
    </w:lvl>
  </w:abstractNum>
  <w:abstractNum w:abstractNumId="19">
    <w:nsid w:val="D34B6A8"/>
    <w:multiLevelType w:val="hybridMultilevel"/>
    <w:lvl w:ilvl="0">
      <w:lvlJc w:val="left"/>
      <w:lvlText w:val="(%1)"/>
      <w:numFmt w:val="lowerLetter"/>
      <w:start w:val="4"/>
    </w:lvl>
  </w:abstractNum>
  <w:abstractNum w:abstractNumId="20">
    <w:nsid w:val="10233C99"/>
    <w:multiLevelType w:val="hybridMultilevel"/>
    <w:lvl w:ilvl="0">
      <w:lvlJc w:val="left"/>
      <w:lvlText w:val="%1"/>
      <w:numFmt w:val="lowerLetter"/>
      <w:start w:val="1"/>
    </w:lvl>
    <w:lvl w:ilvl="1">
      <w:lvlJc w:val="left"/>
      <w:lvlText w:val="(%2)"/>
      <w:numFmt w:val="lowerLetter"/>
      <w:start w:val="10"/>
    </w:lvl>
  </w:abstractNum>
  <w:abstractNum w:abstractNumId="21">
    <w:nsid w:val="3F6AB60F"/>
    <w:multiLevelType w:val="hybridMultilevel"/>
    <w:lvl w:ilvl="0">
      <w:lvlJc w:val="left"/>
      <w:lvlText w:val="(%1)"/>
      <w:numFmt w:val="lowerLetter"/>
      <w:start w:val="35"/>
    </w:lvl>
    <w:lvl w:ilvl="1">
      <w:lvlJc w:val="left"/>
      <w:lvlText w:val="(%2)"/>
      <w:numFmt w:val="lowerLetter"/>
      <w:start w:val="12"/>
    </w:lvl>
  </w:abstractNum>
  <w:abstractNum w:abstractNumId="22">
    <w:nsid w:val="61574095"/>
    <w:multiLevelType w:val="hybridMultilevel"/>
    <w:lvl w:ilvl="0">
      <w:lvlJc w:val="left"/>
      <w:lvlText w:val="(%1)"/>
      <w:numFmt w:val="lowerLetter"/>
      <w:start w:val="14"/>
    </w:lvl>
  </w:abstractNum>
  <w:abstractNum w:abstractNumId="23">
    <w:nsid w:val="7E0C57B1"/>
    <w:multiLevelType w:val="hybridMultilevel"/>
    <w:lvl w:ilvl="0">
      <w:lvlJc w:val="left"/>
      <w:lvlText w:val="(%1)"/>
      <w:numFmt w:val="lowerLetter"/>
      <w:start w:val="18"/>
    </w:lvl>
  </w:abstractNum>
  <w:abstractNum w:abstractNumId="24">
    <w:nsid w:val="77AE35EB"/>
    <w:multiLevelType w:val="hybridMultilevel"/>
    <w:lvl w:ilvl="0">
      <w:lvlJc w:val="left"/>
      <w:lvlText w:val="(%1)"/>
      <w:numFmt w:val="lowerRoman"/>
      <w:start w:val="5"/>
    </w:lvl>
  </w:abstractNum>
  <w:abstractNum w:abstractNumId="25">
    <w:nsid w:val="579BE4F1"/>
    <w:multiLevelType w:val="hybridMultilevel"/>
    <w:lvl w:ilvl="0">
      <w:lvlJc w:val="left"/>
      <w:lvlText w:val="(%1)"/>
      <w:numFmt w:val="lowerLetter"/>
      <w:start w:val="1"/>
    </w:lvl>
    <w:lvl w:ilvl="1">
      <w:lvlJc w:val="left"/>
      <w:lvlText w:val="(%2)"/>
      <w:numFmt w:val="lowerRoman"/>
      <w:start w:val="1"/>
    </w:lvl>
  </w:abstractNum>
  <w:abstractNum w:abstractNumId="26">
    <w:nsid w:val="310C50B3"/>
    <w:multiLevelType w:val="hybridMultilevel"/>
    <w:lvl w:ilvl="0">
      <w:lvlJc w:val="left"/>
      <w:lvlText w:val="(%1)"/>
      <w:numFmt w:val="lowerRoman"/>
      <w:start w:val="1"/>
    </w:lvl>
    <w:lvl w:ilvl="1">
      <w:lvlJc w:val="left"/>
      <w:lvlText w:val="(%2)"/>
      <w:numFmt w:val="lowerRoman"/>
      <w:start w:val="1"/>
    </w:lvl>
  </w:abstractNum>
  <w:abstractNum w:abstractNumId="27">
    <w:nsid w:val="5FF87E05"/>
    <w:multiLevelType w:val="hybridMultilevel"/>
    <w:lvl w:ilvl="0">
      <w:lvlJc w:val="left"/>
      <w:lvlText w:val="(%1)"/>
      <w:numFmt w:val="lowerLetter"/>
      <w:start w:val="10"/>
    </w:lvl>
  </w:abstractNum>
  <w:abstractNum w:abstractNumId="28">
    <w:nsid w:val="2F305DEF"/>
    <w:multiLevelType w:val="hybridMultilevel"/>
    <w:lvl w:ilvl="0">
      <w:lvlJc w:val="left"/>
      <w:lvlText w:val="(%1)"/>
      <w:numFmt w:val="lowerLetter"/>
      <w:start w:val="1"/>
    </w:lvl>
  </w:abstractNum>
  <w:abstractNum w:abstractNumId="29">
    <w:nsid w:val="25A70BF7"/>
    <w:multiLevelType w:val="hybridMultilevel"/>
    <w:lvl w:ilvl="0">
      <w:lvlJc w:val="left"/>
      <w:lvlText w:val="(%1)"/>
      <w:numFmt w:val="lowerLetter"/>
      <w:start w:val="2"/>
    </w:lvl>
  </w:abstractNum>
  <w:abstractNum w:abstractNumId="30">
    <w:nsid w:val="1DBABF00"/>
    <w:multiLevelType w:val="hybridMultilevel"/>
    <w:lvl w:ilvl="0">
      <w:lvlJc w:val="left"/>
      <w:lvlText w:val="(%1)"/>
      <w:numFmt w:val="lowerLetter"/>
      <w:start w:val="3"/>
    </w:lvl>
  </w:abstractNum>
  <w:abstractNum w:abstractNumId="31">
    <w:nsid w:val="4AD084E9"/>
    <w:multiLevelType w:val="hybridMultilevel"/>
    <w:lvl w:ilvl="0">
      <w:lvlJc w:val="left"/>
      <w:lvlText w:val="%1"/>
      <w:numFmt w:val="lowerLetter"/>
      <w:start w:val="1"/>
    </w:lvl>
    <w:lvl w:ilvl="1">
      <w:lvlJc w:val="left"/>
      <w:lvlText w:val="(%2)"/>
      <w:numFmt w:val="lowerLetter"/>
      <w:start w:val="4"/>
    </w:lvl>
  </w:abstractNum>
  <w:abstractNum w:abstractNumId="32">
    <w:nsid w:val="1F48EAA1"/>
    <w:multiLevelType w:val="hybridMultilevel"/>
    <w:lvl w:ilvl="0">
      <w:lvlJc w:val="left"/>
      <w:lvlText w:val="(%1)"/>
      <w:numFmt w:val="lowerLetter"/>
      <w:start w:val="9"/>
    </w:lvl>
    <w:lvl w:ilvl="1">
      <w:lvlJc w:val="left"/>
      <w:lvlText w:val="%2"/>
      <w:numFmt w:val="lowerLetter"/>
      <w:start w:val="1"/>
    </w:lvl>
  </w:abstractNum>
  <w:abstractNum w:abstractNumId="33">
    <w:nsid w:val="1381823A"/>
    <w:multiLevelType w:val="hybridMultilevel"/>
    <w:lvl w:ilvl="0">
      <w:lvlJc w:val="left"/>
      <w:lvlText w:val="(%1)"/>
      <w:numFmt w:val="lowerRoman"/>
      <w:start w:val="1"/>
    </w:lvl>
  </w:abstractNum>
  <w:abstractNum w:abstractNumId="34">
    <w:nsid w:val="5DB70AE5"/>
    <w:multiLevelType w:val="hybridMultilevel"/>
    <w:lvl w:ilvl="0">
      <w:lvlJc w:val="left"/>
      <w:lvlText w:val="(%1)"/>
      <w:numFmt w:val="lowerRoman"/>
      <w:start w:val="3"/>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1"/>
      <w:numFmt w:val="decimal"/>
      <w:start w:val="1"/>
    </w:lvl>
    <w:lvl w:ilvl="1">
      <w:lvlJc w:val="left"/>
      <w:lvlText w:val="(%2)"/>
      <w:numFmt w:val="lowerLetter"/>
      <w:start w:val="1"/>
    </w:lvl>
  </w:abstractNum>
  <w:abstractNum w:abstractNumId="39">
    <w:nsid w:val="98A3148"/>
    <w:multiLevelType w:val="hybridMultilevel"/>
    <w:lvl w:ilvl="0">
      <w:lvlJc w:val="left"/>
      <w:lvlText w:val="(%1)"/>
      <w:numFmt w:val="decimal"/>
      <w:start w:val="2"/>
    </w:lvl>
    <w:lvl w:ilvl="1">
      <w:lvlJc w:val="left"/>
      <w:lvlText w:val="(%2)"/>
      <w:numFmt w:val="lowerLetter"/>
      <w:start w:val="2"/>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1"/>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1"/>
    </w:lvl>
    <w:lvl w:ilvl="1">
      <w:lvlJc w:val="left"/>
      <w:lvlText w:val="(%2)"/>
      <w:numFmt w:val="lowerRoman"/>
      <w:start w:val="1"/>
    </w:lvl>
  </w:abstractNum>
  <w:abstractNum w:abstractNumId="44">
    <w:nsid w:val="1EBA5D23"/>
    <w:multiLevelType w:val="hybridMultilevel"/>
    <w:lvl w:ilvl="0">
      <w:lvlJc w:val="left"/>
      <w:lvlText w:val="(%1)"/>
      <w:numFmt w:val="lowerLetter"/>
      <w:start w:val="2"/>
    </w:lvl>
    <w:lvl w:ilvl="1">
      <w:lvlJc w:val="left"/>
      <w:lvlText w:val="(%2)"/>
      <w:numFmt w:val="lowerRoman"/>
      <w:start w:val="1"/>
    </w:lvl>
  </w:abstractNum>
  <w:abstractNum w:abstractNumId="45">
    <w:nsid w:val="661E3F1E"/>
    <w:multiLevelType w:val="hybridMultilevel"/>
    <w:lvl w:ilvl="0">
      <w:lvlJc w:val="left"/>
      <w:lvlText w:val="(%1)"/>
      <w:numFmt w:val="lowerLetter"/>
      <w:start w:val="3"/>
    </w:lvl>
    <w:lvl w:ilvl="1">
      <w:lvlJc w:val="left"/>
      <w:lvlText w:val="(%2)"/>
      <w:numFmt w:val="lowerLetter"/>
      <w:start w:val="9"/>
    </w:lvl>
  </w:abstractNum>
  <w:abstractNum w:abstractNumId="46">
    <w:nsid w:val="5DC79EA8"/>
    <w:multiLevelType w:val="hybridMultilevel"/>
    <w:lvl w:ilvl="0">
      <w:lvlJc w:val="left"/>
      <w:lvlText w:val="(%1)"/>
      <w:numFmt w:val="lowerRoman"/>
      <w:start w:val="2"/>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lowerLetter"/>
      <w:start w:val="2"/>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1."/>
      <w:numFmt w:val="decimal"/>
      <w:start w:val="2"/>
    </w:lvl>
  </w:abstractNum>
  <w:abstractNum w:abstractNumId="54">
    <w:nsid w:val="A0382C5"/>
    <w:multiLevelType w:val="hybridMultilevel"/>
    <w:lvl w:ilvl="0">
      <w:lvlJc w:val="left"/>
      <w:lvlText w:val="%1."/>
      <w:numFmt w:val="decimal"/>
      <w:start w:val="3"/>
    </w:lvl>
  </w:abstractNum>
  <w:abstractNum w:abstractNumId="55">
    <w:nsid w:val="8F2B15E"/>
    <w:multiLevelType w:val="hybridMultilevel"/>
    <w:lvl w:ilvl="0">
      <w:lvlJc w:val="left"/>
      <w:lvlText w:val="%1."/>
      <w:numFmt w:val="decimal"/>
      <w:start w:val="4"/>
    </w:lvl>
  </w:abstractNum>
  <w:abstractNum w:abstractNumId="56">
    <w:nsid w:val="1A32234B"/>
    <w:multiLevelType w:val="hybridMultilevel"/>
    <w:lvl w:ilvl="0">
      <w:lvlJc w:val="left"/>
      <w:lvlText w:val="%1."/>
      <w:numFmt w:val="decimal"/>
      <w:start w:val="5"/>
    </w:lvl>
  </w:abstractNum>
  <w:abstractNum w:abstractNumId="57">
    <w:nsid w:val="3B0FD379"/>
    <w:multiLevelType w:val="hybridMultilevel"/>
    <w:lvl w:ilvl="0">
      <w:lvlJc w:val="left"/>
      <w:lvlText w:val="%1."/>
      <w:numFmt w:val="decimal"/>
      <w:start w:val="6"/>
    </w:lvl>
  </w:abstractNum>
  <w:abstractNum w:abstractNumId="58">
    <w:nsid w:val="68EB2F63"/>
    <w:multiLevelType w:val="hybridMultilevel"/>
    <w:lvl w:ilvl="0">
      <w:lvlJc w:val="left"/>
      <w:lvlText w:val="%1."/>
      <w:numFmt w:val="decimal"/>
      <w:start w:val="7"/>
    </w:lvl>
  </w:abstractNum>
  <w:abstractNum w:abstractNumId="59">
    <w:nsid w:val="4962813B"/>
    <w:multiLevelType w:val="hybridMultilevel"/>
    <w:lvl w:ilvl="0">
      <w:lvlJc w:val="left"/>
      <w:lvlText w:val="%1."/>
      <w:numFmt w:val="decimal"/>
      <w:start w:val="8"/>
    </w:lvl>
  </w:abstractNum>
  <w:abstractNum w:abstractNumId="60">
    <w:nsid w:val="60B6DF70"/>
    <w:multiLevelType w:val="hybridMultilevel"/>
    <w:lvl w:ilvl="0">
      <w:lvlJc w:val="left"/>
      <w:lvlText w:val="%1."/>
      <w:numFmt w:val="decimal"/>
      <w:start w:val="10"/>
    </w:lvl>
  </w:abstractNum>
  <w:abstractNum w:abstractNumId="61">
    <w:nsid w:val="6A5EE64"/>
    <w:multiLevelType w:val="hybridMultilevel"/>
    <w:lvl w:ilvl="0">
      <w:lvlJc w:val="left"/>
      <w:lvlText w:val="%1."/>
      <w:numFmt w:val="decimal"/>
      <w:start w:val="11"/>
    </w:lvl>
  </w:abstractNum>
  <w:abstractNum w:abstractNumId="62">
    <w:nsid w:val="14330624"/>
    <w:multiLevelType w:val="hybridMultilevel"/>
    <w:lvl w:ilvl="0">
      <w:lvlJc w:val="left"/>
      <w:lvlText w:val="%1."/>
      <w:numFmt w:val="decimal"/>
      <w:start w:val="12"/>
    </w:lvl>
  </w:abstractNum>
  <w:abstractNum w:abstractNumId="63">
    <w:nsid w:val="7FFFCA11"/>
    <w:multiLevelType w:val="hybridMultilevel"/>
    <w:lvl w:ilvl="0">
      <w:lvlJc w:val="left"/>
      <w:lvlText w:val="%1."/>
      <w:numFmt w:val="decimal"/>
      <w:start w:val="13"/>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2"/>
    </w:lvl>
  </w:abstractNum>
  <w:abstractNum w:abstractNumId="66">
    <w:nsid w:val="100F59DC"/>
    <w:multiLevelType w:val="hybridMultilevel"/>
    <w:lvl w:ilvl="0">
      <w:lvlJc w:val="left"/>
      <w:lvlText w:val="%1."/>
      <w:numFmt w:val="decimal"/>
      <w:start w:val="3"/>
    </w:lvl>
  </w:abstractNum>
  <w:abstractNum w:abstractNumId="67">
    <w:nsid w:val="7FB7E0AA"/>
    <w:multiLevelType w:val="hybridMultilevel"/>
    <w:lvl w:ilvl="0">
      <w:lvlJc w:val="left"/>
      <w:lvlText w:val="%1."/>
      <w:numFmt w:val="decimal"/>
      <w:start w:val="4"/>
    </w:lvl>
  </w:abstractNum>
  <w:abstractNum w:abstractNumId="68">
    <w:nsid w:val="6EB5BD4"/>
    <w:multiLevelType w:val="hybridMultilevel"/>
    <w:lvl w:ilvl="0">
      <w:lvlJc w:val="left"/>
      <w:lvlText w:val="%1."/>
      <w:numFmt w:val="decimal"/>
      <w:start w:val="5"/>
    </w:lvl>
  </w:abstractNum>
  <w:abstractNum w:abstractNumId="69">
    <w:nsid w:val="6F6DD9AC"/>
    <w:multiLevelType w:val="hybridMultilevel"/>
    <w:lvl w:ilvl="0">
      <w:lvlJc w:val="left"/>
      <w:lvlText w:val="%1."/>
      <w:numFmt w:val="decimal"/>
      <w:start w:val="6"/>
    </w:lvl>
  </w:abstractNum>
  <w:abstractNum w:abstractNumId="70">
    <w:nsid w:val="94211F2"/>
    <w:multiLevelType w:val="hybridMultilevel"/>
    <w:lvl w:ilvl="0">
      <w:lvlJc w:val="left"/>
      <w:lvlText w:val="%1."/>
      <w:numFmt w:val="decimal"/>
      <w:start w:val="7"/>
    </w:lvl>
  </w:abstractNum>
  <w:abstractNum w:abstractNumId="71">
    <w:nsid w:val="885E1B"/>
    <w:multiLevelType w:val="hybridMultilevel"/>
    <w:lvl w:ilvl="0">
      <w:lvlJc w:val="left"/>
      <w:lvlText w:val="%1."/>
      <w:numFmt w:val="decimal"/>
      <w:start w:val="8"/>
    </w:lvl>
  </w:abstractNum>
  <w:abstractNum w:abstractNumId="72">
    <w:nsid w:val="76272110"/>
    <w:multiLevelType w:val="hybridMultilevel"/>
    <w:lvl w:ilvl="0">
      <w:lvlJc w:val="left"/>
      <w:lvlText w:val="%1."/>
      <w:numFmt w:val="decimal"/>
      <w:start w:val="10"/>
    </w:lvl>
  </w:abstractNum>
  <w:abstractNum w:abstractNumId="73">
    <w:nsid w:val="4C04A8AF"/>
    <w:multiLevelType w:val="hybridMultilevel"/>
    <w:lvl w:ilvl="0">
      <w:lvlJc w:val="left"/>
      <w:lvlText w:val="%1."/>
      <w:numFmt w:val="decimal"/>
      <w:start w:val="11"/>
    </w:lvl>
  </w:abstractNum>
  <w:abstractNum w:abstractNumId="74">
    <w:nsid w:val="1716703B"/>
    <w:multiLevelType w:val="hybridMultilevel"/>
    <w:lvl w:ilvl="0">
      <w:lvlJc w:val="left"/>
      <w:lvlText w:val="%1."/>
      <w:numFmt w:val="decimal"/>
      <w:start w:val="12"/>
    </w:lvl>
  </w:abstractNum>
  <w:abstractNum w:abstractNumId="75">
    <w:nsid w:val="14E17E33"/>
    <w:multiLevelType w:val="hybridMultilevel"/>
    <w:lvl w:ilvl="0">
      <w:lvlJc w:val="left"/>
      <w:lvlText w:val="%1."/>
      <w:numFmt w:val="decimal"/>
      <w:start w:val="13"/>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2"/>
    </w:lvl>
  </w:abstractNum>
  <w:abstractNum w:abstractNumId="78">
    <w:nsid w:val="68EBC550"/>
    <w:multiLevelType w:val="hybridMultilevel"/>
    <w:lvl w:ilvl="0">
      <w:lvlJc w:val="left"/>
      <w:lvlText w:val="%1."/>
      <w:numFmt w:val="decimal"/>
      <w:start w:val="3"/>
    </w:lvl>
  </w:abstractNum>
  <w:abstractNum w:abstractNumId="79">
    <w:nsid w:val="2DF6D648"/>
    <w:multiLevelType w:val="hybridMultilevel"/>
    <w:lvl w:ilvl="0">
      <w:lvlJc w:val="left"/>
      <w:lvlText w:val="%1."/>
      <w:numFmt w:val="decimal"/>
      <w:start w:val="4"/>
    </w:lvl>
  </w:abstractNum>
  <w:abstractNum w:abstractNumId="80">
    <w:nsid w:val="46B7D447"/>
    <w:multiLevelType w:val="hybridMultilevel"/>
    <w:lvl w:ilvl="0">
      <w:lvlJc w:val="left"/>
      <w:lvlText w:val="%1."/>
      <w:numFmt w:val="decimal"/>
      <w:start w:val="5"/>
    </w:lvl>
  </w:abstractNum>
  <w:abstractNum w:abstractNumId="81">
    <w:nsid w:val="4A2AC315"/>
    <w:multiLevelType w:val="hybridMultilevel"/>
    <w:lvl w:ilvl="0">
      <w:lvlJc w:val="left"/>
      <w:lvlText w:val="%1."/>
      <w:numFmt w:val="decimal"/>
      <w:start w:val="6"/>
    </w:lvl>
  </w:abstractNum>
  <w:abstractNum w:abstractNumId="82">
    <w:nsid w:val="39EE015C"/>
    <w:multiLevelType w:val="hybridMultilevel"/>
    <w:lvl w:ilvl="0">
      <w:lvlJc w:val="left"/>
      <w:lvlText w:val="%1."/>
      <w:numFmt w:val="decimal"/>
      <w:start w:val="7"/>
    </w:lvl>
  </w:abstractNum>
  <w:abstractNum w:abstractNumId="83">
    <w:nsid w:val="57FC4FBB"/>
    <w:multiLevelType w:val="hybridMultilevel"/>
    <w:lvl w:ilvl="0">
      <w:lvlJc w:val="left"/>
      <w:lvlText w:val="%1."/>
      <w:numFmt w:val="decimal"/>
      <w:start w:val="8"/>
    </w:lvl>
  </w:abstractNum>
  <w:abstractNum w:abstractNumId="84">
    <w:nsid w:val="CC1016F"/>
    <w:multiLevelType w:val="hybridMultilevel"/>
    <w:lvl w:ilvl="0">
      <w:lvlJc w:val="left"/>
      <w:lvlText w:val="%1."/>
      <w:numFmt w:val="decimal"/>
      <w:start w:val="10"/>
    </w:lvl>
  </w:abstractNum>
  <w:abstractNum w:abstractNumId="85">
    <w:nsid w:val="43F18422"/>
    <w:multiLevelType w:val="hybridMultilevel"/>
    <w:lvl w:ilvl="0">
      <w:lvlJc w:val="left"/>
      <w:lvlText w:val="%1."/>
      <w:numFmt w:val="decimal"/>
      <w:start w:val="11"/>
    </w:lvl>
  </w:abstractNum>
  <w:abstractNum w:abstractNumId="86">
    <w:nsid w:val="60EF0119"/>
    <w:multiLevelType w:val="hybridMultilevel"/>
    <w:lvl w:ilvl="0">
      <w:lvlJc w:val="left"/>
      <w:lvlText w:val="%1."/>
      <w:numFmt w:val="decimal"/>
      <w:start w:val="12"/>
    </w:lvl>
  </w:abstractNum>
  <w:abstractNum w:abstractNumId="87">
    <w:nsid w:val="26F324BA"/>
    <w:multiLevelType w:val="hybridMultilevel"/>
    <w:lvl w:ilvl="0">
      <w:lvlJc w:val="left"/>
      <w:lvlText w:val="%1."/>
      <w:numFmt w:val="decimal"/>
      <w:start w:val="13"/>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2"/>
    </w:lvl>
  </w:abstractNum>
  <w:abstractNum w:abstractNumId="90">
    <w:nsid w:val="7055A5F5"/>
    <w:multiLevelType w:val="hybridMultilevel"/>
    <w:lvl w:ilvl="0">
      <w:lvlJc w:val="left"/>
      <w:lvlText w:val="%1."/>
      <w:numFmt w:val="decimal"/>
      <w:start w:val="3"/>
    </w:lvl>
  </w:abstractNum>
  <w:abstractNum w:abstractNumId="91">
    <w:nsid w:val="5FB8370B"/>
    <w:multiLevelType w:val="hybridMultilevel"/>
    <w:lvl w:ilvl="0">
      <w:lvlJc w:val="left"/>
      <w:lvlText w:val="%1."/>
      <w:numFmt w:val="decimal"/>
      <w:start w:val="4"/>
    </w:lvl>
  </w:abstractNum>
  <w:abstractNum w:abstractNumId="92">
    <w:nsid w:val="50801EE1"/>
    <w:multiLevelType w:val="hybridMultilevel"/>
    <w:lvl w:ilvl="0">
      <w:lvlJc w:val="left"/>
      <w:lvlText w:val="%1."/>
      <w:numFmt w:val="decimal"/>
      <w:start w:val="5"/>
    </w:lvl>
  </w:abstractNum>
  <w:abstractNum w:abstractNumId="93">
    <w:nsid w:val="488AC1A"/>
    <w:multiLevelType w:val="hybridMultilevel"/>
    <w:lvl w:ilvl="0">
      <w:lvlJc w:val="left"/>
      <w:lvlText w:val="%1."/>
      <w:numFmt w:val="decimal"/>
      <w:start w:val="6"/>
    </w:lvl>
  </w:abstractNum>
  <w:abstractNum w:abstractNumId="94">
    <w:nsid w:val="5FB8011C"/>
    <w:multiLevelType w:val="hybridMultilevel"/>
    <w:lvl w:ilvl="0">
      <w:lvlJc w:val="left"/>
      <w:lvlText w:val="%1."/>
      <w:numFmt w:val="decimal"/>
      <w:start w:val="7"/>
    </w:lvl>
  </w:abstractNum>
  <w:abstractNum w:abstractNumId="95">
    <w:nsid w:val="6AA78F7F"/>
    <w:multiLevelType w:val="hybridMultilevel"/>
    <w:lvl w:ilvl="0">
      <w:lvlJc w:val="left"/>
      <w:lvlText w:val="%1."/>
      <w:numFmt w:val="decimal"/>
      <w:start w:val="8"/>
    </w:lvl>
  </w:abstractNum>
  <w:abstractNum w:abstractNumId="96">
    <w:nsid w:val="7672BD23"/>
    <w:multiLevelType w:val="hybridMultilevel"/>
    <w:lvl w:ilvl="0">
      <w:lvlJc w:val="left"/>
      <w:lvlText w:val="%1."/>
      <w:numFmt w:val="decimal"/>
      <w:start w:val="10"/>
    </w:lvl>
  </w:abstractNum>
  <w:abstractNum w:abstractNumId="97">
    <w:nsid w:val="6FC75AF8"/>
    <w:multiLevelType w:val="hybridMultilevel"/>
    <w:lvl w:ilvl="0">
      <w:lvlJc w:val="left"/>
      <w:lvlText w:val="%1."/>
      <w:numFmt w:val="decimal"/>
      <w:start w:val="11"/>
    </w:lvl>
  </w:abstractNum>
  <w:abstractNum w:abstractNumId="98">
    <w:nsid w:val="6A5F7029"/>
    <w:multiLevelType w:val="hybridMultilevel"/>
    <w:lvl w:ilvl="0">
      <w:lvlJc w:val="left"/>
      <w:lvlText w:val="%1."/>
      <w:numFmt w:val="decimal"/>
      <w:start w:val="12"/>
    </w:lvl>
  </w:abstractNum>
  <w:abstractNum w:abstractNumId="99">
    <w:nsid w:val="7D5E18F8"/>
    <w:multiLevelType w:val="hybridMultilevel"/>
    <w:lvl w:ilvl="0">
      <w:lvlJc w:val="left"/>
      <w:lvlText w:val="%1."/>
      <w:numFmt w:val="decimal"/>
      <w:start w:val="13"/>
    </w:lvl>
  </w:abstractNum>
  <w:abstractNum w:abstractNumId="100">
    <w:nsid w:val="5F3534A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9" Type="http://schemas.openxmlformats.org/officeDocument/2006/relationships/hyperlink" Target="http://www.sec.gov/Archives/edgar/data/1730168/000114036124033072/ny20032136x6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2026-01-13T15:18:20Z</dcterms:created>
  <dcterms:modified xsi:type="dcterms:W3CDTF">2026-01-13T15:18:20Z</dcterms:modified>
</cp:coreProperties>
</file>