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SCHEDULE 13G</w:t>
      </w:r>
    </w:p>
    <w:p>
      <w:pPr>
        <w:spacing w:after="0" w:line="2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(RULE 13D - 102)</w:t>
      </w:r>
    </w:p>
    <w:p>
      <w:pPr>
        <w:spacing w:after="0" w:line="20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b w:val="1"/>
          <w:bCs w:val="1"/>
          <w:color w:val="auto"/>
        </w:rPr>
        <w:t>INFORMATION TO BE INCLUDED IN STATEMENTS FILED PURSUANT TO 13d-1(b), (c) AND (d) AND AMENDMENTS THERETO FILED PURSUANT TO 13d-2(b)</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Brocade Communications Systems,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Issuer)</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Common Stock, $.001 par value</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(Title of Class of Securities)</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111621306</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(CUSIP Number)</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December 31, 2014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designate the rule pursuant to which this Schedule is filed:</w:t>
      </w:r>
    </w:p>
    <w:p>
      <w:pPr>
        <w:spacing w:after="0" w:line="219" w:lineRule="exact"/>
        <w:rPr>
          <w:sz w:val="24"/>
          <w:szCs w:val="24"/>
          <w:color w:val="auto"/>
        </w:rPr>
      </w:pPr>
    </w:p>
    <w:p>
      <w:pPr>
        <w:ind w:left="4980"/>
        <w:spacing w:after="0"/>
        <w:tabs>
          <w:tab w:leader="none" w:pos="554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5"/>
          <w:szCs w:val="15"/>
          <w:color w:val="auto"/>
        </w:rPr>
        <w:t>Rule 13d-1(b)</w:t>
      </w:r>
    </w:p>
    <w:p>
      <w:pPr>
        <w:spacing w:after="0" w:line="219" w:lineRule="exact"/>
        <w:rPr>
          <w:sz w:val="24"/>
          <w:szCs w:val="24"/>
          <w:color w:val="auto"/>
        </w:rPr>
      </w:pPr>
    </w:p>
    <w:p>
      <w:pPr>
        <w:ind w:left="5580" w:hanging="617"/>
        <w:spacing w:after="0"/>
        <w:tabs>
          <w:tab w:leader="none" w:pos="55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13d-1(c)</w:t>
      </w:r>
    </w:p>
    <w:p>
      <w:pPr>
        <w:spacing w:after="0" w:line="219" w:lineRule="exact"/>
        <w:rPr>
          <w:rFonts w:ascii="Times New Roman" w:cs="Times New Roman" w:eastAsia="Times New Roman" w:hAnsi="Times New Roman"/>
          <w:sz w:val="16"/>
          <w:szCs w:val="16"/>
          <w:color w:val="auto"/>
        </w:rPr>
      </w:pPr>
    </w:p>
    <w:p>
      <w:pPr>
        <w:ind w:left="49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Rule 13d-1(d)</w:t>
      </w:r>
    </w:p>
    <w:p>
      <w:pPr>
        <w:spacing w:after="0" w:line="219"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9"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 w:cs="Times New Roman" w:eastAsia="Times New Roman" w:hAnsi="Times New Roman"/>
          <w:sz w:val="16"/>
          <w:szCs w:val="16"/>
          <w:i w:val="1"/>
          <w:iCs w:val="1"/>
          <w:color w:val="auto"/>
        </w:rPr>
        <w:t>see the Notes</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726821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429" w:right="239" w:bottom="1440" w:gutter="0" w:footer="0" w:header="0"/>
        </w:sectPr>
      </w:pPr>
    </w:p>
    <w:bookmarkStart w:id="1" w:name="page2"/>
    <w:bookmarkEnd w:id="1"/>
    <w:p>
      <w:pPr>
        <w:ind w:left="1005" w:hanging="1005"/>
        <w:spacing w:after="0"/>
        <w:tabs>
          <w:tab w:leader="none" w:pos="100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 w:lineRule="exact"/>
        <w:rPr>
          <w:rFonts w:ascii="Times New Roman" w:cs="Times New Roman" w:eastAsia="Times New Roman" w:hAnsi="Times New Roman"/>
          <w:sz w:val="16"/>
          <w:szCs w:val="16"/>
          <w:color w:val="auto"/>
        </w:rPr>
      </w:pPr>
    </w:p>
    <w:p>
      <w:pPr>
        <w:ind w:left="10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w:t>
      </w:r>
    </w:p>
    <w:p>
      <w:pPr>
        <w:spacing w:after="0" w:line="179"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Elliott Associates, L.P.</w:t>
      </w:r>
    </w:p>
    <w:p>
      <w:pPr>
        <w:spacing w:after="0" w:line="196" w:lineRule="exact"/>
        <w:rPr>
          <w:sz w:val="20"/>
          <w:szCs w:val="20"/>
          <w:color w:val="auto"/>
        </w:rPr>
      </w:pPr>
    </w:p>
    <w:p>
      <w:pPr>
        <w:ind w:left="1005" w:hanging="1005"/>
        <w:spacing w:after="0"/>
        <w:tabs>
          <w:tab w:leader="none" w:pos="10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w:t>
      </w:r>
    </w:p>
    <w:p>
      <w:pPr>
        <w:spacing w:after="0" w:line="195" w:lineRule="exact"/>
        <w:rPr>
          <w:rFonts w:ascii="Times New Roman" w:cs="Times New Roman" w:eastAsia="Times New Roman" w:hAnsi="Times New Roman"/>
          <w:sz w:val="16"/>
          <w:szCs w:val="16"/>
          <w:color w:val="auto"/>
        </w:rPr>
      </w:pPr>
    </w:p>
    <w:p>
      <w:pPr>
        <w:ind w:left="1325" w:hanging="328"/>
        <w:spacing w:after="0"/>
        <w:tabs>
          <w:tab w:leader="none" w:pos="1325"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w:t>
      </w:r>
    </w:p>
    <w:p>
      <w:pPr>
        <w:spacing w:after="0" w:line="22" w:lineRule="exact"/>
        <w:rPr>
          <w:rFonts w:ascii="Times New Roman" w:cs="Times New Roman" w:eastAsia="Times New Roman" w:hAnsi="Times New Roman"/>
          <w:sz w:val="16"/>
          <w:szCs w:val="16"/>
          <w:color w:val="auto"/>
        </w:rPr>
      </w:pPr>
    </w:p>
    <w:p>
      <w:pPr>
        <w:ind w:left="1345" w:hanging="348"/>
        <w:spacing w:after="0"/>
        <w:tabs>
          <w:tab w:leader="none" w:pos="1345"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p>
    <w:p>
      <w:pPr>
        <w:spacing w:after="0" w:line="178"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195"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w:t>
      </w:r>
    </w:p>
    <w:p>
      <w:pPr>
        <w:spacing w:after="0" w:line="196"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Delaware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NUMBER OF SHARES BENEFICIALLY OWNED BY EACH REPORTING PERSON WITH:</w:t>
      </w:r>
    </w:p>
    <w:p>
      <w:pPr>
        <w:spacing w:after="0" w:line="196" w:lineRule="exact"/>
        <w:rPr>
          <w:sz w:val="20"/>
          <w:szCs w:val="20"/>
          <w:color w:val="auto"/>
        </w:rPr>
      </w:pPr>
    </w:p>
    <w:p>
      <w:pPr>
        <w:ind w:left="1845" w:right="7599" w:hanging="1845"/>
        <w:spacing w:after="0" w:line="495" w:lineRule="auto"/>
        <w:tabs>
          <w:tab w:leader="none" w:pos="9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w:t>
      </w:r>
    </w:p>
    <w:p>
      <w:pPr>
        <w:jc w:val="center"/>
        <w:ind w:left="1845" w:right="7359" w:hanging="1845"/>
        <w:spacing w:after="0" w:line="495" w:lineRule="auto"/>
        <w:tabs>
          <w:tab w:leader="none" w:pos="9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 0</w:t>
      </w:r>
    </w:p>
    <w:p>
      <w:pPr>
        <w:ind w:left="1845" w:right="7239" w:hanging="1845"/>
        <w:spacing w:after="0" w:line="495" w:lineRule="auto"/>
        <w:tabs>
          <w:tab w:leader="none" w:pos="9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 0</w:t>
      </w:r>
    </w:p>
    <w:p>
      <w:pPr>
        <w:ind w:left="1845" w:right="6999" w:hanging="1845"/>
        <w:spacing w:after="0" w:line="495" w:lineRule="auto"/>
        <w:tabs>
          <w:tab w:leader="none" w:pos="9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0</w:t>
      </w:r>
    </w:p>
    <w:p>
      <w:pPr>
        <w:ind w:left="1845" w:right="3459" w:hanging="1845"/>
        <w:spacing w:after="0" w:line="495" w:lineRule="auto"/>
        <w:tabs>
          <w:tab w:leader="none" w:pos="99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0</w:t>
      </w:r>
    </w:p>
    <w:p>
      <w:pPr>
        <w:ind w:left="1005" w:hanging="1005"/>
        <w:spacing w:after="0"/>
        <w:tabs>
          <w:tab w:leader="none" w:pos="10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BOX IF THE AGGREGATE AMOUNT IN ROW (9)</w:t>
      </w:r>
    </w:p>
    <w:p>
      <w:pPr>
        <w:spacing w:after="0" w:line="23" w:lineRule="exact"/>
        <w:rPr>
          <w:sz w:val="20"/>
          <w:szCs w:val="20"/>
          <w:color w:val="auto"/>
        </w:rPr>
      </w:pPr>
    </w:p>
    <w:p>
      <w:pPr>
        <w:ind w:left="1005"/>
        <w:spacing w:after="0"/>
        <w:tabs>
          <w:tab w:leader="none" w:pos="3305" w:val="left"/>
        </w:tabs>
        <w:rPr>
          <w:sz w:val="20"/>
          <w:szCs w:val="20"/>
          <w:color w:val="auto"/>
        </w:rPr>
      </w:pPr>
      <w:r>
        <w:rPr>
          <w:rFonts w:ascii="Times New Roman" w:cs="Times New Roman" w:eastAsia="Times New Roman" w:hAnsi="Times New Roman"/>
          <w:sz w:val="16"/>
          <w:szCs w:val="16"/>
          <w:color w:val="auto"/>
        </w:rPr>
        <w:t>EXCLUDES CERTAIN SHARES</w:t>
      </w:r>
      <w:r>
        <w:rPr>
          <w:sz w:val="20"/>
          <w:szCs w:val="20"/>
          <w:color w:val="auto"/>
        </w:rPr>
        <w:tab/>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845" w:right="4779" w:hanging="1845"/>
        <w:spacing w:after="0" w:line="495" w:lineRule="auto"/>
        <w:tabs>
          <w:tab w:leader="none" w:pos="99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0%</w:t>
      </w:r>
    </w:p>
    <w:p>
      <w:pPr>
        <w:ind w:left="1005" w:hanging="1005"/>
        <w:spacing w:after="0"/>
        <w:tabs>
          <w:tab w:leader="none" w:pos="100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w:t>
      </w:r>
    </w:p>
    <w:p>
      <w:pPr>
        <w:spacing w:after="0" w:line="196"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644525</wp:posOffset>
            </wp:positionV>
            <wp:extent cx="726821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24"/>
          </w:cols>
          <w:pgMar w:left="235" w:top="894" w:right="1440" w:bottom="1440" w:gutter="0" w:footer="0" w:header="0"/>
        </w:sectPr>
      </w:pPr>
    </w:p>
    <w:bookmarkStart w:id="2" w:name="page3"/>
    <w:bookmarkEnd w:id="2"/>
    <w:p>
      <w:pPr>
        <w:ind w:left="1005" w:hanging="1005"/>
        <w:spacing w:after="0"/>
        <w:tabs>
          <w:tab w:leader="none" w:pos="1005"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 w:lineRule="exact"/>
        <w:rPr>
          <w:rFonts w:ascii="Times New Roman" w:cs="Times New Roman" w:eastAsia="Times New Roman" w:hAnsi="Times New Roman"/>
          <w:sz w:val="16"/>
          <w:szCs w:val="16"/>
          <w:color w:val="auto"/>
        </w:rPr>
      </w:pPr>
    </w:p>
    <w:p>
      <w:pPr>
        <w:ind w:left="10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w:t>
      </w:r>
    </w:p>
    <w:p>
      <w:pPr>
        <w:spacing w:after="0" w:line="179"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Elliott International, L.P.</w:t>
      </w:r>
    </w:p>
    <w:p>
      <w:pPr>
        <w:spacing w:after="0" w:line="196" w:lineRule="exact"/>
        <w:rPr>
          <w:sz w:val="20"/>
          <w:szCs w:val="20"/>
          <w:color w:val="auto"/>
        </w:rPr>
      </w:pPr>
    </w:p>
    <w:p>
      <w:pPr>
        <w:ind w:left="1005" w:hanging="1005"/>
        <w:spacing w:after="0"/>
        <w:tabs>
          <w:tab w:leader="none" w:pos="10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w:t>
      </w:r>
    </w:p>
    <w:p>
      <w:pPr>
        <w:spacing w:after="0" w:line="195" w:lineRule="exact"/>
        <w:rPr>
          <w:rFonts w:ascii="Times New Roman" w:cs="Times New Roman" w:eastAsia="Times New Roman" w:hAnsi="Times New Roman"/>
          <w:sz w:val="16"/>
          <w:szCs w:val="16"/>
          <w:color w:val="auto"/>
        </w:rPr>
      </w:pPr>
    </w:p>
    <w:p>
      <w:pPr>
        <w:ind w:left="1325" w:hanging="328"/>
        <w:spacing w:after="0"/>
        <w:tabs>
          <w:tab w:leader="none" w:pos="1325"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w:t>
      </w:r>
    </w:p>
    <w:p>
      <w:pPr>
        <w:spacing w:after="0" w:line="22" w:lineRule="exact"/>
        <w:rPr>
          <w:rFonts w:ascii="Times New Roman" w:cs="Times New Roman" w:eastAsia="Times New Roman" w:hAnsi="Times New Roman"/>
          <w:sz w:val="16"/>
          <w:szCs w:val="16"/>
          <w:color w:val="auto"/>
        </w:rPr>
      </w:pPr>
    </w:p>
    <w:p>
      <w:pPr>
        <w:ind w:left="1345" w:hanging="348"/>
        <w:spacing w:after="0"/>
        <w:tabs>
          <w:tab w:leader="none" w:pos="1345"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p>
    <w:p>
      <w:pPr>
        <w:spacing w:after="0" w:line="178"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195"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w:t>
      </w:r>
    </w:p>
    <w:p>
      <w:pPr>
        <w:spacing w:after="0" w:line="196" w:lineRule="exact"/>
        <w:rPr>
          <w:sz w:val="20"/>
          <w:szCs w:val="20"/>
          <w:color w:val="auto"/>
        </w:rPr>
      </w:pPr>
    </w:p>
    <w:p>
      <w:pPr>
        <w:jc w:val="center"/>
        <w:ind w:right="4214"/>
        <w:spacing w:after="0"/>
        <w:rPr>
          <w:sz w:val="20"/>
          <w:szCs w:val="20"/>
          <w:color w:val="auto"/>
        </w:rPr>
      </w:pPr>
      <w:r>
        <w:rPr>
          <w:rFonts w:ascii="Times New Roman" w:cs="Times New Roman" w:eastAsia="Times New Roman" w:hAnsi="Times New Roman"/>
          <w:sz w:val="16"/>
          <w:szCs w:val="16"/>
          <w:color w:val="auto"/>
        </w:rPr>
        <w:t>Cayman Islands, British West Indies</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NUMBER OF SHARES BENEFICIALLY OWNED BY EACH REPORTING PERSON WITH:</w:t>
      </w:r>
    </w:p>
    <w:p>
      <w:pPr>
        <w:spacing w:after="0" w:line="196" w:lineRule="exact"/>
        <w:rPr>
          <w:sz w:val="20"/>
          <w:szCs w:val="20"/>
          <w:color w:val="auto"/>
        </w:rPr>
      </w:pPr>
    </w:p>
    <w:p>
      <w:pPr>
        <w:ind w:left="1845" w:right="7599" w:hanging="1845"/>
        <w:spacing w:after="0" w:line="495"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w:t>
      </w:r>
    </w:p>
    <w:p>
      <w:pPr>
        <w:jc w:val="center"/>
        <w:ind w:left="1845" w:right="7359" w:hanging="1845"/>
        <w:spacing w:after="0" w:line="495"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 0</w:t>
      </w:r>
    </w:p>
    <w:p>
      <w:pPr>
        <w:ind w:left="1845" w:right="7239" w:hanging="1845"/>
        <w:spacing w:after="0" w:line="495"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 0</w:t>
      </w:r>
    </w:p>
    <w:p>
      <w:pPr>
        <w:ind w:left="1845" w:right="6999" w:hanging="1845"/>
        <w:spacing w:after="0" w:line="495"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0</w:t>
      </w:r>
    </w:p>
    <w:p>
      <w:pPr>
        <w:ind w:left="1845" w:right="3459" w:hanging="1845"/>
        <w:spacing w:after="0" w:line="495" w:lineRule="auto"/>
        <w:tabs>
          <w:tab w:leader="none" w:pos="9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0</w:t>
      </w:r>
    </w:p>
    <w:p>
      <w:pPr>
        <w:ind w:left="1005" w:hanging="1005"/>
        <w:spacing w:after="0"/>
        <w:tabs>
          <w:tab w:leader="none" w:pos="100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BOX IF THE AGGREGATE AMOUNT IN ROW (9)</w:t>
      </w:r>
    </w:p>
    <w:p>
      <w:pPr>
        <w:spacing w:after="0" w:line="23" w:lineRule="exact"/>
        <w:rPr>
          <w:sz w:val="20"/>
          <w:szCs w:val="20"/>
          <w:color w:val="auto"/>
        </w:rPr>
      </w:pPr>
    </w:p>
    <w:p>
      <w:pPr>
        <w:ind w:left="1005"/>
        <w:spacing w:after="0"/>
        <w:tabs>
          <w:tab w:leader="none" w:pos="3305" w:val="left"/>
        </w:tabs>
        <w:rPr>
          <w:sz w:val="20"/>
          <w:szCs w:val="20"/>
          <w:color w:val="auto"/>
        </w:rPr>
      </w:pPr>
      <w:r>
        <w:rPr>
          <w:rFonts w:ascii="Times New Roman" w:cs="Times New Roman" w:eastAsia="Times New Roman" w:hAnsi="Times New Roman"/>
          <w:sz w:val="16"/>
          <w:szCs w:val="16"/>
          <w:color w:val="auto"/>
        </w:rPr>
        <w:t>EXCLUDES CERTAIN SHARES</w:t>
      </w:r>
      <w:r>
        <w:rPr>
          <w:sz w:val="20"/>
          <w:szCs w:val="20"/>
          <w:color w:val="auto"/>
        </w:rPr>
        <w:tab/>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845" w:right="4779" w:hanging="1845"/>
        <w:spacing w:after="0" w:line="495" w:lineRule="auto"/>
        <w:tabs>
          <w:tab w:leader="none" w:pos="99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0%</w:t>
      </w:r>
    </w:p>
    <w:p>
      <w:pPr>
        <w:ind w:left="1005" w:hanging="1005"/>
        <w:spacing w:after="0"/>
        <w:tabs>
          <w:tab w:leader="none" w:pos="100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w:t>
      </w:r>
    </w:p>
    <w:p>
      <w:pPr>
        <w:spacing w:after="0" w:line="196"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644525</wp:posOffset>
            </wp:positionV>
            <wp:extent cx="72682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24"/>
          </w:cols>
          <w:pgMar w:left="235" w:top="894" w:right="1440" w:bottom="1440" w:gutter="0" w:footer="0" w:header="0"/>
        </w:sectPr>
      </w:pPr>
    </w:p>
    <w:bookmarkStart w:id="3" w:name="page4"/>
    <w:bookmarkEnd w:id="3"/>
    <w:p>
      <w:pPr>
        <w:ind w:left="1005" w:hanging="1005"/>
        <w:spacing w:after="0"/>
        <w:tabs>
          <w:tab w:leader="none" w:pos="100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 w:lineRule="exact"/>
        <w:rPr>
          <w:rFonts w:ascii="Times New Roman" w:cs="Times New Roman" w:eastAsia="Times New Roman" w:hAnsi="Times New Roman"/>
          <w:sz w:val="16"/>
          <w:szCs w:val="16"/>
          <w:color w:val="auto"/>
        </w:rPr>
      </w:pPr>
    </w:p>
    <w:p>
      <w:pPr>
        <w:ind w:left="100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w:t>
      </w:r>
    </w:p>
    <w:p>
      <w:pPr>
        <w:spacing w:after="0" w:line="179"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Elliott International Capital Advisors Inc.</w:t>
      </w:r>
    </w:p>
    <w:p>
      <w:pPr>
        <w:spacing w:after="0" w:line="196" w:lineRule="exact"/>
        <w:rPr>
          <w:sz w:val="20"/>
          <w:szCs w:val="20"/>
          <w:color w:val="auto"/>
        </w:rPr>
      </w:pPr>
    </w:p>
    <w:p>
      <w:pPr>
        <w:ind w:left="1005" w:hanging="1005"/>
        <w:spacing w:after="0"/>
        <w:tabs>
          <w:tab w:leader="none" w:pos="100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w:t>
      </w:r>
    </w:p>
    <w:p>
      <w:pPr>
        <w:spacing w:after="0" w:line="195" w:lineRule="exact"/>
        <w:rPr>
          <w:rFonts w:ascii="Times New Roman" w:cs="Times New Roman" w:eastAsia="Times New Roman" w:hAnsi="Times New Roman"/>
          <w:sz w:val="16"/>
          <w:szCs w:val="16"/>
          <w:color w:val="auto"/>
        </w:rPr>
      </w:pPr>
    </w:p>
    <w:p>
      <w:pPr>
        <w:ind w:left="1325" w:hanging="328"/>
        <w:spacing w:after="0"/>
        <w:tabs>
          <w:tab w:leader="none" w:pos="1325"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w:t>
      </w:r>
    </w:p>
    <w:p>
      <w:pPr>
        <w:spacing w:after="0" w:line="22" w:lineRule="exact"/>
        <w:rPr>
          <w:rFonts w:ascii="Times New Roman" w:cs="Times New Roman" w:eastAsia="Times New Roman" w:hAnsi="Times New Roman"/>
          <w:sz w:val="16"/>
          <w:szCs w:val="16"/>
          <w:color w:val="auto"/>
        </w:rPr>
      </w:pPr>
    </w:p>
    <w:p>
      <w:pPr>
        <w:ind w:left="1345" w:hanging="348"/>
        <w:spacing w:after="0"/>
        <w:tabs>
          <w:tab w:leader="none" w:pos="1345"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p>
    <w:p>
      <w:pPr>
        <w:spacing w:after="0" w:line="178"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195" w:lineRule="exact"/>
        <w:rPr>
          <w:rFonts w:ascii="Times New Roman" w:cs="Times New Roman" w:eastAsia="Times New Roman" w:hAnsi="Times New Roman"/>
          <w:sz w:val="16"/>
          <w:szCs w:val="16"/>
          <w:color w:val="auto"/>
        </w:rPr>
      </w:pPr>
    </w:p>
    <w:p>
      <w:pPr>
        <w:ind w:left="1005" w:hanging="1005"/>
        <w:spacing w:after="0"/>
        <w:tabs>
          <w:tab w:leader="none" w:pos="100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w:t>
      </w:r>
    </w:p>
    <w:p>
      <w:pPr>
        <w:spacing w:after="0" w:line="196"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Delaware</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NUMBER OF SHARES BENEFICIALLY OWNED BY EACH REPORTING PERSON WITH:</w:t>
      </w:r>
    </w:p>
    <w:p>
      <w:pPr>
        <w:spacing w:after="0" w:line="196" w:lineRule="exact"/>
        <w:rPr>
          <w:sz w:val="20"/>
          <w:szCs w:val="20"/>
          <w:color w:val="auto"/>
        </w:rPr>
      </w:pPr>
    </w:p>
    <w:p>
      <w:pPr>
        <w:ind w:left="1845" w:right="7599" w:hanging="1845"/>
        <w:spacing w:after="0" w:line="495" w:lineRule="auto"/>
        <w:tabs>
          <w:tab w:leader="none" w:pos="9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w:t>
      </w:r>
    </w:p>
    <w:p>
      <w:pPr>
        <w:jc w:val="center"/>
        <w:ind w:left="1845" w:right="7359" w:hanging="1845"/>
        <w:spacing w:after="0" w:line="495" w:lineRule="auto"/>
        <w:tabs>
          <w:tab w:leader="none" w:pos="9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VOTING POWER 0</w:t>
      </w:r>
    </w:p>
    <w:p>
      <w:pPr>
        <w:ind w:left="1845" w:right="7239" w:hanging="1845"/>
        <w:spacing w:after="0" w:line="495" w:lineRule="auto"/>
        <w:tabs>
          <w:tab w:leader="none" w:pos="9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DISPOSITIVE POWER 0</w:t>
      </w:r>
    </w:p>
    <w:p>
      <w:pPr>
        <w:ind w:left="1845" w:right="6999" w:hanging="1845"/>
        <w:spacing w:after="0" w:line="495" w:lineRule="auto"/>
        <w:tabs>
          <w:tab w:leader="none" w:pos="9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0</w:t>
      </w:r>
    </w:p>
    <w:p>
      <w:pPr>
        <w:ind w:left="1845" w:right="3459" w:hanging="1845"/>
        <w:spacing w:after="0" w:line="495" w:lineRule="auto"/>
        <w:tabs>
          <w:tab w:leader="none" w:pos="9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0</w:t>
      </w:r>
    </w:p>
    <w:p>
      <w:pPr>
        <w:ind w:left="1005" w:hanging="1005"/>
        <w:spacing w:after="0"/>
        <w:tabs>
          <w:tab w:leader="none" w:pos="100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BOX IF THE AGGREGATE AMOUNT IN ROW (9)</w:t>
      </w:r>
    </w:p>
    <w:p>
      <w:pPr>
        <w:spacing w:after="0" w:line="23" w:lineRule="exact"/>
        <w:rPr>
          <w:sz w:val="20"/>
          <w:szCs w:val="20"/>
          <w:color w:val="auto"/>
        </w:rPr>
      </w:pPr>
    </w:p>
    <w:p>
      <w:pPr>
        <w:ind w:left="1005"/>
        <w:spacing w:after="0"/>
        <w:tabs>
          <w:tab w:leader="none" w:pos="3305" w:val="left"/>
        </w:tabs>
        <w:rPr>
          <w:sz w:val="20"/>
          <w:szCs w:val="20"/>
          <w:color w:val="auto"/>
        </w:rPr>
      </w:pPr>
      <w:r>
        <w:rPr>
          <w:rFonts w:ascii="Times New Roman" w:cs="Times New Roman" w:eastAsia="Times New Roman" w:hAnsi="Times New Roman"/>
          <w:sz w:val="16"/>
          <w:szCs w:val="16"/>
          <w:color w:val="auto"/>
        </w:rPr>
        <w:t>EXCLUDES CERTAIN SHARES</w:t>
      </w:r>
      <w:r>
        <w:rPr>
          <w:sz w:val="20"/>
          <w:szCs w:val="20"/>
          <w:color w:val="auto"/>
        </w:rPr>
        <w:tab/>
      </w:r>
      <w:r>
        <w:rPr>
          <w:rFonts w:ascii="Times New Roman" w:cs="Times New Roman" w:eastAsia="Times New Roman" w:hAnsi="Times New Roman"/>
          <w:sz w:val="15"/>
          <w:szCs w:val="15"/>
          <w:color w:val="auto"/>
        </w:rPr>
        <w:t>[ ]</w:t>
      </w:r>
    </w:p>
    <w:p>
      <w:pPr>
        <w:spacing w:after="0" w:line="179" w:lineRule="exact"/>
        <w:rPr>
          <w:sz w:val="20"/>
          <w:szCs w:val="20"/>
          <w:color w:val="auto"/>
        </w:rPr>
      </w:pPr>
    </w:p>
    <w:p>
      <w:pPr>
        <w:ind w:left="1845" w:right="4779" w:hanging="1845"/>
        <w:spacing w:after="0" w:line="495" w:lineRule="auto"/>
        <w:tabs>
          <w:tab w:leader="none" w:pos="99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REPRESENTED BY AMOUNT IN ROW (9) 0%</w:t>
      </w:r>
    </w:p>
    <w:p>
      <w:pPr>
        <w:ind w:left="1005" w:hanging="1005"/>
        <w:spacing w:after="0"/>
        <w:tabs>
          <w:tab w:leader="none" w:pos="100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TYPE OF REPORTING PERSON</w:t>
      </w:r>
    </w:p>
    <w:p>
      <w:pPr>
        <w:spacing w:after="0" w:line="196" w:lineRule="exact"/>
        <w:rPr>
          <w:sz w:val="20"/>
          <w:szCs w:val="20"/>
          <w:color w:val="auto"/>
        </w:rPr>
      </w:pPr>
    </w:p>
    <w:p>
      <w:pPr>
        <w:ind w:left="1845"/>
        <w:spacing w:after="0"/>
        <w:rPr>
          <w:sz w:val="20"/>
          <w:szCs w:val="20"/>
          <w:color w:val="auto"/>
        </w:rPr>
      </w:pPr>
      <w:r>
        <w:rPr>
          <w:rFonts w:ascii="Times New Roman" w:cs="Times New Roman" w:eastAsia="Times New Roman" w:hAnsi="Times New Roman"/>
          <w:sz w:val="16"/>
          <w:szCs w:val="16"/>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644525</wp:posOffset>
            </wp:positionV>
            <wp:extent cx="72682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24"/>
          </w:cols>
          <w:pgMar w:left="235" w:top="894"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This Schedule 13G reflects the beneficial ownership of the Reporting Persons (as defined below) as of December 31, 2014.</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1(a).</w:t>
      </w:r>
      <w:r>
        <w:rPr>
          <w:sz w:val="20"/>
          <w:szCs w:val="20"/>
          <w:color w:val="auto"/>
        </w:rPr>
        <w:tab/>
      </w:r>
      <w:r>
        <w:rPr>
          <w:rFonts w:ascii="Times New Roman" w:cs="Times New Roman" w:eastAsia="Times New Roman" w:hAnsi="Times New Roman"/>
          <w:sz w:val="15"/>
          <w:szCs w:val="15"/>
          <w:b w:val="1"/>
          <w:bCs w:val="1"/>
          <w:color w:val="auto"/>
        </w:rPr>
        <w:t>Name of Issuer:</w:t>
      </w:r>
    </w:p>
    <w:p>
      <w:pPr>
        <w:spacing w:after="0" w:line="221" w:lineRule="exact"/>
        <w:rPr>
          <w:sz w:val="20"/>
          <w:szCs w:val="20"/>
          <w:color w:val="auto"/>
        </w:rPr>
      </w:pPr>
    </w:p>
    <w:p>
      <w:pPr>
        <w:jc w:val="center"/>
        <w:ind w:right="7100"/>
        <w:spacing w:after="0"/>
        <w:rPr>
          <w:sz w:val="20"/>
          <w:szCs w:val="20"/>
          <w:color w:val="auto"/>
        </w:rPr>
      </w:pPr>
      <w:r>
        <w:rPr>
          <w:rFonts w:ascii="Times New Roman" w:cs="Times New Roman" w:eastAsia="Times New Roman" w:hAnsi="Times New Roman"/>
          <w:sz w:val="16"/>
          <w:szCs w:val="16"/>
          <w:color w:val="auto"/>
        </w:rPr>
        <w:t>Brocade Communications Systems, Inc. (“Issuer”)</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1(b).</w:t>
      </w:r>
      <w:r>
        <w:rPr>
          <w:sz w:val="20"/>
          <w:szCs w:val="20"/>
          <w:color w:val="auto"/>
        </w:rPr>
        <w:tab/>
      </w:r>
      <w:r>
        <w:rPr>
          <w:rFonts w:ascii="Times New Roman" w:cs="Times New Roman" w:eastAsia="Times New Roman" w:hAnsi="Times New Roman"/>
          <w:sz w:val="15"/>
          <w:szCs w:val="15"/>
          <w:b w:val="1"/>
          <w:bCs w:val="1"/>
          <w:color w:val="auto"/>
        </w:rPr>
        <w:t>Address of Issuer’s Principal Executive Offices: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130 Holger Way</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San Jose, California 95134</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2(a).</w:t>
      </w:r>
      <w:r>
        <w:rPr>
          <w:sz w:val="20"/>
          <w:szCs w:val="20"/>
          <w:color w:val="auto"/>
        </w:rPr>
        <w:tab/>
      </w:r>
      <w:r>
        <w:rPr>
          <w:rFonts w:ascii="Times New Roman" w:cs="Times New Roman" w:eastAsia="Times New Roman" w:hAnsi="Times New Roman"/>
          <w:sz w:val="15"/>
          <w:szCs w:val="15"/>
          <w:b w:val="1"/>
          <w:bCs w:val="1"/>
          <w:color w:val="auto"/>
        </w:rPr>
        <w:t>Name of Persons Filing:</w:t>
      </w:r>
    </w:p>
    <w:p>
      <w:pPr>
        <w:spacing w:after="0" w:line="2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6"/>
          <w:szCs w:val="16"/>
          <w:color w:val="auto"/>
        </w:rPr>
        <w:t>The names of the persons filing this statement on Schedule 13G are: Elliott Associates, L.P. and its wholly-owned subsidiaries (collectively, “Elliott Associates”), Elliott International, L.P. (“Elliott International”), and Elliott International Capital Advisors Inc. (“International Advisors” and collectively with Elliott Associates and Elliott International, the “Reporting Persons”). Paul E. Singer (“Singer”), Elliott Capital Advisors, L.P., a Delaware limited partnership (“Capital Advisors”), which is controlled by Singer, and Elliott Special GP, LLC, a Delaware limited liability company (“Special GP”), which is controlled by Singer, are the general partners of Elliott Associates. Hambledon, Inc. (“Hambledon”) is the general partner of Elliott International. International Advisors is the investment manager for Elliott International. International Advisors expressly disclaims equitable ownership of and pecuniary interest in any Common Stock.</w:t>
      </w:r>
    </w:p>
    <w:p>
      <w:pPr>
        <w:spacing w:after="0" w:line="18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2(b).</w:t>
      </w:r>
      <w:r>
        <w:rPr>
          <w:sz w:val="20"/>
          <w:szCs w:val="20"/>
          <w:color w:val="auto"/>
        </w:rPr>
        <w:tab/>
      </w:r>
      <w:r>
        <w:rPr>
          <w:rFonts w:ascii="Times New Roman" w:cs="Times New Roman" w:eastAsia="Times New Roman" w:hAnsi="Times New Roman"/>
          <w:sz w:val="15"/>
          <w:szCs w:val="15"/>
          <w:b w:val="1"/>
          <w:bCs w:val="1"/>
          <w:color w:val="auto"/>
        </w:rPr>
        <w:t>Address of Principal Business Office or, if None, Residence:</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business address of Elliott Associates, International Advisors, Capital Advisors, Singer and Special GP is 40 West 57</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Street,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5"/>
          <w:szCs w:val="15"/>
          <w:color w:val="auto"/>
        </w:rPr>
        <w:t xml:space="preserve"> Floor, New York, New York 10019.</w:t>
      </w:r>
    </w:p>
    <w:p>
      <w:pPr>
        <w:spacing w:after="0" w:line="162" w:lineRule="exact"/>
        <w:rPr>
          <w:sz w:val="20"/>
          <w:szCs w:val="20"/>
          <w:color w:val="auto"/>
        </w:rPr>
      </w:pPr>
    </w:p>
    <w:p>
      <w:pPr>
        <w:jc w:val="both"/>
        <w:ind w:firstLine="569"/>
        <w:spacing w:after="0" w:line="277" w:lineRule="auto"/>
        <w:rPr>
          <w:sz w:val="20"/>
          <w:szCs w:val="20"/>
          <w:color w:val="auto"/>
        </w:rPr>
      </w:pPr>
      <w:r>
        <w:rPr>
          <w:rFonts w:ascii="Times New Roman" w:cs="Times New Roman" w:eastAsia="Times New Roman" w:hAnsi="Times New Roman"/>
          <w:sz w:val="16"/>
          <w:szCs w:val="16"/>
          <w:color w:val="auto"/>
        </w:rPr>
        <w:t>The business address of Elliott International and Hambledon is c/o Maples &amp; Calder, P.O. Box 309, Ugland House, South Church Street, George Town, Cayman Islands, British West Indies.</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2(c).</w:t>
      </w:r>
      <w:r>
        <w:rPr>
          <w:sz w:val="20"/>
          <w:szCs w:val="20"/>
          <w:color w:val="auto"/>
        </w:rPr>
        <w:tab/>
      </w:r>
      <w:r>
        <w:rPr>
          <w:rFonts w:ascii="Times New Roman" w:cs="Times New Roman" w:eastAsia="Times New Roman" w:hAnsi="Times New Roman"/>
          <w:sz w:val="15"/>
          <w:szCs w:val="15"/>
          <w:b w:val="1"/>
          <w:bCs w:val="1"/>
          <w:color w:val="auto"/>
        </w:rPr>
        <w:t>Citizenship:</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of Elliott Associates and Capital Advisors is a limited partnership formed under the laws of the State of Delaware.</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Elliott International is a limited partnership formed under the laws of the Cayman Islands, British West Indies.</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International Advisors is a corporation formed under the laws of the State of Delaware.</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Special GP is a limited liability company formed under the laws of the State of Delaware.</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Hambledon is a corporation formed under the laws of the Cayman Islands, British West Indies.</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Singer is a U.S. citizen.</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2(d).</w:t>
      </w:r>
      <w:r>
        <w:rPr>
          <w:sz w:val="20"/>
          <w:szCs w:val="20"/>
          <w:color w:val="auto"/>
        </w:rPr>
        <w:tab/>
      </w:r>
      <w:r>
        <w:rPr>
          <w:rFonts w:ascii="Times New Roman" w:cs="Times New Roman" w:eastAsia="Times New Roman" w:hAnsi="Times New Roman"/>
          <w:sz w:val="15"/>
          <w:szCs w:val="15"/>
          <w:b w:val="1"/>
          <w:bCs w:val="1"/>
          <w:color w:val="auto"/>
        </w:rPr>
        <w:t>Title of Class of Securities:</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Common Stock, $.001 par value (“Common Stock”).</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2(e).</w:t>
      </w:r>
      <w:r>
        <w:rPr>
          <w:sz w:val="20"/>
          <w:szCs w:val="20"/>
          <w:color w:val="auto"/>
        </w:rPr>
        <w:tab/>
      </w:r>
      <w:r>
        <w:rPr>
          <w:rFonts w:ascii="Times New Roman" w:cs="Times New Roman" w:eastAsia="Times New Roman" w:hAnsi="Times New Roman"/>
          <w:sz w:val="15"/>
          <w:szCs w:val="15"/>
          <w:b w:val="1"/>
          <w:bCs w:val="1"/>
          <w:color w:val="auto"/>
        </w:rPr>
        <w:t>CUSIP Number:</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111621306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894" w:right="21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If This Statement is Filed Pursuant to Rule 13d 1(b), or 13d-2(b) or (c), Check Whether the Person Filing is a:</w:t>
      </w:r>
    </w:p>
    <w:p>
      <w:pPr>
        <w:spacing w:after="0" w:line="221" w:lineRule="exact"/>
        <w:rPr>
          <w:sz w:val="20"/>
          <w:szCs w:val="20"/>
          <w:color w:val="auto"/>
        </w:rPr>
      </w:pPr>
    </w:p>
    <w:p>
      <w:pPr>
        <w:ind w:left="980" w:hanging="373"/>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Broker or dealer registered under Section 15 of the Exchange Act.</w:t>
      </w:r>
    </w:p>
    <w:p>
      <w:pPr>
        <w:spacing w:after="0" w:line="195" w:lineRule="exact"/>
        <w:rPr>
          <w:rFonts w:ascii="Times New Roman" w:cs="Times New Roman" w:eastAsia="Times New Roman" w:hAnsi="Times New Roman"/>
          <w:sz w:val="16"/>
          <w:szCs w:val="16"/>
          <w:color w:val="auto"/>
        </w:rPr>
      </w:pPr>
    </w:p>
    <w:p>
      <w:pPr>
        <w:ind w:left="980" w:hanging="377"/>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Bank as defined in Section 3(a)(6) of the Exchange Act.</w:t>
      </w:r>
    </w:p>
    <w:p>
      <w:pPr>
        <w:spacing w:after="0" w:line="195" w:lineRule="exact"/>
        <w:rPr>
          <w:rFonts w:ascii="Times New Roman" w:cs="Times New Roman" w:eastAsia="Times New Roman" w:hAnsi="Times New Roman"/>
          <w:sz w:val="16"/>
          <w:szCs w:val="16"/>
          <w:color w:val="auto"/>
        </w:rPr>
      </w:pPr>
    </w:p>
    <w:p>
      <w:pPr>
        <w:ind w:left="980" w:hanging="373"/>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Insurance company defined in Section 3(a)(19) of the Exchange Act.</w:t>
      </w:r>
    </w:p>
    <w:p>
      <w:pPr>
        <w:spacing w:after="0" w:line="195" w:lineRule="exact"/>
        <w:rPr>
          <w:rFonts w:ascii="Times New Roman" w:cs="Times New Roman" w:eastAsia="Times New Roman" w:hAnsi="Times New Roman"/>
          <w:sz w:val="16"/>
          <w:szCs w:val="16"/>
          <w:color w:val="auto"/>
        </w:rPr>
      </w:pPr>
    </w:p>
    <w:p>
      <w:pPr>
        <w:ind w:left="980" w:hanging="377"/>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Investment company registered under Section 8 of the Investment Company Act.</w:t>
      </w:r>
    </w:p>
    <w:p>
      <w:pPr>
        <w:spacing w:after="0" w:line="195" w:lineRule="exact"/>
        <w:rPr>
          <w:rFonts w:ascii="Times New Roman" w:cs="Times New Roman" w:eastAsia="Times New Roman" w:hAnsi="Times New Roman"/>
          <w:sz w:val="16"/>
          <w:szCs w:val="16"/>
          <w:color w:val="auto"/>
        </w:rPr>
      </w:pPr>
    </w:p>
    <w:p>
      <w:pPr>
        <w:ind w:left="980" w:hanging="373"/>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An investment adviser in accordance with Rule 13d-1(b)(1)(ii)(E).</w:t>
      </w:r>
    </w:p>
    <w:p>
      <w:pPr>
        <w:spacing w:after="0" w:line="195" w:lineRule="exact"/>
        <w:rPr>
          <w:rFonts w:ascii="Times New Roman" w:cs="Times New Roman" w:eastAsia="Times New Roman" w:hAnsi="Times New Roman"/>
          <w:sz w:val="16"/>
          <w:szCs w:val="16"/>
          <w:color w:val="auto"/>
        </w:rPr>
      </w:pPr>
    </w:p>
    <w:p>
      <w:pPr>
        <w:ind w:left="980" w:hanging="364"/>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An employee benefit plan or endowment fund in accordance with Rule 13d-1(b)(1)(ii)(F).</w:t>
      </w:r>
    </w:p>
    <w:p>
      <w:pPr>
        <w:spacing w:after="0" w:line="195" w:lineRule="exact"/>
        <w:rPr>
          <w:rFonts w:ascii="Times New Roman" w:cs="Times New Roman" w:eastAsia="Times New Roman" w:hAnsi="Times New Roman"/>
          <w:sz w:val="16"/>
          <w:szCs w:val="16"/>
          <w:color w:val="auto"/>
        </w:rPr>
      </w:pPr>
    </w:p>
    <w:p>
      <w:pPr>
        <w:ind w:left="980" w:hanging="377"/>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A parent holding company or control person in accordance with Rule 13d-1(b)(1)(ii)(G).</w:t>
      </w:r>
    </w:p>
    <w:p>
      <w:pPr>
        <w:spacing w:after="0" w:line="195" w:lineRule="exact"/>
        <w:rPr>
          <w:rFonts w:ascii="Times New Roman" w:cs="Times New Roman" w:eastAsia="Times New Roman" w:hAnsi="Times New Roman"/>
          <w:sz w:val="16"/>
          <w:szCs w:val="16"/>
          <w:color w:val="auto"/>
        </w:rPr>
      </w:pPr>
    </w:p>
    <w:p>
      <w:pPr>
        <w:ind w:left="980" w:hanging="377"/>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A savings association as defined in Section 3(b) of the Federal Deposit Insurance Act.</w:t>
      </w:r>
    </w:p>
    <w:p>
      <w:pPr>
        <w:spacing w:after="0" w:line="196" w:lineRule="exact"/>
        <w:rPr>
          <w:sz w:val="20"/>
          <w:szCs w:val="20"/>
          <w:color w:val="auto"/>
        </w:rPr>
      </w:pPr>
    </w:p>
    <w:p>
      <w:pPr>
        <w:ind w:left="980" w:hanging="360"/>
        <w:spacing w:after="0"/>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A church plan that is excluded from the definition of an investment company under Section 3(c)(14) of the Investment Company Act;</w:t>
      </w:r>
    </w:p>
    <w:p>
      <w:pPr>
        <w:spacing w:after="0" w:line="195" w:lineRule="exact"/>
        <w:rPr>
          <w:rFonts w:ascii="Times New Roman" w:cs="Times New Roman" w:eastAsia="Times New Roman" w:hAnsi="Times New Roman"/>
          <w:sz w:val="16"/>
          <w:szCs w:val="16"/>
          <w:color w:val="auto"/>
        </w:rPr>
      </w:pPr>
    </w:p>
    <w:p>
      <w:pPr>
        <w:ind w:left="980" w:hanging="360"/>
        <w:spacing w:after="0"/>
        <w:tabs>
          <w:tab w:leader="none" w:pos="9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5"/>
          <w:szCs w:val="15"/>
          <w:color w:val="auto"/>
        </w:rPr>
        <w:t>Group, in accordance with Rule 13d-1(b)(1)(ii)(J).</w:t>
      </w:r>
    </w:p>
    <w:p>
      <w:pPr>
        <w:spacing w:after="0" w:line="200" w:lineRule="exact"/>
        <w:rPr>
          <w:sz w:val="20"/>
          <w:szCs w:val="20"/>
          <w:color w:val="auto"/>
        </w:rPr>
      </w:pPr>
    </w:p>
    <w:p>
      <w:pPr>
        <w:spacing w:after="0" w:line="2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Ownership.</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of the date hereof, the Reporting Persons did not beneficially own any shares of Common Stock.</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Ownership of Five Percent or Less of a Class.</w:t>
      </w:r>
    </w:p>
    <w:p>
      <w:pPr>
        <w:spacing w:after="0" w:line="221" w:lineRule="exact"/>
        <w:rPr>
          <w:sz w:val="20"/>
          <w:szCs w:val="20"/>
          <w:color w:val="auto"/>
        </w:rPr>
      </w:pPr>
    </w:p>
    <w:p>
      <w:pPr>
        <w:ind w:firstLine="569"/>
        <w:spacing w:after="0" w:line="277" w:lineRule="auto"/>
        <w:rPr>
          <w:sz w:val="20"/>
          <w:szCs w:val="20"/>
          <w:color w:val="auto"/>
        </w:rPr>
      </w:pPr>
      <w:r>
        <w:rPr>
          <w:rFonts w:ascii="Times New Roman" w:cs="Times New Roman" w:eastAsia="Times New Roman" w:hAnsi="Times New Roman"/>
          <w:sz w:val="16"/>
          <w:szCs w:val="16"/>
          <w:color w:val="auto"/>
        </w:rPr>
        <w:t>If this statement is being filed to report the fact that as of the date hereof the Reporting Persons have ceased to be the beneficial owner of more than five percent of the class of securities, check the following [ ].</w:t>
      </w:r>
    </w:p>
    <w:p>
      <w:pPr>
        <w:spacing w:after="0" w:line="16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Ownership of More than Five Percent on Behalf of Another Person.</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Identification and Classification of the Subsidiary Which Acquired the Security Being Reported on by the Parent Holding Company.</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Identification and Classification of Members of the Group.</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Exhibit A to the Schedule 13G filed with the Securities and Exchange Commission on August 15, 2011.</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Notice of Dissolution of Group.</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Certification.</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1" w:lineRule="exact"/>
        <w:rPr>
          <w:sz w:val="20"/>
          <w:szCs w:val="20"/>
          <w:color w:val="auto"/>
        </w:rPr>
      </w:pPr>
    </w:p>
    <w:p>
      <w:pPr>
        <w:ind w:firstLine="569"/>
        <w:spacing w:after="0" w:line="277" w:lineRule="auto"/>
        <w:rPr>
          <w:sz w:val="20"/>
          <w:szCs w:val="20"/>
          <w:color w:val="auto"/>
        </w:rPr>
      </w:pPr>
      <w:r>
        <w:rPr>
          <w:rFonts w:ascii="Times New Roman" w:cs="Times New Roman" w:eastAsia="Times New Roman" w:hAnsi="Times New Roman"/>
          <w:sz w:val="16"/>
          <w:szCs w:val="16"/>
          <w:color w:val="auto"/>
        </w:rPr>
        <w:t>After reasonable inquiry and to the best of its knowledge and belief, each of the undersigned certifies that the information with respect to it set forth in this statement is true, complete, and correct.</w:t>
      </w:r>
    </w:p>
    <w:p>
      <w:pPr>
        <w:spacing w:after="0" w:line="16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February 17, 2015</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ELLIOTT ASSOCIATES,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Elliott Capital Advisors, L.P., as General Partner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Braxton Associates, Inc., as General Partner</w:t>
      </w:r>
    </w:p>
    <w:p>
      <w:pPr>
        <w:spacing w:after="0" w:line="36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13970</wp:posOffset>
            </wp:positionV>
            <wp:extent cx="199644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96440" cy="15240"/>
                    </a:xfrm>
                    <a:prstGeom prst="rect">
                      <a:avLst/>
                    </a:prstGeom>
                    <a:noFill/>
                  </pic:spPr>
                </pic:pic>
              </a:graphicData>
            </a:graphic>
          </wp:anchor>
        </w:drawing>
      </w:r>
    </w:p>
    <w:p>
      <w:pPr>
        <w:spacing w:after="0" w:line="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Elliot Greenberg,</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Vice President</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ELLIOTT INTERNATIONAL, 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Elliott International Capital Advisors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Attorney-in-Fact</w:t>
      </w:r>
    </w:p>
    <w:p>
      <w:pPr>
        <w:spacing w:after="0" w:line="368" w:lineRule="exact"/>
        <w:rPr>
          <w:sz w:val="20"/>
          <w:szCs w:val="20"/>
          <w:color w:val="auto"/>
        </w:rPr>
      </w:pPr>
    </w:p>
    <w:p>
      <w:pPr>
        <w:ind w:left="980"/>
        <w:spacing w:after="0"/>
        <w:tabs>
          <w:tab w:leader="none" w:pos="1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13970</wp:posOffset>
            </wp:positionV>
            <wp:extent cx="199644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96440" cy="15240"/>
                    </a:xfrm>
                    <a:prstGeom prst="rect">
                      <a:avLst/>
                    </a:prstGeom>
                    <a:noFill/>
                  </pic:spPr>
                </pic:pic>
              </a:graphicData>
            </a:graphic>
          </wp:anchor>
        </w:drawing>
      </w:r>
    </w:p>
    <w:p>
      <w:pPr>
        <w:spacing w:after="0" w:line="1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Elliot Greenberg,</w:t>
      </w:r>
    </w:p>
    <w:p>
      <w:pPr>
        <w:spacing w:after="0" w:line="2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Vice President</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ELLIOTT INTERNATIONAL CAPITAL ADVISORS INC.</w:t>
      </w:r>
    </w:p>
    <w:p>
      <w:pPr>
        <w:spacing w:after="0" w:line="3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Elliot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13970</wp:posOffset>
            </wp:positionV>
            <wp:extent cx="144653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6530" cy="1524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Elliot Greenberg,</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Vice President</w:t>
      </w:r>
    </w:p>
    <w:sectPr>
      <w:pgSz w:w="11900" w:h="16838" w:orient="portrait"/>
      <w:cols w:equalWidth="0" w:num="1">
        <w:col w:w="11420"/>
      </w:cols>
      <w:pgMar w:left="240" w:top="4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Roman"/>
      <w:start w:val="10"/>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5"/>
    </w:lvl>
  </w:abstractNum>
  <w:abstractNum w:abstractNumId="4">
    <w:nsid w:val="4DB127F8"/>
    <w:multiLevelType w:val="hybridMultilevel"/>
    <w:lvl w:ilvl="0">
      <w:lvlJc w:val="left"/>
      <w:lvlText w:val="%1."/>
      <w:numFmt w:val="decimal"/>
      <w:start w:val="1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decimal"/>
      <w:start w:val="1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2"/>
    </w:lvl>
    <w:lvl w:ilvl="1">
      <w:lvlJc w:val="left"/>
      <w:lvlText w:val="(%2)"/>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2019-12-06T15:57:21Z</dcterms:created>
  <dcterms:modified xsi:type="dcterms:W3CDTF">2019-12-06T15:57:21Z</dcterms:modified>
</cp:coreProperties>
</file>