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6891128.xml.htm"/>
      <w:bookmarkStart w:id="1" w:name="kswkform4_17768911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DELLY GAYLA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BROADCOM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3421 HILLVIEW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Broadcom Inc.</w:t>
              </w:r>
            </w:hyperlink>
            <w:r>
              <w:rPr/>
              <w:t xml:space="preserve"> [ </w:t>
            </w:r>
            <w:r>
              <w:rPr>
                <w:rFonts w:ascii="Times;serif" w:hAnsi="Times;serif"/>
                <w:color w:val="0000FF"/>
                <w:sz w:val="24"/>
                <w:shd w:fill="FFFFFF" w:val="clear"/>
              </w:rPr>
              <w:t>AVGO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864</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33,216</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("RSU") award fully vests on the earlier of (i) April 19, 2027 or (ii) the date of the Issuer's 2027 annual meeting of stockholders, subject to the Reporting Person's continued service on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864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Noelle Matteson, Attorney-in-Fact for Gayla J. Delly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8358" TargetMode="External"/><Relationship Id="rId5" Type="http://schemas.openxmlformats.org/officeDocument/2006/relationships/hyperlink" Target="http://www.sec.gov/cgi-bin/browse-edgar?action=getcompany&amp;CIK=00017301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610</Words>
  <Characters>3285</Characters>
  <CharactersWithSpaces>3835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