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7620" w:type="dxa"/>
            <w:vAlign w:val="bottom"/>
            <w:gridSpan w:val="3"/>
          </w:tcPr>
          <w:p>
            <w:pPr>
              <w:jc w:val="center"/>
              <w:ind w:left="3531"/>
              <w:spacing w:after="0"/>
              <w:rPr>
                <w:sz w:val="20"/>
                <w:szCs w:val="20"/>
                <w:color w:val="auto"/>
              </w:rPr>
            </w:pPr>
            <w:r>
              <w:rPr>
                <w:rFonts w:ascii="Times New Roman" w:cs="Times New Roman" w:eastAsia="Times New Roman" w:hAnsi="Times New Roman"/>
                <w:sz w:val="25"/>
                <w:szCs w:val="25"/>
                <w:b w:val="1"/>
                <w:bCs w:val="1"/>
                <w:color w:val="auto"/>
              </w:rPr>
              <w:t>FORM SD</w:t>
            </w:r>
          </w:p>
        </w:tc>
        <w:tc>
          <w:tcPr>
            <w:tcW w:w="3620" w:type="dxa"/>
            <w:vAlign w:val="bottom"/>
          </w:tcPr>
          <w:p>
            <w:pPr>
              <w:spacing w:after="0"/>
              <w:rPr>
                <w:sz w:val="24"/>
                <w:szCs w:val="24"/>
                <w:color w:val="auto"/>
              </w:rPr>
            </w:pPr>
          </w:p>
        </w:tc>
      </w:tr>
      <w:tr>
        <w:trPr>
          <w:trHeight w:val="497"/>
        </w:trPr>
        <w:tc>
          <w:tcPr>
            <w:tcW w:w="7620" w:type="dxa"/>
            <w:vAlign w:val="bottom"/>
            <w:gridSpan w:val="3"/>
          </w:tcPr>
          <w:p>
            <w:pPr>
              <w:jc w:val="center"/>
              <w:ind w:left="3531"/>
              <w:spacing w:after="0"/>
              <w:rPr>
                <w:sz w:val="20"/>
                <w:szCs w:val="20"/>
                <w:color w:val="auto"/>
              </w:rPr>
            </w:pPr>
            <w:r>
              <w:rPr>
                <w:rFonts w:ascii="Times New Roman" w:cs="Times New Roman" w:eastAsia="Times New Roman" w:hAnsi="Times New Roman"/>
                <w:sz w:val="20"/>
                <w:szCs w:val="20"/>
                <w:b w:val="1"/>
                <w:bCs w:val="1"/>
                <w:color w:val="auto"/>
                <w:w w:val="99"/>
              </w:rPr>
              <w:t>Specialized Disclosure Report</w:t>
            </w:r>
          </w:p>
        </w:tc>
        <w:tc>
          <w:tcPr>
            <w:tcW w:w="3620" w:type="dxa"/>
            <w:vAlign w:val="bottom"/>
          </w:tcPr>
          <w:p>
            <w:pPr>
              <w:spacing w:after="0"/>
              <w:rPr>
                <w:sz w:val="24"/>
                <w:szCs w:val="24"/>
                <w:color w:val="auto"/>
              </w:rPr>
            </w:pPr>
          </w:p>
        </w:tc>
      </w:tr>
      <w:tr>
        <w:trPr>
          <w:trHeight w:val="1298"/>
        </w:trPr>
        <w:tc>
          <w:tcPr>
            <w:tcW w:w="7620" w:type="dxa"/>
            <w:vAlign w:val="bottom"/>
            <w:gridSpan w:val="3"/>
          </w:tcPr>
          <w:p>
            <w:pPr>
              <w:jc w:val="center"/>
              <w:ind w:left="3531"/>
              <w:spacing w:after="0"/>
              <w:rPr>
                <w:sz w:val="20"/>
                <w:szCs w:val="20"/>
                <w:color w:val="auto"/>
              </w:rPr>
            </w:pPr>
            <w:r>
              <w:rPr>
                <w:rFonts w:ascii="Times New Roman" w:cs="Times New Roman" w:eastAsia="Times New Roman" w:hAnsi="Times New Roman"/>
                <w:sz w:val="25"/>
                <w:szCs w:val="25"/>
                <w:b w:val="1"/>
                <w:bCs w:val="1"/>
                <w:color w:val="auto"/>
              </w:rPr>
              <w:t>Broadcom Inc.</w:t>
            </w:r>
          </w:p>
        </w:tc>
        <w:tc>
          <w:tcPr>
            <w:tcW w:w="3620" w:type="dxa"/>
            <w:vAlign w:val="bottom"/>
          </w:tcPr>
          <w:p>
            <w:pPr>
              <w:spacing w:after="0"/>
              <w:rPr>
                <w:sz w:val="24"/>
                <w:szCs w:val="24"/>
                <w:color w:val="auto"/>
              </w:rPr>
            </w:pPr>
          </w:p>
        </w:tc>
      </w:tr>
      <w:tr>
        <w:trPr>
          <w:trHeight w:val="73"/>
        </w:trPr>
        <w:tc>
          <w:tcPr>
            <w:tcW w:w="7620" w:type="dxa"/>
            <w:vAlign w:val="bottom"/>
            <w:tcBorders>
              <w:bottom w:val="single" w:sz="8" w:color="auto"/>
            </w:tcBorders>
            <w:gridSpan w:val="3"/>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r>
      <w:tr>
        <w:trPr>
          <w:trHeight w:val="227"/>
        </w:trPr>
        <w:tc>
          <w:tcPr>
            <w:tcW w:w="7620" w:type="dxa"/>
            <w:vAlign w:val="bottom"/>
            <w:gridSpan w:val="3"/>
          </w:tcPr>
          <w:p>
            <w:pPr>
              <w:jc w:val="center"/>
              <w:ind w:left="3551"/>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tc>
        <w:tc>
          <w:tcPr>
            <w:tcW w:w="3620" w:type="dxa"/>
            <w:vAlign w:val="bottom"/>
          </w:tcPr>
          <w:p>
            <w:pPr>
              <w:spacing w:after="0"/>
              <w:rPr>
                <w:sz w:val="19"/>
                <w:szCs w:val="19"/>
                <w:color w:val="auto"/>
              </w:rPr>
            </w:pPr>
          </w:p>
        </w:tc>
      </w:tr>
      <w:tr>
        <w:trPr>
          <w:trHeight w:val="342"/>
        </w:trPr>
        <w:tc>
          <w:tcPr>
            <w:tcW w:w="7620" w:type="dxa"/>
            <w:vAlign w:val="bottom"/>
            <w:gridSpan w:val="3"/>
          </w:tcPr>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20" w:type="dxa"/>
            <w:vAlign w:val="bottom"/>
          </w:tcPr>
          <w:p>
            <w:pPr>
              <w:jc w:val="right"/>
              <w:ind w:right="2144"/>
              <w:spacing w:after="0"/>
              <w:rPr>
                <w:sz w:val="20"/>
                <w:szCs w:val="20"/>
                <w:color w:val="auto"/>
              </w:rPr>
            </w:pPr>
            <w:r>
              <w:rPr>
                <w:rFonts w:ascii="Times New Roman" w:cs="Times New Roman" w:eastAsia="Times New Roman" w:hAnsi="Times New Roman"/>
                <w:sz w:val="16"/>
                <w:szCs w:val="16"/>
                <w:b w:val="1"/>
                <w:bCs w:val="1"/>
                <w:color w:val="auto"/>
              </w:rPr>
              <w:t>001-38449</w:t>
            </w:r>
          </w:p>
        </w:tc>
      </w:tr>
      <w:tr>
        <w:trPr>
          <w:trHeight w:val="73"/>
        </w:trPr>
        <w:tc>
          <w:tcPr>
            <w:tcW w:w="52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r>
      <w:tr>
        <w:trPr>
          <w:trHeight w:val="240"/>
        </w:trPr>
        <w:tc>
          <w:tcPr>
            <w:tcW w:w="7620" w:type="dxa"/>
            <w:vAlign w:val="bottom"/>
            <w:gridSpan w:val="3"/>
          </w:tcPr>
          <w:p>
            <w:pPr>
              <w:jc w:val="center"/>
              <w:ind w:right="23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620" w:type="dxa"/>
            <w:vAlign w:val="bottom"/>
          </w:tcPr>
          <w:p>
            <w:pPr>
              <w:jc w:val="center"/>
              <w:ind w:right="1464"/>
              <w:spacing w:after="0"/>
              <w:rPr>
                <w:sz w:val="20"/>
                <w:szCs w:val="20"/>
                <w:color w:val="auto"/>
              </w:rPr>
            </w:pPr>
            <w:r>
              <w:rPr>
                <w:rFonts w:ascii="Times New Roman" w:cs="Times New Roman" w:eastAsia="Times New Roman" w:hAnsi="Times New Roman"/>
                <w:sz w:val="14"/>
                <w:szCs w:val="14"/>
                <w:color w:val="auto"/>
              </w:rPr>
              <w:t>(Commission file number)</w:t>
            </w:r>
          </w:p>
        </w:tc>
      </w:tr>
      <w:tr>
        <w:trPr>
          <w:trHeight w:val="355"/>
        </w:trPr>
        <w:tc>
          <w:tcPr>
            <w:tcW w:w="7620" w:type="dxa"/>
            <w:vAlign w:val="bottom"/>
            <w:gridSpan w:val="3"/>
          </w:tcPr>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3421 Hillview Avenue, Palo Alto, California</w:t>
            </w:r>
          </w:p>
        </w:tc>
        <w:tc>
          <w:tcPr>
            <w:tcW w:w="3620" w:type="dxa"/>
            <w:vAlign w:val="bottom"/>
          </w:tcPr>
          <w:p>
            <w:pPr>
              <w:jc w:val="right"/>
              <w:ind w:right="2104"/>
              <w:spacing w:after="0"/>
              <w:rPr>
                <w:sz w:val="20"/>
                <w:szCs w:val="20"/>
                <w:color w:val="auto"/>
              </w:rPr>
            </w:pPr>
            <w:r>
              <w:rPr>
                <w:rFonts w:ascii="Times New Roman" w:cs="Times New Roman" w:eastAsia="Times New Roman" w:hAnsi="Times New Roman"/>
                <w:sz w:val="16"/>
                <w:szCs w:val="16"/>
                <w:b w:val="1"/>
                <w:bCs w:val="1"/>
                <w:color w:val="auto"/>
              </w:rPr>
              <w:t>94304-1320</w:t>
            </w:r>
          </w:p>
        </w:tc>
      </w:tr>
      <w:tr>
        <w:trPr>
          <w:trHeight w:val="73"/>
        </w:trPr>
        <w:tc>
          <w:tcPr>
            <w:tcW w:w="52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r>
      <w:tr>
        <w:trPr>
          <w:trHeight w:val="226"/>
        </w:trPr>
        <w:tc>
          <w:tcPr>
            <w:tcW w:w="7620" w:type="dxa"/>
            <w:vAlign w:val="bottom"/>
            <w:gridSpan w:val="3"/>
          </w:tcPr>
          <w:p>
            <w:pPr>
              <w:jc w:val="center"/>
              <w:ind w:right="23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20" w:type="dxa"/>
            <w:vAlign w:val="bottom"/>
          </w:tcPr>
          <w:p>
            <w:pPr>
              <w:jc w:val="center"/>
              <w:ind w:right="1464"/>
              <w:spacing w:after="0"/>
              <w:rPr>
                <w:sz w:val="20"/>
                <w:szCs w:val="20"/>
                <w:color w:val="auto"/>
              </w:rPr>
            </w:pPr>
            <w:r>
              <w:rPr>
                <w:rFonts w:ascii="Times New Roman" w:cs="Times New Roman" w:eastAsia="Times New Roman" w:hAnsi="Times New Roman"/>
                <w:sz w:val="14"/>
                <w:szCs w:val="14"/>
                <w:color w:val="auto"/>
              </w:rPr>
              <w:t>(Zip code)</w:t>
            </w:r>
          </w:p>
        </w:tc>
      </w:tr>
      <w:tr>
        <w:trPr>
          <w:trHeight w:val="895"/>
        </w:trPr>
        <w:tc>
          <w:tcPr>
            <w:tcW w:w="5280" w:type="dxa"/>
            <w:vAlign w:val="bottom"/>
          </w:tcPr>
          <w:p>
            <w:pPr>
              <w:spacing w:after="0"/>
              <w:rPr>
                <w:sz w:val="24"/>
                <w:szCs w:val="24"/>
                <w:color w:val="auto"/>
              </w:rPr>
            </w:pPr>
          </w:p>
        </w:tc>
        <w:tc>
          <w:tcPr>
            <w:tcW w:w="234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Mark Brazeal</w:t>
            </w:r>
          </w:p>
        </w:tc>
        <w:tc>
          <w:tcPr>
            <w:tcW w:w="3620" w:type="dxa"/>
            <w:vAlign w:val="bottom"/>
          </w:tcPr>
          <w:p>
            <w:pPr>
              <w:spacing w:after="0"/>
              <w:rPr>
                <w:sz w:val="24"/>
                <w:szCs w:val="24"/>
                <w:color w:val="auto"/>
              </w:rPr>
            </w:pPr>
          </w:p>
        </w:tc>
      </w:tr>
      <w:tr>
        <w:trPr>
          <w:trHeight w:val="230"/>
        </w:trPr>
        <w:tc>
          <w:tcPr>
            <w:tcW w:w="7620" w:type="dxa"/>
            <w:vAlign w:val="bottom"/>
            <w:gridSpan w:val="3"/>
          </w:tcPr>
          <w:p>
            <w:pPr>
              <w:jc w:val="center"/>
              <w:ind w:left="4011"/>
              <w:spacing w:after="0"/>
              <w:rPr>
                <w:sz w:val="20"/>
                <w:szCs w:val="20"/>
                <w:color w:val="auto"/>
              </w:rPr>
            </w:pPr>
            <w:r>
              <w:rPr>
                <w:rFonts w:ascii="Times New Roman" w:cs="Times New Roman" w:eastAsia="Times New Roman" w:hAnsi="Times New Roman"/>
                <w:sz w:val="16"/>
                <w:szCs w:val="16"/>
                <w:b w:val="1"/>
                <w:bCs w:val="1"/>
                <w:color w:val="auto"/>
              </w:rPr>
              <w:t>Chief Legal and Corporate Affairs Officer</w:t>
            </w:r>
          </w:p>
        </w:tc>
        <w:tc>
          <w:tcPr>
            <w:tcW w:w="3620" w:type="dxa"/>
            <w:vAlign w:val="bottom"/>
          </w:tcPr>
          <w:p>
            <w:pPr>
              <w:spacing w:after="0"/>
              <w:rPr>
                <w:sz w:val="19"/>
                <w:szCs w:val="19"/>
                <w:color w:val="auto"/>
              </w:rPr>
            </w:pPr>
          </w:p>
        </w:tc>
      </w:tr>
      <w:tr>
        <w:trPr>
          <w:trHeight w:val="216"/>
        </w:trPr>
        <w:tc>
          <w:tcPr>
            <w:tcW w:w="7620" w:type="dxa"/>
            <w:vAlign w:val="bottom"/>
            <w:gridSpan w:val="3"/>
          </w:tcPr>
          <w:p>
            <w:pPr>
              <w:jc w:val="center"/>
              <w:ind w:left="4011"/>
              <w:spacing w:after="0"/>
              <w:rPr>
                <w:sz w:val="20"/>
                <w:szCs w:val="20"/>
                <w:color w:val="auto"/>
              </w:rPr>
            </w:pPr>
            <w:r>
              <w:rPr>
                <w:rFonts w:ascii="Times New Roman" w:cs="Times New Roman" w:eastAsia="Times New Roman" w:hAnsi="Times New Roman"/>
                <w:sz w:val="16"/>
                <w:szCs w:val="16"/>
                <w:b w:val="1"/>
                <w:bCs w:val="1"/>
                <w:color w:val="auto"/>
                <w:w w:val="99"/>
              </w:rPr>
              <w:t>(650) 427-6000</w:t>
            </w:r>
          </w:p>
        </w:tc>
        <w:tc>
          <w:tcPr>
            <w:tcW w:w="36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w:t>
      </w:r>
    </w:p>
    <w:p>
      <w:pPr>
        <w:spacing w:after="0" w:line="2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25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Rule 13q-1 under the Securities Exchange Act (17 CFR 240.13q-1) for the fiscal year ended _____________________________.</w:t>
      </w:r>
    </w:p>
    <w:p>
      <w:pPr>
        <w:sectPr>
          <w:pgSz w:w="11900" w:h="16838" w:orient="portrait"/>
          <w:cols w:equalWidth="0" w:num="1">
            <w:col w:w="11240"/>
          </w:cols>
          <w:pgMar w:left="320" w:top="11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Disclosure</w:t>
      </w:r>
    </w:p>
    <w:p>
      <w:pPr>
        <w:spacing w:after="0" w:line="270"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A copy of the Conflict Minerals Report of Broadcom Inc. for the reporting period from January 1, 2025 to December 31, 2025 is provided as Exhibit 1.01 hereto and is publicly available at https://www.broadcom.com/company/corporate-responsibility/supplier-responsibility. The website and information accessible through it are not incorporated into this Form SD nor deemed filed with the U.S. Securities and Exchange Commission.</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Broadcom Inc.’s Conflict Minerals Report for the calendar year ended December 31, 2025 is filed as Exhibit 1.01 hereto.</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6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81"/>
        </w:trPr>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tcPr>
          <w:p>
            <w:pPr>
              <w:spacing w:after="0"/>
              <w:rPr>
                <w:sz w:val="7"/>
                <w:szCs w:val="7"/>
                <w:color w:val="auto"/>
              </w:rPr>
            </w:pPr>
          </w:p>
        </w:tc>
      </w:tr>
      <w:tr>
        <w:trPr>
          <w:trHeight w:val="250"/>
        </w:trPr>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1.</w:t>
            </w:r>
            <w:r>
              <w:rPr>
                <w:rFonts w:ascii="Times New Roman" w:cs="Times New Roman" w:eastAsia="Times New Roman" w:hAnsi="Times New Roman"/>
                <w:sz w:val="18"/>
                <w:szCs w:val="18"/>
                <w:u w:val="single" w:color="auto"/>
                <w:color w:val="auto"/>
                <w:w w:val="95"/>
              </w:rPr>
              <w:t>01</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Conflict Minerals Report as required by Items 1.01 and 1.02 of this Form SD.</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ectPr>
          <w:pgSz w:w="11900" w:h="16838" w:orient="portrait"/>
          <w:cols w:equalWidth="0" w:num="1">
            <w:col w:w="10740"/>
          </w:cols>
          <w:pgMar w:left="320" w:top="779" w:right="8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BROADCOM INC.</w:t>
      </w:r>
    </w:p>
    <w:p>
      <w:pPr>
        <w:spacing w:after="0" w:line="2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-7620</wp:posOffset>
            </wp:positionV>
            <wp:extent cx="937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8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Hock E. Tan</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ectPr>
          <w:pgSz w:w="11900" w:h="16838" w:orient="portrait"/>
          <w:cols w:equalWidth="0" w:num="1">
            <w:col w:w="10640"/>
          </w:cols>
          <w:pgMar w:left="320" w:top="779"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270" w:lineRule="exact"/>
        <w:rPr>
          <w:sz w:val="20"/>
          <w:szCs w:val="20"/>
          <w:color w:val="auto"/>
        </w:rPr>
      </w:pPr>
    </w:p>
    <w:p>
      <w:pPr>
        <w:ind w:right="80"/>
        <w:spacing w:after="0" w:line="328" w:lineRule="auto"/>
        <w:rPr>
          <w:sz w:val="20"/>
          <w:szCs w:val="20"/>
          <w:color w:val="auto"/>
        </w:rPr>
      </w:pPr>
      <w:r>
        <w:rPr>
          <w:rFonts w:ascii="Times New Roman" w:cs="Times New Roman" w:eastAsia="Times New Roman" w:hAnsi="Times New Roman"/>
          <w:sz w:val="18"/>
          <w:szCs w:val="18"/>
          <w:color w:val="auto"/>
        </w:rPr>
        <w:t>This Conflict Minerals Report (this “Report”) of Broadcom Inc. for the calendar year ended December 31, 2025 (the “Reporting Period”) is filed in accordance with Rule 13p-1 under the Securities Exchange Act of 1934, as amended (the “Rule”), and pursuant to the Company’s Specialized Disclosure Report on Form SD (“Form SD”) for the Reporting Period filed with the Securities and Exchange Commission (the “SEC”). The Rule imposes certain reporting and disclosure obligations on SEC registrants for conflict minerals that are necessary to the functionality or production of a product manufactured or contracted to be manufactured by the registrant. Conflict minerals are currently defined as cassiterite, columbite-tantalite, gold, wolframite and their derivatives, which are limited to tin, tantalum and tungsten (collectively, “3TG”).</w:t>
      </w:r>
    </w:p>
    <w:p>
      <w:pPr>
        <w:spacing w:after="0" w:line="179" w:lineRule="exact"/>
        <w:rPr>
          <w:sz w:val="20"/>
          <w:szCs w:val="20"/>
          <w:color w:val="auto"/>
        </w:rPr>
      </w:pPr>
    </w:p>
    <w:p>
      <w:pPr>
        <w:ind w:right="80"/>
        <w:spacing w:after="0" w:line="328" w:lineRule="auto"/>
        <w:rPr>
          <w:sz w:val="20"/>
          <w:szCs w:val="20"/>
          <w:color w:val="auto"/>
        </w:rPr>
      </w:pPr>
      <w:r>
        <w:rPr>
          <w:rFonts w:ascii="Times New Roman" w:cs="Times New Roman" w:eastAsia="Times New Roman" w:hAnsi="Times New Roman"/>
          <w:sz w:val="18"/>
          <w:szCs w:val="18"/>
          <w:color w:val="auto"/>
        </w:rPr>
        <w:t>In accordance with the Rule, Broadcom conducted due diligence on the source and chain of custody of the 3TG necessary to the functionality or production of the products Broadcom manufactured, or contracted to manufacture, in order to ascertain whether the 3TG originated in the Democratic Republic of the Congo or an adjoining country (the “Covered Countries”) and financed or benefited armed groups in any of these countries. Broadcom’s due diligence measures are described in this Report. References in this Report to “Broadcom,” the “Company,” “we” or “our” refer to Broadcom Inc. and its subsidiaries, on a consolidated basis, unless otherwise indicated or the context otherwise requires.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and Product Overview</w:t>
      </w:r>
    </w:p>
    <w:p>
      <w:pPr>
        <w:spacing w:after="0" w:line="297" w:lineRule="exact"/>
        <w:rPr>
          <w:sz w:val="20"/>
          <w:szCs w:val="20"/>
          <w:color w:val="auto"/>
        </w:rPr>
      </w:pPr>
    </w:p>
    <w:p>
      <w:pPr>
        <w:ind w:right="100"/>
        <w:spacing w:after="0" w:line="324" w:lineRule="auto"/>
        <w:rPr>
          <w:sz w:val="20"/>
          <w:szCs w:val="20"/>
          <w:color w:val="auto"/>
        </w:rPr>
      </w:pPr>
      <w:r>
        <w:rPr>
          <w:rFonts w:ascii="Times New Roman" w:cs="Times New Roman" w:eastAsia="Times New Roman" w:hAnsi="Times New Roman"/>
          <w:sz w:val="18"/>
          <w:szCs w:val="18"/>
          <w:color w:val="auto"/>
        </w:rPr>
        <w:t>Broadcom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products and related software in the form of modules, switches and subsystems incorporating multiple semiconductor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Design of Conflict Minerals Due Diligence Program</w:t>
      </w:r>
    </w:p>
    <w:p>
      <w:pPr>
        <w:spacing w:after="0" w:line="297" w:lineRule="exact"/>
        <w:rPr>
          <w:sz w:val="20"/>
          <w:szCs w:val="20"/>
          <w:color w:val="auto"/>
        </w:rPr>
      </w:pPr>
    </w:p>
    <w:p>
      <w:pPr>
        <w:ind w:right="420"/>
        <w:spacing w:after="0" w:line="336" w:lineRule="auto"/>
        <w:rPr>
          <w:sz w:val="20"/>
          <w:szCs w:val="20"/>
          <w:color w:val="auto"/>
        </w:rPr>
      </w:pPr>
      <w:r>
        <w:rPr>
          <w:rFonts w:ascii="Times New Roman" w:cs="Times New Roman" w:eastAsia="Times New Roman" w:hAnsi="Times New Roman"/>
          <w:sz w:val="18"/>
          <w:szCs w:val="18"/>
          <w:color w:val="auto"/>
        </w:rPr>
        <w:t>Broadcom’s due diligence framework with respect to conflict minerals, which is summarized below, conforms to the Organization for Economic Co-operation and Development (“OECD”) Guidance for Responsible Supply Chains for Minerals from Conflict-Affected and High Risk Areas and the Supplements on Tin, Tantalum and Tungsten and on Gold.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440" w:top="7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Step 1 - Establish strong company management systems</w:t>
      </w:r>
    </w:p>
    <w:p>
      <w:pPr>
        <w:spacing w:after="0" w:line="185" w:lineRule="exact"/>
        <w:rPr>
          <w:sz w:val="20"/>
          <w:szCs w:val="20"/>
          <w:color w:val="auto"/>
        </w:rPr>
      </w:pPr>
    </w:p>
    <w:p>
      <w:pPr>
        <w:ind w:left="940" w:right="440" w:hanging="327"/>
        <w:spacing w:after="0" w:line="344" w:lineRule="auto"/>
        <w:tabs>
          <w:tab w:leader="none" w:pos="9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Conflict Minerals Policy and make it publicly available on our website (https://www.broadcom.com/company/corporate-responsibility/supplier-responsibility).</w:t>
      </w:r>
    </w:p>
    <w:p>
      <w:pPr>
        <w:spacing w:after="0" w:line="68" w:lineRule="exact"/>
        <w:rPr>
          <w:rFonts w:ascii="Times New Roman" w:cs="Times New Roman" w:eastAsia="Times New Roman" w:hAnsi="Times New Roman"/>
          <w:sz w:val="18"/>
          <w:szCs w:val="18"/>
          <w:color w:val="auto"/>
        </w:rPr>
      </w:pPr>
    </w:p>
    <w:p>
      <w:pPr>
        <w:ind w:left="940" w:right="300" w:hanging="327"/>
        <w:spacing w:after="0" w:line="344" w:lineRule="auto"/>
        <w:tabs>
          <w:tab w:leader="none" w:pos="9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internal conflict minerals team, led by our Global Quality organization, to implement our Conflict Minerals Policy and report program activities to executive management on a regular basis.</w:t>
      </w:r>
    </w:p>
    <w:p>
      <w:pPr>
        <w:spacing w:after="0" w:line="68" w:lineRule="exact"/>
        <w:rPr>
          <w:rFonts w:ascii="Times New Roman" w:cs="Times New Roman" w:eastAsia="Times New Roman" w:hAnsi="Times New Roman"/>
          <w:sz w:val="18"/>
          <w:szCs w:val="18"/>
          <w:color w:val="auto"/>
        </w:rPr>
      </w:pPr>
    </w:p>
    <w:p>
      <w:pPr>
        <w:ind w:left="940" w:hanging="327"/>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public email address (conflict.minerals@broadcom.com) for general inquiries.</w:t>
      </w:r>
    </w:p>
    <w:p>
      <w:pPr>
        <w:spacing w:after="0" w:line="171" w:lineRule="exact"/>
        <w:rPr>
          <w:rFonts w:ascii="Times New Roman" w:cs="Times New Roman" w:eastAsia="Times New Roman" w:hAnsi="Times New Roman"/>
          <w:sz w:val="18"/>
          <w:szCs w:val="18"/>
          <w:color w:val="auto"/>
        </w:rPr>
      </w:pPr>
    </w:p>
    <w:p>
      <w:pPr>
        <w:ind w:left="940" w:hanging="327"/>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grievance mechanism to enable employees, suppliers and stakeholders to report any concerns and violations.</w:t>
      </w:r>
    </w:p>
    <w:p>
      <w:pPr>
        <w:spacing w:after="0" w:line="184" w:lineRule="exact"/>
        <w:rPr>
          <w:rFonts w:ascii="Times New Roman" w:cs="Times New Roman" w:eastAsia="Times New Roman" w:hAnsi="Times New Roman"/>
          <w:sz w:val="18"/>
          <w:szCs w:val="18"/>
          <w:color w:val="auto"/>
        </w:rPr>
      </w:pPr>
    </w:p>
    <w:p>
      <w:pPr>
        <w:ind w:left="940" w:hanging="327"/>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records relating to our conflict minerals due diligence program pursuant to our internal document retention policy.</w:t>
      </w:r>
    </w:p>
    <w:p>
      <w:pPr>
        <w:spacing w:after="0" w:line="171" w:lineRule="exact"/>
        <w:rPr>
          <w:rFonts w:ascii="Times New Roman" w:cs="Times New Roman" w:eastAsia="Times New Roman" w:hAnsi="Times New Roman"/>
          <w:sz w:val="18"/>
          <w:szCs w:val="18"/>
          <w:color w:val="auto"/>
        </w:rPr>
      </w:pPr>
    </w:p>
    <w:p>
      <w:pPr>
        <w:ind w:left="940" w:hanging="323"/>
        <w:spacing w:after="0" w:line="360" w:lineRule="auto"/>
        <w:tabs>
          <w:tab w:leader="none" w:pos="9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Conflict Minerals Reporting Template (“CMRT”) (a standardized reporting template developed by the Responsible Minerals Initiative (“RMI”)) to identify smelters and refiners (“SORs”) that process the necessary 3TG contained in our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 Identify and assess risks in the supply chain</w:t>
      </w:r>
    </w:p>
    <w:p>
      <w:pPr>
        <w:spacing w:after="0" w:line="185" w:lineRule="exact"/>
        <w:rPr>
          <w:sz w:val="20"/>
          <w:szCs w:val="20"/>
          <w:color w:val="auto"/>
        </w:rPr>
      </w:pPr>
    </w:p>
    <w:p>
      <w:pPr>
        <w:ind w:left="940" w:right="1240" w:hanging="327"/>
        <w:spacing w:after="0" w:line="344" w:lineRule="auto"/>
        <w:tabs>
          <w:tab w:leader="none" w:pos="9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our supply chain using the CMRT, requesting identified direct suppliers to identify SORs and country of origin of the 3TG.</w:t>
      </w:r>
    </w:p>
    <w:p>
      <w:pPr>
        <w:spacing w:after="0" w:line="68" w:lineRule="exact"/>
        <w:rPr>
          <w:rFonts w:ascii="Times New Roman" w:cs="Times New Roman" w:eastAsia="Times New Roman" w:hAnsi="Times New Roman"/>
          <w:sz w:val="18"/>
          <w:szCs w:val="18"/>
          <w:color w:val="auto"/>
        </w:rPr>
      </w:pPr>
    </w:p>
    <w:p>
      <w:pPr>
        <w:ind w:left="940" w:hanging="327"/>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suppliers who returned the CMRT that require follow-up based on internally defined criteria.</w:t>
      </w:r>
    </w:p>
    <w:p>
      <w:pPr>
        <w:spacing w:after="0" w:line="171" w:lineRule="exact"/>
        <w:rPr>
          <w:rFonts w:ascii="Times New Roman" w:cs="Times New Roman" w:eastAsia="Times New Roman" w:hAnsi="Times New Roman"/>
          <w:sz w:val="18"/>
          <w:szCs w:val="18"/>
          <w:color w:val="auto"/>
        </w:rPr>
      </w:pPr>
    </w:p>
    <w:p>
      <w:pPr>
        <w:ind w:left="940" w:right="200" w:hanging="323"/>
        <w:spacing w:after="0" w:line="360" w:lineRule="auto"/>
        <w:tabs>
          <w:tab w:leader="none" w:pos="9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 our final SORs list against the list of SORs maintained by RMI to identify which SORs are considered “conformant” under RMI’s Responsible Minerals Assurance Process (“RMAP”).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 Design and implement a strategy to respond to identified risks</w:t>
      </w:r>
    </w:p>
    <w:p>
      <w:pPr>
        <w:spacing w:after="0" w:line="171" w:lineRule="exact"/>
        <w:rPr>
          <w:sz w:val="20"/>
          <w:szCs w:val="20"/>
          <w:color w:val="auto"/>
        </w:rPr>
      </w:pPr>
    </w:p>
    <w:p>
      <w:pPr>
        <w:ind w:left="940" w:right="1560" w:hanging="327"/>
        <w:spacing w:after="0" w:line="336" w:lineRule="auto"/>
        <w:tabs>
          <w:tab w:leader="none" w:pos="9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Devise a risk management plan to respond to identified risks in the event that Broadcom’s due diligence process identifies SORs in the supply chain to be sourcing or processing 3TG from the Covered Countries and that are not RMAP conformant.</w:t>
      </w:r>
    </w:p>
    <w:p>
      <w:pPr>
        <w:spacing w:after="0" w:line="75" w:lineRule="exact"/>
        <w:rPr>
          <w:rFonts w:ascii="Times New Roman" w:cs="Times New Roman" w:eastAsia="Times New Roman" w:hAnsi="Times New Roman"/>
          <w:sz w:val="18"/>
          <w:szCs w:val="18"/>
          <w:color w:val="auto"/>
        </w:rPr>
      </w:pPr>
    </w:p>
    <w:p>
      <w:pPr>
        <w:ind w:left="940" w:right="1200" w:hanging="327"/>
        <w:spacing w:after="0" w:line="344" w:lineRule="auto"/>
        <w:tabs>
          <w:tab w:leader="none" w:pos="9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risk mitigation efforts by encouraging suppliers to purchase materials from SORs that are conformant with the RMAP assessment protocols and implement due diligence measures under our Conflict Minerals Policy.</w:t>
      </w:r>
    </w:p>
    <w:p>
      <w:pPr>
        <w:spacing w:after="0" w:line="68" w:lineRule="exact"/>
        <w:rPr>
          <w:rFonts w:ascii="Times New Roman" w:cs="Times New Roman" w:eastAsia="Times New Roman" w:hAnsi="Times New Roman"/>
          <w:sz w:val="18"/>
          <w:szCs w:val="18"/>
          <w:color w:val="auto"/>
        </w:rPr>
      </w:pPr>
    </w:p>
    <w:p>
      <w:pPr>
        <w:ind w:left="940" w:right="1200" w:hanging="327"/>
        <w:spacing w:after="0" w:line="379" w:lineRule="auto"/>
        <w:tabs>
          <w:tab w:leader="none" w:pos="9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 SORs who are not RMAP conformant, whose email contact information are available from RMI, to participate in an independent third-party audit program to demonstrate conformance with the RMAP assessment protocols.</w:t>
      </w:r>
    </w:p>
    <w:p>
      <w:pPr>
        <w:spacing w:after="0" w:line="44" w:lineRule="exact"/>
        <w:rPr>
          <w:rFonts w:ascii="Times New Roman" w:cs="Times New Roman" w:eastAsia="Times New Roman" w:hAnsi="Times New Roman"/>
          <w:sz w:val="17"/>
          <w:szCs w:val="17"/>
          <w:color w:val="auto"/>
        </w:rPr>
      </w:pPr>
    </w:p>
    <w:p>
      <w:pPr>
        <w:ind w:left="940" w:hanging="323"/>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status reports, including progress on our due diligence steps, to our senior management regularly.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 Independent third-party audit of supply chain due diligence practices</w:t>
      </w:r>
    </w:p>
    <w:p>
      <w:pPr>
        <w:spacing w:after="0" w:line="185" w:lineRule="exact"/>
        <w:rPr>
          <w:sz w:val="20"/>
          <w:szCs w:val="20"/>
          <w:color w:val="auto"/>
        </w:rPr>
      </w:pPr>
    </w:p>
    <w:p>
      <w:pPr>
        <w:ind w:left="940" w:right="100" w:hanging="327"/>
        <w:spacing w:after="0" w:line="344"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Broadcom does not source directly from 3TG processing facilities, we rely on RMI to coordinate independent third-party audits on SORs.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440" w:top="796" w:right="759" w:bottom="1440" w:gutter="0" w:footer="0" w:header="0"/>
        </w:sectPr>
      </w:pPr>
    </w:p>
    <w:bookmarkStart w:id="5" w:name="page6"/>
    <w:bookmarkEnd w:id="5"/>
    <w:p>
      <w:pPr>
        <w:ind w:left="940" w:right="520" w:hanging="323"/>
        <w:spacing w:after="0" w:line="336"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Broadcom supports the development of a range of tools and resources used in our conflict minerals due diligence program, including the RMAP, the CMRT, Reasonable Country of Origin Inquiry (“RCOI”) data and a range of guidance documents on 3TG sourcing through our membership with RMI.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 Report annually on supply chain due diligence</w:t>
      </w:r>
    </w:p>
    <w:p>
      <w:pPr>
        <w:spacing w:after="0" w:line="63" w:lineRule="exact"/>
        <w:rPr>
          <w:sz w:val="20"/>
          <w:szCs w:val="20"/>
          <w:color w:val="auto"/>
        </w:rPr>
      </w:pPr>
    </w:p>
    <w:p>
      <w:pPr>
        <w:ind w:left="940" w:right="180" w:hanging="327"/>
        <w:spacing w:after="0" w:line="336"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Rule, Broadcom files a Form SD and a conflict minerals report with the SEC on an annual basis. This Report is also available on our website (https://www.broadcom.com/company/corporate-responsibility/supplier-responsibility). The contents of any website referenced in this Report are not a part of this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Due Diligence Measures Performed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Reporting Period, Broadcom completed the following due diligence steps:</w:t>
      </w:r>
    </w:p>
    <w:p>
      <w:pPr>
        <w:spacing w:after="0" w:line="293" w:lineRule="exact"/>
        <w:rPr>
          <w:sz w:val="20"/>
          <w:szCs w:val="20"/>
          <w:color w:val="auto"/>
        </w:rPr>
      </w:pPr>
    </w:p>
    <w:p>
      <w:pPr>
        <w:ind w:left="940" w:right="300" w:hanging="327"/>
        <w:spacing w:after="0" w:line="336"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our Conflict Minerals Policy to suppliers to communicate Broadcom’s goal and expectations of them to cooperate in providing due diligence information and to encourage suppliers to purchase materials from SORs that are RMAP-conformant, and requested that suppliers return a completed CMRT.</w:t>
      </w:r>
    </w:p>
    <w:p>
      <w:pPr>
        <w:spacing w:after="0" w:line="62" w:lineRule="exact"/>
        <w:rPr>
          <w:rFonts w:ascii="Times New Roman" w:cs="Times New Roman" w:eastAsia="Times New Roman" w:hAnsi="Times New Roman"/>
          <w:sz w:val="18"/>
          <w:szCs w:val="18"/>
          <w:color w:val="auto"/>
        </w:rPr>
      </w:pPr>
    </w:p>
    <w:p>
      <w:pPr>
        <w:ind w:left="940" w:hanging="32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Contacted suppliers who returned the CMRT that require follow-up based on internally defined criteria.</w:t>
      </w:r>
    </w:p>
    <w:p>
      <w:pPr>
        <w:spacing w:after="0" w:line="184" w:lineRule="exact"/>
        <w:rPr>
          <w:rFonts w:ascii="Times New Roman" w:cs="Times New Roman" w:eastAsia="Times New Roman" w:hAnsi="Times New Roman"/>
          <w:sz w:val="18"/>
          <w:szCs w:val="18"/>
          <w:color w:val="auto"/>
        </w:rPr>
      </w:pPr>
    </w:p>
    <w:p>
      <w:pPr>
        <w:ind w:left="940" w:right="320" w:hanging="327"/>
        <w:spacing w:after="0" w:line="34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our final SORs list (compiled based on information received from our suppliers) against the list of SORs maintained by RMI and/or London Bullion Market Association to identify which SORs are RMAP conformant or active.</w:t>
      </w:r>
    </w:p>
    <w:p>
      <w:pPr>
        <w:spacing w:after="0" w:line="68" w:lineRule="exact"/>
        <w:rPr>
          <w:rFonts w:ascii="Times New Roman" w:cs="Times New Roman" w:eastAsia="Times New Roman" w:hAnsi="Times New Roman"/>
          <w:sz w:val="18"/>
          <w:szCs w:val="18"/>
          <w:color w:val="auto"/>
        </w:rPr>
      </w:pPr>
    </w:p>
    <w:p>
      <w:pPr>
        <w:ind w:left="940" w:right="520" w:hanging="327"/>
        <w:spacing w:after="0" w:line="336"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SORs who are not RMAP conformant, whose email contact information are available from RMI, RMI’s standard smelter engagement letter that invited them to commence their participation in an independent third-party audit program to demonstrate their compliance with the RMAP assessment protocols.</w:t>
      </w:r>
    </w:p>
    <w:p>
      <w:pPr>
        <w:spacing w:after="0" w:line="75" w:lineRule="exact"/>
        <w:rPr>
          <w:rFonts w:ascii="Times New Roman" w:cs="Times New Roman" w:eastAsia="Times New Roman" w:hAnsi="Times New Roman"/>
          <w:sz w:val="18"/>
          <w:szCs w:val="18"/>
          <w:color w:val="auto"/>
        </w:rPr>
      </w:pPr>
    </w:p>
    <w:p>
      <w:pPr>
        <w:ind w:left="940" w:hanging="32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status reports, including progress on our due diligence steps, to our senior management regularly and at least once a quarter.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Our Due Diligence Measures</w:t>
      </w:r>
    </w:p>
    <w:p>
      <w:pPr>
        <w:spacing w:after="0" w:line="297" w:lineRule="exact"/>
        <w:rPr>
          <w:sz w:val="20"/>
          <w:szCs w:val="20"/>
          <w:color w:val="auto"/>
        </w:rPr>
      </w:pPr>
    </w:p>
    <w:p>
      <w:pPr>
        <w:ind w:right="40"/>
        <w:spacing w:after="0" w:line="336" w:lineRule="auto"/>
        <w:rPr>
          <w:sz w:val="20"/>
          <w:szCs w:val="20"/>
          <w:color w:val="auto"/>
        </w:rPr>
      </w:pPr>
      <w:r>
        <w:rPr>
          <w:rFonts w:ascii="Times New Roman" w:cs="Times New Roman" w:eastAsia="Times New Roman" w:hAnsi="Times New Roman"/>
          <w:sz w:val="18"/>
          <w:szCs w:val="18"/>
          <w:color w:val="auto"/>
        </w:rPr>
        <w:t>Because Broadcom uses 3TG materials in many of its hardware products, it is therefore “downstream” in the 3TG supply chain. Due to the nature of our supply chain, we do not typically have a direct relationship with 3TG SORs. Our manufacturing operations employ a wide variety of semiconductors, electromechanical components and raw materials that are also supplied by other downstream companies in the supply chain.</w:t>
      </w:r>
    </w:p>
    <w:p>
      <w:pPr>
        <w:spacing w:after="0" w:line="170"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auto"/>
        </w:rPr>
        <w:t>Our due diligence process involves seeking data from our relevant suppliers, and these suppliers also seek similar information from their supply chain in order to identify the sources for the 3TG in our products. We rely on the good faith efforts of our supply chain to provide accurate and complete data. We also depend largely on information obtained by RMI through their independent third-party audit programs. We achieved a response rate of 100% for our supply chain survey.</w:t>
      </w:r>
    </w:p>
    <w:p>
      <w:pPr>
        <w:spacing w:after="0" w:line="171" w:lineRule="exact"/>
        <w:rPr>
          <w:sz w:val="20"/>
          <w:szCs w:val="20"/>
          <w:color w:val="auto"/>
        </w:rPr>
      </w:pPr>
    </w:p>
    <w:p>
      <w:pPr>
        <w:ind w:right="460"/>
        <w:spacing w:after="0" w:line="360" w:lineRule="auto"/>
        <w:rPr>
          <w:sz w:val="20"/>
          <w:szCs w:val="20"/>
          <w:color w:val="auto"/>
        </w:rPr>
      </w:pPr>
      <w:r>
        <w:rPr>
          <w:rFonts w:ascii="Times New Roman" w:cs="Times New Roman" w:eastAsia="Times New Roman" w:hAnsi="Times New Roman"/>
          <w:sz w:val="18"/>
          <w:szCs w:val="18"/>
          <w:color w:val="auto"/>
        </w:rPr>
        <w:t>We then compared SORs declared by our suppliers against the list of SORs maintained by RMI and/or London Bullion Market Association, and, if available, we obtained countries of origin information of the 3TGs from RMI.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796" w:right="439" w:bottom="1440" w:gutter="0" w:footer="0" w:header="0"/>
        </w:sectPr>
      </w:pPr>
    </w:p>
    <w:bookmarkStart w:id="6" w:name="page7"/>
    <w:bookmarkEnd w:id="6"/>
    <w:p>
      <w:pPr>
        <w:ind w:left="40" w:right="360"/>
        <w:spacing w:after="0" w:line="360" w:lineRule="auto"/>
        <w:rPr>
          <w:sz w:val="20"/>
          <w:szCs w:val="20"/>
          <w:color w:val="auto"/>
        </w:rPr>
      </w:pPr>
      <w:r>
        <w:rPr>
          <w:rFonts w:ascii="Times New Roman" w:cs="Times New Roman" w:eastAsia="Times New Roman" w:hAnsi="Times New Roman"/>
          <w:sz w:val="18"/>
          <w:szCs w:val="18"/>
          <w:color w:val="auto"/>
        </w:rPr>
        <w:t>As of December 31, 2025, we had 214 SORs that were potentially in our 2025 supply chain, of which 208 SORs were included in the RMAP list as “conformant,” and 6 SORs were identified as “active” in the RMAP list as they were at various stages of the audit cycle in RMAP.</w:t>
      </w:r>
    </w:p>
    <w:p>
      <w:pPr>
        <w:spacing w:after="0" w:line="149" w:lineRule="exact"/>
        <w:rPr>
          <w:sz w:val="20"/>
          <w:szCs w:val="20"/>
          <w:color w:val="auto"/>
        </w:rPr>
      </w:pPr>
    </w:p>
    <w:p>
      <w:pPr>
        <w:ind w:left="40" w:right="60"/>
        <w:spacing w:after="0" w:line="328" w:lineRule="auto"/>
        <w:rPr>
          <w:sz w:val="20"/>
          <w:szCs w:val="20"/>
          <w:color w:val="auto"/>
        </w:rPr>
      </w:pPr>
      <w:r>
        <w:rPr>
          <w:rFonts w:ascii="Times New Roman" w:cs="Times New Roman" w:eastAsia="Times New Roman" w:hAnsi="Times New Roman"/>
          <w:sz w:val="18"/>
          <w:szCs w:val="18"/>
          <w:color w:val="auto"/>
        </w:rPr>
        <w:t>Many of our suppliers sourced 3TG from a variety of upstream sources and provided information to Broadcom on an aggregated, company-wide level, rather than a product or component level. Due to the fungible nature of these materials, we understand that these suppliers were unable to trace the 3TG that they source into the products provided to any particular customer (including Broadcom). In addition, some of our suppliers were unable to identify the SORs that processed some of the 3TG supplied to them. As a result, we were unable to fully determine the country of origin of the necessary 3TG materials that were contained in the products we manufactured or contracted to manufacture during the Reporting Period.</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Steps Taken or To Be Taken to Mitigate Risk and Improve Due Diligence</w:t>
      </w:r>
    </w:p>
    <w:p>
      <w:pPr>
        <w:spacing w:after="0" w:line="283" w:lineRule="exact"/>
        <w:rPr>
          <w:sz w:val="20"/>
          <w:szCs w:val="20"/>
          <w:color w:val="auto"/>
        </w:rPr>
      </w:pPr>
    </w:p>
    <w:p>
      <w:pPr>
        <w:ind w:left="40" w:right="780"/>
        <w:spacing w:after="0" w:line="360" w:lineRule="auto"/>
        <w:rPr>
          <w:sz w:val="20"/>
          <w:szCs w:val="20"/>
          <w:color w:val="auto"/>
        </w:rPr>
      </w:pPr>
      <w:r>
        <w:rPr>
          <w:rFonts w:ascii="Times New Roman" w:cs="Times New Roman" w:eastAsia="Times New Roman" w:hAnsi="Times New Roman"/>
          <w:sz w:val="18"/>
          <w:szCs w:val="18"/>
          <w:color w:val="auto"/>
        </w:rPr>
        <w:t>For the next reporting period, we intend to continue to take steps to further mitigate the risk that the conflict minerals that are necessary to the functionality or production of our products could finance or benefit armed groups in the Covered Countries. These steps include:</w:t>
      </w:r>
    </w:p>
    <w:p>
      <w:pPr>
        <w:spacing w:after="0" w:line="149" w:lineRule="exact"/>
        <w:rPr>
          <w:sz w:val="20"/>
          <w:szCs w:val="20"/>
          <w:color w:val="auto"/>
        </w:rPr>
      </w:pPr>
    </w:p>
    <w:p>
      <w:pPr>
        <w:ind w:left="980" w:right="200" w:hanging="327"/>
        <w:spacing w:after="0" w:line="36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relevant suppliers to use and/or update their conflict minerals reporting template with the latest CMRT and monitoring our list of SORs against the list of SORs maintained by RMI.</w:t>
      </w:r>
    </w:p>
    <w:p>
      <w:pPr>
        <w:spacing w:after="0" w:line="40" w:lineRule="exact"/>
        <w:rPr>
          <w:rFonts w:ascii="Times New Roman" w:cs="Times New Roman" w:eastAsia="Times New Roman" w:hAnsi="Times New Roman"/>
          <w:sz w:val="18"/>
          <w:szCs w:val="18"/>
          <w:color w:val="auto"/>
        </w:rPr>
      </w:pPr>
    </w:p>
    <w:p>
      <w:pPr>
        <w:ind w:left="980" w:right="480" w:hanging="327"/>
        <w:spacing w:after="0" w:line="36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refine our conflict minerals due diligence program to improve the quality of the data received from our reasonable due diligence efforts.</w:t>
      </w:r>
    </w:p>
    <w:p>
      <w:pPr>
        <w:spacing w:after="0" w:line="4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work with suppliers and others on industry-wide solutions to source from RMAP-conformant SORs.</w:t>
      </w:r>
    </w:p>
    <w:p>
      <w:pPr>
        <w:spacing w:after="0" w:line="184"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RCOI and due diligence measures to our recently acquired entities and businesses.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7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This Report contains forward-looking statements concerning Broadcom. In some cases, you can identify these statements by words such as “will,” “expect,” “believe,” “intend,” and similar words, phrases or expressions. These forward-looking statements involve risks, uncertainties and other factors (such as whether our efforts to improve the due diligence process will be effective) that may cause actual results, performance or achievements to differ materially from those contained in the forward-looking statements. Accordingly, undue reliance should not be placed on such statements. These forward-looking statements should be considered in light of the uncertainties that affect our business under the heading “Risk Factors” in our Annual Report on Form 10-K and our Quarterly Reports on Form 10-Q. We undertake no intent or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020"/>
      </w:cols>
      <w:pgMar w:left="400" w:top="79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2026-06-01T16:45:16Z</dcterms:created>
  <dcterms:modified xsi:type="dcterms:W3CDTF">2026-06-01T16:45:16Z</dcterms:modified>
</cp:coreProperties>
</file>