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BROADCOM LIMITED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1320 Ridder Park Drive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San Jose, California 95131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March 1, 2018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3030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</w:t>
        <w:tab/>
        <w:t>Ms. Amanda Ravitz, Assistant Director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Geoff Kruczek, Special Counsel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Daniel Morris, Special Counsel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60"/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  <w:tab/>
        <w:t>Broadcom Limited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S-4, SEC File No. 333-222898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420" w:firstLine="456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the undersigned, on behalf of Broadcom Limited, a Delaware corporation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Issuer</w:t>
      </w:r>
      <w:r>
        <w:rPr>
          <w:rFonts w:ascii="Arial" w:cs="Arial" w:eastAsia="Arial" w:hAnsi="Arial"/>
          <w:sz w:val="18"/>
          <w:szCs w:val="18"/>
          <w:color w:val="auto"/>
        </w:rPr>
        <w:t>”), respectfully requests that the effective date of the Registration Statement on Form S-4 referenced above be accelerated so that it will become effective at 4:00 P.M., Eastern Time, on March 2, 2018, or as soon as practicable thereafter.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right="360" w:firstLine="45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There are no underwriters in connection with the registration and, therefore, no request for acceleration or consent by an underwriter has been filed herewith.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firstLine="456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Issuer hereby authorize Anthony J. Richmond of Latham &amp; Watkins LLP to orally modify or withdraw this request for acceleration. If you have any questions regarding the foregoing, please contact Mr. Richmond at (650) 463-2643 or by e-mail (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tony.richmond@lw.com</w:t>
      </w:r>
      <w:r>
        <w:rPr>
          <w:rFonts w:ascii="Arial" w:cs="Arial" w:eastAsia="Arial" w:hAnsi="Arial"/>
          <w:sz w:val="18"/>
          <w:szCs w:val="18"/>
          <w:color w:val="auto"/>
        </w:rPr>
        <w:t>). Thank you in advance for your assistance.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Arial" w:cs="Arial" w:eastAsia="Arial" w:hAnsi="Arial"/>
          <w:sz w:val="18"/>
          <w:szCs w:val="18"/>
          <w:color w:val="auto"/>
        </w:rPr>
        <w:t>)</w:t>
      </w:r>
    </w:p>
    <w:p>
      <w:pPr>
        <w:sectPr>
          <w:pgSz w:w="11900" w:h="16838" w:orient="portrait"/>
          <w:cols w:equalWidth="0" w:num="1">
            <w:col w:w="11420"/>
          </w:cols>
          <w:pgMar w:left="240" w:top="233" w:right="239" w:bottom="1440" w:gutter="0" w:footer="0" w:header="0"/>
        </w:sectPr>
      </w:pPr>
    </w:p>
    <w:bookmarkStart w:id="1" w:name="page2"/>
    <w:bookmarkEnd w:id="1"/>
    <w:p>
      <w:pPr>
        <w:ind w:left="68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8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Broadcom Limited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left="6852"/>
        <w:spacing w:after="0"/>
        <w:tabs>
          <w:tab w:leader="none" w:pos="74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Thomas H. Krause,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4725035</wp:posOffset>
            </wp:positionH>
            <wp:positionV relativeFrom="paragraph">
              <wp:posOffset>14605</wp:posOffset>
            </wp:positionV>
            <wp:extent cx="252158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Name:  Thomas H. Krause, Jr.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852"/>
        <w:spacing w:after="0"/>
        <w:tabs>
          <w:tab w:leader="none" w:pos="74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Chief Financial Officer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52" w:hanging="452"/>
        <w:spacing w:after="0"/>
        <w:tabs>
          <w:tab w:leader="none" w:pos="452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Anthony J. Richmond, Esq., Latham &amp; Watkins LLP</w:t>
      </w:r>
    </w:p>
    <w:sectPr>
      <w:pgSz w:w="11900" w:h="16838" w:orient="portrait"/>
      <w:cols w:equalWidth="0" w:num="1">
        <w:col w:w="10211"/>
      </w:cols>
      <w:pgMar w:left="248" w:top="27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2019-12-08T17:56:38Z</dcterms:created>
  <dcterms:modified xsi:type="dcterms:W3CDTF">2019-12-08T17:56:38Z</dcterms:modified>
</cp:coreProperties>
</file>